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2"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jc w:val="center"/>
              <w:ind w:right="23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0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-610235</wp:posOffset>
            </wp:positionV>
            <wp:extent cx="57150" cy="623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641985</wp:posOffset>
            </wp:positionV>
            <wp:extent cx="6997065" cy="4747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747895"/>
                    </a:xfrm>
                    <a:prstGeom prst="rect">
                      <a:avLst/>
                    </a:prstGeom>
                    <a:noFill/>
                  </pic:spPr>
                </pic:pic>
              </a:graphicData>
            </a:graphic>
          </wp:anchor>
        </w:drawing>
      </w:r>
    </w:p>
    <w:p>
      <w:pPr>
        <w:spacing w:after="0" w:line="1086" w:lineRule="exact"/>
        <w:rPr>
          <w:sz w:val="24"/>
          <w:szCs w:val="24"/>
          <w:color w:val="auto"/>
        </w:rPr>
      </w:pPr>
    </w:p>
    <w:p>
      <w:pPr>
        <w:sectPr>
          <w:pgSz w:w="11900" w:h="16838" w:orient="portrait"/>
          <w:cols w:equalWidth="0" w:num="2">
            <w:col w:w="2340" w:space="320"/>
            <w:col w:w="842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Bendza Gary Mark</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1060"/>
        <w:spacing w:after="0" w:line="319" w:lineRule="auto"/>
        <w:rPr>
          <w:sz w:val="20"/>
          <w:szCs w:val="20"/>
          <w:color w:val="auto"/>
        </w:rPr>
      </w:pPr>
      <w:r>
        <w:rPr>
          <w:rFonts w:ascii="Times New Roman" w:cs="Times New Roman" w:eastAsia="Times New Roman" w:hAnsi="Times New Roman"/>
          <w:sz w:val="16"/>
          <w:szCs w:val="16"/>
          <w:color w:val="0000FF"/>
        </w:rPr>
        <w:t>C/O TELOS CORPORATION 19886 ASHBURN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TELOS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05/26/2026</w:t>
      </w:r>
    </w:p>
    <w:p>
      <w:pPr>
        <w:spacing w:after="0" w:line="20" w:lineRule="exact"/>
        <w:rPr>
          <w:sz w:val="24"/>
          <w:szCs w:val="24"/>
          <w:color w:val="auto"/>
        </w:rPr>
      </w:pPr>
      <w:r>
        <w:rPr>
          <w:sz w:val="24"/>
          <w:szCs w:val="24"/>
          <w:color w:val="auto"/>
        </w:rPr>
        <w:br w:type="column"/>
      </w:r>
    </w:p>
    <w:p>
      <w:pPr>
        <w:ind w:left="1" w:right="700" w:hanging="1"/>
        <w:spacing w:after="0" w:line="24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39"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7" w:lineRule="exact"/>
        <w:rPr>
          <w:sz w:val="24"/>
          <w:szCs w:val="24"/>
          <w:color w:val="auto"/>
        </w:rPr>
      </w:pPr>
    </w:p>
    <w:p>
      <w:pPr>
        <w:ind w:left="1241"/>
        <w:spacing w:after="0"/>
        <w:rPr>
          <w:sz w:val="20"/>
          <w:szCs w:val="20"/>
          <w:color w:val="auto"/>
        </w:rPr>
      </w:pPr>
      <w:r>
        <w:rPr>
          <w:rFonts w:ascii="Times New Roman" w:cs="Times New Roman" w:eastAsia="Times New Roman" w:hAnsi="Times New Roman"/>
          <w:sz w:val="16"/>
          <w:szCs w:val="16"/>
          <w:color w:val="0000FF"/>
        </w:rPr>
        <w:t>EVP, CFO</w:t>
      </w:r>
    </w:p>
    <w:p>
      <w:pPr>
        <w:spacing w:after="0" w:line="431" w:lineRule="exact"/>
        <w:rPr>
          <w:sz w:val="24"/>
          <w:szCs w:val="24"/>
          <w:color w:val="auto"/>
        </w:rPr>
      </w:pPr>
    </w:p>
    <w:p>
      <w:pPr>
        <w:sectPr>
          <w:pgSz w:w="11900" w:h="16838" w:orient="portrait"/>
          <w:cols w:equalWidth="0" w:num="3">
            <w:col w:w="3180" w:space="720"/>
            <w:col w:w="3119" w:space="720"/>
            <w:col w:w="3341"/>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680" w:type="dxa"/>
            <w:vAlign w:val="bottom"/>
            <w:gridSpan w:val="8"/>
          </w:tcPr>
          <w:p>
            <w:pPr>
              <w:jc w:val="right"/>
              <w:ind w:right="276"/>
              <w:spacing w:after="0" w:line="107"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9"/>
          </w:tcPr>
          <w:p>
            <w:pPr>
              <w:ind w:left="300"/>
              <w:spacing w:after="0" w:line="107"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w w:val="99"/>
              </w:rPr>
              <w:t>ASHBURN</w:t>
            </w:r>
          </w:p>
        </w:tc>
        <w:tc>
          <w:tcPr>
            <w:tcW w:w="70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0000FF"/>
              </w:rPr>
              <w:t>VA</w:t>
            </w:r>
          </w:p>
        </w:tc>
        <w:tc>
          <w:tcPr>
            <w:tcW w:w="880" w:type="dxa"/>
            <w:vAlign w:val="bottom"/>
          </w:tcPr>
          <w:p>
            <w:pPr>
              <w:spacing w:after="0"/>
              <w:rPr>
                <w:sz w:val="9"/>
                <w:szCs w:val="9"/>
                <w:color w:val="auto"/>
              </w:rPr>
            </w:pPr>
          </w:p>
        </w:tc>
        <w:tc>
          <w:tcPr>
            <w:tcW w:w="12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20147</w:t>
            </w: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ind w:left="880"/>
              <w:spacing w:after="0"/>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2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05/26/2026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6"/>
                <w:szCs w:val="16"/>
                <w:color w:val="0000FF"/>
                <w:w w:val="94"/>
              </w:rPr>
              <w:t>123,477</w:t>
            </w:r>
            <w:r>
              <w:rPr>
                <w:rFonts w:ascii="Times New Roman" w:cs="Times New Roman" w:eastAsia="Times New Roman" w:hAnsi="Times New Roman"/>
                <w:sz w:val="20"/>
                <w:szCs w:val="20"/>
                <w:color w:val="008000"/>
                <w:w w:val="94"/>
                <w:vertAlign w:val="superscript"/>
              </w:rPr>
              <w:t>(1)</w:t>
            </w:r>
          </w:p>
        </w:tc>
        <w:tc>
          <w:tcPr>
            <w:tcW w:w="520" w:type="dxa"/>
            <w:vAlign w:val="bottom"/>
            <w:tcBorders>
              <w:bottom w:val="single" w:sz="8" w:color="2C2C2C"/>
            </w:tcBorders>
          </w:tcPr>
          <w:p>
            <w:pPr>
              <w:jc w:val="right"/>
              <w:ind w:right="56"/>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right"/>
              <w:ind w:right="323"/>
              <w:spacing w:after="0"/>
              <w:rPr>
                <w:sz w:val="20"/>
                <w:szCs w:val="20"/>
                <w:color w:val="auto"/>
              </w:rPr>
            </w:pPr>
            <w:r>
              <w:rPr>
                <w:rFonts w:ascii="Times New Roman" w:cs="Times New Roman" w:eastAsia="Times New Roman" w:hAnsi="Times New Roman"/>
                <w:sz w:val="16"/>
                <w:szCs w:val="16"/>
                <w:color w:val="0000FF"/>
              </w:rPr>
              <w:t>987,008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vMerge w:val="restart"/>
          </w:tcPr>
          <w:p>
            <w:pPr>
              <w:jc w:val="right"/>
              <w:ind w:right="263"/>
              <w:spacing w:after="0"/>
              <w:rPr>
                <w:sz w:val="20"/>
                <w:szCs w:val="20"/>
                <w:color w:val="auto"/>
              </w:rPr>
            </w:pPr>
            <w:r>
              <w:rPr>
                <w:rFonts w:ascii="Times New Roman" w:cs="Times New Roman" w:eastAsia="Times New Roman" w:hAnsi="Times New Roman"/>
                <w:sz w:val="16"/>
                <w:szCs w:val="16"/>
                <w:color w:val="0000FF"/>
              </w:rPr>
              <w:t>10,721.58</w:t>
            </w:r>
          </w:p>
        </w:tc>
        <w:tc>
          <w:tcPr>
            <w:tcW w:w="28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By 401k</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plan</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3"/>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80" w:type="dxa"/>
            <w:vAlign w:val="bottom"/>
            <w:gridSpan w:val="11"/>
          </w:tcPr>
          <w:p>
            <w:pPr>
              <w:ind w:left="8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20" w:type="dxa"/>
            <w:vAlign w:val="bottom"/>
          </w:tcPr>
          <w:p>
            <w:pPr>
              <w:ind w:left="2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20" w:type="dxa"/>
            <w:vAlign w:val="bottom"/>
          </w:tcPr>
          <w:p>
            <w:pPr>
              <w:ind w:left="2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or Exercise</w:t>
            </w:r>
          </w:p>
        </w:tc>
        <w:tc>
          <w:tcPr>
            <w:tcW w:w="2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220" w:type="dxa"/>
            <w:vAlign w:val="bottom"/>
          </w:tcPr>
          <w:p>
            <w:pPr>
              <w:ind w:left="2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05/26/2026</w:t>
            </w: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185,216</w:t>
            </w:r>
          </w:p>
        </w:tc>
        <w:tc>
          <w:tcPr>
            <w:tcW w:w="280" w:type="dxa"/>
            <w:vAlign w:val="bottom"/>
          </w:tcPr>
          <w:p>
            <w:pPr>
              <w:spacing w:after="0"/>
              <w:rPr>
                <w:sz w:val="19"/>
                <w:szCs w:val="19"/>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05/31/2029</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185,216</w:t>
            </w:r>
          </w:p>
        </w:tc>
        <w:tc>
          <w:tcPr>
            <w:tcW w:w="70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185,216</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Based RSUs</w:t>
            </w:r>
          </w:p>
        </w:tc>
        <w:tc>
          <w:tcPr>
            <w:tcW w:w="7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jc w:val="right"/>
              <w:ind w:right="156"/>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-1631315</wp:posOffset>
            </wp:positionV>
            <wp:extent cx="28575" cy="163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639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340" w:hanging="2"/>
        <w:spacing w:after="0" w:line="284" w:lineRule="auto"/>
        <w:tabs>
          <w:tab w:leader="none" w:pos="16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shares of common stock represent restricted share units granted pursuant to an award agreement between the reporting person and the Issuer and are subject to forfeiture. The restricted share units awarded will vest and be settled in shares of Issuer common stock in installments as follows: (1) one-third will vest on May 26, 2027; (2) one-third will vest on May 26, 2028; and (3) one-third will vest on May 26, 2029.</w:t>
      </w:r>
    </w:p>
    <w:p>
      <w:pPr>
        <w:ind w:left="40" w:right="42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RSU presents a contingent right to receive one share of Issuer common stock. The performance-based RSUs vest upon the Issuer's common stock achieving a certain Total Shareholder Return relative to certain of the Issuer's peers during the performance period of June 1, 2026 through May 31, 2029.</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Helen M. Oh,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05/27/2026</w:t>
            </w:r>
          </w:p>
        </w:tc>
        <w:tc>
          <w:tcPr>
            <w:tcW w:w="0" w:type="dxa"/>
            <w:vAlign w:val="bottom"/>
          </w:tcPr>
          <w:p>
            <w:pPr>
              <w:spacing w:after="0"/>
              <w:rPr>
                <w:sz w:val="1"/>
                <w:szCs w:val="1"/>
                <w:color w:val="auto"/>
              </w:rPr>
            </w:pPr>
          </w:p>
        </w:tc>
      </w:tr>
      <w:tr>
        <w:trPr>
          <w:trHeight w:val="85"/>
        </w:trPr>
        <w:tc>
          <w:tcPr>
            <w:tcW w:w="1900" w:type="dxa"/>
            <w:vAlign w:val="bottom"/>
            <w:tcBorders>
              <w:top w:val="single" w:sz="8" w:color="auto"/>
              <w:bottom w:val="single" w:sz="8" w:color="auto"/>
            </w:tcBorders>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900" w:type="dxa"/>
            <w:vAlign w:val="bottom"/>
            <w:gridSpan w:val="2"/>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7"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2955" TargetMode="External"/><Relationship Id="rId14" Type="http://schemas.openxmlformats.org/officeDocument/2006/relationships/hyperlink" Target="http://www.sec.gov/cgi-bin/browse-edgar?action=getcompany&amp;CIK=0000320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2026-05-27T17:43:18Z</dcterms:created>
  <dcterms:modified xsi:type="dcterms:W3CDTF">2026-05-27T17:43:18Z</dcterms:modified>
</cp:coreProperties>
</file>