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10-K</w:t>
      </w:r>
    </w:p>
    <w:p>
      <w:pPr>
        <w:spacing w:after="0" w:line="33" w:lineRule="exact"/>
        <w:rPr>
          <w:sz w:val="24"/>
          <w:szCs w:val="24"/>
          <w:color w:val="auto"/>
        </w:rPr>
      </w:pPr>
    </w:p>
    <w:p>
      <w:pPr>
        <w:ind w:left="1300"/>
        <w:spacing w:after="0" w:line="242" w:lineRule="exact"/>
        <w:rPr>
          <w:sz w:val="20"/>
          <w:szCs w:val="20"/>
          <w:color w:val="auto"/>
        </w:rPr>
      </w:pPr>
      <w:r>
        <w:rPr>
          <w:rFonts w:ascii="Arial Unicode MS" w:cs="Arial Unicode MS" w:eastAsia="Arial Unicode MS" w:hAnsi="Arial Unicode MS"/>
          <w:sz w:val="18"/>
          <w:szCs w:val="18"/>
          <w:color w:val="auto"/>
          <w:highlight w:val="black"/>
        </w:rPr>
        <w:t>☒</w:t>
      </w:r>
      <w:r>
        <w:rPr>
          <w:rFonts w:ascii="Arial" w:cs="Arial" w:eastAsia="Arial" w:hAnsi="Arial"/>
          <w:sz w:val="18"/>
          <w:szCs w:val="18"/>
          <w:b w:val="1"/>
          <w:bCs w:val="1"/>
          <w:color w:val="auto"/>
        </w:rPr>
        <w:t>ANNUAL REPORT PURSUANT TO SECTION 13 OR 15(d) THE SECURITIES EXCHANGE ACT OF 1934</w:t>
      </w:r>
    </w:p>
    <w:p>
      <w:pPr>
        <w:spacing w:after="0" w:line="29"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8" w:lineRule="exact"/>
        <w:rPr>
          <w:sz w:val="24"/>
          <w:szCs w:val="24"/>
          <w:color w:val="auto"/>
        </w:rPr>
      </w:pPr>
    </w:p>
    <w:p>
      <w:pPr>
        <w:jc w:val="center"/>
        <w:ind w:left="4240" w:right="900" w:hanging="3174"/>
        <w:spacing w:after="0" w:line="231" w:lineRule="auto"/>
        <w:tabs>
          <w:tab w:leader="none" w:pos="1276" w:val="left"/>
        </w:tabs>
        <w:numPr>
          <w:ilvl w:val="0"/>
          <w:numId w:val="1"/>
        </w:numPr>
        <w:rPr>
          <w:rFonts w:ascii="Arial" w:cs="Arial" w:eastAsia="Arial" w:hAnsi="Arial"/>
          <w:sz w:val="18"/>
          <w:szCs w:val="18"/>
          <w:color w:val="auto"/>
          <w:highlight w:val="black"/>
        </w:rPr>
      </w:pPr>
      <w:r>
        <w:rPr>
          <w:rFonts w:ascii="Arial" w:cs="Arial" w:eastAsia="Arial" w:hAnsi="Arial"/>
          <w:sz w:val="18"/>
          <w:szCs w:val="18"/>
          <w:b w:val="1"/>
          <w:bCs w:val="1"/>
          <w:color w:val="auto"/>
        </w:rPr>
        <w:t>TRANSITION REPORT PURSUANT TO SECTION 13 OR 15 (d) THE SECURITIES EXCHANGE ACT OF 1934 Commission file number: 001-08443</w:t>
      </w:r>
    </w:p>
    <w:p>
      <w:pPr>
        <w:jc w:val="center"/>
        <w:ind w:right="-179"/>
        <w:spacing w:after="0" w:line="237" w:lineRule="auto"/>
        <w:rPr>
          <w:sz w:val="20"/>
          <w:szCs w:val="20"/>
          <w:color w:val="auto"/>
        </w:rPr>
      </w:pPr>
      <w:r>
        <w:rPr>
          <w:rFonts w:ascii="Arial" w:cs="Arial" w:eastAsia="Arial" w:hAnsi="Arial"/>
          <w:sz w:val="32"/>
          <w:szCs w:val="32"/>
          <w:b w:val="1"/>
          <w:bCs w:val="1"/>
          <w:color w:val="auto"/>
        </w:rPr>
        <w:t>TELOS CORPORATION</w:t>
      </w:r>
    </w:p>
    <w:p>
      <w:pPr>
        <w:jc w:val="center"/>
        <w:ind w:right="-179"/>
        <w:spacing w:after="0"/>
        <w:rPr>
          <w:sz w:val="20"/>
          <w:szCs w:val="20"/>
          <w:color w:val="auto"/>
        </w:rPr>
      </w:pPr>
      <w:r>
        <w:rPr>
          <w:rFonts w:ascii="Arial" w:cs="Arial" w:eastAsia="Arial" w:hAnsi="Arial"/>
          <w:sz w:val="14"/>
          <w:szCs w:val="14"/>
          <w:color w:val="auto"/>
        </w:rPr>
        <w:t>(Exact name of registrant as specified in its charter)</w:t>
      </w:r>
    </w:p>
    <w:p>
      <w:pPr>
        <w:spacing w:after="0" w:line="219" w:lineRule="exact"/>
        <w:rPr>
          <w:sz w:val="24"/>
          <w:szCs w:val="24"/>
          <w:color w:val="auto"/>
        </w:rPr>
      </w:pPr>
    </w:p>
    <w:tbl>
      <w:tblPr>
        <w:tblLayout w:type="fixed"/>
        <w:tblInd w:w="980" w:type="dxa"/>
        <w:tblCellMar>
          <w:top w:w="0" w:type="dxa"/>
          <w:left w:w="0" w:type="dxa"/>
          <w:bottom w:w="0" w:type="dxa"/>
          <w:right w:w="0" w:type="dxa"/>
        </w:tblCellMar>
      </w:tblPr>
      <w:tr>
        <w:trPr>
          <w:trHeight w:val="220"/>
        </w:trPr>
        <w:tc>
          <w:tcPr>
            <w:tcW w:w="5360" w:type="dxa"/>
            <w:vAlign w:val="bottom"/>
          </w:tcPr>
          <w:p>
            <w:pPr>
              <w:jc w:val="center"/>
              <w:ind w:right="995"/>
              <w:spacing w:after="0"/>
              <w:rPr>
                <w:sz w:val="20"/>
                <w:szCs w:val="20"/>
                <w:color w:val="auto"/>
              </w:rPr>
            </w:pPr>
            <w:r>
              <w:rPr>
                <w:rFonts w:ascii="Arial" w:cs="Arial" w:eastAsia="Arial" w:hAnsi="Arial"/>
                <w:sz w:val="18"/>
                <w:szCs w:val="18"/>
                <w:b w:val="1"/>
                <w:bCs w:val="1"/>
                <w:color w:val="auto"/>
                <w:w w:val="96"/>
              </w:rPr>
              <w:t>Maryland</w:t>
            </w:r>
          </w:p>
        </w:tc>
        <w:tc>
          <w:tcPr>
            <w:tcW w:w="3700" w:type="dxa"/>
            <w:vAlign w:val="bottom"/>
          </w:tcPr>
          <w:p>
            <w:pPr>
              <w:jc w:val="center"/>
              <w:ind w:left="1015"/>
              <w:spacing w:after="0"/>
              <w:rPr>
                <w:sz w:val="20"/>
                <w:szCs w:val="20"/>
                <w:color w:val="auto"/>
              </w:rPr>
            </w:pPr>
            <w:r>
              <w:rPr>
                <w:rFonts w:ascii="Arial" w:cs="Arial" w:eastAsia="Arial" w:hAnsi="Arial"/>
                <w:sz w:val="18"/>
                <w:szCs w:val="18"/>
                <w:b w:val="1"/>
                <w:bCs w:val="1"/>
                <w:color w:val="auto"/>
                <w:w w:val="91"/>
              </w:rPr>
              <w:t>52-0880974</w:t>
            </w:r>
          </w:p>
        </w:tc>
      </w:tr>
      <w:tr>
        <w:trPr>
          <w:trHeight w:val="212"/>
        </w:trPr>
        <w:tc>
          <w:tcPr>
            <w:tcW w:w="5360" w:type="dxa"/>
            <w:vAlign w:val="bottom"/>
          </w:tcPr>
          <w:p>
            <w:pPr>
              <w:jc w:val="center"/>
              <w:ind w:right="995"/>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00" w:type="dxa"/>
            <w:vAlign w:val="bottom"/>
          </w:tcPr>
          <w:p>
            <w:pPr>
              <w:jc w:val="center"/>
              <w:ind w:left="995"/>
              <w:spacing w:after="0"/>
              <w:rPr>
                <w:sz w:val="20"/>
                <w:szCs w:val="20"/>
                <w:color w:val="auto"/>
              </w:rPr>
            </w:pPr>
            <w:r>
              <w:rPr>
                <w:rFonts w:ascii="Arial" w:cs="Arial" w:eastAsia="Arial" w:hAnsi="Arial"/>
                <w:sz w:val="18"/>
                <w:szCs w:val="18"/>
                <w:color w:val="auto"/>
                <w:w w:val="94"/>
              </w:rPr>
              <w:t>(I.R.S. Employer Identification No.)</w:t>
            </w:r>
          </w:p>
        </w:tc>
      </w:tr>
      <w:tr>
        <w:trPr>
          <w:trHeight w:val="216"/>
        </w:trPr>
        <w:tc>
          <w:tcPr>
            <w:tcW w:w="5360" w:type="dxa"/>
            <w:vAlign w:val="bottom"/>
          </w:tcPr>
          <w:p>
            <w:pPr>
              <w:jc w:val="center"/>
              <w:ind w:right="995"/>
              <w:spacing w:after="0"/>
              <w:rPr>
                <w:sz w:val="20"/>
                <w:szCs w:val="20"/>
                <w:color w:val="auto"/>
              </w:rPr>
            </w:pPr>
            <w:r>
              <w:rPr>
                <w:rFonts w:ascii="Arial" w:cs="Arial" w:eastAsia="Arial" w:hAnsi="Arial"/>
                <w:sz w:val="18"/>
                <w:szCs w:val="18"/>
                <w:b w:val="1"/>
                <w:bCs w:val="1"/>
                <w:color w:val="auto"/>
                <w:w w:val="91"/>
              </w:rPr>
              <w:t>19886 Ashburn Road, Ashburn, Virginia</w:t>
            </w:r>
          </w:p>
        </w:tc>
        <w:tc>
          <w:tcPr>
            <w:tcW w:w="3700" w:type="dxa"/>
            <w:vAlign w:val="bottom"/>
          </w:tcPr>
          <w:p>
            <w:pPr>
              <w:jc w:val="center"/>
              <w:ind w:left="1015"/>
              <w:spacing w:after="0"/>
              <w:rPr>
                <w:sz w:val="20"/>
                <w:szCs w:val="20"/>
                <w:color w:val="auto"/>
              </w:rPr>
            </w:pPr>
            <w:r>
              <w:rPr>
                <w:rFonts w:ascii="Arial" w:cs="Arial" w:eastAsia="Arial" w:hAnsi="Arial"/>
                <w:sz w:val="18"/>
                <w:szCs w:val="18"/>
                <w:b w:val="1"/>
                <w:bCs w:val="1"/>
                <w:color w:val="auto"/>
                <w:w w:val="91"/>
              </w:rPr>
              <w:t>20147-2358</w:t>
            </w:r>
          </w:p>
        </w:tc>
      </w:tr>
      <w:tr>
        <w:trPr>
          <w:trHeight w:val="182"/>
        </w:trPr>
        <w:tc>
          <w:tcPr>
            <w:tcW w:w="5360" w:type="dxa"/>
            <w:vAlign w:val="bottom"/>
          </w:tcPr>
          <w:p>
            <w:pPr>
              <w:jc w:val="center"/>
              <w:ind w:right="995"/>
              <w:spacing w:after="0"/>
              <w:rPr>
                <w:sz w:val="20"/>
                <w:szCs w:val="20"/>
                <w:color w:val="auto"/>
              </w:rPr>
            </w:pPr>
            <w:r>
              <w:rPr>
                <w:rFonts w:ascii="Arial" w:cs="Arial" w:eastAsia="Arial" w:hAnsi="Arial"/>
                <w:sz w:val="14"/>
                <w:szCs w:val="14"/>
                <w:color w:val="auto"/>
                <w:w w:val="95"/>
              </w:rPr>
              <w:t>(Address of principal executive offices)</w:t>
            </w:r>
          </w:p>
        </w:tc>
        <w:tc>
          <w:tcPr>
            <w:tcW w:w="3700" w:type="dxa"/>
            <w:vAlign w:val="bottom"/>
          </w:tcPr>
          <w:p>
            <w:pPr>
              <w:jc w:val="center"/>
              <w:ind w:left="1015"/>
              <w:spacing w:after="0"/>
              <w:rPr>
                <w:sz w:val="20"/>
                <w:szCs w:val="20"/>
                <w:color w:val="auto"/>
              </w:rPr>
            </w:pPr>
            <w:r>
              <w:rPr>
                <w:rFonts w:ascii="Arial" w:cs="Arial" w:eastAsia="Arial" w:hAnsi="Arial"/>
                <w:sz w:val="14"/>
                <w:szCs w:val="14"/>
                <w:color w:val="auto"/>
                <w:w w:val="96"/>
              </w:rPr>
              <w:t>(Zip Code)</w:t>
            </w:r>
          </w:p>
        </w:tc>
      </w:tr>
    </w:tbl>
    <w:p>
      <w:pPr>
        <w:spacing w:after="0" w:line="21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(703) 724-3800</w:t>
      </w:r>
    </w:p>
    <w:p>
      <w:pPr>
        <w:spacing w:after="0" w:line="25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 w:lineRule="exact"/>
        <w:rPr>
          <w:sz w:val="24"/>
          <w:szCs w:val="24"/>
          <w:color w:val="auto"/>
        </w:rPr>
      </w:pPr>
    </w:p>
    <w:p>
      <w:pPr>
        <w:ind w:left="1460"/>
        <w:spacing w:after="0"/>
        <w:tabs>
          <w:tab w:leader="none" w:pos="5320" w:val="left"/>
          <w:tab w:leader="none" w:pos="8060" w:val="left"/>
        </w:tabs>
        <w:rPr>
          <w:sz w:val="20"/>
          <w:szCs w:val="20"/>
          <w:color w:val="auto"/>
        </w:rPr>
      </w:pPr>
      <w:r>
        <w:rPr>
          <w:rFonts w:ascii="Arial" w:cs="Arial" w:eastAsia="Arial" w:hAnsi="Arial"/>
          <w:sz w:val="14"/>
          <w:szCs w:val="14"/>
          <w:color w:val="auto"/>
        </w:rPr>
        <w:t>Title of each class</w:t>
      </w:r>
      <w:r>
        <w:rPr>
          <w:sz w:val="20"/>
          <w:szCs w:val="20"/>
          <w:color w:val="auto"/>
        </w:rPr>
        <w:tab/>
      </w:r>
      <w:r>
        <w:rPr>
          <w:rFonts w:ascii="Arial" w:cs="Arial" w:eastAsia="Arial" w:hAnsi="Arial"/>
          <w:sz w:val="14"/>
          <w:szCs w:val="14"/>
          <w:color w:val="auto"/>
        </w:rPr>
        <w:t>Trading symbol</w:t>
      </w:r>
      <w:r>
        <w:rPr>
          <w:sz w:val="20"/>
          <w:szCs w:val="20"/>
          <w:color w:val="auto"/>
        </w:rPr>
        <w:tab/>
      </w:r>
      <w:r>
        <w:rPr>
          <w:rFonts w:ascii="Arial" w:cs="Arial" w:eastAsia="Arial" w:hAnsi="Arial"/>
          <w:sz w:val="12"/>
          <w:szCs w:val="12"/>
          <w:color w:val="auto"/>
        </w:rPr>
        <w:t>Name of each exchange on which registered</w:t>
      </w:r>
    </w:p>
    <w:p>
      <w:pPr>
        <w:ind w:left="740"/>
        <w:spacing w:after="0"/>
        <w:tabs>
          <w:tab w:leader="none" w:pos="5660" w:val="left"/>
          <w:tab w:leader="none" w:pos="8440" w:val="left"/>
        </w:tabs>
        <w:rPr>
          <w:sz w:val="20"/>
          <w:szCs w:val="20"/>
          <w:color w:val="auto"/>
        </w:rPr>
      </w:pPr>
      <w:r>
        <w:rPr>
          <w:rFonts w:ascii="Arial" w:cs="Arial" w:eastAsia="Arial" w:hAnsi="Arial"/>
          <w:sz w:val="14"/>
          <w:szCs w:val="14"/>
          <w:color w:val="auto"/>
        </w:rPr>
        <w:t>Common stock, $0.001 par value per share</w:t>
      </w:r>
      <w:r>
        <w:rPr>
          <w:sz w:val="20"/>
          <w:szCs w:val="20"/>
          <w:color w:val="auto"/>
        </w:rPr>
        <w:tab/>
      </w:r>
      <w:r>
        <w:rPr>
          <w:rFonts w:ascii="Arial" w:cs="Arial" w:eastAsia="Arial" w:hAnsi="Arial"/>
          <w:sz w:val="14"/>
          <w:szCs w:val="14"/>
          <w:color w:val="auto"/>
        </w:rPr>
        <w:t>TLS</w:t>
      </w:r>
      <w:r>
        <w:rPr>
          <w:sz w:val="20"/>
          <w:szCs w:val="20"/>
          <w:color w:val="auto"/>
        </w:rPr>
        <w:tab/>
      </w:r>
      <w:r>
        <w:rPr>
          <w:rFonts w:ascii="Arial" w:cs="Arial" w:eastAsia="Arial" w:hAnsi="Arial"/>
          <w:sz w:val="13"/>
          <w:szCs w:val="13"/>
          <w:color w:val="auto"/>
        </w:rPr>
        <w:t>The Nasdaq Stock Market LLC</w:t>
      </w:r>
    </w:p>
    <w:p>
      <w:pPr>
        <w:spacing w:after="0" w:line="2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None</w:t>
      </w:r>
    </w:p>
    <w:p>
      <w:pPr>
        <w:spacing w:after="0" w:line="205" w:lineRule="exact"/>
        <w:rPr>
          <w:sz w:val="24"/>
          <w:szCs w:val="24"/>
          <w:color w:val="auto"/>
        </w:rPr>
      </w:pPr>
    </w:p>
    <w:p>
      <w:pPr>
        <w:spacing w:after="0" w:line="242" w:lineRule="exact"/>
        <w:tabs>
          <w:tab w:leader="none" w:pos="9180" w:val="left"/>
        </w:tabs>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7"/>
          <w:szCs w:val="17"/>
          <w:color w:val="auto"/>
        </w:rPr>
        <w:t>☒</w:t>
      </w:r>
      <w:r>
        <w:rPr>
          <w:sz w:val="20"/>
          <w:szCs w:val="20"/>
          <w:color w:val="auto"/>
        </w:rPr>
        <w:tab/>
      </w:r>
      <w:r>
        <w:rPr>
          <w:rFonts w:ascii="Arial" w:cs="Arial" w:eastAsia="Arial" w:hAnsi="Arial"/>
          <w:sz w:val="18"/>
          <w:szCs w:val="18"/>
          <w:color w:val="auto"/>
        </w:rPr>
        <w:t xml:space="preserve">No  </w:t>
      </w:r>
      <w:r>
        <w:rPr>
          <w:rFonts w:ascii="Arial Unicode MS" w:cs="Arial Unicode MS" w:eastAsia="Arial Unicode MS" w:hAnsi="Arial Unicode MS"/>
          <w:sz w:val="18"/>
          <w:szCs w:val="18"/>
          <w:color w:val="auto"/>
        </w:rPr>
        <w:t>☐</w:t>
      </w:r>
    </w:p>
    <w:p>
      <w:pPr>
        <w:spacing w:after="0" w:line="191" w:lineRule="exact"/>
        <w:rPr>
          <w:sz w:val="24"/>
          <w:szCs w:val="24"/>
          <w:color w:val="auto"/>
        </w:rPr>
      </w:pPr>
    </w:p>
    <w:p>
      <w:pPr>
        <w:spacing w:after="0" w:line="242" w:lineRule="exact"/>
        <w:tabs>
          <w:tab w:leader="none" w:pos="9340" w:val="left"/>
        </w:tabs>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7"/>
          <w:szCs w:val="17"/>
          <w:color w:val="auto"/>
        </w:rPr>
        <w:t>☐</w:t>
      </w:r>
      <w:r>
        <w:rPr>
          <w:sz w:val="20"/>
          <w:szCs w:val="20"/>
          <w:color w:val="auto"/>
        </w:rPr>
        <w:tab/>
      </w:r>
      <w:r>
        <w:rPr>
          <w:rFonts w:ascii="Arial" w:cs="Arial" w:eastAsia="Arial" w:hAnsi="Arial"/>
          <w:sz w:val="18"/>
          <w:szCs w:val="18"/>
          <w:color w:val="auto"/>
        </w:rPr>
        <w:t xml:space="preserve">No </w:t>
      </w:r>
      <w:r>
        <w:rPr>
          <w:rFonts w:ascii="Arial Unicode MS" w:cs="Arial Unicode MS" w:eastAsia="Arial Unicode MS" w:hAnsi="Arial Unicode MS"/>
          <w:sz w:val="18"/>
          <w:szCs w:val="18"/>
          <w:color w:val="auto"/>
        </w:rPr>
        <w:t>☒</w:t>
      </w:r>
    </w:p>
    <w:p>
      <w:pPr>
        <w:spacing w:after="0" w:line="250" w:lineRule="exact"/>
        <w:rPr>
          <w:sz w:val="24"/>
          <w:szCs w:val="24"/>
          <w:color w:val="auto"/>
        </w:rPr>
      </w:pPr>
    </w:p>
    <w:p>
      <w:pPr>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84" w:lineRule="exact"/>
        <w:rPr>
          <w:sz w:val="24"/>
          <w:szCs w:val="24"/>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11"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6" w:lineRule="exact"/>
        <w:rPr>
          <w:sz w:val="24"/>
          <w:szCs w:val="24"/>
          <w:color w:val="auto"/>
        </w:rPr>
      </w:pPr>
    </w:p>
    <w:tbl>
      <w:tblPr>
        <w:tblLayout w:type="fixed"/>
        <w:tblInd w:w="340" w:type="dxa"/>
        <w:tblCellMar>
          <w:top w:w="0" w:type="dxa"/>
          <w:left w:w="0" w:type="dxa"/>
          <w:bottom w:w="0" w:type="dxa"/>
          <w:right w:w="0" w:type="dxa"/>
        </w:tblCellMar>
      </w:tblPr>
      <w:tr>
        <w:trPr>
          <w:trHeight w:val="241"/>
        </w:trPr>
        <w:tc>
          <w:tcPr>
            <w:tcW w:w="1680" w:type="dxa"/>
            <w:vAlign w:val="bottom"/>
          </w:tcPr>
          <w:p>
            <w:pPr>
              <w:spacing w:after="0"/>
              <w:rPr>
                <w:sz w:val="20"/>
                <w:szCs w:val="20"/>
                <w:color w:val="auto"/>
              </w:rPr>
            </w:pPr>
            <w:r>
              <w:rPr>
                <w:rFonts w:ascii="Arial" w:cs="Arial" w:eastAsia="Arial" w:hAnsi="Arial"/>
                <w:sz w:val="18"/>
                <w:szCs w:val="18"/>
                <w:color w:val="auto"/>
                <w:w w:val="93"/>
              </w:rPr>
              <w:t>Large accelerated filer</w:t>
            </w:r>
          </w:p>
        </w:tc>
        <w:tc>
          <w:tcPr>
            <w:tcW w:w="2560" w:type="dxa"/>
            <w:vAlign w:val="bottom"/>
          </w:tcPr>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30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9"/>
              </w:rPr>
              <w:t>Non-accelerated filer</w:t>
            </w:r>
          </w:p>
        </w:tc>
        <w:tc>
          <w:tcPr>
            <w:tcW w:w="2560" w:type="dxa"/>
            <w:vAlign w:val="bottom"/>
          </w:tcPr>
          <w:p>
            <w:pPr>
              <w:ind w:left="10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4300" w:type="dxa"/>
            <w:vAlign w:val="bottom"/>
          </w:tcPr>
          <w:p>
            <w:pPr>
              <w:ind w:left="2260"/>
              <w:spacing w:after="0"/>
              <w:rPr>
                <w:sz w:val="20"/>
                <w:szCs w:val="20"/>
                <w:color w:val="auto"/>
              </w:rPr>
            </w:pPr>
            <w:r>
              <w:rPr>
                <w:rFonts w:ascii="Arial" w:cs="Arial" w:eastAsia="Arial" w:hAnsi="Arial"/>
                <w:sz w:val="18"/>
                <w:szCs w:val="18"/>
                <w:color w:val="auto"/>
                <w:w w:val="93"/>
              </w:rPr>
              <w:t>Smaller reporting company</w:t>
            </w:r>
          </w:p>
        </w:tc>
        <w:tc>
          <w:tcPr>
            <w:tcW w:w="260" w:type="dxa"/>
            <w:vAlign w:val="bottom"/>
          </w:tcPr>
          <w:p>
            <w:pPr>
              <w:ind w:left="60"/>
              <w:spacing w:after="0" w:line="216" w:lineRule="exact"/>
              <w:rPr>
                <w:sz w:val="20"/>
                <w:szCs w:val="20"/>
                <w:color w:val="auto"/>
              </w:rPr>
            </w:pPr>
            <w:r>
              <w:rPr>
                <w:rFonts w:ascii="Arial Unicode MS" w:cs="Arial Unicode MS" w:eastAsia="Arial Unicode MS" w:hAnsi="Arial Unicode MS"/>
                <w:sz w:val="18"/>
                <w:szCs w:val="18"/>
                <w:color w:val="auto"/>
              </w:rPr>
              <w:t>☐</w:t>
            </w:r>
          </w:p>
        </w:tc>
      </w:tr>
      <w:tr>
        <w:trPr>
          <w:trHeight w:val="265"/>
        </w:trPr>
        <w:tc>
          <w:tcPr>
            <w:tcW w:w="16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4300" w:type="dxa"/>
            <w:vAlign w:val="bottom"/>
          </w:tcPr>
          <w:p>
            <w:pPr>
              <w:ind w:left="2260"/>
              <w:spacing w:after="0"/>
              <w:rPr>
                <w:sz w:val="20"/>
                <w:szCs w:val="20"/>
                <w:color w:val="auto"/>
              </w:rPr>
            </w:pPr>
            <w:r>
              <w:rPr>
                <w:rFonts w:ascii="Arial" w:cs="Arial" w:eastAsia="Arial" w:hAnsi="Arial"/>
                <w:sz w:val="18"/>
                <w:szCs w:val="18"/>
                <w:color w:val="auto"/>
                <w:w w:val="94"/>
              </w:rPr>
              <w:t>Emerging growth company</w:t>
            </w:r>
          </w:p>
        </w:tc>
        <w:tc>
          <w:tcPr>
            <w:tcW w:w="260" w:type="dxa"/>
            <w:vAlign w:val="bottom"/>
          </w:tcPr>
          <w:p>
            <w:pPr>
              <w:ind w:left="60"/>
              <w:spacing w:after="0" w:line="242" w:lineRule="exact"/>
              <w:rPr>
                <w:sz w:val="20"/>
                <w:szCs w:val="20"/>
                <w:color w:val="auto"/>
              </w:rPr>
            </w:pPr>
            <w:r>
              <w:rPr>
                <w:rFonts w:ascii="Arial Unicode MS" w:cs="Arial Unicode MS" w:eastAsia="Arial Unicode MS" w:hAnsi="Arial Unicode MS"/>
                <w:sz w:val="18"/>
                <w:szCs w:val="18"/>
                <w:color w:val="auto"/>
                <w:w w:val="99"/>
              </w:rPr>
              <w:t>⌧</w:t>
            </w:r>
          </w:p>
        </w:tc>
      </w:tr>
    </w:tbl>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76" w:lineRule="exact"/>
        <w:rPr>
          <w:sz w:val="24"/>
          <w:szCs w:val="24"/>
          <w:color w:val="auto"/>
        </w:rPr>
      </w:pPr>
    </w:p>
    <w:p>
      <w:pPr>
        <w:spacing w:after="0" w:line="242"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Arial Unicode MS" w:cs="Arial Unicode MS" w:eastAsia="Arial Unicode MS" w:hAnsi="Arial Unicode MS"/>
          <w:sz w:val="17"/>
          <w:szCs w:val="17"/>
          <w:color w:val="auto"/>
        </w:rPr>
        <w:t>☐</w:t>
      </w:r>
      <w:r>
        <w:rPr>
          <w:sz w:val="20"/>
          <w:szCs w:val="20"/>
          <w:color w:val="auto"/>
        </w:rPr>
        <w:tab/>
      </w:r>
      <w:r>
        <w:rPr>
          <w:rFonts w:ascii="Arial" w:cs="Arial" w:eastAsia="Arial" w:hAnsi="Arial"/>
          <w:sz w:val="18"/>
          <w:szCs w:val="18"/>
          <w:color w:val="auto"/>
        </w:rPr>
        <w:t xml:space="preserve">No </w:t>
      </w:r>
      <w:r>
        <w:rPr>
          <w:rFonts w:ascii="Arial Unicode MS" w:cs="Arial Unicode MS" w:eastAsia="Arial Unicode MS" w:hAnsi="Arial Unicode MS"/>
          <w:sz w:val="18"/>
          <w:szCs w:val="18"/>
          <w:color w:val="auto"/>
        </w:rPr>
        <w:t>☒</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the registrant’s common stock held by non-affiliates of the registrant as of June 30, 2020: Not applicable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As of March 15, 2021, the registrant had outstanding 64,625,071 shares of common stock.</w:t>
      </w:r>
    </w:p>
    <w:p>
      <w:pPr>
        <w:spacing w:after="0" w:line="248" w:lineRule="exact"/>
        <w:rPr>
          <w:sz w:val="24"/>
          <w:szCs w:val="24"/>
          <w:color w:val="auto"/>
        </w:rPr>
      </w:pPr>
    </w:p>
    <w:p>
      <w:pPr>
        <w:ind w:left="2760"/>
        <w:spacing w:after="0"/>
        <w:rPr>
          <w:sz w:val="20"/>
          <w:szCs w:val="20"/>
          <w:color w:val="auto"/>
        </w:rPr>
      </w:pPr>
      <w:r>
        <w:rPr>
          <w:rFonts w:ascii="Arial" w:cs="Arial" w:eastAsia="Arial" w:hAnsi="Arial"/>
          <w:sz w:val="18"/>
          <w:szCs w:val="18"/>
          <w:b w:val="1"/>
          <w:bCs w:val="1"/>
          <w:color w:val="auto"/>
        </w:rPr>
        <w:t>DOCUMENTS INCORPORATED BY REFERENCE</w:t>
      </w:r>
      <w:r>
        <w:rPr>
          <w:rFonts w:ascii="Arial" w:cs="Arial" w:eastAsia="Arial" w:hAnsi="Arial"/>
          <w:sz w:val="18"/>
          <w:szCs w:val="18"/>
          <w:color w:val="auto"/>
        </w:rPr>
        <w:t>:</w:t>
      </w:r>
    </w:p>
    <w:p>
      <w:pPr>
        <w:spacing w:after="0" w:line="256"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Certain of the information required in Part III of this Form 10-K is incorporated by reference to the Registrant's definitive proxy statement to be filed for the Annual Meeting of Stockholders to be held on May 25, 2021.</w:t>
      </w:r>
    </w:p>
    <w:p>
      <w:pPr>
        <w:sectPr>
          <w:pgSz w:w="11900" w:h="16838" w:orient="portrait"/>
          <w:cols w:equalWidth="0" w:num="1">
            <w:col w:w="11080"/>
          </w:cols>
          <w:pgMar w:left="320" w:top="949" w:right="499" w:bottom="1440" w:gutter="0" w:footer="0" w:header="0"/>
        </w:sectPr>
      </w:pPr>
    </w:p>
    <w:p>
      <w:pPr>
        <w:spacing w:after="0" w:line="341"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49" w:right="4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20" w:type="dxa"/>
            <w:vAlign w:val="bottom"/>
            <w:gridSpan w:val="9"/>
          </w:tcPr>
          <w:p>
            <w:pPr>
              <w:jc w:val="center"/>
              <w:ind w:right="302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gridSpan w:val="4"/>
          </w:tcPr>
          <w:p>
            <w:pPr>
              <w:ind w:left="7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53"/>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000" w:type="dxa"/>
            <w:vAlign w:val="bottom"/>
            <w:gridSpan w:val="23"/>
            <w:shd w:val="clear" w:color="auto" w:fill="CCEEFF"/>
          </w:tcPr>
          <w:p>
            <w:pPr>
              <w:ind w:left="2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3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000" w:type="dxa"/>
            <w:vAlign w:val="bottom"/>
            <w:gridSpan w:val="23"/>
          </w:tcPr>
          <w:p>
            <w:pPr>
              <w:ind w:left="22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13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1Item 1B.</w:t>
            </w:r>
          </w:p>
        </w:tc>
        <w:tc>
          <w:tcPr>
            <w:tcW w:w="9000" w:type="dxa"/>
            <w:vAlign w:val="bottom"/>
            <w:gridSpan w:val="23"/>
            <w:shd w:val="clear" w:color="auto" w:fill="CCEEFF"/>
          </w:tcPr>
          <w:p>
            <w:pPr>
              <w:ind w:left="2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13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000" w:type="dxa"/>
            <w:vAlign w:val="bottom"/>
            <w:gridSpan w:val="23"/>
          </w:tcPr>
          <w:p>
            <w:pPr>
              <w:ind w:left="2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13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000" w:type="dxa"/>
            <w:vAlign w:val="bottom"/>
            <w:gridSpan w:val="23"/>
            <w:shd w:val="clear" w:color="auto" w:fill="CCEEFF"/>
          </w:tcPr>
          <w:p>
            <w:pPr>
              <w:ind w:left="2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13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000" w:type="dxa"/>
            <w:vAlign w:val="bottom"/>
            <w:gridSpan w:val="23"/>
          </w:tcPr>
          <w:p>
            <w:pPr>
              <w:ind w:left="2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13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000" w:type="dxa"/>
            <w:vAlign w:val="bottom"/>
            <w:gridSpan w:val="23"/>
          </w:tcPr>
          <w:p>
            <w:pPr>
              <w:ind w:left="220"/>
              <w:spacing w:after="0" w:line="176" w:lineRule="exact"/>
              <w:rPr>
                <w:rFonts w:ascii="Arial" w:cs="Arial" w:eastAsia="Arial" w:hAnsi="Arial"/>
                <w:sz w:val="18"/>
                <w:szCs w:val="18"/>
                <w:color w:val="0000EE"/>
                <w:w w:val="98"/>
              </w:rPr>
            </w:pPr>
            <w:hyperlink w:anchor="page26">
              <w:r>
                <w:rPr>
                  <w:rFonts w:ascii="Arial" w:cs="Arial" w:eastAsia="Arial" w:hAnsi="Arial"/>
                  <w:sz w:val="18"/>
                  <w:szCs w:val="18"/>
                  <w:color w:val="0000EE"/>
                  <w:w w:val="98"/>
                </w:rPr>
                <w:t>Market for Registrant’s Common Equity, Related Stockholder Matters and Issuer Purchases of Equity Securities</w:t>
              </w:r>
            </w:hyperlink>
          </w:p>
        </w:tc>
        <w:tc>
          <w:tcPr>
            <w:tcW w:w="13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000" w:type="dxa"/>
            <w:vAlign w:val="bottom"/>
            <w:gridSpan w:val="23"/>
            <w:shd w:val="clear" w:color="auto" w:fill="CCEEFF"/>
          </w:tcPr>
          <w:p>
            <w:pPr>
              <w:ind w:left="2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13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9000" w:type="dxa"/>
            <w:vAlign w:val="bottom"/>
            <w:gridSpan w:val="23"/>
          </w:tcPr>
          <w:p>
            <w:pPr>
              <w:ind w:left="2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13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9000" w:type="dxa"/>
            <w:vAlign w:val="bottom"/>
            <w:gridSpan w:val="23"/>
            <w:shd w:val="clear" w:color="auto" w:fill="CCEEFF"/>
          </w:tcPr>
          <w:p>
            <w:pPr>
              <w:ind w:left="22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13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tcPr>
          <w:p>
            <w:pPr>
              <w:spacing w:after="0" w:line="176" w:lineRule="exact"/>
              <w:rPr>
                <w:sz w:val="20"/>
                <w:szCs w:val="20"/>
                <w:color w:val="auto"/>
              </w:rPr>
            </w:pPr>
            <w:r>
              <w:rPr>
                <w:rFonts w:ascii="Arial" w:cs="Arial" w:eastAsia="Arial" w:hAnsi="Arial"/>
                <w:sz w:val="18"/>
                <w:szCs w:val="18"/>
                <w:color w:val="auto"/>
              </w:rPr>
              <w:t>Item 8.</w:t>
            </w:r>
          </w:p>
        </w:tc>
        <w:tc>
          <w:tcPr>
            <w:tcW w:w="9000" w:type="dxa"/>
            <w:vAlign w:val="bottom"/>
            <w:gridSpan w:val="23"/>
          </w:tcPr>
          <w:p>
            <w:pPr>
              <w:ind w:left="22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Financial Statements and Supplementary Data</w:t>
              </w:r>
            </w:hyperlink>
          </w:p>
        </w:tc>
        <w:tc>
          <w:tcPr>
            <w:tcW w:w="13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9000" w:type="dxa"/>
            <w:vAlign w:val="bottom"/>
            <w:gridSpan w:val="23"/>
            <w:shd w:val="clear" w:color="auto" w:fill="CCEEFF"/>
          </w:tcPr>
          <w:p>
            <w:pPr>
              <w:ind w:left="22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Changes in and Disagreements with Accountants on Accounting and Financial Disclosure</w:t>
              </w:r>
            </w:hyperlink>
          </w:p>
        </w:tc>
        <w:tc>
          <w:tcPr>
            <w:tcW w:w="13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tcPr>
          <w:p>
            <w:pPr>
              <w:spacing w:after="0" w:line="176" w:lineRule="exact"/>
              <w:rPr>
                <w:sz w:val="20"/>
                <w:szCs w:val="20"/>
                <w:color w:val="auto"/>
              </w:rPr>
            </w:pPr>
            <w:r>
              <w:rPr>
                <w:rFonts w:ascii="Arial" w:cs="Arial" w:eastAsia="Arial" w:hAnsi="Arial"/>
                <w:sz w:val="18"/>
                <w:szCs w:val="18"/>
                <w:color w:val="auto"/>
              </w:rPr>
              <w:t>Item 9A</w:t>
            </w:r>
          </w:p>
        </w:tc>
        <w:tc>
          <w:tcPr>
            <w:tcW w:w="9000" w:type="dxa"/>
            <w:vAlign w:val="bottom"/>
            <w:gridSpan w:val="23"/>
          </w:tcPr>
          <w:p>
            <w:pPr>
              <w:ind w:left="22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13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9000" w:type="dxa"/>
            <w:vAlign w:val="bottom"/>
            <w:gridSpan w:val="23"/>
            <w:shd w:val="clear" w:color="auto" w:fill="CCEEFF"/>
          </w:tcPr>
          <w:p>
            <w:pPr>
              <w:ind w:left="22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13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9000" w:type="dxa"/>
            <w:vAlign w:val="bottom"/>
            <w:gridSpan w:val="23"/>
            <w:shd w:val="clear" w:color="auto" w:fill="CCEEFF"/>
          </w:tcPr>
          <w:p>
            <w:pPr>
              <w:ind w:left="22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Directors, Executive Officers and Corporate Governance</w:t>
              </w:r>
            </w:hyperlink>
          </w:p>
        </w:tc>
        <w:tc>
          <w:tcPr>
            <w:tcW w:w="13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tcPr>
          <w:p>
            <w:pPr>
              <w:spacing w:after="0" w:line="176" w:lineRule="exact"/>
              <w:rPr>
                <w:sz w:val="20"/>
                <w:szCs w:val="20"/>
                <w:color w:val="auto"/>
              </w:rPr>
            </w:pPr>
            <w:r>
              <w:rPr>
                <w:rFonts w:ascii="Arial" w:cs="Arial" w:eastAsia="Arial" w:hAnsi="Arial"/>
                <w:sz w:val="18"/>
                <w:szCs w:val="18"/>
                <w:color w:val="auto"/>
              </w:rPr>
              <w:t>Item 11.</w:t>
            </w:r>
          </w:p>
        </w:tc>
        <w:tc>
          <w:tcPr>
            <w:tcW w:w="9000" w:type="dxa"/>
            <w:vAlign w:val="bottom"/>
            <w:gridSpan w:val="23"/>
          </w:tcPr>
          <w:p>
            <w:pPr>
              <w:ind w:left="22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Executive Compensation</w:t>
              </w:r>
            </w:hyperlink>
          </w:p>
        </w:tc>
        <w:tc>
          <w:tcPr>
            <w:tcW w:w="13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9000" w:type="dxa"/>
            <w:vAlign w:val="bottom"/>
            <w:gridSpan w:val="23"/>
            <w:shd w:val="clear" w:color="auto" w:fill="CCEEFF"/>
          </w:tcPr>
          <w:p>
            <w:pPr>
              <w:ind w:left="22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Security Ownership of Certain Beneficial Owners and Management and Related Stockholder Matters</w:t>
              </w:r>
            </w:hyperlink>
          </w:p>
        </w:tc>
        <w:tc>
          <w:tcPr>
            <w:tcW w:w="13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tcPr>
          <w:p>
            <w:pPr>
              <w:spacing w:after="0" w:line="176" w:lineRule="exact"/>
              <w:rPr>
                <w:sz w:val="20"/>
                <w:szCs w:val="20"/>
                <w:color w:val="auto"/>
              </w:rPr>
            </w:pPr>
            <w:r>
              <w:rPr>
                <w:rFonts w:ascii="Arial" w:cs="Arial" w:eastAsia="Arial" w:hAnsi="Arial"/>
                <w:sz w:val="18"/>
                <w:szCs w:val="18"/>
                <w:color w:val="auto"/>
              </w:rPr>
              <w:t>Item 13.</w:t>
            </w:r>
          </w:p>
        </w:tc>
        <w:tc>
          <w:tcPr>
            <w:tcW w:w="9000" w:type="dxa"/>
            <w:vAlign w:val="bottom"/>
            <w:gridSpan w:val="23"/>
          </w:tcPr>
          <w:p>
            <w:pPr>
              <w:ind w:left="22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Certain Relationships and Related Transactions, and Director Independence</w:t>
              </w:r>
            </w:hyperlink>
          </w:p>
        </w:tc>
        <w:tc>
          <w:tcPr>
            <w:tcW w:w="13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9000" w:type="dxa"/>
            <w:vAlign w:val="bottom"/>
            <w:gridSpan w:val="23"/>
            <w:shd w:val="clear" w:color="auto" w:fill="CCEEFF"/>
          </w:tcPr>
          <w:p>
            <w:pPr>
              <w:ind w:left="22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Principal Accounting Fees and Services</w:t>
              </w:r>
            </w:hyperlink>
          </w:p>
        </w:tc>
        <w:tc>
          <w:tcPr>
            <w:tcW w:w="13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000" w:type="dxa"/>
            <w:vAlign w:val="bottom"/>
            <w:gridSpan w:val="23"/>
            <w:shd w:val="clear" w:color="auto" w:fill="CCEEFF"/>
          </w:tcPr>
          <w:p>
            <w:pPr>
              <w:ind w:left="22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Exhibits and Financial Statement Schedules</w:t>
              </w:r>
            </w:hyperlink>
          </w:p>
        </w:tc>
        <w:tc>
          <w:tcPr>
            <w:tcW w:w="13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0" w:type="dxa"/>
            <w:vAlign w:val="bottom"/>
          </w:tcPr>
          <w:p>
            <w:pPr>
              <w:spacing w:after="0" w:line="176" w:lineRule="exact"/>
              <w:rPr>
                <w:sz w:val="20"/>
                <w:szCs w:val="20"/>
                <w:color w:val="auto"/>
              </w:rPr>
            </w:pPr>
            <w:r>
              <w:rPr>
                <w:rFonts w:ascii="Arial" w:cs="Arial" w:eastAsia="Arial" w:hAnsi="Arial"/>
                <w:sz w:val="18"/>
                <w:szCs w:val="18"/>
                <w:color w:val="auto"/>
              </w:rPr>
              <w:t>Item 16.</w:t>
            </w:r>
          </w:p>
        </w:tc>
        <w:tc>
          <w:tcPr>
            <w:tcW w:w="9000" w:type="dxa"/>
            <w:vAlign w:val="bottom"/>
            <w:gridSpan w:val="23"/>
          </w:tcPr>
          <w:p>
            <w:pPr>
              <w:ind w:left="22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Form 10-K Summary</w:t>
              </w:r>
            </w:hyperlink>
          </w:p>
        </w:tc>
        <w:tc>
          <w:tcPr>
            <w:tcW w:w="13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shd w:val="clear" w:color="auto" w:fill="CCEEFF"/>
          </w:tcPr>
          <w:p>
            <w:pPr>
              <w:spacing w:after="0"/>
              <w:rPr>
                <w:sz w:val="17"/>
                <w:szCs w:val="17"/>
                <w:color w:val="auto"/>
              </w:rPr>
            </w:pPr>
          </w:p>
        </w:tc>
        <w:tc>
          <w:tcPr>
            <w:tcW w:w="9000" w:type="dxa"/>
            <w:vAlign w:val="bottom"/>
            <w:gridSpan w:val="23"/>
            <w:shd w:val="clear" w:color="auto" w:fill="CCEEFF"/>
          </w:tcPr>
          <w:p>
            <w:pPr>
              <w:ind w:left="220"/>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13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9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4680" w:type="dxa"/>
            <w:vAlign w:val="bottom"/>
            <w:tcBorders>
              <w:top w:val="single" w:sz="8" w:color="CCEEFF"/>
            </w:tcBorders>
            <w:gridSpan w:val="14"/>
          </w:tcPr>
          <w:p>
            <w:pPr>
              <w:jc w:val="right"/>
              <w:ind w:right="940"/>
              <w:spacing w:after="0"/>
              <w:rPr>
                <w:sz w:val="20"/>
                <w:szCs w:val="20"/>
                <w:color w:val="auto"/>
              </w:rPr>
            </w:pPr>
            <w:r>
              <w:rPr>
                <w:rFonts w:ascii="Arial" w:cs="Arial" w:eastAsia="Arial" w:hAnsi="Arial"/>
                <w:sz w:val="14"/>
                <w:szCs w:val="14"/>
                <w:color w:val="auto"/>
              </w:rPr>
              <w:t>2</w:t>
            </w:r>
          </w:p>
        </w:tc>
        <w:tc>
          <w:tcPr>
            <w:tcW w:w="10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This annual report contains statements that constitute forward-looking statements within the meaning of Section 27A of the Securities Act of 1933 and Section 21E of the Securities Exchange Act of 1934. In addition, in the future the Company, and others on its behalf, may make statements that constitute forward-looking statements. Such forward-looking statements may include, without limitation, statements relating to the Company’s plans, objectives or goals; future economic performance or prospects; the potential effect on the Company’s future performance of certain contingencies; and assumptions underlying any such statements.</w:t>
      </w:r>
    </w:p>
    <w:p>
      <w:pPr>
        <w:spacing w:after="0" w:line="215"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Words such as “believes,” “anticipates,” “expects,” “intends” and “plans” and similar expressions are intended to identify forward-looking statements but are not the exclusive means of identifying such statements. The forward-looking statements are and will be based upon management’s then current views and assumptions regarding future events and operating performance and are only applicable as of the dates of such statements. The Company does not intend to update these forward-looking statements except as may be required by applicable laws.</w:t>
      </w:r>
    </w:p>
    <w:p>
      <w:pPr>
        <w:spacing w:after="0" w:line="198"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By their very nature, forward-looking statements involve inherent risks and uncertainties, both general and specific, and risks exist that predictions, forecasts, projections and other outcomes described or implied in forward-looking statements will not be achieved. The Company cautions you that a number of important factors could cause results to differ materially from the plans, objectives, expectations, estimates and intentions expressed in such forward-looking statements, including without limitation the risks described under the caption “Risk Factors” in this Annual Report on Form 10-K. You are cautioned not to place undue reliance on the Company’s forward-looking statements.</w:t>
      </w:r>
    </w:p>
    <w:p>
      <w:pPr>
        <w:spacing w:after="0" w:line="19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Telos Corporation, together with its subsidiaries (the “Company” or “Telos” or “We”), offers technologically advanced, software-based security solutions that empower and protect the world’s most security-conscious organizations against rapidly evolving, sophisticated and pervasive threats. Our portfolio of security products, services and expertise empower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w:t>
      </w:r>
    </w:p>
    <w:p>
      <w:pPr>
        <w:spacing w:after="0" w:line="20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customer base consists of the U.S. federal government, large commercial businesses, state and local governments, as well as international customers. Our federal government customers include the Department of Defense (“DoD”), the Central Intelligence Agency (“CIA”) and multiple other agencies within the Intelligence Community (“IC”), and multiple civilian agencies, including the Department of Homeland Security (“DHS”), the U.S. Department of State (“DoS”), and the Federal Bureau of Investigation (“FBI”). Our commercial customers include Fortune 500 enterprises such as Amazon.com, Inc., Citigroup Inc., Microsoft Corporation, and Salesforce.com, Inc. We have conducted business with over 350 customers in each of the last three years. For the year ended December 31, 2020, approximately 50% of our revenue was derived from sole source contracts or contracts for which we had limited competition. Our customers are highly targeted by cyber attackers and require continuous real-time insights to make informed decisions about how to effectively balance the constraints of security risk with the freedom to act and decide in the best interests of the organization and the greater good of the public. Our advanced security solutions help protect and ensure confidence in the information that is vital to the world’s most important commercial and governmental organizations, national security, and mission success for the warfighter.</w:t>
      </w:r>
    </w:p>
    <w:p>
      <w:pPr>
        <w:spacing w:after="0" w:line="195"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Our revenue growth trajectory began to accelerate in 2018 as we increased our investment into new products and solutions. Our security solutions are the product of the investment of approximately 3,000 man-years developing our intellectual property and highly sophisticated software technology. These investments helped us expand with commercial customers, as well as win additional contracts within the military and the IC. Revenue grew from $107.7 million in 2017 to $138.0 million in 2018 and to $159.2 million in 2019 and to $179.9 million in 2020, representing annual growth rates of 28.1%, 15.4%, and 13.0%, respectively. Once our security solutions are imbedded in our customers’ technology infrastructure, these customer relationships often expand and lead to us providing additional security solutions. As a consequence, we believe that our customer turnover is low and, based on historical experience, approximately 85% of our revenue is recurring, as discussed further below.</w:t>
      </w:r>
    </w:p>
    <w:p>
      <w:pPr>
        <w:spacing w:after="0" w:line="19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develop our annual budgeted revenue by estimating for the upcoming year our continuing business from existing customers and active contracts. We consider backlog, both funded and unfunded (as explained below), other expected annual renewals, and expansion planned by our current customers. In the context of our current customer portfolio, we view “recurring revenue” as revenue that occurs often and repeatedly. In each of the last three years, recurring revenue has exceeded 85% of our annual revenue. Our total budgeted revenue is the combination of recurring revenue and a forecast of new business.</w:t>
      </w:r>
    </w:p>
    <w:p>
      <w:pPr>
        <w:spacing w:after="0" w:line="21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Total backlog, a component of recurring revenue, consists of the aggregate contract revenues remaining to be earned by us at a given time over the life of our contracts, whether funded or unfunded. Funded backlog consists of the aggregate contract revenues remaining to be earned at a given time, which, in the case of U.S. government contracts, means that they have been funded by the procuring agency. Unfunded backlog is the difference between total backlog and funded backlog and includes potential revenues that may be earned if customers exercise delivery orders and/or renewal options to continue these contracts. Based on historical experience, we generally assume option year renewals to be exercised. Most of our customers fund contracts on a basis of one year or less and, as a result, funded backlog is generally expected to be earned within one year from any point in time, whereas unfunded backlog is expected to be earned over a longer period.</w:t>
      </w:r>
    </w:p>
    <w:p>
      <w:pPr>
        <w:sectPr>
          <w:pgSz w:w="11900" w:h="16838" w:orient="portrait"/>
          <w:cols w:equalWidth="0" w:num="1">
            <w:col w:w="11060"/>
          </w:cols>
          <w:pgMar w:left="320" w:top="125" w:right="519" w:bottom="1440" w:gutter="0" w:footer="0" w:header="0"/>
        </w:sectPr>
      </w:pP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type w:val="continuous"/>
        </w:sectPr>
      </w:pPr>
    </w:p>
    <w:bookmarkStart w:id="3" w:name="page4"/>
    <w:bookmarkEnd w:id="3"/>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On November 19, 2020, we completed our initial public offering of shares of our common stock. We issued 17.2 million shares of our common stock at a price of $17.00 per share, generating net proceeds of approximately $272.7 million. We used approximately $108.9 million of the net proceeds in connection with the conversion of our outstanding shares of Exchangeable Redeemable Preferred Stock into the right to receive cash and shares of our common stock, $30.0 million to fund our acquisition of the outstanding Class B Units of Telos ID, and $21.0 million to repay our outstanding senior term loan and subordinated debt. We intend to use the remaining net proceeds for general corporate purposes. We also may use a portion of the net proceeds to acquire complementary businesses, products, services, or technologies. We do not, however, have agreements, commitments, or plans for any specific acquisitions at this time. The amounts and timing of our actual use of the net proceeds will vary depending on numerous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 Cyber, Cloud, and Enterprise Security</w:t>
      </w:r>
    </w:p>
    <w:p>
      <w:pPr>
        <w:spacing w:after="0" w:line="256"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Our mission is to protect our customers’ people, systems, and vital information assets with offerings for cybersecurity, cloud security, and enterprise security. In the current global environment, our mission is more critical than ever. The emergence of each new information and communications technology (“ICT”) introduces new vulnerabilities, as security is still too often overlooked in solution development. Networks and applications meant to enhance productivity and profitability often jeopardize an organization due to poor planning, misconfiguration, or an unknown gap in security. Ransomware, insider threats, cybercrime, and advanced persistent threats continue to menace public and private enterprises across all industries.</w:t>
      </w:r>
    </w:p>
    <w:p>
      <w:pPr>
        <w:spacing w:after="0" w:line="18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Cybersecurity, cloud security, and enterprise security of the modern organization share much in common, yet also call for a diverse range of skills, capabilities, and experience in order to meet the requirements of security-conscious customers. Decades of experience in developing, orchestrating, and delivering solutions across these three domains gives us the vision and the confidence to provide solutions that empower and protect the enterprise at an integrated, holistic level. Our experience in addressing challenges in one area of an enterprise helps us meet requirements in others. We understand that a range of complementary capabilities may be needed to solve a single challenge, and we also recognize when a single solution might address multiple challenges.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security solutions span across the following domains:</w:t>
      </w:r>
    </w:p>
    <w:p>
      <w:pPr>
        <w:spacing w:after="0" w:line="23" w:lineRule="exact"/>
        <w:rPr>
          <w:sz w:val="20"/>
          <w:szCs w:val="20"/>
          <w:color w:val="auto"/>
        </w:rPr>
      </w:pPr>
    </w:p>
    <w:p>
      <w:pPr>
        <w:jc w:val="both"/>
        <w:ind w:right="440" w:firstLine="332"/>
        <w:spacing w:after="0" w:line="277" w:lineRule="auto"/>
        <w:tabs>
          <w:tab w:leader="none" w:pos="711"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Cybersecurity </w:t>
      </w:r>
      <w:r>
        <w:rPr>
          <w:rFonts w:ascii="Arial" w:cs="Arial" w:eastAsia="Arial" w:hAnsi="Arial"/>
          <w:sz w:val="17"/>
          <w:szCs w:val="17"/>
          <w:color w:val="auto"/>
        </w:rPr>
        <w:t>– We help our customers ensure the ongoing security, integrity, and compliance of their on-premises and related cloud-based</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reducing threats and vulnerabilities in order to foil cyber adversaries before they can attack. Our consultants assess our customers’ security environments and design, engineer, and operate the systems they need to strengthen their cybersecurity posture.</w:t>
      </w:r>
    </w:p>
    <w:p>
      <w:pPr>
        <w:spacing w:after="0" w:line="199" w:lineRule="exact"/>
        <w:rPr>
          <w:rFonts w:ascii="Arial" w:cs="Arial" w:eastAsia="Arial" w:hAnsi="Arial"/>
          <w:sz w:val="17"/>
          <w:szCs w:val="17"/>
          <w:color w:val="auto"/>
        </w:rPr>
      </w:pPr>
    </w:p>
    <w:p>
      <w:pPr>
        <w:ind w:right="320" w:firstLine="332"/>
        <w:spacing w:after="0" w:line="286" w:lineRule="auto"/>
        <w:tabs>
          <w:tab w:leader="none" w:pos="711"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Cloud Security </w:t>
      </w:r>
      <w:r>
        <w:rPr>
          <w:rFonts w:ascii="Arial" w:cs="Arial" w:eastAsia="Arial" w:hAnsi="Arial"/>
          <w:sz w:val="17"/>
          <w:szCs w:val="17"/>
          <w:color w:val="auto"/>
        </w:rPr>
        <w:t>– The cloud as an organizational resource is more than two decades old, yet the needs of cloud users are constantly changing.</w:t>
      </w:r>
      <w:r>
        <w:rPr>
          <w:rFonts w:ascii="Arial" w:cs="Arial" w:eastAsia="Arial" w:hAnsi="Arial"/>
          <w:sz w:val="17"/>
          <w:szCs w:val="17"/>
          <w:i w:val="1"/>
          <w:iCs w:val="1"/>
          <w:color w:val="auto"/>
        </w:rPr>
        <w:t xml:space="preserve"> </w:t>
      </w:r>
      <w:r>
        <w:rPr>
          <w:rFonts w:ascii="Arial" w:cs="Arial" w:eastAsia="Arial" w:hAnsi="Arial"/>
          <w:sz w:val="17"/>
          <w:szCs w:val="17"/>
          <w:color w:val="auto"/>
        </w:rPr>
        <w:t>Telos offers the specialized skills and experience needed to help our customers plan, engineer, and execute secure cloud migration strategies and then assure ongoing management and security in keeping with the leading standards for cloud-based systems and workloads.</w:t>
      </w:r>
    </w:p>
    <w:p>
      <w:pPr>
        <w:spacing w:after="0" w:line="192" w:lineRule="exact"/>
        <w:rPr>
          <w:rFonts w:ascii="Arial" w:cs="Arial" w:eastAsia="Arial" w:hAnsi="Arial"/>
          <w:sz w:val="17"/>
          <w:szCs w:val="17"/>
          <w:color w:val="auto"/>
        </w:rPr>
      </w:pPr>
    </w:p>
    <w:p>
      <w:pPr>
        <w:jc w:val="both"/>
        <w:ind w:right="40" w:firstLine="332"/>
        <w:spacing w:after="0" w:line="259" w:lineRule="auto"/>
        <w:tabs>
          <w:tab w:leader="none" w:pos="711"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Enterprise Security </w:t>
      </w:r>
      <w:r>
        <w:rPr>
          <w:rFonts w:ascii="Arial" w:cs="Arial" w:eastAsia="Arial" w:hAnsi="Arial"/>
          <w:sz w:val="18"/>
          <w:szCs w:val="18"/>
          <w:color w:val="auto"/>
        </w:rPr>
        <w:t>– Securing the enterprise means protecting the essential and timeless elements common to every organization: its people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its supply chain and inventories, its finances and facilities, and its information and communications. As ICT and operational technology (“OT”) have become part of the organizational make-up, we have offered solutions that ensure personnel can work securely and productively across and beyond the enterprise.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w:t>
      </w:r>
    </w:p>
    <w:p>
      <w:pPr>
        <w:spacing w:after="0" w:line="256"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Our market includes organizations in business across industry verticals, government, and the military. We believe that digital transformation is a reality for these organizations and that the ICT systems they depend on for their success and security are subject to unprecedented levels of stress, threat, and attack. Market-disrupting technologies, a global pandemic, and economic uncertainty make it difficult for customers to plan for business expansion, develop new programs in service to the public, or prepare military forces for the nation’s defense. Public and private enterprises alike face the following dynamic challenges that threaten their security:</w:t>
      </w:r>
    </w:p>
    <w:p>
      <w:pPr>
        <w:spacing w:after="0" w:line="215" w:lineRule="exact"/>
        <w:rPr>
          <w:sz w:val="20"/>
          <w:szCs w:val="20"/>
          <w:color w:val="auto"/>
        </w:rPr>
      </w:pPr>
    </w:p>
    <w:p>
      <w:pPr>
        <w:ind w:left="600" w:right="80" w:hanging="268"/>
        <w:spacing w:after="0" w:line="255"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Heavy dependence on information and operational technologies. </w:t>
      </w:r>
      <w:r>
        <w:rPr>
          <w:rFonts w:ascii="Arial" w:cs="Arial" w:eastAsia="Arial" w:hAnsi="Arial"/>
          <w:sz w:val="18"/>
          <w:szCs w:val="18"/>
          <w:color w:val="auto"/>
        </w:rPr>
        <w:t>Organizations are increasingly dependent on technology, including mobile and</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applications, cloud-based resources, industrial internet of things (“IoT”), industrial control systems (“ICS”), supervisory control and data acquisition (“SCADA”), and others.</w:t>
      </w:r>
    </w:p>
    <w:p>
      <w:pPr>
        <w:spacing w:after="0" w:line="2" w:lineRule="exact"/>
        <w:rPr>
          <w:rFonts w:ascii="Arial" w:cs="Arial" w:eastAsia="Arial" w:hAnsi="Arial"/>
          <w:sz w:val="18"/>
          <w:szCs w:val="18"/>
          <w:color w:val="auto"/>
        </w:rPr>
      </w:pPr>
    </w:p>
    <w:p>
      <w:pPr>
        <w:ind w:left="600" w:right="340" w:hanging="268"/>
        <w:spacing w:after="0" w:line="250"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Digital transformation and accelerating migration to the cloud. </w:t>
      </w:r>
      <w:r>
        <w:rPr>
          <w:rFonts w:ascii="Arial" w:cs="Arial" w:eastAsia="Arial" w:hAnsi="Arial"/>
          <w:sz w:val="18"/>
          <w:szCs w:val="18"/>
          <w:color w:val="auto"/>
        </w:rPr>
        <w:t>Enterprises and government agencies are accelerating the migration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storage, and ICT/OT infrastructure to hosted and cloud environments. More organizations – including highly security-conscious agencies within the U.S. government and commercial entities – are gaining comfort and confidence in the cloud, taking advantage of the rapid application development, greater flexibility, and strategic agility that the cloud offers.</w:t>
      </w:r>
    </w:p>
    <w:p>
      <w:pPr>
        <w:spacing w:after="0" w:line="1" w:lineRule="exact"/>
        <w:rPr>
          <w:rFonts w:ascii="Arial" w:cs="Arial" w:eastAsia="Arial" w:hAnsi="Arial"/>
          <w:sz w:val="18"/>
          <w:szCs w:val="18"/>
          <w:color w:val="auto"/>
        </w:rPr>
      </w:pPr>
    </w:p>
    <w:p>
      <w:pPr>
        <w:ind w:left="600" w:hanging="268"/>
        <w:spacing w:after="0" w:line="250"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Ability to work across and beyond the enterprise. </w:t>
      </w:r>
      <w:r>
        <w:rPr>
          <w:rFonts w:ascii="Arial" w:cs="Arial" w:eastAsia="Arial" w:hAnsi="Arial"/>
          <w:sz w:val="18"/>
          <w:szCs w:val="18"/>
          <w:color w:val="auto"/>
        </w:rPr>
        <w:t>Organizations are no longer defined by or confined by real estate, geography, or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rosters. Information and applications are now accessible in the cloud. Mobile devices free personnel to work wherever their mission takes them. Employees, contractors, and partners collaborate in the physical and digital domains, trusting that they can rely on the integrity and trustworthiness of their people and their systems.</w:t>
      </w:r>
    </w:p>
    <w:p>
      <w:pPr>
        <w:spacing w:after="0" w:line="1" w:lineRule="exact"/>
        <w:rPr>
          <w:rFonts w:ascii="Arial" w:cs="Arial" w:eastAsia="Arial" w:hAnsi="Arial"/>
          <w:sz w:val="18"/>
          <w:szCs w:val="18"/>
          <w:color w:val="auto"/>
        </w:rPr>
      </w:pPr>
    </w:p>
    <w:p>
      <w:pPr>
        <w:ind w:left="600" w:right="160" w:hanging="268"/>
        <w:spacing w:after="0" w:line="295"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Turbulent technology environment due to COVID-19. </w:t>
      </w:r>
      <w:r>
        <w:rPr>
          <w:rFonts w:ascii="Arial" w:cs="Arial" w:eastAsia="Arial" w:hAnsi="Arial"/>
          <w:sz w:val="16"/>
          <w:szCs w:val="16"/>
          <w:color w:val="auto"/>
        </w:rPr>
        <w:t>The COVID-19 pandemic has accelerated the growth of the remote workforce and thus,</w:t>
      </w:r>
      <w:r>
        <w:rPr>
          <w:rFonts w:ascii="Arial" w:cs="Arial" w:eastAsia="Arial" w:hAnsi="Arial"/>
          <w:sz w:val="16"/>
          <w:szCs w:val="16"/>
          <w:i w:val="1"/>
          <w:iCs w:val="1"/>
          <w:color w:val="auto"/>
        </w:rPr>
        <w:t xml:space="preserve"> </w:t>
      </w:r>
      <w:r>
        <w:rPr>
          <w:rFonts w:ascii="Arial" w:cs="Arial" w:eastAsia="Arial" w:hAnsi="Arial"/>
          <w:sz w:val="16"/>
          <w:szCs w:val="16"/>
          <w:color w:val="auto"/>
        </w:rPr>
        <w:t>cyber risk. Existing technologies for mobility are being stretched to the limit, and enterprises are facing dramatic growth in cyber-attack risk as a result of personnel and systems that are still adjusting to an increasing number of workers accessing systems remotely. Ransomware, phishing attempts, and inadequate virtual private networks (“VPNs”) all contribute to a significant increase in threats and vulnerabilities.</w:t>
      </w:r>
    </w:p>
    <w:p>
      <w:pPr>
        <w:sectPr>
          <w:pgSz w:w="11900" w:h="16838" w:orient="portrait"/>
          <w:cols w:equalWidth="0" w:num="1">
            <w:col w:w="11180"/>
          </w:cols>
          <w:pgMar w:left="320" w:top="125" w:right="399" w:bottom="1440" w:gutter="0" w:footer="0" w:header="0"/>
        </w:sect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4" w:name="page5"/>
    <w:bookmarkEnd w:id="4"/>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The networked nature of enterprise technologies and the ability to work outside the organizational perimeter result in increased risk and the constant threat of attack. In particular, the cloud adds new complexities due to the shared responsibility of cloud security and the need to manage and maintain the compliance of cloud-based resources.</w:t>
      </w:r>
    </w:p>
    <w:p>
      <w:pPr>
        <w:spacing w:after="0" w:line="211"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Our solutions across a wide variety of use cases are designed to address our customers’ proliferating need to understand and address cybersecurity risk, reduce the organizational attack surface, enhance enterprise mobility, expand adoption of cloud computing, and manage and protect identities in an increasingly dynamic and intensifying threat landscape. By addressing the breadth of our customers’ complex and evolving needs, we believe that our total addressable market in 2021 for the security services and products that we provide is over $80 billion.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Offerings</w:t>
      </w:r>
    </w:p>
    <w:p>
      <w:pPr>
        <w:spacing w:after="0" w:line="25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refer to our cyber and cloud applications as Security Solutions, which includes Information Assurance / Xacta®, Secure Communications, and Telos ID. We refer to our offerings for enterprise security as Secure Networks.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Solutions</w:t>
      </w:r>
    </w:p>
    <w:p>
      <w:pPr>
        <w:spacing w:after="0" w:line="23" w:lineRule="exact"/>
        <w:rPr>
          <w:sz w:val="20"/>
          <w:szCs w:val="20"/>
          <w:color w:val="auto"/>
        </w:rPr>
      </w:pPr>
    </w:p>
    <w:p>
      <w:pPr>
        <w:ind w:left="620" w:right="560" w:hanging="288"/>
        <w:spacing w:after="0" w:line="250"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Information Assurance / Xacta: </w:t>
      </w:r>
      <w:r>
        <w:rPr>
          <w:rFonts w:ascii="Arial" w:cs="Arial" w:eastAsia="Arial" w:hAnsi="Arial"/>
          <w:sz w:val="18"/>
          <w:szCs w:val="18"/>
          <w:color w:val="auto"/>
        </w:rPr>
        <w:t>a premier platform for enterprise cyber risk management and security compliance automation, delivering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awareness for systems in the cloud, on-premises, and in hybrid and multi-cloud environments. Xacta delivers automated cyber risk and compliance management solutions to large commercial and government enterprises. Across the U.S. federal government, Xacta is the de facto commercial cyber risk and compliance management solution.</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Secure Communications:</w:t>
      </w:r>
    </w:p>
    <w:p>
      <w:pPr>
        <w:spacing w:after="0" w:line="9" w:lineRule="exact"/>
        <w:rPr>
          <w:rFonts w:ascii="Arial" w:cs="Arial" w:eastAsia="Arial" w:hAnsi="Arial"/>
          <w:sz w:val="18"/>
          <w:szCs w:val="18"/>
          <w:color w:val="auto"/>
        </w:rPr>
      </w:pPr>
    </w:p>
    <w:p>
      <w:pPr>
        <w:ind w:left="1960" w:hanging="1330"/>
        <w:spacing w:after="0" w:line="250"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Telos Ghost: </w:t>
      </w:r>
      <w:r>
        <w:rPr>
          <w:rFonts w:ascii="Arial" w:cs="Arial" w:eastAsia="Arial" w:hAnsi="Arial"/>
          <w:sz w:val="18"/>
          <w:szCs w:val="18"/>
          <w:color w:val="auto"/>
        </w:rPr>
        <w:t>a virtual obfuscation network-as-a-service with encryption and managed attribution capabilities to ensure the</w:t>
      </w:r>
      <w:r>
        <w:rPr>
          <w:rFonts w:ascii="Arial" w:cs="Arial" w:eastAsia="Arial" w:hAnsi="Arial"/>
          <w:sz w:val="18"/>
          <w:szCs w:val="18"/>
          <w:b w:val="1"/>
          <w:bCs w:val="1"/>
          <w:color w:val="auto"/>
        </w:rPr>
        <w:t xml:space="preserve"> </w:t>
      </w:r>
      <w:r>
        <w:rPr>
          <w:rFonts w:ascii="Arial" w:cs="Arial" w:eastAsia="Arial" w:hAnsi="Arial"/>
          <w:sz w:val="18"/>
          <w:szCs w:val="18"/>
          <w:color w:val="auto"/>
        </w:rPr>
        <w:t>safety and privacy of people, information, and resources on the network. Telos Ghost seeks to eliminate cyber-attack surfaces by obfuscating and encrypting data, masking user identity and location, and hiding network resources. It provides the additional layers of security and privacy needed for intelligence gathering, cyber threat protection, securing critical infrastructure, and protecting communications and applications when operations, property, and even lives can be jeopardized by a single error in security.</w:t>
      </w:r>
    </w:p>
    <w:p>
      <w:pPr>
        <w:spacing w:after="0" w:line="2" w:lineRule="exact"/>
        <w:rPr>
          <w:rFonts w:ascii="Arial" w:cs="Arial" w:eastAsia="Arial" w:hAnsi="Arial"/>
          <w:sz w:val="18"/>
          <w:szCs w:val="18"/>
          <w:color w:val="auto"/>
        </w:rPr>
      </w:pPr>
    </w:p>
    <w:p>
      <w:pPr>
        <w:ind w:left="1960" w:right="20" w:hanging="1330"/>
        <w:spacing w:after="0" w:line="250"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Telos Automated Message Handling System (“AMHS”): </w:t>
      </w:r>
      <w:r>
        <w:rPr>
          <w:rFonts w:ascii="Arial" w:cs="Arial" w:eastAsia="Arial" w:hAnsi="Arial"/>
          <w:sz w:val="18"/>
          <w:szCs w:val="18"/>
          <w:color w:val="auto"/>
        </w:rPr>
        <w:t>web-based organizational message distribution and management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mission-critical communications; the recognized gold standard for organizational messaging in the U.S. government. Telos AMHS is used by military field operatives for critical communications on the battlefield and is the only web-based solution for assured messaging and directory services using the Defense Information System Agency’s (“DISA”) Organizational Messaging Service and its specialized communications protocols.</w:t>
      </w:r>
    </w:p>
    <w:p>
      <w:pPr>
        <w:spacing w:after="0" w:line="1" w:lineRule="exact"/>
        <w:rPr>
          <w:rFonts w:ascii="Arial" w:cs="Arial" w:eastAsia="Arial" w:hAnsi="Arial"/>
          <w:sz w:val="18"/>
          <w:szCs w:val="18"/>
          <w:color w:val="auto"/>
        </w:rPr>
      </w:pPr>
    </w:p>
    <w:p>
      <w:pPr>
        <w:ind w:left="620" w:right="660" w:hanging="288"/>
        <w:spacing w:after="0" w:line="257"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Telos ID: </w:t>
      </w:r>
      <w:r>
        <w:rPr>
          <w:rFonts w:ascii="Arial" w:cs="Arial" w:eastAsia="Arial" w:hAnsi="Arial"/>
          <w:sz w:val="16"/>
          <w:szCs w:val="16"/>
          <w:color w:val="auto"/>
        </w:rPr>
        <w:t>offering Identity Trust and Digital Services through IDTrust360® – an enterprise-class digital identity risk platform for</w:t>
      </w:r>
      <w:r>
        <w:rPr>
          <w:rFonts w:ascii="Arial" w:cs="Arial" w:eastAsia="Arial" w:hAnsi="Arial"/>
          <w:sz w:val="16"/>
          <w:szCs w:val="16"/>
          <w:b w:val="1"/>
          <w:bCs w:val="1"/>
          <w:color w:val="auto"/>
        </w:rPr>
        <w:t xml:space="preserve"> </w:t>
      </w:r>
      <w:r>
        <w:rPr>
          <w:rFonts w:ascii="Arial" w:cs="Arial" w:eastAsia="Arial" w:hAnsi="Arial"/>
          <w:sz w:val="16"/>
          <w:szCs w:val="16"/>
          <w:color w:val="auto"/>
        </w:rPr>
        <w:t>extending software-as-a-service (“SaaS”) and custom digital identity services that mitigate threats through the integration of advanced technologies that fuse biometrics, credentials, and other identity-centric data used to continuously monitor trust. We maintain government certifications and designations that distinguish Telos ID, including TSA PreCheck</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enrollment provider, Designated Aviation Channeling provider, FBI-approved Channeler, and the Financial Industry Regulatory Authority (“FINRA”) Electronic Fingerprint Submission provider. We are the only commercial entity in our industry designated as a Secure Flight Services provider for terrorist watchlist checks.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 Networks</w:t>
      </w:r>
    </w:p>
    <w:p>
      <w:pPr>
        <w:spacing w:after="0" w:line="23" w:lineRule="exact"/>
        <w:rPr>
          <w:sz w:val="20"/>
          <w:szCs w:val="20"/>
          <w:color w:val="auto"/>
        </w:rPr>
      </w:pPr>
    </w:p>
    <w:p>
      <w:pPr>
        <w:ind w:left="460" w:right="340" w:hanging="128"/>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Secure Mobility: </w:t>
      </w:r>
      <w:r>
        <w:rPr>
          <w:rFonts w:ascii="Arial" w:cs="Arial" w:eastAsia="Arial" w:hAnsi="Arial"/>
          <w:sz w:val="18"/>
          <w:szCs w:val="18"/>
          <w:color w:val="auto"/>
        </w:rPr>
        <w:t>solutions for business and government that enable remote work and minimize concern across and beyond the enterprise. Our</w:t>
      </w:r>
      <w:r>
        <w:rPr>
          <w:rFonts w:ascii="Arial" w:cs="Arial" w:eastAsia="Arial" w:hAnsi="Arial"/>
          <w:sz w:val="18"/>
          <w:szCs w:val="18"/>
          <w:b w:val="1"/>
          <w:bCs w:val="1"/>
          <w:color w:val="auto"/>
        </w:rPr>
        <w:t xml:space="preserve"> </w:t>
      </w:r>
      <w:r>
        <w:rPr>
          <w:rFonts w:ascii="Arial" w:cs="Arial" w:eastAsia="Arial" w:hAnsi="Arial"/>
          <w:sz w:val="18"/>
          <w:szCs w:val="18"/>
          <w:color w:val="auto"/>
        </w:rPr>
        <w:t>secure mobility team brings credentials to every engagement, supplying deep expertise and experience as well as highly desirable clearances and industry recognized certifications for network engineering, mobility, and security.</w:t>
      </w:r>
    </w:p>
    <w:p>
      <w:pPr>
        <w:spacing w:after="0" w:line="1" w:lineRule="exact"/>
        <w:rPr>
          <w:rFonts w:ascii="Arial" w:cs="Arial" w:eastAsia="Arial" w:hAnsi="Arial"/>
          <w:sz w:val="18"/>
          <w:szCs w:val="18"/>
          <w:color w:val="auto"/>
        </w:rPr>
      </w:pPr>
    </w:p>
    <w:p>
      <w:pPr>
        <w:ind w:left="480" w:right="240" w:hanging="148"/>
        <w:spacing w:after="0" w:line="255"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Network Management and Defense: </w:t>
      </w:r>
      <w:r>
        <w:rPr>
          <w:rFonts w:ascii="Arial" w:cs="Arial" w:eastAsia="Arial" w:hAnsi="Arial"/>
          <w:sz w:val="18"/>
          <w:szCs w:val="18"/>
          <w:color w:val="auto"/>
        </w:rPr>
        <w:t>services for operating, administrating, and defending complex enterprise networks and defensive cyber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Our diverse portfolio of capabilities addresses common and uncommon requirements in many industries and disciplines, ranging from the military and government agencies to Fortune 500 companies.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Xacta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Xacta Overview</w:t>
      </w:r>
    </w:p>
    <w:p>
      <w:pPr>
        <w:spacing w:after="0" w:line="252"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Xacta delivers automated cyber risk and compliance management solutions to large commercial and government enterprises. Xacta is sold as a solution, which includes Xacta technology and Xacta subject matter experts (“SMEs”) to help with deployment, on-going support, and training to ensure rapid and long-term customer success. Our solution-based business model provides predictable, recurring, and growing revenue year-on-year.</w:t>
      </w:r>
    </w:p>
    <w:p>
      <w:pPr>
        <w:spacing w:after="0" w:line="176"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Xacta disrupted the cyber risk and compliance management industry 20 years ago. When it was first introduced, Xacta represented a new way of doing business that challenged the inefficient labor-intensive business models of traditional consultants and government contractors who charge by the hour.</w:t>
      </w:r>
    </w:p>
    <w:p>
      <w:pPr>
        <w:sectPr>
          <w:pgSz w:w="11900" w:h="16838" w:orient="portrait"/>
          <w:cols w:equalWidth="0" w:num="1">
            <w:col w:w="11220"/>
          </w:cols>
          <w:pgMar w:left="320" w:top="125" w:right="35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have developed and evolved Xacta over the past two decades to make security risk and compliance activities more efficient through workflow-based automation. Many cyber risk and compliance management activities can be automated, which greatly reduces the need for inefficient Time and Materials (“T&amp;M”) services. More importantly, we believe that certain critical capabilities like continuous monitoring are effectively impossible without automation.</w:t>
      </w:r>
    </w:p>
    <w:p>
      <w:pPr>
        <w:spacing w:after="0" w:line="214"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Xacta is the de facto commercial cyber risk and compliance management solution across the U.S. federal government. Noteworthy U.S. government enterprise customers include DoD, multiple agencies within the IC (including the CIA), and civilian agencies such as DHS, DoS and the FBI. Xacta cloud security is also being adopted by very large commercial organizations like Amazon Web Services (“AWS”) and Microsoft Azure.</w:t>
      </w:r>
    </w:p>
    <w:p>
      <w:pPr>
        <w:spacing w:after="0" w:line="176"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Across these government and commercial customers, we currently have hundreds of Xacta deployments used to manage tens of thousands of mission critical/national security systems that are comprised of millions of critical information technology (“IT”) assets and cloud resources. There are also more than 20,000 cyber security professionals who actively use Xacta to manage cyber risk for a wide range of IT/information systems in warfighting, intelligence, business/financial, and healthcare applications.</w:t>
      </w:r>
    </w:p>
    <w:p>
      <w:pPr>
        <w:spacing w:after="0" w:line="214"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In 2016, at the request of the CIA, we evolved Xacta from an on-premises cyber risk and compliance management solution, used to manage traditional IT assets, to a solution that also manages cloud resources. As a result, we believe that Xacta is unique in its ability to manage complex hybrid IT environments that span on-premises, cloud, and multi-cloud. Our cloud focus has attracted the attention of the largest cloud and cloud service providers in the world, many of which are now our partners and customers. These partnerships have greatly increased our market opportunity, as many organizations look to migrate to the cloud. Security compliance remains a major inhibitor to cloud adoption. Xacta addresses this issue by automating and accelerating security compliance activities allowing organizations to migrate to the cloud more quickly and securely.</w:t>
      </w:r>
    </w:p>
    <w:p>
      <w:pPr>
        <w:spacing w:after="0" w:line="205"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Recognizing these advantages, the two largest cloud providers in the world, AWS and Microsoft Azure, have partnered with Telos to use Xacta to accelerate security compliance activities in their air-gapped and global sovereign cloud environments to help hundreds of thousands of regulated organizations address security risk and compliance much more efficiently.</w:t>
      </w:r>
    </w:p>
    <w:p>
      <w:pPr>
        <w:spacing w:after="0" w:line="211" w:lineRule="exact"/>
        <w:rPr>
          <w:sz w:val="20"/>
          <w:szCs w:val="20"/>
          <w:color w:val="auto"/>
        </w:rPr>
      </w:pPr>
    </w:p>
    <w:p>
      <w:pPr>
        <w:ind w:right="320" w:firstLine="324"/>
        <w:spacing w:after="0" w:line="296" w:lineRule="auto"/>
        <w:rPr>
          <w:sz w:val="20"/>
          <w:szCs w:val="20"/>
          <w:color w:val="auto"/>
        </w:rPr>
      </w:pPr>
      <w:r>
        <w:rPr>
          <w:rFonts w:ascii="Arial" w:cs="Arial" w:eastAsia="Arial" w:hAnsi="Arial"/>
          <w:sz w:val="16"/>
          <w:szCs w:val="16"/>
          <w:color w:val="auto"/>
        </w:rPr>
        <w:t>Our cloud focus has also resulted in significant partnerships with other cloud organizations, such as Rackspace Technology, Inc., which are helping SaaS vendors address cloud compliance requirements, including the Federal Risk and Authorization Management Program (“FedRAMP”), which is required by the federal government for all SaaS solutions. There are thousands of potential SaaS applications needed by the federal government. These organizations understand that Xacta’s ability to reduce the security compliance burden helps accelerate cloud adoption and generates cloud usage and revenue more quickly. To this end, Xacta’s capabilities are viewed as a strategic advantage by these cloud-centric organizations.</w:t>
      </w:r>
    </w:p>
    <w:p>
      <w:pPr>
        <w:spacing w:after="0" w:line="18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Managing cyber risk is top-of-mind for many organizations today. There is an increasing number of security standards and regulations with which global organizations must comply. The National Institute of Standards and Technology (“NIST”) is the source for many security standards that are being adopted globally. Telos, using Xacta, has specialized in supporting NIST-based standards for nearly 20 years. We have been considered by a leading, third-party consultancy to be NIST-based cybersecurity domain experts.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Xacta’s Critical Capabilities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Xacta offers a number of critical and differentiated capabilities that support a wide range of cyber risk and compliance management use cases,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w:t>
      </w:r>
    </w:p>
    <w:p>
      <w:pPr>
        <w:spacing w:after="0" w:line="23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Automated asset inventory - helps quickly define IT boundary/parameters and establish audit/test plans.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Automated control validation - reduces manual test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Automated continuous control monitoring - offers ongoing assurance of compliance.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Vulnerability management functionality - understand vulnerabilities that apply to IT environments.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Remediation management - workflow to help organizations prioritize risk, establish remediation plans, and track remediation progress to closure.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Automated regulatory report generation - reduces manual effort needed to create regulatory reports (bi-product of the workflow process).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Cloud integration - allows Xacta to manage cloud-based resources (multi-cloud environments) as well as on-premises assets.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Cloud deployment - allows Xacta to be deployed as a SaaS, Virtual Machine Image (“VMI”), Amazon Machine Image, and Microsoft Azure VMI, as well as on-premises.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Intelligent workflow - Artificial Intelligence (“AI”)-like functionality reduces the need for manual intervention.</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Predictive control mapping - AI-like functionality helps reduce redundant control testing and manual control mapping effort to help address audit fatigue.</w:t>
      </w:r>
    </w:p>
    <w:p>
      <w:pPr>
        <w:ind w:left="660" w:right="34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Automated control inheritance - allows organizations to share common compliance information - cloud providers share common controls with customers as per the shared responsibility model of cloud security - which greatly reduces manual effort and enables rapid cloud adoption.</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Visualization and reporting - reduces dependency on third-party business intelligence products.</w:t>
      </w:r>
    </w:p>
    <w:p>
      <w:pPr>
        <w:spacing w:after="0" w:line="9" w:lineRule="exact"/>
        <w:rPr>
          <w:rFonts w:ascii="Arial" w:cs="Arial" w:eastAsia="Arial" w:hAnsi="Arial"/>
          <w:sz w:val="18"/>
          <w:szCs w:val="18"/>
          <w:color w:val="auto"/>
        </w:rPr>
      </w:pPr>
    </w:p>
    <w:p>
      <w:pPr>
        <w:ind w:left="660" w:right="7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End-to-end workflow capabilities - support for complex system authorization processes like FedRAMP and the NIST Risk Management Framework, dramatically reducing time, cost, and effort.</w:t>
      </w:r>
    </w:p>
    <w:p>
      <w:pPr>
        <w:ind w:left="660" w:right="40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Evidence of security posture compliance - designed to provide the body of evidence needed for regulatory or legal proceedings and insurance claims to verify security posture compliance with industry best practices at the time of an event.</w:t>
      </w:r>
    </w:p>
    <w:p>
      <w:pPr>
        <w:sectPr>
          <w:pgSz w:w="11900" w:h="16838" w:orient="portrait"/>
          <w:cols w:equalWidth="0" w:num="1">
            <w:col w:w="11240"/>
          </w:cols>
          <w:pgMar w:left="320" w:top="125" w:right="3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Xacta Evolution</w:t>
      </w:r>
    </w:p>
    <w:p>
      <w:pPr>
        <w:spacing w:after="0" w:line="25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Xacta was launched in August 2000 and was the first automated solution of its kind. Xacta was initially created to help U.S. government organizations satisfy demanding security risk and compliance management requirements. Over the years, commercial and international demand for the Xacta solutions provided by Telos has grown rapidly.</w:t>
      </w:r>
    </w:p>
    <w:p>
      <w:pPr>
        <w:spacing w:after="0" w:line="211"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In 2004, Xacta was enhanced to provide industry-first automated continuous monitoring functionality. Between 2002 and 2005, Telos was issued five patents in the area of security risk and compliance management, including one patent for what is now known as continuous monitoring. Since then, numerous technical enhancements have been made to Xacta, some of which are described above in “Xacta’s Critical Capabilities.”</w:t>
      </w:r>
    </w:p>
    <w:p>
      <w:pPr>
        <w:spacing w:after="0" w:line="176"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Xacta supports other NIST frameworks such as the NIST Cybersecurity Framework (“CSF”), which was established in 2014 via Executive Order 13636 to help commercial organizations in the 16 DHS-defined critical infrastructure sectors improve their cyber risk posture. Executive Order 13800, issued in 2017, requires federal agencies to adopt the CSF, and it is also being adopted by many countries as a national cybersecurity standard.</w:t>
      </w:r>
    </w:p>
    <w:p>
      <w:pPr>
        <w:spacing w:after="0" w:line="17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Xacta also currently supports various vendor/supply chain risk management standards such as NIST Special Publication 800-161 and NIST Special Publication 800-171. NIST 800-171 is a contractual requirement for approximately 70,000 commercial companies that support the U.S. federal government.</w:t>
      </w:r>
    </w:p>
    <w:p>
      <w:pPr>
        <w:spacing w:after="0" w:line="21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Xacta will also support an emerging standard called Cybersecurity Maturity Model Certification, which will soon be required by approximately 300,000 commercial organizations that support DoD.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Xacta has highly customizable workflows that can be configured to support most any cybersecurity/risk and compliance management frameworks.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that end, Xacta can support national and international security compliance standards such as HIPAA, PCI-DSS, ISO 27000, and many others.</w:t>
      </w:r>
    </w:p>
    <w:p>
      <w:pPr>
        <w:spacing w:after="0" w:line="249"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Xacta does not require a customer to abandon (i.e. rip and replace) its existing solutions - rather it works with the customer’s prior software choices and uses those software choices as data feeds so that Xacta can perform automated (and continuous) security compliance validation.</w:t>
      </w:r>
    </w:p>
    <w:p>
      <w:pPr>
        <w:spacing w:after="0" w:line="173"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Xacta use cases include audit management, compliance management, inventory management, vulnerability management, continuous compliance monitoring, vendor/supply chain risk management, cyber risk management, risk remediation management, and security authorizations. These use cases are broadly applicable across industry verticals globally and help explain the large and expanding market in which Xacta participates.</w:t>
      </w:r>
    </w:p>
    <w:p>
      <w:pPr>
        <w:spacing w:after="0" w:line="17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goal is to make Xacta the default security risk and compliance management solution of choice for commercial and government entities across the globe that seek continuous compliance with cybersecurity and risk management frameworks and standards.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Telos Ghost®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Telos Ghost Overview</w:t>
      </w:r>
    </w:p>
    <w:p>
      <w:pPr>
        <w:spacing w:after="0" w:line="252"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As cyber threats have increased in scope and scale and the consequences of hacks and breaches have grown, we have developed a solution that enables organizations to work on the internet without being detected. In 2018, we introduced Telos Ghost, which allows our customers to shield communications, transactions, and even their very presence on the web from the view of cyber adversaries.</w:t>
      </w:r>
    </w:p>
    <w:p>
      <w:pPr>
        <w:spacing w:after="0" w:line="19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Conceived on the notion that “you can’t exploit what you can’t see,” Telos Ghost provides organizations a virtually anonymous way to do business, connect with global resources, and conduct research online. Telos Ghost is a virtual obfuscation network-as-a-service that:</w:t>
      </w:r>
    </w:p>
    <w:p>
      <w:pPr>
        <w:spacing w:after="0" w:line="19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obscures and varies network pathways to prevent adversaries from tracking users and information.</w:t>
      </w:r>
    </w:p>
    <w:p>
      <w:pPr>
        <w:spacing w:after="0" w:line="23"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uses multiple layers of encryption to protect information and remove source and destination IP addresses, eliminating network paths back to the source.</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enables users to manage their technical and non-technical persona to disguise their identity and location.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hides critical network resources using cloaked capabilities for email, storage, unified communications, and other applications.</w:t>
      </w:r>
    </w:p>
    <w:p>
      <w:pPr>
        <w:spacing w:after="0" w:line="238"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Telos Ghost seeks to eliminate cyber-attack surfaces by obfuscating and encrypting data, masking user identity and location, and hiding network resources. It provides the additional layers of security and privacy needed for intelligence gathering, cyber threat protection, securing critical infrastructure, and protecting communications and applications when operations, property, and even lives can be jeopardized by a single error in security.</w:t>
      </w: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7" w:name="page8"/>
    <w:bookmarkEnd w:id="7"/>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Telos Ghost Critical Capabilities</w:t>
      </w:r>
    </w:p>
    <w:p>
      <w:pPr>
        <w:spacing w:after="0" w:line="252" w:lineRule="exact"/>
        <w:rPr>
          <w:sz w:val="20"/>
          <w:szCs w:val="20"/>
          <w:color w:val="auto"/>
        </w:rPr>
      </w:pPr>
    </w:p>
    <w:p>
      <w:pPr>
        <w:ind w:left="660" w:right="40" w:hanging="328"/>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Private Web Access: Secure anonymous Internet access. </w:t>
      </w:r>
      <w:r>
        <w:rPr>
          <w:rFonts w:ascii="Arial" w:cs="Arial" w:eastAsia="Arial" w:hAnsi="Arial"/>
          <w:sz w:val="18"/>
          <w:szCs w:val="18"/>
          <w:color w:val="auto"/>
        </w:rPr>
        <w:t>Telos Ghost disguises the identity and location of personnel when using the public web</w:t>
      </w:r>
      <w:r>
        <w:rPr>
          <w:rFonts w:ascii="Arial" w:cs="Arial" w:eastAsia="Arial" w:hAnsi="Arial"/>
          <w:sz w:val="18"/>
          <w:szCs w:val="18"/>
          <w:i w:val="1"/>
          <w:iCs w:val="1"/>
          <w:color w:val="auto"/>
        </w:rPr>
        <w:t xml:space="preserve"> </w:t>
      </w:r>
      <w:r>
        <w:rPr>
          <w:rFonts w:ascii="Arial" w:cs="Arial" w:eastAsia="Arial" w:hAnsi="Arial"/>
          <w:sz w:val="18"/>
          <w:szCs w:val="18"/>
          <w:color w:val="auto"/>
        </w:rPr>
        <w:t>for cyber threat intelligence and competitive research. It provides users with dynamic access for every session and assures that traffic securely traverses the virtual private lines of Telos Ghost. Scalable and flexible, Telos Ghost Private Web Access allows users multiple points of international or domestic egress to the public internet based on customer requirements. Traffic mixing and misdirection techniques are designed to ensure that activity remains anonymous, obscure and private.</w:t>
      </w:r>
    </w:p>
    <w:p>
      <w:pPr>
        <w:spacing w:after="0" w:line="3" w:lineRule="exact"/>
        <w:rPr>
          <w:rFonts w:ascii="Arial" w:cs="Arial" w:eastAsia="Arial" w:hAnsi="Arial"/>
          <w:sz w:val="18"/>
          <w:szCs w:val="18"/>
          <w:color w:val="auto"/>
        </w:rPr>
      </w:pPr>
    </w:p>
    <w:p>
      <w:pPr>
        <w:ind w:left="660" w:right="60" w:hanging="328"/>
        <w:spacing w:after="0" w:line="26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Private Network Access: Leased-line security with VPN flexibility. </w:t>
      </w:r>
      <w:r>
        <w:rPr>
          <w:rFonts w:ascii="Arial" w:cs="Arial" w:eastAsia="Arial" w:hAnsi="Arial"/>
          <w:sz w:val="17"/>
          <w:szCs w:val="17"/>
          <w:color w:val="auto"/>
        </w:rPr>
        <w:t>This capability is designed to allow authorized users to work with mission-critical enterprise information without being seen or discovered. It enables the establishment of sustainable cybersecurity infrastructure, providing multi-layered secure tunnels for data traffic and obscuring the correlation between the entry doorways and the client cloud from external observers. Software and system agnostic and accessible from nearly any device and location, Telos Ghost Private Network Access is designed to provide a full security solution while maintaining existing encryption and software services.</w:t>
      </w:r>
    </w:p>
    <w:p>
      <w:pPr>
        <w:ind w:left="660" w:right="100" w:hanging="328"/>
        <w:spacing w:after="0" w:line="29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Cloaked Services: Hidden unified mobile communications, storage, and applications. </w:t>
      </w:r>
      <w:r>
        <w:rPr>
          <w:rFonts w:ascii="Arial" w:cs="Arial" w:eastAsia="Arial" w:hAnsi="Arial"/>
          <w:sz w:val="16"/>
          <w:szCs w:val="16"/>
          <w:color w:val="auto"/>
        </w:rPr>
        <w:t>Telos Ghost also provides remote users with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securely talk, text, email, store information, and use video and applications over nearly any mobile device. These abilities include fully encrypted geo-masked hidden mobile communications for device-agnostic voice, video, chat, and data; hidden storage to store, analyze, and collaborate privately and securely within Telos Ghost; and hidden email and applications that cloaks the servers for access only by Telos Ghost users.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Telos Ghost Applications</w:t>
      </w:r>
    </w:p>
    <w:p>
      <w:pPr>
        <w:spacing w:after="0" w:line="252" w:lineRule="exact"/>
        <w:rPr>
          <w:sz w:val="20"/>
          <w:szCs w:val="20"/>
          <w:color w:val="auto"/>
        </w:rPr>
      </w:pPr>
    </w:p>
    <w:p>
      <w:pPr>
        <w:ind w:left="660" w:right="18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Cyber threat research. </w:t>
      </w:r>
      <w:r>
        <w:rPr>
          <w:rFonts w:ascii="Arial" w:cs="Arial" w:eastAsia="Arial" w:hAnsi="Arial"/>
          <w:sz w:val="18"/>
          <w:szCs w:val="18"/>
          <w:color w:val="auto"/>
        </w:rPr>
        <w:t>Telos Ghost provides members of a U.S. government organization with an isolated networking infrastructure that enables</w:t>
      </w:r>
      <w:r>
        <w:rPr>
          <w:rFonts w:ascii="Arial" w:cs="Arial" w:eastAsia="Arial" w:hAnsi="Arial"/>
          <w:sz w:val="18"/>
          <w:szCs w:val="18"/>
          <w:i w:val="1"/>
          <w:iCs w:val="1"/>
          <w:color w:val="auto"/>
        </w:rPr>
        <w:t xml:space="preserve"> </w:t>
      </w:r>
      <w:r>
        <w:rPr>
          <w:rFonts w:ascii="Arial" w:cs="Arial" w:eastAsia="Arial" w:hAnsi="Arial"/>
          <w:sz w:val="18"/>
          <w:szCs w:val="18"/>
          <w:color w:val="auto"/>
        </w:rPr>
        <w:t>red team members to operate securely and privately without attracting unwanted attention.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Open source intelligence. </w:t>
      </w:r>
      <w:r>
        <w:rPr>
          <w:rFonts w:ascii="Arial" w:cs="Arial" w:eastAsia="Arial" w:hAnsi="Arial"/>
          <w:sz w:val="16"/>
          <w:szCs w:val="16"/>
          <w:color w:val="auto"/>
        </w:rPr>
        <w:t>A U.S. government organization uses Telos Ghost to securely conduct open source cyber threat intelligence analysis.</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Supply chain security vulnerability assessment</w:t>
      </w:r>
      <w:r>
        <w:rPr>
          <w:rFonts w:ascii="Arial" w:cs="Arial" w:eastAsia="Arial" w:hAnsi="Arial"/>
          <w:sz w:val="18"/>
          <w:szCs w:val="18"/>
          <w:color w:val="auto"/>
        </w:rPr>
        <w:t>. A security company that vets the vulnerability of supply chains in the Defense Industrial Base uses</w:t>
      </w:r>
      <w:r>
        <w:rPr>
          <w:rFonts w:ascii="Arial" w:cs="Arial" w:eastAsia="Arial" w:hAnsi="Arial"/>
          <w:sz w:val="18"/>
          <w:szCs w:val="18"/>
          <w:i w:val="1"/>
          <w:iCs w:val="1"/>
          <w:color w:val="auto"/>
        </w:rPr>
        <w:t xml:space="preserve"> </w:t>
      </w:r>
      <w:r>
        <w:rPr>
          <w:rFonts w:ascii="Arial" w:cs="Arial" w:eastAsia="Arial" w:hAnsi="Arial"/>
          <w:sz w:val="18"/>
          <w:szCs w:val="18"/>
          <w:color w:val="auto"/>
        </w:rPr>
        <w:t>Telos Ghost to inspect the digital connections of the supply chain online, safe from observation by adversaries that might otherwise evade discovery.</w:t>
      </w:r>
    </w:p>
    <w:p>
      <w:pPr>
        <w:spacing w:after="0" w:line="1" w:lineRule="exact"/>
        <w:rPr>
          <w:rFonts w:ascii="Arial" w:cs="Arial" w:eastAsia="Arial" w:hAnsi="Arial"/>
          <w:sz w:val="18"/>
          <w:szCs w:val="18"/>
          <w:color w:val="auto"/>
        </w:rPr>
      </w:pPr>
    </w:p>
    <w:p>
      <w:pPr>
        <w:ind w:left="660" w:right="160" w:hanging="328"/>
        <w:spacing w:after="0" w:line="32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Worldwide investigative and recovery services. </w:t>
      </w:r>
      <w:r>
        <w:rPr>
          <w:rFonts w:ascii="Arial" w:cs="Arial" w:eastAsia="Arial" w:hAnsi="Arial"/>
          <w:sz w:val="16"/>
          <w:szCs w:val="16"/>
          <w:color w:val="auto"/>
        </w:rPr>
        <w:t>A commercial firm uses Telos Ghost for cloaked online research and voice communications over</w:t>
      </w:r>
      <w:r>
        <w:rPr>
          <w:rFonts w:ascii="Arial" w:cs="Arial" w:eastAsia="Arial" w:hAnsi="Arial"/>
          <w:sz w:val="16"/>
          <w:szCs w:val="16"/>
          <w:i w:val="1"/>
          <w:iCs w:val="1"/>
          <w:color w:val="auto"/>
        </w:rPr>
        <w:t xml:space="preserve"> </w:t>
      </w:r>
      <w:r>
        <w:rPr>
          <w:rFonts w:ascii="Arial" w:cs="Arial" w:eastAsia="Arial" w:hAnsi="Arial"/>
          <w:sz w:val="16"/>
          <w:szCs w:val="16"/>
          <w:color w:val="auto"/>
        </w:rPr>
        <w:t>mobile devices to enable secure, privatized communications as they track and recover property from nefarious 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Telos AMHS</w:t>
      </w:r>
    </w:p>
    <w:p>
      <w:pPr>
        <w:spacing w:after="0" w:line="256"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Telos AMHS is used by military field operatives for critical communications on the battlefield. Since 1999, it has been one of our signature security solutions and has been one of the most widely used organizational messaging products in DoD and other agencies charged with defending U.S. national security.</w:t>
      </w:r>
    </w:p>
    <w:p>
      <w:pPr>
        <w:spacing w:after="0" w:line="211" w:lineRule="exact"/>
        <w:rPr>
          <w:sz w:val="20"/>
          <w:szCs w:val="20"/>
          <w:color w:val="auto"/>
        </w:rPr>
      </w:pPr>
    </w:p>
    <w:p>
      <w:pPr>
        <w:ind w:right="500" w:firstLine="324"/>
        <w:spacing w:after="0" w:line="286" w:lineRule="auto"/>
        <w:rPr>
          <w:sz w:val="20"/>
          <w:szCs w:val="20"/>
          <w:color w:val="auto"/>
        </w:rPr>
      </w:pPr>
      <w:r>
        <w:rPr>
          <w:rFonts w:ascii="Arial" w:cs="Arial" w:eastAsia="Arial" w:hAnsi="Arial"/>
          <w:sz w:val="17"/>
          <w:szCs w:val="17"/>
          <w:color w:val="auto"/>
        </w:rPr>
        <w:t>Telos AMHS is designed to support a range of secure messaging services to a worldwide community of U.S. military, government, and allied customers operating in both strategic and tactical environments. It is used to securely transmit messages that provide direction and establish a formal position, commitment, or response requiring the authority of an organization, rather than an individual, including:</w:t>
      </w:r>
    </w:p>
    <w:p>
      <w:pPr>
        <w:spacing w:after="0" w:line="16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Military command and control;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Cross-border authorizations;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Exchanges between military forces of sovereign nations;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High-level policy, procedure, or directives;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Response to legal, sensitive, or personnel matters.</w:t>
      </w:r>
    </w:p>
    <w:p>
      <w:pPr>
        <w:spacing w:after="0" w:line="23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Because Telos AMHS supports timely and reliable delivery for authoritative communications, its uses include terrorist warnings, “eyes-only” messages, military execution orders, intelligence information, overflight clearances, and Emergency Action Messages for nuclear command and control. Information exchange at this level and for these purposes requires operational requirements for time-sensitive, guaranteed delivery, precedence, high availability, and reliability.</w:t>
      </w:r>
    </w:p>
    <w:p>
      <w:pPr>
        <w:spacing w:after="0" w:line="214"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Telos AMHS is the only web-based solution for assured messaging and directory services using the DISA’s Organizational Messaging Service and its specialized communications protocols. With Telos AMHS, users are able to send and receive rich-text messages across security domains and in different formats using plain language addressing. Users can search messages, archive messages, and send attachments up to 200MB to accommodate photos and videos, including those of terrorists, most wanted notices, maps, and satellite images.</w:t>
      </w:r>
    </w:p>
    <w:p>
      <w:pPr>
        <w:spacing w:after="0" w:line="198"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More than fifty organizations around the world depend on Telos AMHS, including the Joint Staff, combatant commands, military services, defense agencies, federal agencies, and the IC. Telos AMHS provides a proven return on investment over alternative organizational messaging offerings and has been implemented on a SaaS basis by an increasing number of organizations.</w:t>
      </w:r>
    </w:p>
    <w:p>
      <w:pPr>
        <w:sectPr>
          <w:pgSz w:w="11900" w:h="16838" w:orient="portrait"/>
          <w:cols w:equalWidth="0" w:num="1">
            <w:col w:w="11220"/>
          </w:cols>
          <w:pgMar w:left="320" w:top="125" w:right="35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 w:name="page9"/>
    <w:bookmarkEnd w:id="8"/>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Telos ID Identity Offerings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Telos ID Overview</w:t>
      </w:r>
    </w:p>
    <w:p>
      <w:pPr>
        <w:spacing w:after="0" w:line="25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Telos ID provides trusted identity and digital services that are critical for the delivery of vital citizen services that millions of Americans rely on each year. Access to these vital services requires a robust and reliable infrastructure comprised of advanced technologies, facilities, and professional staff members that can effectively deliver these services around the world.</w:t>
      </w:r>
    </w:p>
    <w:p>
      <w:pPr>
        <w:spacing w:after="0" w:line="211" w:lineRule="exact"/>
        <w:rPr>
          <w:sz w:val="20"/>
          <w:szCs w:val="20"/>
          <w:color w:val="auto"/>
        </w:rPr>
      </w:pPr>
    </w:p>
    <w:p>
      <w:pPr>
        <w:ind w:right="280" w:firstLine="324"/>
        <w:spacing w:after="0" w:line="273" w:lineRule="auto"/>
        <w:rPr>
          <w:sz w:val="20"/>
          <w:szCs w:val="20"/>
          <w:color w:val="auto"/>
        </w:rPr>
      </w:pPr>
      <w:r>
        <w:rPr>
          <w:rFonts w:ascii="Arial" w:cs="Arial" w:eastAsia="Arial" w:hAnsi="Arial"/>
          <w:sz w:val="17"/>
          <w:szCs w:val="17"/>
          <w:color w:val="auto"/>
        </w:rPr>
        <w:t>We have transformed the Telos ID business model by leveraging a SaaS approach. We utilize our partnerships with AWS and ServiceNow, and we have fully integrated a robust suite of customer service, cybersecurity, and performance monitoring tools that align with DHS’s Continuous Diagnostics and Mitigation (“CDM”) Program that are designed to enable us to quickly deliver SaaS or turn-key solutions to our federal customers. Our digital platform extends web, mobile, and client applications that also drive professional services and product licensing opportunities. Our services are differentiated because our back-end system is intended to interface with critical homeland security and law enforcement systems and are tightly coupled with a mature, modern cloud-based platform that can scale to support large federal, state, local, and commercial programs.</w:t>
      </w:r>
    </w:p>
    <w:p>
      <w:pPr>
        <w:spacing w:after="0" w:line="195" w:lineRule="exact"/>
        <w:rPr>
          <w:sz w:val="20"/>
          <w:szCs w:val="20"/>
          <w:color w:val="auto"/>
        </w:rPr>
      </w:pPr>
    </w:p>
    <w:p>
      <w:pPr>
        <w:ind w:right="280" w:firstLine="324"/>
        <w:spacing w:after="0" w:line="215" w:lineRule="auto"/>
        <w:rPr>
          <w:sz w:val="20"/>
          <w:szCs w:val="20"/>
          <w:color w:val="auto"/>
        </w:rPr>
      </w:pPr>
      <w:r>
        <w:rPr>
          <w:rFonts w:ascii="Arial" w:cs="Arial" w:eastAsia="Arial" w:hAnsi="Arial"/>
          <w:sz w:val="18"/>
          <w:szCs w:val="18"/>
          <w:color w:val="auto"/>
        </w:rPr>
        <w:t>We maintain government certifications and designations that distinguish Telos ID, including TSA PreCheck</w:t>
      </w:r>
      <w:r>
        <w:rPr>
          <w:rFonts w:ascii="Arial" w:cs="Arial" w:eastAsia="Arial" w:hAnsi="Arial"/>
          <w:sz w:val="29"/>
          <w:szCs w:val="29"/>
          <w:color w:val="auto"/>
          <w:vertAlign w:val="superscript"/>
        </w:rPr>
        <w:t>®</w:t>
      </w:r>
      <w:r>
        <w:rPr>
          <w:rFonts w:ascii="Arial" w:cs="Arial" w:eastAsia="Arial" w:hAnsi="Arial"/>
          <w:sz w:val="18"/>
          <w:szCs w:val="18"/>
          <w:color w:val="auto"/>
        </w:rPr>
        <w:t xml:space="preserve"> enrollment provider, Designated Aviation Channeling provider, FBI-approved Channeler, and the FINRA Electronic Fingerprint Submission provider. We are the only commercial entity in our industry designated as a Secure Flight Services provider for terrorist watchlist checks.</w:t>
      </w:r>
    </w:p>
    <w:p>
      <w:pPr>
        <w:spacing w:after="0" w:line="231" w:lineRule="exact"/>
        <w:rPr>
          <w:sz w:val="20"/>
          <w:szCs w:val="20"/>
          <w:color w:val="auto"/>
        </w:rPr>
      </w:pPr>
    </w:p>
    <w:p>
      <w:pPr>
        <w:ind w:right="380" w:firstLine="324"/>
        <w:spacing w:after="0" w:line="311" w:lineRule="auto"/>
        <w:rPr>
          <w:sz w:val="20"/>
          <w:szCs w:val="20"/>
          <w:color w:val="auto"/>
        </w:rPr>
      </w:pPr>
      <w:r>
        <w:rPr>
          <w:rFonts w:ascii="Arial" w:cs="Arial" w:eastAsia="Arial" w:hAnsi="Arial"/>
          <w:sz w:val="16"/>
          <w:szCs w:val="16"/>
          <w:color w:val="auto"/>
        </w:rPr>
        <w:t>Our strategic partners offer retail and on-demand service channels that further differentiate our offerings. Our established global logistics infrastructure provides responsive supply chain support. We operate a full-service call center with chat-bots, AI, and virtual agent support, all of which contribute to scalability. Our network and security operations centers align with U.S. Computer Emergency Readiness Team and CDM best practices.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Telos ID Applications and Use Cases</w:t>
      </w:r>
    </w:p>
    <w:p>
      <w:pPr>
        <w:spacing w:after="0" w:line="252" w:lineRule="exact"/>
        <w:rPr>
          <w:sz w:val="20"/>
          <w:szCs w:val="20"/>
          <w:color w:val="auto"/>
        </w:rPr>
      </w:pPr>
    </w:p>
    <w:p>
      <w:pPr>
        <w:ind w:left="660" w:right="20" w:hanging="328"/>
        <w:spacing w:after="0" w:line="271"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U.S. Military ID</w:t>
      </w:r>
      <w:r>
        <w:rPr>
          <w:rFonts w:ascii="Arial" w:cs="Arial" w:eastAsia="Arial" w:hAnsi="Arial"/>
          <w:sz w:val="17"/>
          <w:szCs w:val="17"/>
          <w:color w:val="auto"/>
        </w:rPr>
        <w:t>. For more than 25 years, Telos ID’s identity trust services have provided access to health care, commissary services, and critical</w:t>
      </w:r>
      <w:r>
        <w:rPr>
          <w:rFonts w:ascii="Arial" w:cs="Arial" w:eastAsia="Arial" w:hAnsi="Arial"/>
          <w:sz w:val="17"/>
          <w:szCs w:val="17"/>
          <w:i w:val="1"/>
          <w:iCs w:val="1"/>
          <w:color w:val="auto"/>
        </w:rPr>
        <w:t xml:space="preserve"> </w:t>
      </w:r>
      <w:r>
        <w:rPr>
          <w:rFonts w:ascii="Arial" w:cs="Arial" w:eastAsia="Arial" w:hAnsi="Arial"/>
          <w:sz w:val="17"/>
          <w:szCs w:val="17"/>
          <w:color w:val="auto"/>
        </w:rPr>
        <w:t>defense resources for more than 2,000,000 military members, their dependents, and civilian employees through use of the Common Access Card (“CAC”). We operate more than 250,000 components that comprise 7,000 end-user systems deployed around the world to nearly 2,000 military installations. We provide near real-time data collection support on personnel movement and location information for operating forces, government civil servants, and government contractors in specified operational theaters. This system has captured over 636,000,000 scans of government, U.S. military, and contractor personnel since its inception. Our logistics infrastructure provides responsive 24-hour delivery of components to our warfighters deployed across the globe, and we custom-build our identity, credentialing, and access management solutions to function effectively in austere environments that demand reliability and performance at all times.</w:t>
      </w:r>
    </w:p>
    <w:p>
      <w:pPr>
        <w:spacing w:after="0" w:line="205" w:lineRule="exact"/>
        <w:rPr>
          <w:rFonts w:ascii="Arial" w:cs="Arial" w:eastAsia="Arial" w:hAnsi="Arial"/>
          <w:sz w:val="17"/>
          <w:szCs w:val="17"/>
          <w:color w:val="auto"/>
        </w:rPr>
      </w:pPr>
    </w:p>
    <w:p>
      <w:pPr>
        <w:ind w:left="660" w:hanging="328"/>
        <w:spacing w:after="0" w:line="272"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TSA Airport Employee Vetting</w:t>
      </w:r>
      <w:r>
        <w:rPr>
          <w:rFonts w:ascii="Arial" w:cs="Arial" w:eastAsia="Arial" w:hAnsi="Arial"/>
          <w:sz w:val="17"/>
          <w:szCs w:val="17"/>
          <w:color w:val="auto"/>
        </w:rPr>
        <w:t>. Historically, more than 300,000,000 airline passengers’ travel experiences have been handled by more than</w:t>
      </w:r>
      <w:r>
        <w:rPr>
          <w:rFonts w:ascii="Arial" w:cs="Arial" w:eastAsia="Arial" w:hAnsi="Arial"/>
          <w:sz w:val="17"/>
          <w:szCs w:val="17"/>
          <w:i w:val="1"/>
          <w:iCs w:val="1"/>
          <w:color w:val="auto"/>
        </w:rPr>
        <w:t xml:space="preserve"> </w:t>
      </w:r>
      <w:r>
        <w:rPr>
          <w:rFonts w:ascii="Arial" w:cs="Arial" w:eastAsia="Arial" w:hAnsi="Arial"/>
          <w:sz w:val="17"/>
          <w:szCs w:val="17"/>
          <w:color w:val="auto"/>
        </w:rPr>
        <w:t>1,500,000 aviation workers who are screened through Telos ID’s aviation channeling service. As one of only two authorized aviation channeling providers in the market, we offer our aviation partners innovative biometric, identity trust, and customer service technologies that are critical to the operation of more than half of the largest airports in the nation. We actively support nearly 100 commercial airports, airlines, and general aviation customers, and our Independent Secure Flight Vetting technology provides a secure vetting service for non-travelers who need to access secure areas of an airport. We were the first commercial company in the United States to implement the FBI’s Rap Back service, enabling our aviation partners to perform continuous monitoring for insider threat detection.</w:t>
      </w:r>
    </w:p>
    <w:p>
      <w:pPr>
        <w:spacing w:after="0" w:line="204" w:lineRule="exact"/>
        <w:rPr>
          <w:rFonts w:ascii="Arial" w:cs="Arial" w:eastAsia="Arial" w:hAnsi="Arial"/>
          <w:sz w:val="17"/>
          <w:szCs w:val="17"/>
          <w:color w:val="auto"/>
        </w:rPr>
      </w:pPr>
    </w:p>
    <w:p>
      <w:pPr>
        <w:ind w:left="660" w:right="18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U.S. Census Bureau Enumerator Screening</w:t>
      </w:r>
      <w:r>
        <w:rPr>
          <w:rFonts w:ascii="Arial" w:cs="Arial" w:eastAsia="Arial" w:hAnsi="Arial"/>
          <w:sz w:val="18"/>
          <w:szCs w:val="18"/>
          <w:color w:val="auto"/>
        </w:rPr>
        <w:t>. For the 2020 U.S. Census, we have processed more than 1,000,000 enumerators through our 1,100</w:t>
      </w:r>
      <w:r>
        <w:rPr>
          <w:rFonts w:ascii="Arial" w:cs="Arial" w:eastAsia="Arial" w:hAnsi="Arial"/>
          <w:sz w:val="18"/>
          <w:szCs w:val="18"/>
          <w:i w:val="1"/>
          <w:iCs w:val="1"/>
          <w:color w:val="auto"/>
        </w:rPr>
        <w:t xml:space="preserve"> </w:t>
      </w:r>
      <w:r>
        <w:rPr>
          <w:rFonts w:ascii="Arial" w:cs="Arial" w:eastAsia="Arial" w:hAnsi="Arial"/>
          <w:sz w:val="18"/>
          <w:szCs w:val="18"/>
          <w:color w:val="auto"/>
        </w:rPr>
        <w:t>identity service centers. Telos ID extends digital identity verification, fingerprinting, and photo services across the nation in support of 2020 Census hiring initiatives. We custom designed and deployed more than 1,300 desktop, kiosk, and mobile workstations that are operated by thousands of Census-cleared staff members. At the peak, Telos ID’s managed service supported more than 30,000 appointments per day, and our customer call center handled more than 35,000 daily calls at the peak.</w:t>
      </w:r>
    </w:p>
    <w:p>
      <w:pPr>
        <w:spacing w:after="0" w:line="204" w:lineRule="exact"/>
        <w:rPr>
          <w:rFonts w:ascii="Arial" w:cs="Arial" w:eastAsia="Arial" w:hAnsi="Arial"/>
          <w:sz w:val="18"/>
          <w:szCs w:val="18"/>
          <w:color w:val="auto"/>
        </w:rPr>
      </w:pPr>
    </w:p>
    <w:p>
      <w:pPr>
        <w:ind w:left="660" w:right="60" w:hanging="328"/>
        <w:spacing w:after="0" w:line="184"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TSA PreCheck</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Enrollment Screening</w:t>
      </w:r>
      <w:r>
        <w:rPr>
          <w:rFonts w:ascii="Arial" w:cs="Arial" w:eastAsia="Arial" w:hAnsi="Arial"/>
          <w:sz w:val="17"/>
          <w:szCs w:val="17"/>
          <w:color w:val="auto"/>
        </w:rPr>
        <w:t>. Telos ID’s recent award of a 10-year contract to provide enrollment services in support of the TSA</w:t>
      </w:r>
      <w:r>
        <w:rPr>
          <w:rFonts w:ascii="Arial" w:cs="Arial" w:eastAsia="Arial" w:hAnsi="Arial"/>
          <w:sz w:val="17"/>
          <w:szCs w:val="17"/>
          <w:i w:val="1"/>
          <w:iCs w:val="1"/>
          <w:color w:val="auto"/>
        </w:rPr>
        <w:t xml:space="preserve"> </w:t>
      </w:r>
      <w:r>
        <w:rPr>
          <w:rFonts w:ascii="Arial" w:cs="Arial" w:eastAsia="Arial" w:hAnsi="Arial"/>
          <w:sz w:val="17"/>
          <w:szCs w:val="17"/>
          <w:color w:val="auto"/>
        </w:rPr>
        <w:t>PreCheck</w:t>
      </w:r>
      <w:r>
        <w:rPr>
          <w:rFonts w:ascii="Arial" w:cs="Arial" w:eastAsia="Arial" w:hAnsi="Arial"/>
          <w:sz w:val="28"/>
          <w:szCs w:val="28"/>
          <w:color w:val="auto"/>
          <w:vertAlign w:val="superscript"/>
        </w:rPr>
        <w:t>®</w:t>
      </w:r>
      <w:r>
        <w:rPr>
          <w:rFonts w:ascii="Arial" w:cs="Arial" w:eastAsia="Arial" w:hAnsi="Arial"/>
          <w:sz w:val="17"/>
          <w:szCs w:val="17"/>
          <w:color w:val="auto"/>
        </w:rPr>
        <w:t xml:space="preserve"> Enrollment Program presents a large, high-profile opportunity for us, and we are preparing to launch services under this program in early 2021. The TSA PreCheck</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contract is an important example of a government-sponsored, consumer facing opportunity, in which we provide PreCheck</w:t>
      </w:r>
      <w:r>
        <w:rPr>
          <w:rFonts w:ascii="Arial" w:cs="Arial" w:eastAsia="Arial" w:hAnsi="Arial"/>
          <w:sz w:val="28"/>
          <w:szCs w:val="28"/>
          <w:color w:val="auto"/>
          <w:vertAlign w:val="superscript"/>
        </w:rPr>
        <w:t>®</w:t>
      </w:r>
      <w:r>
        <w:rPr>
          <w:rFonts w:ascii="Arial" w:cs="Arial" w:eastAsia="Arial" w:hAnsi="Arial"/>
          <w:sz w:val="17"/>
          <w:szCs w:val="17"/>
          <w:color w:val="auto"/>
        </w:rPr>
        <w:t xml:space="preserve"> enrollment services to individual, fee-paying applicants. Telos ID’s service will engage with the world’s leading airline, hospitality, credit card, ride share, and other Fortune 500 businesses to provide consumer marketing and loyalty program tie-ins to promote the PreCheck</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program. In addition, this program is expected to feature an omni-channel market approach that leverages advanced digital services to reach our customers across several market segments.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left="660" w:hanging="328"/>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CMS Healthcare Provider Screening</w:t>
      </w:r>
      <w:r>
        <w:rPr>
          <w:rFonts w:ascii="Arial" w:cs="Arial" w:eastAsia="Arial" w:hAnsi="Arial"/>
          <w:sz w:val="18"/>
          <w:szCs w:val="18"/>
          <w:color w:val="auto"/>
        </w:rPr>
        <w:t>. Telos ID was recently awarded a 10-year contract to provide technology and service solutions that detect,</w:t>
      </w:r>
      <w:r>
        <w:rPr>
          <w:rFonts w:ascii="Arial" w:cs="Arial" w:eastAsia="Arial" w:hAnsi="Arial"/>
          <w:sz w:val="18"/>
          <w:szCs w:val="18"/>
          <w:i w:val="1"/>
          <w:iCs w:val="1"/>
          <w:color w:val="auto"/>
        </w:rPr>
        <w:t xml:space="preserve"> </w:t>
      </w:r>
      <w:r>
        <w:rPr>
          <w:rFonts w:ascii="Arial" w:cs="Arial" w:eastAsia="Arial" w:hAnsi="Arial"/>
          <w:sz w:val="18"/>
          <w:szCs w:val="18"/>
          <w:color w:val="auto"/>
        </w:rPr>
        <w:t>prevent, and proactively deter fraud, waste and abuse in the Medicare and Medicaid programs. Telos ID’s digital identity trust platform and digital services is expected to offer critical technology necessary to identify and mitigate fraud across the United States. Each year, approximately 1,500,000 health care providers are required to undergo FBI-based non-criminal history checks requiring identity trust services, including identity verification, fingerprinting, and continuous monitoring.</w:t>
      </w:r>
    </w:p>
    <w:p>
      <w:pPr>
        <w:spacing w:after="0" w:line="21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6"/>
          <w:szCs w:val="16"/>
          <w:color w:val="auto"/>
        </w:rPr>
        <w:t>Telos ID's digital trusted identity platform -- IDTrust360® -- is a leading, fully integrated suite containing IoT, Machine Learning (ML), AI, and other advanced cloud-hosted products and services that deliver identity trust, multi-modal biometric capture and matching, identity assurance, identity vetting, document validation, credentialing, personnel security, case management, call center support, cyber security, network and security operations, service management, integrated logistics, and numerous other features and functions. Its open architecture is supported by a flexible API gateway and a robust workflow engine that can efficiently extend individual services or offer the entire platform as a SaaS or turn-key solution for our customers. IDTrust360® is the only commercially owned and operated platform on the market with direct interfaces to the FBI's criminal records, DHS's terrorist watch list service, Treasury's pay.gov, other government identity risk management systems, and numerous commercial identity, intelligence, and risk-based data sources. We are actively engaged with federal customers to integrate vital event records, government identification document records, and other fingerprint-based biometric records hosted across multiple agencies. This enables Telos ID exclusively to offer NIST-compliant digital identity services aligned with federal security mandates. IDTrust360</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extends web, mobile, and client applications within a fully integrated low-code development environment for rapid application development. The environment meets FISMA High certification standards and is NIST SP 800-53 certified within multiple federal agencies, while boasting 99.998% availability performance and enterprise-level scalability. IDTrust360</w:t>
      </w:r>
      <w:r>
        <w:rPr>
          <w:rFonts w:ascii="Arial" w:cs="Arial" w:eastAsia="Arial" w:hAnsi="Arial"/>
          <w:sz w:val="26"/>
          <w:szCs w:val="26"/>
          <w:color w:val="auto"/>
          <w:vertAlign w:val="superscript"/>
        </w:rPr>
        <w:t>®</w:t>
      </w:r>
      <w:r>
        <w:rPr>
          <w:rFonts w:ascii="Arial" w:cs="Arial" w:eastAsia="Arial" w:hAnsi="Arial"/>
          <w:sz w:val="16"/>
          <w:szCs w:val="16"/>
          <w:color w:val="auto"/>
        </w:rPr>
        <w:t xml:space="preserve"> leverages leading cyber security and network monitoring tools aligned with DHS Continuous Diagnostics &amp; Mitigation and industry best practices for strengthening network defense and enhancing the resiliency of our infrastructure necessary for managing and protecting millions of identity records, sensitive information, and end-point hardware components deployed across thousands of sites around the world for customers operating within defense, homeland security and law enforcement, financial, health, commerce, transportation, retail, and other market segments.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 Mobility</w:t>
      </w:r>
    </w:p>
    <w:p>
      <w:pPr>
        <w:spacing w:after="0" w:line="256"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Nearly 20 years ago, we were the first non-government solutions provider to receive approval to design and deliver secure wireless solutions to DoD. That authorization to operate enabled us to build a very large footprint within DoD and the U.S. Air Force. As a result, we have a long track record of enabling our customers to work remotely and securely. Given the depth of our relationships, when one of our customers elects to modernize its remote mobility infrastructure, it frequently chooses to work with us. Within the U.S. Air Force and supporting DoD communities, we have designed and delivered enterprise-level secure mobile networks on every active duty, Air National Guard, and Air Force Reserve site worldwide.</w:t>
      </w:r>
    </w:p>
    <w:p>
      <w:pPr>
        <w:spacing w:after="0" w:line="188"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auto"/>
        </w:rPr>
        <w:t>Our secure mobility team brings credentials to every engagement, supplying deep expertise and experience as well as highly desirable clearances and industry recognized certifications for network engineering, mobility, and security. We also foster and maintain key industry partnerships, offering insight into technology advances and early access to new secure mobility solutions.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Management and Defense</w:t>
      </w:r>
    </w:p>
    <w:p>
      <w:pPr>
        <w:spacing w:after="0" w:line="25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a managed basis, we offer a broad suite of services needed to operate, administer, and defend complex enterprise networks, giving our customers the benefit of these capabilities without having to commit to the cost and burden of providing the services for themselves. We have the expertise to manage and defend large-scale enterprises and have been successful at hiring and retaining personnel with the necessary key skills and security clearances.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56" w:lineRule="exact"/>
        <w:rPr>
          <w:sz w:val="20"/>
          <w:szCs w:val="20"/>
          <w:color w:val="auto"/>
        </w:rPr>
      </w:pPr>
    </w:p>
    <w:p>
      <w:pPr>
        <w:ind w:left="660" w:right="60" w:hanging="328"/>
        <w:spacing w:after="0" w:line="25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Leading cybersecurity company with a long history of providing security solutions to the most sophisticated customers</w:t>
      </w:r>
      <w:r>
        <w:rPr>
          <w:rFonts w:ascii="Arial" w:cs="Arial" w:eastAsia="Arial" w:hAnsi="Arial"/>
          <w:sz w:val="18"/>
          <w:szCs w:val="18"/>
          <w:color w:val="auto"/>
        </w:rPr>
        <w:t>. We have been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solutions, specializing in the area of cybersecurity, since 1995. Our customers include some of the most security-conscious organizations in the world, including the IC. For example, we believe that our award-winning Xacta offering is the dominant commercial risk management solution in the federal government space and is increasingly being adopted in the commercial sphere, notably by leading cloud providers such as AWS and Microsoft Azure. Additionally, Telos Ghost gives organizations and individuals the ability to hide in plain sight, eliminating attack vectors from hackers through obfuscation and mis-attribution. And, we believe our Telos ID identity offerings are market disruptors that present large opportunities for growth.</w:t>
      </w:r>
    </w:p>
    <w:p>
      <w:pPr>
        <w:spacing w:after="0" w:line="221" w:lineRule="exact"/>
        <w:rPr>
          <w:rFonts w:ascii="Arial" w:cs="Arial" w:eastAsia="Arial" w:hAnsi="Arial"/>
          <w:sz w:val="18"/>
          <w:szCs w:val="18"/>
          <w:color w:val="auto"/>
        </w:rPr>
      </w:pPr>
    </w:p>
    <w:p>
      <w:pPr>
        <w:ind w:left="660" w:right="40" w:hanging="328"/>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Superior security solutions and capabilities</w:t>
      </w:r>
      <w:r>
        <w:rPr>
          <w:rFonts w:ascii="Arial" w:cs="Arial" w:eastAsia="Arial" w:hAnsi="Arial"/>
          <w:sz w:val="17"/>
          <w:szCs w:val="17"/>
          <w:color w:val="auto"/>
        </w:rPr>
        <w:t>. Our solutions are designed for both government and commercial industries and are configured to</w:t>
      </w:r>
      <w:r>
        <w:rPr>
          <w:rFonts w:ascii="Arial" w:cs="Arial" w:eastAsia="Arial" w:hAnsi="Arial"/>
          <w:sz w:val="17"/>
          <w:szCs w:val="17"/>
          <w:i w:val="1"/>
          <w:iCs w:val="1"/>
          <w:color w:val="auto"/>
        </w:rPr>
        <w:t xml:space="preserve"> </w:t>
      </w:r>
      <w:r>
        <w:rPr>
          <w:rFonts w:ascii="Arial" w:cs="Arial" w:eastAsia="Arial" w:hAnsi="Arial"/>
          <w:sz w:val="17"/>
          <w:szCs w:val="17"/>
          <w:color w:val="auto"/>
        </w:rPr>
        <w:t>operate in highly sensitive, highly classified environments, serving some of the most demanding, secure organizations in the world. Our solutions are flexible, and can be deployed in various ways, including on premises, in the cloud, or in hybrid or multi-cloud environments.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 w:name="page11"/>
    <w:bookmarkEnd w:id="10"/>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hanging="328"/>
        <w:spacing w:after="0" w:line="272"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Proven ability to win and retain large contracts and enterprise-level deals, providing clear visibility into future revenue and profitability</w:t>
      </w:r>
      <w:r>
        <w:rPr>
          <w:rFonts w:ascii="Arial" w:cs="Arial" w:eastAsia="Arial" w:hAnsi="Arial"/>
          <w:sz w:val="17"/>
          <w:szCs w:val="17"/>
          <w:color w:val="auto"/>
        </w:rPr>
        <w:t>.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over 20 active acquisition contracts and vehicles, thousands of active contracts and purchase orders, and more than 350 customers in each of the last three years. These contracts, vehicles and customers present a solid platform for growth. As but one example, we have provided IT security support to the Defense Manpower Data Center (“DMDC”) under a variety of contract vehicles since 1995, and this program accounts for annual revenue at a historical average of approximately $28 million over the last five years. We also have proven repeatedly our ability to deploy our security solutions at the enterprise level for both federal and commercial organizations. These long-term contract relationships provide predictable, recurring revenue at attractive margins.</w:t>
      </w:r>
    </w:p>
    <w:p>
      <w:pPr>
        <w:spacing w:after="0" w:line="204" w:lineRule="exact"/>
        <w:rPr>
          <w:rFonts w:ascii="Arial" w:cs="Arial" w:eastAsia="Arial" w:hAnsi="Arial"/>
          <w:sz w:val="17"/>
          <w:szCs w:val="17"/>
          <w:color w:val="auto"/>
        </w:rPr>
      </w:pPr>
    </w:p>
    <w:p>
      <w:pPr>
        <w:ind w:left="660" w:right="20" w:hanging="328"/>
        <w:spacing w:after="0" w:line="273"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Our substantial investments into technology and automation can be expanded beyond our core market</w:t>
      </w:r>
      <w:r>
        <w:rPr>
          <w:rFonts w:ascii="Arial" w:cs="Arial" w:eastAsia="Arial" w:hAnsi="Arial"/>
          <w:sz w:val="17"/>
          <w:szCs w:val="17"/>
          <w:color w:val="auto"/>
        </w:rPr>
        <w:t>. Our solutions are built to help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be more secure, more efficient, and more effective. We have made investments across the company to take advantage of efficiencies and automation through scalable security solutions that are market driven and market proven. In contrast to traditional cybersecurity businesses with a focus on government customers, we own the intellectual property developed through our R&amp;D initiatives and can deploy our technology solutions across our entire public and private sector customer set. The ability to offer our solutions beyond the U.S. federal government sphere is a key enabler of our strategy to grow and expand our relationships with commercial customers.</w:t>
      </w:r>
    </w:p>
    <w:p>
      <w:pPr>
        <w:spacing w:after="0" w:line="204"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Strong relationships with our customers</w:t>
      </w:r>
      <w:r>
        <w:rPr>
          <w:rFonts w:ascii="Arial" w:cs="Arial" w:eastAsia="Arial" w:hAnsi="Arial"/>
          <w:sz w:val="18"/>
          <w:szCs w:val="18"/>
          <w:color w:val="auto"/>
        </w:rPr>
        <w:t>. We are a customer-centric organization and pride ourselves on our close customer relationships.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longstanding relationships with DoD, civilian agencies of the federal government, and the IC that date back more than two decades. Since 1995, our security solutions have been adopted by many defense, intelligence, civilian agency, and commercial customers, and we believe that the Telos brand has become synonymous with trust.</w:t>
      </w:r>
    </w:p>
    <w:p>
      <w:pPr>
        <w:spacing w:after="0" w:line="213"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Respected, experienced management team</w:t>
      </w:r>
      <w:r>
        <w:rPr>
          <w:rFonts w:ascii="Arial" w:cs="Arial" w:eastAsia="Arial" w:hAnsi="Arial"/>
          <w:sz w:val="18"/>
          <w:szCs w:val="18"/>
          <w:color w:val="auto"/>
        </w:rPr>
        <w:t>. Our executive officers have an average tenure at Telos of approximately 21 years. The team is</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of personnel with extensive military, federal government, and commercial backgrounds who are directly familiar with customer needs. Our management team also includes senior professionals who are experienced in developing commercial software solutions and leading technical teams throughout the development process.</w:t>
      </w:r>
    </w:p>
    <w:p>
      <w:pPr>
        <w:spacing w:after="0" w:line="213"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COVID-resistant business</w:t>
      </w:r>
      <w:r>
        <w:rPr>
          <w:rFonts w:ascii="Arial" w:cs="Arial" w:eastAsia="Arial" w:hAnsi="Arial"/>
          <w:sz w:val="18"/>
          <w:szCs w:val="18"/>
          <w:color w:val="auto"/>
        </w:rPr>
        <w:t>. We support mission critical operations. Because of this and the growth of remote workforces as a result of the COVID-19 pandemic, we believe, based upon our 2020 financial performance to date, that our business is relatively COVID resistant. Additionally, the automation provided by our solutions can help customers do more with less as they are forced to downsize their staffs because of the pandemic. Automation is now even more critical to efficiently manage a business, including with respect to cyber risk and regulatory compliance, which should result in additional demand for our security solutions.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5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are pursuing multiple strategies in order to grow the company, in both our commercial and government business end markets in the United States and abroad. Our key strategies are:</w:t>
      </w:r>
    </w:p>
    <w:p>
      <w:pPr>
        <w:spacing w:after="0" w:line="197" w:lineRule="exact"/>
        <w:rPr>
          <w:sz w:val="20"/>
          <w:szCs w:val="20"/>
          <w:color w:val="auto"/>
        </w:rPr>
      </w:pPr>
    </w:p>
    <w:p>
      <w:pPr>
        <w:ind w:left="660" w:hanging="328"/>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Leverage our diverse security solutions to expand our presence in commercial markets</w:t>
      </w:r>
      <w:r>
        <w:rPr>
          <w:rFonts w:ascii="Arial" w:cs="Arial" w:eastAsia="Arial" w:hAnsi="Arial"/>
          <w:sz w:val="18"/>
          <w:szCs w:val="18"/>
          <w:color w:val="auto"/>
        </w:rPr>
        <w:t>. Our offerings are designed to have broad application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security risk and compliance, secure messaging, identity vetting, and managed attribution and obfuscation. We believe that we are well-positioned to sell our capabilities into a dynamic and growing commercial opportunity set and to innovate to address emerging and unique requirements. For example, we have leveraged core Xacta functionality to meet the needs of large financial services and CRM firms. We have also leveraged our U.S. federal government identity management qualifications to improve the speed and accuracy of vetting results for nearly 100 airports, air carriers, and general aviation across the country. We intend to continue to innovate and are developing additional offerings for cloud, mobile, and IoT devices.</w:t>
      </w:r>
    </w:p>
    <w:p>
      <w:pPr>
        <w:spacing w:after="0" w:line="221" w:lineRule="exact"/>
        <w:rPr>
          <w:rFonts w:ascii="Arial" w:cs="Arial" w:eastAsia="Arial" w:hAnsi="Arial"/>
          <w:sz w:val="18"/>
          <w:szCs w:val="18"/>
          <w:color w:val="auto"/>
        </w:rPr>
      </w:pPr>
    </w:p>
    <w:p>
      <w:pPr>
        <w:ind w:left="660" w:right="40" w:hanging="328"/>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Grow our revenue and expand margins by building robust sales channels</w:t>
      </w:r>
      <w:r>
        <w:rPr>
          <w:rFonts w:ascii="Arial" w:cs="Arial" w:eastAsia="Arial" w:hAnsi="Arial"/>
          <w:sz w:val="18"/>
          <w:szCs w:val="18"/>
          <w:color w:val="auto"/>
        </w:rPr>
        <w:t>. In recent years, we have formed an inside sales organization that serves</w:t>
      </w:r>
      <w:r>
        <w:rPr>
          <w:rFonts w:ascii="Arial" w:cs="Arial" w:eastAsia="Arial" w:hAnsi="Arial"/>
          <w:sz w:val="18"/>
          <w:szCs w:val="18"/>
          <w:i w:val="1"/>
          <w:iCs w:val="1"/>
          <w:color w:val="auto"/>
        </w:rPr>
        <w:t xml:space="preserve"> </w:t>
      </w:r>
      <w:r>
        <w:rPr>
          <w:rFonts w:ascii="Arial" w:cs="Arial" w:eastAsia="Arial" w:hAnsi="Arial"/>
          <w:sz w:val="18"/>
          <w:szCs w:val="18"/>
          <w:color w:val="auto"/>
        </w:rPr>
        <w:t>as both the direct channel to a wider account universe and an effective and efficient training program to grow our field sales organization. We plan to expand our partner program to include a variety of channels, including resellers, integrators, and contract partners to help us more quickly gain access to new markets, particularly commercial and international. For example, both Telos Ghost and Xacta are now available through various AWS and Microsoft Azure marketplaces, serving regions around the world and markets requiring varying levels of security. We plan to grow our direct sales team and to accelerate the expansion of these channel partner initiatives, which we anticipate will drive revenue growth and material gross margin expansion.</w:t>
      </w:r>
    </w:p>
    <w:p>
      <w:pPr>
        <w:spacing w:after="0" w:line="221"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Target and replace inefficient legacy products</w:t>
      </w:r>
      <w:r>
        <w:rPr>
          <w:rFonts w:ascii="Arial" w:cs="Arial" w:eastAsia="Arial" w:hAnsi="Arial"/>
          <w:sz w:val="18"/>
          <w:szCs w:val="18"/>
          <w:color w:val="auto"/>
        </w:rPr>
        <w:t>. Recognizing the limitations of their legacy systems, organizations are replacing existing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processes with our solutions. For example, Telos AMHS is a web-centric system that replaced legacy capabilities like communications centers for the purpose of executing operational orders (through organizational messaging) across the U.S. federal government and around the world. Xacta has disrupted the cyber risk and compliance management business across the U.S. federal government, replacing tedious manual activity with automation and delivering that automation to meet our customer’s needs flexibly on premises, in hybrid environments, in the cloud, and across multi-cloud infrastructures.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 w:name="page12"/>
    <w:bookmarkEnd w:id="11"/>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Broaden reach within the U.S. federal government</w:t>
      </w:r>
      <w:r>
        <w:rPr>
          <w:rFonts w:ascii="Arial" w:cs="Arial" w:eastAsia="Arial" w:hAnsi="Arial"/>
          <w:sz w:val="18"/>
          <w:szCs w:val="18"/>
          <w:color w:val="auto"/>
        </w:rPr>
        <w:t>. We have historically focused on the U.S. federal government and believe that we are an</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leader in providing security solutions to federal agencies, including DoD and the IC. Nonetheless, we believe the U.S. federal government represents a significant growth opportunity, and we expect to continue to invest in products to serve additional customers in this vertical. For example, Xacta is included on DHS’s CDM Approved Products List to provide federal agencies with innovative security tools, which we believe presents us with an excellent opportunity to pursue contracts with additional federal agencies. In addition, our platform is available for use in the AWS GovCloud (US) and Azure Government.</w:t>
      </w:r>
    </w:p>
    <w:p>
      <w:pPr>
        <w:spacing w:after="0" w:line="219" w:lineRule="exact"/>
        <w:rPr>
          <w:rFonts w:ascii="Arial" w:cs="Arial" w:eastAsia="Arial" w:hAnsi="Arial"/>
          <w:sz w:val="18"/>
          <w:szCs w:val="18"/>
          <w:color w:val="auto"/>
        </w:rPr>
      </w:pPr>
    </w:p>
    <w:p>
      <w:pPr>
        <w:ind w:left="660" w:right="180" w:hanging="328"/>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Expand our international footprint</w:t>
      </w:r>
      <w:r>
        <w:rPr>
          <w:rFonts w:ascii="Arial" w:cs="Arial" w:eastAsia="Arial" w:hAnsi="Arial"/>
          <w:sz w:val="18"/>
          <w:szCs w:val="18"/>
          <w:color w:val="auto"/>
        </w:rPr>
        <w:t>. We are expanding our international operations and intend to invest globally to broaden our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footprint. We are currently working with countries such as Canada, Singapore, Australia, and Bahrain to offer Xacta to address cyber risk and compliance management capabilities. We are also working to expand AMHS to all NATO countries and to offer Telos Ghost internationally. We intend to grow our international customer base by increasing our investments in overseas operations, establishing channel partners, and adding personnel in Europe, the Middle East, and Asia-Pacific.</w:t>
      </w:r>
    </w:p>
    <w:p>
      <w:pPr>
        <w:spacing w:after="0" w:line="214" w:lineRule="exact"/>
        <w:rPr>
          <w:rFonts w:ascii="Arial" w:cs="Arial" w:eastAsia="Arial" w:hAnsi="Arial"/>
          <w:sz w:val="18"/>
          <w:szCs w:val="18"/>
          <w:color w:val="auto"/>
        </w:rPr>
      </w:pPr>
    </w:p>
    <w:p>
      <w:pPr>
        <w:ind w:left="660" w:right="120" w:hanging="328"/>
        <w:spacing w:after="0" w:line="30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Pursue strategic acquisition opportunities</w:t>
      </w:r>
      <w:r>
        <w:rPr>
          <w:rFonts w:ascii="Arial" w:cs="Arial" w:eastAsia="Arial" w:hAnsi="Arial"/>
          <w:sz w:val="16"/>
          <w:szCs w:val="16"/>
          <w:color w:val="auto"/>
        </w:rPr>
        <w:t>. We believe that our markets remain fragmented, with many niche players providing limited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targeting narrow customer segments. Given the breadth of our solution set and our customer end markets, we believe that we are well-positioned to opportunistically acquire smaller companies and incorporate their technology or deploy their solutions across a larger customer set. We believe that a targeted and opportunistic acquisition strategy will complement our significant organic growth opportunity.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typically focus on large government and commercial organizations that have demanding security requirements and/or complex cyber security risk and compliance management objectives.</w:t>
      </w:r>
    </w:p>
    <w:p>
      <w:pPr>
        <w:spacing w:after="0" w:line="197"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Customer acquisition often involves extensive interaction at all levels of the organizations from users to executives and decision makers. We seek to forge relationships throughout an organization in an effort to obtain broad consensus as part of the sales process. Currently, the customer acquisition process is largely driven by direct sales activity.</w:t>
      </w:r>
    </w:p>
    <w:p>
      <w:pPr>
        <w:spacing w:after="0" w:line="21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As a result of the long tenure of many of our employees, many of our sales and business development executives have trusted relationships that have developed over many years. We augment these trusted relationships with senior leaders who have retired from the military, civil service, and various related industries. Many of these individuals are our employees. These leaders provide our sales team with access to high level contacts that would be difficult to achieve otherwise.</w:t>
      </w:r>
    </w:p>
    <w:p>
      <w:pPr>
        <w:spacing w:after="0" w:line="21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Our sales executives are supported by an inside sales team that works with the Telos marketing team on various awareness campaigns where sales leads are obtained, vetted, and pursued via proactive outreach (calls, email, etc.).</w:t>
      </w:r>
    </w:p>
    <w:p>
      <w:pPr>
        <w:spacing w:after="0" w:line="197"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Metrics are tracked using a formal CRM process and used to equip the sales executives with useful sales data. Our sales team works hand in hand with our marketing team and various subject matter experts to develop target awareness campaigns for our various solutions that generate valuable leads and contacts.</w:t>
      </w:r>
    </w:p>
    <w:p>
      <w:pPr>
        <w:spacing w:after="0" w:line="211" w:lineRule="exact"/>
        <w:rPr>
          <w:sz w:val="20"/>
          <w:szCs w:val="20"/>
          <w:color w:val="auto"/>
        </w:rPr>
      </w:pPr>
    </w:p>
    <w:p>
      <w:pPr>
        <w:jc w:val="both"/>
        <w:ind w:right="360" w:firstLine="324"/>
        <w:spacing w:after="0" w:line="301" w:lineRule="auto"/>
        <w:rPr>
          <w:sz w:val="20"/>
          <w:szCs w:val="20"/>
          <w:color w:val="auto"/>
        </w:rPr>
      </w:pPr>
      <w:r>
        <w:rPr>
          <w:rFonts w:ascii="Arial" w:cs="Arial" w:eastAsia="Arial" w:hAnsi="Arial"/>
          <w:sz w:val="16"/>
          <w:szCs w:val="16"/>
          <w:color w:val="auto"/>
        </w:rPr>
        <w:t>Our sales strategy is to establish a customer foothold with one of our solutions and work to achieve rapid success. We then leverage this customer relationship to expand usage of other Telos solutions. We have a variety of upsell opportunities that allow us to expand our presence within a customer account. For example, there are various complementary Xacta features that build on each other and are sold separately. Additionally, our sales team is responsible for selling all Telos solutions. This allows a sales executive to quickly identify demand for other Telos solutions in existing accounts.</w:t>
      </w:r>
    </w:p>
    <w:p>
      <w:pPr>
        <w:spacing w:after="0" w:line="184" w:lineRule="exact"/>
        <w:rPr>
          <w:sz w:val="20"/>
          <w:szCs w:val="20"/>
          <w:color w:val="auto"/>
        </w:rPr>
      </w:pPr>
    </w:p>
    <w:p>
      <w:pPr>
        <w:jc w:val="both"/>
        <w:ind w:right="460" w:firstLine="324"/>
        <w:spacing w:after="0" w:line="271" w:lineRule="auto"/>
        <w:rPr>
          <w:sz w:val="20"/>
          <w:szCs w:val="20"/>
          <w:color w:val="auto"/>
        </w:rPr>
      </w:pPr>
      <w:r>
        <w:rPr>
          <w:rFonts w:ascii="Arial" w:cs="Arial" w:eastAsia="Arial" w:hAnsi="Arial"/>
          <w:sz w:val="17"/>
          <w:szCs w:val="17"/>
          <w:color w:val="auto"/>
        </w:rPr>
        <w:t>Our sales team also works with partner organizations like AWS, Microsoft Azure, and Rackspace Technology, Inc. to pursue mutual customers. These relationships represent our current channel sales strategy that we are in the process of expanding. We are also actively working with Singapore Technologies Engineering, Limited, which is helping us gain access to the Asian market for cyber security solutions.</w:t>
      </w:r>
    </w:p>
    <w:p>
      <w:pPr>
        <w:ind w:right="120"/>
        <w:spacing w:after="0" w:line="255" w:lineRule="auto"/>
        <w:rPr>
          <w:sz w:val="20"/>
          <w:szCs w:val="20"/>
          <w:color w:val="auto"/>
        </w:rPr>
      </w:pPr>
      <w:r>
        <w:rPr>
          <w:rFonts w:ascii="Arial" w:cs="Arial" w:eastAsia="Arial" w:hAnsi="Arial"/>
          <w:sz w:val="18"/>
          <w:szCs w:val="18"/>
          <w:color w:val="auto"/>
        </w:rPr>
        <w:t>We plan to expand our direct sales capability for markets in which we are well-known, such as the U.S. government, certain critical infrastructure sectors, and certain commercial verticals like healthcare and financial services. We also plan to expand our channel sales capability to gain rapid access to other commercial verticals and international markets.</w:t>
      </w:r>
    </w:p>
    <w:p>
      <w:pPr>
        <w:spacing w:after="0" w:line="217"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We will be increasing our investment in sales and marketing with the goal of increasing sales of our security solutions and acquiring customers in a variety of verticals. In 2021, we are planning on implementing an approximate 300% increase from our 2020 sales and marketing investment. We currently have less than 10 salespeople at Telos who carry quotas that they are expected to meet. We plan on adding direct, quota-driven, in-house sales assets to focus on commercial accounts. We will focus Xacta and Telos Ghost sales efforts in the banking/financial services and insurance sector, healthcare, energy, and other critical infrastructure protection markets. We will also be investing in additional lead generation tools, financial incentives and marketing programs.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partner program will include a variety of channels, including resellers, technical/integrators, and consulting partners to help us accelerate access and implementations in new markets, particularly commercial and international. Currently, we participate in Microsoft and AWS partner programs, which incentivize their respective sellers to promote Telos security solutions (e.g., Xacta and Telos Ghost).</w:t>
      </w:r>
    </w:p>
    <w:p>
      <w:pPr>
        <w:spacing w:after="0" w:line="21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As part of the sales and channel program investment, we are also making corporate investments in functional areas such as contracts, solution architects and operations.</w:t>
      </w:r>
    </w:p>
    <w:p>
      <w:pPr>
        <w:spacing w:after="0" w:line="19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Much of our business is awarded through submission of formal competitive bids, though about 50% is awarded through limited competition or sole source contracts.</w:t>
      </w:r>
    </w:p>
    <w:p>
      <w:pPr>
        <w:spacing w:after="0" w:line="19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build market awareness of Telos and our solutions through a variety of marketing programs, including regular briefings with industry analysts, public relations activities, government relations initiatives, web seminars, trade show exhibitions, speaking engagements and web site marketing. We will be making additional investments in these types of activities and targeting additional vertical specific content creation, targeted advertising and brand awareness campaigns, social media campaigns, and search engine marketing. When appropriate, we will engage in joint marketing activities with our channel, technology and consulting partners.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operate in a highly competitive marketplace. There are other companies that provide solutions similar to ours. Although these companies provide offerings that overlap with some of our solutions, we are not aware of any single company that provides competitive solutions in all of the areas where we compete. The primary companies with which our solutions compete range from security solutions and software organizations such as CLEAR (operated by Alclear, LLC), Cutting Edge, IDEMIA, MetricStream Inc., Palantir Technologies Inc., RSA Archer, ServiceNow, Inc., and Unisys Corporation, to more traditional government services integrators that provide products and services such as Booz Allen Hamilton Inc., General Dynamics Corporation, Lockheed Martin Corporation, Northrop Grumman Corporation, and Science Applications International Corporation.</w:t>
      </w:r>
    </w:p>
    <w:p>
      <w:pPr>
        <w:spacing w:after="0" w:line="20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majority of our business is in response to competitive requests from potential and current customers. Decisions regarding contract awards by our customers typically are based upon an assessment of the quality of our past performance, responsiveness to proposal requirements, uniqueness of the offering itself, price, and other competitive factors.</w:t>
      </w:r>
    </w:p>
    <w:p>
      <w:pPr>
        <w:spacing w:after="0" w:line="21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Aside from other companies that compete in our space, we sometimes face indirect competition from solutions that are developed “in-house” by some of our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and Culture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we had 785 employees, of which approximately 60% held security clearances.</w:t>
      </w:r>
    </w:p>
    <w:p>
      <w:pPr>
        <w:spacing w:after="0" w:line="25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people are proficient in many fields such as computer science, information security and vulnerability testing, networking technologies, physics, engineering, operations research, mathematics, economics, and business administration. We place a high value on our people. As a result, we seek to remain competitive in terms of salary structures, incentive compensation programs, fringe benefits, opportunities for growth, and individual recognition and award programs.</w:t>
      </w:r>
    </w:p>
    <w:p>
      <w:pPr>
        <w:spacing w:after="0" w:line="214"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management team is committed to maintaining a corporate culture that fosters mutual respect and job satisfaction for our people, while delivering innovation and value to customers and shareholders. This commitment is reflected in our core values.</w:t>
      </w:r>
    </w:p>
    <w:p>
      <w:pPr>
        <w:spacing w:after="0" w:line="197" w:lineRule="exact"/>
        <w:rPr>
          <w:sz w:val="20"/>
          <w:szCs w:val="20"/>
          <w:color w:val="auto"/>
        </w:rPr>
      </w:pPr>
    </w:p>
    <w:p>
      <w:pPr>
        <w:ind w:left="2760"/>
        <w:spacing w:after="0"/>
        <w:rPr>
          <w:sz w:val="20"/>
          <w:szCs w:val="20"/>
          <w:color w:val="auto"/>
        </w:rPr>
      </w:pPr>
      <w:r>
        <w:rPr>
          <w:rFonts w:ascii="Arial" w:cs="Arial" w:eastAsia="Arial" w:hAnsi="Arial"/>
          <w:sz w:val="18"/>
          <w:szCs w:val="18"/>
          <w:i w:val="1"/>
          <w:iCs w:val="1"/>
          <w:color w:val="auto"/>
        </w:rPr>
        <w:t xml:space="preserve">Always </w:t>
      </w:r>
      <w:r>
        <w:rPr>
          <w:rFonts w:ascii="Arial" w:cs="Arial" w:eastAsia="Arial" w:hAnsi="Arial"/>
          <w:sz w:val="18"/>
          <w:szCs w:val="18"/>
          <w:color w:val="auto"/>
        </w:rPr>
        <w:t>with integrity, at Telos we:</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Build trusted relationships,</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Work hard together,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Design and deliver superior solutions, </w:t>
      </w:r>
      <w:r>
        <w:rPr>
          <w:rFonts w:ascii="Arial" w:cs="Arial" w:eastAsia="Arial" w:hAnsi="Arial"/>
          <w:sz w:val="18"/>
          <w:szCs w:val="18"/>
          <w:i w:val="1"/>
          <w:iCs w:val="1"/>
          <w:color w:val="auto"/>
        </w:rPr>
        <w:t>and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Have fun doing it.</w:t>
      </w:r>
    </w:p>
    <w:p>
      <w:pPr>
        <w:spacing w:after="0" w:line="238" w:lineRule="exact"/>
        <w:rPr>
          <w:sz w:val="20"/>
          <w:szCs w:val="20"/>
          <w:color w:val="auto"/>
        </w:rPr>
      </w:pPr>
    </w:p>
    <w:p>
      <w:pPr>
        <w:ind w:right="620" w:firstLine="324"/>
        <w:spacing w:after="0" w:line="286" w:lineRule="auto"/>
        <w:rPr>
          <w:sz w:val="20"/>
          <w:szCs w:val="20"/>
          <w:color w:val="auto"/>
        </w:rPr>
      </w:pPr>
      <w:r>
        <w:rPr>
          <w:rFonts w:ascii="Arial" w:cs="Arial" w:eastAsia="Arial" w:hAnsi="Arial"/>
          <w:sz w:val="17"/>
          <w:szCs w:val="17"/>
          <w:color w:val="auto"/>
        </w:rPr>
        <w:t>These values are woven throughout the fabric of Telos. They are reflected in our hiring practices, reinforced regularly, and reviewed during appraisals. They are written into annual and quarterly objectives for staff and managers alike, as well as department and company business goals. Employees are encouraged to challenge themselves and each other to exhibit the core values in everyday activities.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employees also are given avenues of communication and interaction should they observe activities that are inconsistent with our core values.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Encouraged first to speak openly about any issues, a hotline provides an opportunity to express concerns anonymously.</w:t>
      </w:r>
    </w:p>
    <w:p>
      <w:pPr>
        <w:spacing w:after="0" w:line="2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consider the foundational value of integrity to be a non-negotiable requirement of employment, and an expectation of suppliers, partners, and our customers. We guard our reputation and will take aggressive action to protect it. An essential part of our brand promise is that we always engage employees, customers, partners, suppliers, and investors with integrity.</w:t>
      </w:r>
    </w:p>
    <w:p>
      <w:pPr>
        <w:sectPr>
          <w:pgSz w:w="11900" w:h="16838" w:orient="portrait"/>
          <w:cols w:equalWidth="0" w:num="1">
            <w:col w:w="11080"/>
          </w:cols>
          <w:pgMar w:left="320" w:top="125" w:right="499" w:bottom="1440" w:gutter="0" w:footer="0" w:header="0"/>
        </w:sect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type w:val="continuous"/>
        </w:sectPr>
      </w:pPr>
    </w:p>
    <w:bookmarkStart w:id="13" w:name="page14"/>
    <w:bookmarkEnd w:id="13"/>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 and Regulation</w:t>
      </w:r>
    </w:p>
    <w:p>
      <w:pPr>
        <w:spacing w:after="0" w:line="25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Our business is heavily regulated. We must comply with and are affected by laws and regulations relating to the formation, administration and performance of U.S. Government and other contracts. These laws and regulations, among other things:</w:t>
      </w:r>
    </w:p>
    <w:p>
      <w:pPr>
        <w:spacing w:after="0" w:line="197" w:lineRule="exact"/>
        <w:rPr>
          <w:sz w:val="20"/>
          <w:szCs w:val="20"/>
          <w:color w:val="auto"/>
        </w:rPr>
      </w:pPr>
    </w:p>
    <w:p>
      <w:pPr>
        <w:ind w:left="660" w:right="1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impose specific and unique cost accounting practices that may differ from Generally Accepted Accounting Principles (“GAAP”) in the United States of America and therefore require reconciliation;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impose acquisition regulations that define reimbursable and non-reimbursable costs;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restrict the use and dissemination of information classified for national security purposes and the export of certain products and technical data.</w:t>
      </w:r>
    </w:p>
    <w:p>
      <w:pPr>
        <w:spacing w:after="0" w:line="2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Government contracts are subject to congressional funding. Consequently, at the outset of a program, a contract is usually partially funded, and Congress annually determines if additional funds are to be appropriated to the contract. All of our government customers have the right to terminate their contract with us at their convenience or in the event that we default.</w:t>
      </w:r>
    </w:p>
    <w:p>
      <w:pPr>
        <w:spacing w:after="0" w:line="21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A portion of our business is classified by the U.S. Government and cannot be specifically described. The operating results of these classified programs are included in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develop our annual budgeted revenue by estimating for the upcoming year our continuing business from existing customers and active contracts. We consider backlog, both funded and unfunded (as explained below), other expected annual renewals, and expansion planned by our current customers. In the context of our current customer portfolio, we view “recurring revenue” as revenue that occurs often and repeatedly. In each of the last three years, recurring revenue has exceeded 85% of our annual revenue. Our total budgeted revenue is the combination of recurring revenue and a forecast of new business.</w:t>
      </w:r>
    </w:p>
    <w:p>
      <w:pPr>
        <w:spacing w:after="0" w:line="21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Total backlog, a component of recurring revenue, consists of the aggregate contract revenues remaining to be earned by us at a given time over the life of our contracts, whether funded or unfunded. Funded backlog consists of the aggregate contract revenues remaining to be earned at a given time, which, in the case of U.S. government contracts, means that they have been funded by the procuring agency. Unfunded backlog is the difference between total backlog and funded backlog and includes potential revenues that may be earned if customers exercise delivery orders and/or renewal options to continue these contracts. Based on historical experience, we generally assume option year renewals to be exercised. Most of our customers fund contracts on a basis of one year or less and, as a result, funded backlog is generally expected to be earned within one year from any point in time, whereas unfunded backlog is expected to be earned over a longer period.</w:t>
      </w: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14" w:name="page15"/>
    <w:bookmarkEnd w:id="14"/>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to other information in this Form 10-K, the following risk factors should be carefully considered in evaluating the Company and its businesses because these factors currently have, or may have, a significant impact on our business, operating results or financial condition. Actual results could differ materially from those projected in the forward-looking statements contained in this Form 10-K as a result of the risk factors discussed below and elsewhere in this Form 10-K.</w:t>
      </w:r>
    </w:p>
    <w:p>
      <w:pPr>
        <w:spacing w:after="0" w:line="2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color w:val="auto"/>
        </w:rPr>
        <w:t>We depend on the U.S. Government for a significant portion of our sales and a significant decline in U.S. Government defense and intelligence community spending, or a reallocation of spending to other priorities, could have an adverse impact on our financial condition and results of operations</w:t>
      </w:r>
      <w:r>
        <w:rPr>
          <w:rFonts w:ascii="Arial" w:cs="Arial" w:eastAsia="Arial" w:hAnsi="Arial"/>
          <w:sz w:val="18"/>
          <w:szCs w:val="18"/>
          <w:color w:val="auto"/>
        </w:rPr>
        <w:t>.</w:t>
      </w:r>
    </w:p>
    <w:p>
      <w:pPr>
        <w:spacing w:after="0" w:line="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sales are highly concentrated with the U.S. Government. The customer relationship with the U.S. Government involves certain risks that are unique. The programs in which we participate must compete with other programs and policy imperatives during the budget and appropriations process. In each of the past three years, a substantial portion of our net sales were to the U.S. Government, particularly the DoD. U.S. defense spending has historically been cyclical. Defense budgets have received their strongest support when perceived threats to national security raise the level of concern over the country’s safety. As these threats subside, spending on the military tends to decrease. Rising budget deficits, increasing national debt, the cost of the global war on terrorism, increasing costs for entitlement programs, and potentially the large costs of combating the Coronavirus pandemic and addressing the health concerns and economic dislocation caused by COVID-19, continue to put pressure on all areas of discretionary spending, which could ultimately impact the defense budget and other aspects of federal discretionary spending.</w:t>
      </w:r>
    </w:p>
    <w:p>
      <w:pPr>
        <w:spacing w:after="0" w:line="19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U.S. Government appropriations have been and continue to be affected by larger U.S. Government budgetary issues and related legislation. In 2011, Congress enacted the Budget Control Act of 2011 (the “BCA”), which established specific limits on annual appropriations for fiscal years 2012-2021. These limits were subsequently amended several times. With the expiration of the BCA at the end of FY 2021, there are no statutory limits in place for FY 2022.</w:t>
      </w:r>
    </w:p>
    <w:p>
      <w:pPr>
        <w:spacing w:after="0" w:line="214"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According to the non-partisan Congressional Budget Office (CBO), since enactment of the BCA, federal outlays devoted to defense programs fell from 4.5 percent as a share of Gross Domestic Product (GDP) to as low as 3.1 percent of GDP in each of fiscal years 2016-18, before rising slightly the past two years to a level of 3.4 percent in FY 2020. Moreover, CBO reports that, as a result of the spending caps imposed by the BCA, non-adjusted defense outlays subsequently shrank from $699.4 billion in FY 2011 to as low as $583.4 billion in FY 2016, and did not again exceed their FY 2011 level until FY 2020, when outlays were $713.8 billion, two percent above the FY 2011 level.</w:t>
      </w:r>
    </w:p>
    <w:p>
      <w:pPr>
        <w:spacing w:after="0" w:line="20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FYs 2020 and 2021, the COVID-19 pandemic and associated economic dislocation in the United States has resulted in an overwhelming federal response, including enactment of several massive and comprehensive emergency appropriations and economic stimulus measures. These were in addition to annual appropriations legislation for FY 2021, which was not enacted into law until late December 2020, nearly three months after the beginning of the fiscal year, during which time the government once again operated under a series of Continuing Resolutions which strictly limited new spending initiatives. These enormous emergency spending packages and their resulting increases in the budget deficit will necessarily factor into future spending decisions to an unknown degree. Further, as the outgoing Trump Administration did not complete its work on a proposed FY 2022 budget prior to leaving office on January 20, 2021, and the incoming Biden Administration has been delayed in submitting a proposed budget to Congress, the proposed spending levels for FY 2022 cannot be predicted. Finally, the near- and long-term impacts of the COVID-19 health and associated economic crisis on federal budget planning and the government contracts that we hold, and on the federal procurements that we would otherwise compete for, cannot be known.</w:t>
      </w:r>
    </w:p>
    <w:p>
      <w:pPr>
        <w:spacing w:after="0" w:line="212"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Should Congress and the White House be unable to make sufficient progress on the FY 2022 budget and enact appropriations legislation prior to the beginning of the new fiscal year on October 1, 2021, the Department of Defense and other federal departments and agencies will likely again be funded for an unknown period of time under a Continuing Resolution, which would restrict new spending initiatives.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seasonality of the U.S. government spending.</w:t>
      </w:r>
    </w:p>
    <w:p>
      <w:pPr>
        <w:spacing w:after="0" w:line="27" w:lineRule="exact"/>
        <w:rPr>
          <w:sz w:val="20"/>
          <w:szCs w:val="20"/>
          <w:color w:val="auto"/>
        </w:rPr>
      </w:pPr>
    </w:p>
    <w:p>
      <w:pPr>
        <w:ind w:right="20" w:firstLine="324"/>
        <w:spacing w:after="0" w:line="292" w:lineRule="auto"/>
        <w:rPr>
          <w:sz w:val="20"/>
          <w:szCs w:val="20"/>
          <w:color w:val="auto"/>
        </w:rPr>
      </w:pPr>
      <w:r>
        <w:rPr>
          <w:rFonts w:ascii="Arial" w:cs="Arial" w:eastAsia="Arial" w:hAnsi="Arial"/>
          <w:sz w:val="16"/>
          <w:szCs w:val="16"/>
          <w:color w:val="auto"/>
        </w:rPr>
        <w:t>We derive a substantial portion of our revenues from U.S. government contracting, and as a result, we are subject to the annual seasonality of the U.S. government purchasing. Because the U.S. government fiscal year ends on September 30, it is not uncommon for U.S. government agencies to award extra tasks in the weeks immediately prior to the end of its fiscal year in order to avoid the loss of unexpended fiscal year funds. As a result of this seasonality, we have historically experienced higher revenues in the third and fourth fiscal quarters, ending September 30 and December 31, respectively, with the pace of orders typically substantially reduced during the first and second fiscal quarters ending March 31 and June 30, respectively.</w:t>
      </w:r>
    </w:p>
    <w:p>
      <w:pPr>
        <w:spacing w:after="0" w:line="37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15" w:name="page16"/>
    <w:bookmarkEnd w:id="15"/>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pricing structures for our solutions and services may change from time to time.</w:t>
      </w:r>
    </w:p>
    <w:p>
      <w:pPr>
        <w:spacing w:after="0" w:line="27"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expect that we may change our pricing model from time to time, including as a result of competition, global economic conditions, and general reductions in our customers’ spending levels, pricing studies, or changes in how our solutions are broadly consumed. Similarly, as we introduce new products and services, or as a result of the evolution of our existing solutions and services, we may have difficulty determining the appropriate price structure for our products and services. In addition, as new and existing competitors introduce new products or services that compete with ours, or revise their pricing structures, we may be unable to attract new customers at the same price or based on the same pricing model as we have used historically. Moreover, as we continue to target selling our solutions and services to larger organizations, these larger organizations may demand substantial price concessions. In addition, we may need to change pricing policies to accommodate government pricing guidelines for our contracts with federal, state, local, and foreign governments and government agencies. If we are unable to modify or develop pricing models and strategies that are attractive to existing and prospective customers, while enabling us to significantly grow our sales and revenue relative to our associated costs and expenses in a reasonable period of time, our business, financial condition, and results of operations may be adversely impacted.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We depend on computing infrastructure operated by Amazon Web Services (“AWS”), Microsoft, and other third parties to support some of our solutions and customers, and any errors, disruption, performance problems, or failure in their or our operational infrastructure could adversely affect our business, financial condition, and results of operations.</w:t>
      </w:r>
    </w:p>
    <w:p>
      <w:pPr>
        <w:spacing w:after="0" w:line="1"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We rely on the technology, infrastructure, and software applications, of certain third parties, such as AWS and Microsoft Azure, in order to host or operate some of certain key platform features or functions of our business. Additionally, we rely on computer hardware and cloud capabilities purchased in order to deliver our solutions and services. We do not have control over the operations of the facilities of the third parties that we use. If any of these third-party services experience errors, disruptions, security issues, or other performance deficiencies, if they are updated such that our solutions become incompatible, if these services, software, or hardware fail or become unavailable due to extended outages, interruptions, defects, or otherwise, or if they are no longer available on commercially reasonable terms or prices (or at all), these issues could result in errors or defects in our solutions, cause our solutions to fail, our revenue and margins could decline, or our reputation and brand to be damaged, we could be exposed to legal or contractual liability, our expenses could increase, our ability to manage our operations could be interrupted, and our processes for managing our sales and servicing our customers could be impaired until equivalent services or technology, if available, are identified, procured, and implemented, all of which may take significant time and resources, increase our costs, and could adversely affect our business. Many of these third-party providers attempt to impose limitations on their liability for such errors, disruptions, defects, performance deficiencies, or failures, and if enforceable, we may have additional liability to our customers or third-party providers.</w:t>
      </w:r>
    </w:p>
    <w:p>
      <w:pPr>
        <w:spacing w:after="0" w:line="211"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We have experienced, and may in the future experience, disruptions, failures, data loss, outages, and other performance problems with our infrastructure and cloud-based offerings due to a variety of factors, including infrastructure changes, introductions of new functionality, human or software errors, employee misconduct, capacity constraints, denial of service attacks, phishing attacks, computer viruses, malicious or destructive code, or other security-related incidents, and our disaster recovery planning may not be sufficient for all situations. If we experience disruptions, failures, data loss, outages, or other performance problems, our business, financial condition, and results of operations could be adversely affected.</w:t>
      </w:r>
    </w:p>
    <w:p>
      <w:pPr>
        <w:spacing w:after="0" w:line="18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systems and the third-party systems upon which we and our customers rely are also vulnerable to damage or interruption from catastrophic occurrences such as earthquakes, floods, fires, power loss, telecommunication failures, cybersecurity threats, terrorist attacks, natural disasters, public health crises such as the COVID-19 pandemic, geopolitical and similar events, or acts of misconduct. Despite any precautions we may take, the occurrence of a catastrophic disaster or other unanticipated problems at our or our third-party vendors’ hosting facilities, or within our systems or the systems of third parties upon which we rely, could result in interruptions, performance problems, or failure of our infrastructure, technology, or solutions, which may adversely impact our business. In addition, our ability to conduct normal business operations could be severely affected. In the event of significant physical damage to one of these facilities, it may take a significant period of time to achieve full resumption of our services, and our disaster recovery planning may not account for all eventualities. In addition, any negative publicity arising from these disruptions could harm our reputation and brand and adversely affect our business.</w:t>
      </w:r>
    </w:p>
    <w:p>
      <w:pPr>
        <w:spacing w:after="0" w:line="20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Furthermore, our solutions are in many cases important or essential to our customers’ operations, including in some cases, their cybersecurity or oversight and compliance programs, and subject to service level agreements (“SLAs”). Any interruption in our service, whether as a result of an internal or third-party issue, could damage our brand and reputation, cause our customers to terminate or not renew their contracts with us or decrease use of our solutions and services, require us to indemnify our customers against certain losses, result in our issuing credit or paying penalties or fines, subject us to other losses or liabilities, cause our solutions to be perceived as unreliable or unsecure, and prevent us from gaining new or additional business from current or future customers, any of which could harm our business, financial condition, and results of operations.</w:t>
      </w:r>
    </w:p>
    <w:p>
      <w:pPr>
        <w:spacing w:after="0" w:line="19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Moreover,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could be adversely affected. The provisioning of additional cloud hosting capacity requires lead time. AWS, Microsoft Azure, and other third parties have no obligation to renew their agreements with us on commercially reasonable terms, or at all. If AWS, Microsoft Azure, or other third parties increase pricing terms, terminate or seek to terminate our contractual relationship, establish more favorable relationships with our competitors, or change or interpret their terms of service or policies in a manner that is unfavorable with respect to us, we may be required to transfer to other cloud providers or invest in a private cloud. If we are required to transfer to other cloud providers or invest in a private cloud, we could incur significant costs and experience possible service interruption in connection with doing so, or risk loss of customer contracts if they are unwilling to accept such a change.</w:t>
      </w:r>
    </w:p>
    <w:p>
      <w:pPr>
        <w:sectPr>
          <w:pgSz w:w="11900" w:h="16838" w:orient="portrait"/>
          <w:cols w:equalWidth="0" w:num="1">
            <w:col w:w="11060"/>
          </w:cols>
          <w:pgMar w:left="320" w:top="125" w:right="519" w:bottom="1440" w:gutter="0" w:footer="0" w:header="0"/>
        </w:sectPr>
      </w:pP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type w:val="continuous"/>
        </w:sectPr>
      </w:pPr>
    </w:p>
    <w:bookmarkStart w:id="16" w:name="page17"/>
    <w:bookmarkEnd w:id="16"/>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 failure to maintain our relationships with our third-party providers (or obtain adequate replacements), and to receive services from such providers that do not contain any material errors or defects, could adversely affect our ability to deliver effective products and solutions to our customers and adversely affect our business and results of operations.</w:t>
      </w:r>
    </w:p>
    <w:p>
      <w:pPr>
        <w:spacing w:after="0" w:line="20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We are dependent on a few key customer contracts for a significant portion of our future revenue, and a significant reduction in services to one or more of these contracts would reduce our future revenue and harm our anticipated operating results.</w:t>
      </w:r>
    </w:p>
    <w:p>
      <w:pPr>
        <w:ind w:right="80" w:firstLine="324"/>
        <w:spacing w:after="0" w:line="268" w:lineRule="auto"/>
        <w:rPr>
          <w:sz w:val="20"/>
          <w:szCs w:val="20"/>
          <w:color w:val="auto"/>
        </w:rPr>
      </w:pPr>
      <w:r>
        <w:rPr>
          <w:rFonts w:ascii="Arial" w:cs="Arial" w:eastAsia="Arial" w:hAnsi="Arial"/>
          <w:sz w:val="17"/>
          <w:szCs w:val="17"/>
          <w:color w:val="auto"/>
        </w:rPr>
        <w:t>A small number of our large customer contracts, including the TSA PreCheck™ enrollment program and our program with CMS, are expected to comprise a significant portion of our future revenue. Our business will likely be harmed if any of our key customer contracts do not generate as much revenue as we forecast, and the termination or delay of a large contract or of multiple contracts could have a material adverse effect on our revenue and profitability. Adverse events affecting the programs subject to these contracts could also negatively affect our ability to process transactions under those contracts, which could adversely affect our revenue and results of operations. For example, the COVID-19 pandemic may adversely affect or disrupt the TSA PreCheck™ enrollment program, which could lead to delays in the implementation of that program and changes in demand for that program. In addition, if the COVID-19 pandemic and associated protective or preventative measures expand, we may experience a material adverse effect on our business operations, revenues, financial condition, and ability to execute on business or contract opportunities; however, the ultimate impact is highly uncertain and subject to change.</w:t>
      </w:r>
    </w:p>
    <w:p>
      <w:pPr>
        <w:spacing w:after="0" w:line="20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color w:val="auto"/>
        </w:rPr>
        <w:t>We will face risks associated with the growth of our business in new commercial markets and with new customer verticals, and we may neither be able to continue our organic growth nor have the necessary resources to dedicate to the overall growth of our business.</w:t>
      </w:r>
    </w:p>
    <w:p>
      <w:pPr>
        <w:spacing w:after="0" w:line="1"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plan to expand our operations in new commercial markets, including those where we may have limited operating experience, and may be subject to increased business, technology and economic risks that could affect our financial results. In recent periods, we have increased our focus on commercial customers. In the future, we may increasingly focus on such customers, including in the banking, financial services, healthcare, pharmaceutical, manufacturing, telecommunication, airlines and aerospace, insurance, retail, transportation, shipping and logistics, and energy industries, as well as other critical infrastructure industries. Entering new verticals and expanding in the verticals in which we are already operating will continue to require significant resources and there is no guarantee that such efforts will be successful or beneficial to us. Historically, sales to a new customer have often led to additional sales to the same customer or similarly situated customers. As we expand into and within new and emerging markets and heavily regulated industry verticals, we will likely face additional regulatory scrutiny, risks, and burdens from the governments and agencies which regulate those markets and industries. While this approach to expansion within new commercial markets and verticals has proven successful in the past, it is uncertain we will achieve the same penetration and organic growth in the future and our reputation, business, financial condition, and results of operations could be negatively impacted.</w:t>
      </w:r>
    </w:p>
    <w:p>
      <w:pPr>
        <w:spacing w:after="0" w:line="20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color w:val="auto"/>
        </w:rPr>
        <w:t>In the future, we may seek to enter into other credit facilities to help fund our working capital needs. These credit facilities may expose us to additional risks associated with leverage and may inhibit our operating flexibility.</w:t>
      </w:r>
    </w:p>
    <w:p>
      <w:pPr>
        <w:ind w:firstLine="324"/>
        <w:spacing w:after="0" w:line="260" w:lineRule="auto"/>
        <w:rPr>
          <w:sz w:val="20"/>
          <w:szCs w:val="20"/>
          <w:color w:val="auto"/>
        </w:rPr>
      </w:pPr>
      <w:r>
        <w:rPr>
          <w:rFonts w:ascii="Arial" w:cs="Arial" w:eastAsia="Arial" w:hAnsi="Arial"/>
          <w:sz w:val="18"/>
          <w:szCs w:val="18"/>
          <w:color w:val="auto"/>
        </w:rPr>
        <w:t>We may seek to enter into other credit facilities with third-party lenders to help fund our business. Such credit facilities will likely require us to pay a commitment fee on the undrawn amount and will likely contain a number of affirmative and restrictive covenants.</w:t>
      </w:r>
    </w:p>
    <w:p>
      <w:pPr>
        <w:spacing w:after="0" w:line="21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If we violate any such covenants, our lenders could accelerate the maturity of any debt outstanding and we may be prohibited from making any distributions to our stockholders. Such debt may be secured by our assets, including the stock we may own in subsidiaries and the rights we have under intercompany loan agreements that we may enter into in the future with our businesses. Our ability to meet our debt service obligations may be affected by events beyond our control and will depend primarily upon cash produced by our business. Any failure to comply with the terms of our indebtedness may have a material adverse effect on our financial condition.</w:t>
      </w:r>
    </w:p>
    <w:p>
      <w:pPr>
        <w:spacing w:after="0" w:line="215"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In addition, we expect that such credit facilities will bear interest at floating rates which will generally change as interest rates change. We will bear the risk that the rates that we are charged by our lenders will increase faster than we can grow the cash flow from our businesses, which could reduce profitability, materially adversely affect our ability to service our debt and cause us to breach covenants contained in our third-party credit facilities.</w:t>
      </w:r>
    </w:p>
    <w:p>
      <w:pPr>
        <w:spacing w:after="0" w:line="172"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b w:val="1"/>
          <w:bCs w:val="1"/>
          <w:color w:val="auto"/>
        </w:rPr>
        <w:t>Our business is subject to complex and evolving U.S. and non-U.S. laws and regulations regarding privacy, data protection and security, technology protection, and other matters. Many of these laws and regulations are subject to change and uncertain interpretation, and could result in claims, changes to our business practices, monetary penalties, increased cost of operations, or otherwise harm our business.</w:t>
      </w:r>
    </w:p>
    <w:p>
      <w:pPr>
        <w:spacing w:after="0" w:line="2"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We are subject to a variety of local, state, national, and international laws and directives and regulations in the United States and abroad that involve matters central to our business, including privacy and data protection, data security, data storage, retention, transfer and deletion, technology protection, and personal information. Foreign data protection, data security, privacy, and other laws and regulations can impose different obligations or be more restrictive than those in the United States. These U.S. federal and state and foreign laws and regulations, which, depending on the regime, may be enforced by private parties or government entities, are constantly evolving and can be subject to significant change, and they are likely to remain uncertain for the foreseeable future. In addition, the application, interpretation, and enforcement of these laws and regulations are often uncertain, and may be interpreted and applied inconsistently from country to country and inconsistently with our current policies and practices. A number of proposals are pending before U.S. federal, state, and foreign legislative and regulatory bodies that could significantly affect our business.</w:t>
      </w:r>
    </w:p>
    <w:p>
      <w:pPr>
        <w:spacing w:after="0" w:line="197"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The overarching complexity of privacy and data protection laws and regulations around the world pose a compliance challenge that could manifest in costs, damages, or liability in other forms as a result of failure to implement proper programmatic controls, failure to adhere to those controls, or the malicious or inadvertent breach of applicable privacy and data protection requirements by us, our employees, our business partners, or our customers.</w:t>
      </w:r>
    </w:p>
    <w:p>
      <w:pPr>
        <w:sectPr>
          <w:pgSz w:w="11900" w:h="16838" w:orient="portrait"/>
          <w:cols w:equalWidth="0" w:num="1">
            <w:col w:w="11060"/>
          </w:cols>
          <w:pgMar w:left="320" w:top="125" w:right="519" w:bottom="1440" w:gutter="0" w:footer="0" w:header="0"/>
        </w:sectPr>
      </w:pP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type w:val="continuous"/>
        </w:sectPr>
      </w:pPr>
    </w:p>
    <w:bookmarkStart w:id="17" w:name="page18"/>
    <w:bookmarkEnd w:id="17"/>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addition to government regulation, self-regulatory standards and other industry standards may legally or contractually apply to us, be argued to apply to us, or we may elect to comply with such standards or to facilitate our customers’ compliance with such standards. Because privacy, data protection, and information security are critical competitive factors in our industry, we may make statements on our website, in marketing materials, or in other settings about our data security measures and our compliance with, or our ability to facilitate our customers’ compliance with, these standards. We also expect that there will continue to be new proposed laws and regulations concerning privacy, data protection, and information security, and we cannot yet determine the impact such future laws, regulations and standards, or amendments to or re-interpretations of existing laws and regulations, industry standards, or other obligations may have on our business. New laws, amendments to or re-interpretations of existing laws and regulations, industry standards, and contractual and other obligations may require us to incur additional costs and restrict our business operations. As these legal regimes relating to privacy, data protection, and information security continue to evolve, they may result in ever-increasing public scrutiny and escalating levels of enforcement and sanctions. Furthermore, because the interpretation and application of laws, standards, contractual obligations and other obligations relating to privacy, data protection, and information security are uncertain, these laws, standards, and contractual and other obligations may be interpreted and applied in a manner that is, or is alleged to be, inconsistent with our data management practices, our policies or procedures, or the features of our solutions. If so, in addition to the possibility of fines, lawsuits, and other claims, we could be required to fundamentally change our business activities and practices or modify our solutions, which could have an adverse effect on our business. We may be unable to make such changes and modifications in a commercially reasonable manner or at all, and our ability to fulfill existing obligations, make enhancements, or develop new solutions and features could be limited. Furthermore, the costs of compliance with, and other burdens imposed by, the laws, regulations, and policies that are applicable to the businesses of our customers may limit the use and adoption of, and reduce the overall demand for, our solutions.</w:t>
      </w:r>
    </w:p>
    <w:p>
      <w:pPr>
        <w:spacing w:after="0" w:line="20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These existing and proposed laws and regulations can be costly to comply with and can make our solutions and services less effective or valuable, delay or impede the development of new products, result in negative publicity, increase our operating costs, require us to modify our data handling practices, limit our operations, impose substantial fines and penalties, require significant management time and attention, or put our data or technology at risk. Any failure or perceived failure by us or our solutions to comply with U.S., or applicable foreign laws, regulations, directives, policies, industry standards, or legal obligations relating to privacy, data protection, or information security, or any security incident that results in loss of or the unauthorized access to, or acquisition, use, release, or transfer of, personal information, personal data, or other customer or sensitive data sensitive data or information may result in governmental investigations, inquiries, enforcement actions and prosecutions, private claims and litigation, indemnification or other contractual obligations, other remedies, including fines or demands that we modify or cease existing business practices, or adverse publicity, and related costs and liabilities, which could significantly and adversely affect our business and results of operations.</w:t>
      </w:r>
    </w:p>
    <w:p>
      <w:pPr>
        <w:spacing w:after="0" w:line="18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color w:val="auto"/>
        </w:rPr>
        <w:t>Changes in accounting principles or their application to us could result in unfavorable accounting charges or effects, which could adversely affect our results of operations and growth prospects.</w:t>
      </w:r>
    </w:p>
    <w:p>
      <w:pPr>
        <w:ind w:right="20" w:firstLine="324"/>
        <w:spacing w:after="0" w:line="286" w:lineRule="auto"/>
        <w:rPr>
          <w:sz w:val="20"/>
          <w:szCs w:val="20"/>
          <w:color w:val="auto"/>
        </w:rPr>
      </w:pPr>
      <w:r>
        <w:rPr>
          <w:rFonts w:ascii="Arial" w:cs="Arial" w:eastAsia="Arial" w:hAnsi="Arial"/>
          <w:sz w:val="16"/>
          <w:szCs w:val="16"/>
          <w:color w:val="auto"/>
        </w:rPr>
        <w:t>We prepare consolidated financial statements in accordance with U.S. GAAP. In particular, we make certain estimates and assumptions related to the adoption and interpretation of these principles including the recognition of our revenue and the accounting of our stock-based compensation expense with respect to our consolidated financial statements. If these assumptions turn out to be incorrect, our revenue or our stock-based compensation expense could materially differ from our expectations, which could have a material adverse effect on our financial results. A change in any of these principles or guidance, or in their interpretations or application to us, may have a significant effect on our reported results, as well as our processes and related controls, and may retroactively affect previously reported results or our forecasts, which may negatively impact our financial statements. For example, recent new standards issued by the Financial Accounting Standards Board could materially impact our consolidated financial statements</w:t>
      </w:r>
      <w:r>
        <w:rPr>
          <w:rFonts w:ascii="Arial" w:cs="Arial" w:eastAsia="Arial" w:hAnsi="Arial"/>
          <w:sz w:val="16"/>
          <w:szCs w:val="16"/>
          <w:i w:val="1"/>
          <w:iCs w:val="1"/>
          <w:color w:val="auto"/>
        </w:rPr>
        <w:t>.</w:t>
      </w:r>
      <w:r>
        <w:rPr>
          <w:rFonts w:ascii="Arial" w:cs="Arial" w:eastAsia="Arial" w:hAnsi="Arial"/>
          <w:sz w:val="16"/>
          <w:szCs w:val="16"/>
          <w:color w:val="auto"/>
        </w:rPr>
        <w:t xml:space="preserve"> The adoption of these new standards may potentially require enhancements or changes in our processes or systems and may require significant time and cost on behalf of our financial management. This may in turn adversely affect our results of operations and growth prospects.</w:t>
      </w:r>
    </w:p>
    <w:p>
      <w:pPr>
        <w:spacing w:after="0" w:line="195"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b w:val="1"/>
          <w:bCs w:val="1"/>
          <w:color w:val="auto"/>
        </w:rPr>
        <w:t>If our judgments or estimates relating to our critical accounting policies are based on assumptions that change or prove to be incorrect, our results of operations could fall below expectations of securities analysts and investors, resulting in a decline in our stock price.</w:t>
      </w:r>
    </w:p>
    <w:p>
      <w:pPr>
        <w:spacing w:after="0" w:line="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judgments, estimates, and assumptions that affect the amounts reported in the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and equity, and the amount of revenue and expenses that are not readily apparent from other sources.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Significant judgments, estimates, and assumptions used in preparing our consolidated financial statements include, or may in the future include, those related to revenue recognition, stock-based compensation, common stock valuations, and income taxes.</w:t>
      </w:r>
    </w:p>
    <w:p>
      <w:pPr>
        <w:spacing w:after="0" w:line="381"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18" w:name="page19"/>
    <w:bookmarkEnd w:id="18"/>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b w:val="1"/>
          <w:bCs w:val="1"/>
          <w:color w:val="auto"/>
        </w:rPr>
        <w:t>A novel strain of coronavirus, COVID-19, as well as variants of this strain, may adversely affect our future business operations, financial condition and our ability to execute on business or contract opportunities.</w:t>
      </w:r>
    </w:p>
    <w:p>
      <w:pPr>
        <w:ind w:right="140" w:firstLine="324"/>
        <w:spacing w:after="0" w:line="256" w:lineRule="auto"/>
        <w:rPr>
          <w:sz w:val="20"/>
          <w:szCs w:val="20"/>
          <w:color w:val="auto"/>
        </w:rPr>
      </w:pPr>
      <w:r>
        <w:rPr>
          <w:rFonts w:ascii="Arial" w:cs="Arial" w:eastAsia="Arial" w:hAnsi="Arial"/>
          <w:sz w:val="17"/>
          <w:szCs w:val="17"/>
          <w:color w:val="auto"/>
        </w:rPr>
        <w:t>In December 2019, an outbreak of COVID-19 was reported in Wuhan, China. On March 11, 2020, the World Health Organization declared COVID-19 a global pandemic and on March 13, 2020, President Donald J. Trump declared the virus a national emergency. This highly contagious disease has spread to most of the countries in the world and throughout the United States, creating a serious impact on customers, workforces, and suppliers, disrupting economies and financial markets, and potentially leading to a world-wide economic downturn. COVID-19, as well as subsequently reported variants of this strain, have caused a disruption of the normal operations of many businesses, including the temporary closure or scale-back of business operations and/or the imposition of either quarantine or remote work or meeting requirements for employees, either by government order or on a voluntary basis. The pandemic may adversely affect our customers’ ability to perform their missions and is in many cases disrupting their operations. It may also impact the ability of our subcontractors, partners, and suppliers to operate and fulfill their contractual obligations, and result in an increase in their costs and cause delays in performance. These supply chain effects, and the direct effect of the virus and the disruption on our operations, may negatively impact both our ability to meet customer demand and our revenue and profit margins. Our employees, in some cases, are working remotely due either to safety concerns or to customer imposed limitations and using various technologies to perform their functions. We could see delays or changes in customer demand, particularly if government funding priorities change. Additionally, the disruption and volatility in the global and domestic capital markets may increase the cost of capital and limit our ability to access capital. Both the health and economic aspects of COVID-19 are highly fluid and the future course of each is uncertain. For these reasons and other reasons that may come to light if the coronavirus pandemic and associated protective or preventative measures expand, we may experience a material adverse effect on our business operations, revenues and financial condition, and our ability to execute on business or contract opportunities, including the TSA PreCheck</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enrollment program; however, its ultimate impact is highly uncertain and subject to change.</w:t>
      </w:r>
    </w:p>
    <w:p>
      <w:pPr>
        <w:spacing w:after="0" w:line="217" w:lineRule="exact"/>
        <w:rPr>
          <w:sz w:val="20"/>
          <w:szCs w:val="20"/>
          <w:color w:val="auto"/>
        </w:rPr>
      </w:pPr>
    </w:p>
    <w:p>
      <w:pPr>
        <w:ind w:left="660" w:right="260" w:hanging="647"/>
        <w:spacing w:after="0" w:line="293" w:lineRule="auto"/>
        <w:rPr>
          <w:sz w:val="20"/>
          <w:szCs w:val="20"/>
          <w:color w:val="auto"/>
        </w:rPr>
      </w:pPr>
      <w:r>
        <w:rPr>
          <w:rFonts w:ascii="Arial" w:cs="Arial" w:eastAsia="Arial" w:hAnsi="Arial"/>
          <w:sz w:val="16"/>
          <w:szCs w:val="16"/>
          <w:b w:val="1"/>
          <w:bCs w:val="1"/>
          <w:color w:val="auto"/>
        </w:rPr>
        <w:t xml:space="preserve">Our facilities or operations could be adversely affected by events outside of our control, such as natural disasters, wars or health epidemics. </w:t>
      </w:r>
      <w:r>
        <w:rPr>
          <w:rFonts w:ascii="Arial" w:cs="Arial" w:eastAsia="Arial" w:hAnsi="Arial"/>
          <w:sz w:val="16"/>
          <w:szCs w:val="16"/>
          <w:color w:val="auto"/>
        </w:rPr>
        <w:t>We may be impacted by natural disasters, wars, power outages, health epidemics or pandemics, or other events outside of our control. If major</w:t>
      </w:r>
    </w:p>
    <w:p>
      <w:pPr>
        <w:spacing w:after="0" w:line="1"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disasters such as earthquakes, floods, hurricanes, tornadoes, fires, or other events occur, or our information system or communications network breaks down, operates improperly, or is unusable, our headquarters and other facilities may be seriously damaged, or we may have to stop or delay production and delivery of our solutions and services. Although we maintain crisis management and disaster response plans, such events could make it difficult or impossible for us to deliver our solutions and services to our customers, and could decrease demand for our offerings. We may incur shutdowns, delays, disruptions or expenses relating to such events outside of our control, which could have a material adverse impact on our business, operating results and financial condition. Because we do not carry insurance for all of these possible losses, and significant recovery time could be required to resume operations, our financial condition and operating results could be materially adversely affected by such an event outside of our control.</w:t>
      </w:r>
    </w:p>
    <w:p>
      <w:pPr>
        <w:spacing w:after="0" w:line="19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b w:val="1"/>
          <w:bCs w:val="1"/>
          <w:color w:val="auto"/>
        </w:rPr>
        <w:t>Our U.S. Government contracts are subject to competitive bidding, both upon initial issuance and re-competition. If we are unable to successfully compete in the bidding process or if we fail to win re-competitions, it could adversely affect our operating performance and lead to an unexpected loss of revenue.</w:t>
      </w:r>
    </w:p>
    <w:p>
      <w:pPr>
        <w:spacing w:after="0" w:line="1" w:lineRule="exact"/>
        <w:rPr>
          <w:sz w:val="20"/>
          <w:szCs w:val="20"/>
          <w:color w:val="auto"/>
        </w:rPr>
      </w:pPr>
    </w:p>
    <w:p>
      <w:pPr>
        <w:jc w:val="both"/>
        <w:ind w:right="580" w:firstLine="324"/>
        <w:spacing w:after="0" w:line="255" w:lineRule="auto"/>
        <w:rPr>
          <w:sz w:val="20"/>
          <w:szCs w:val="20"/>
          <w:color w:val="auto"/>
        </w:rPr>
      </w:pPr>
      <w:r>
        <w:rPr>
          <w:rFonts w:ascii="Arial" w:cs="Arial" w:eastAsia="Arial" w:hAnsi="Arial"/>
          <w:sz w:val="18"/>
          <w:szCs w:val="18"/>
          <w:color w:val="auto"/>
        </w:rPr>
        <w:t>Substantially all of our U.S. Government contracts are awarded through a competitive bidding process upon initial award and renewal, and we expect that this will continue to be the case. There is often significant competition and pricing pressure as a result of this process. The competitive bidding process presents a number of risks, including the following:</w:t>
      </w:r>
    </w:p>
    <w:p>
      <w:pPr>
        <w:spacing w:after="0" w:line="2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expend substantial funds and time to prepare bids and proposals for contracts that may ultimately be awarded to one of our competitors;</w:t>
      </w:r>
    </w:p>
    <w:p>
      <w:pPr>
        <w:spacing w:after="0" w:line="46" w:lineRule="exact"/>
        <w:rPr>
          <w:rFonts w:ascii="Arial" w:cs="Arial" w:eastAsia="Arial" w:hAnsi="Arial"/>
          <w:sz w:val="16"/>
          <w:szCs w:val="16"/>
          <w:color w:val="auto"/>
        </w:rPr>
      </w:pPr>
    </w:p>
    <w:p>
      <w:pPr>
        <w:ind w:left="660" w:right="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accurately estimate the resources and costs that will be required to perform any contract we are awarded, which could result in substantial cost overruns;</w:t>
      </w: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encounter expense and delay if our competitors protest or challenge awards of contracts, and any such protest or challenge could result in a requirement to resubmit bids on modified specifications or in the termination, reduction or modification of the awarded contract. Additionally, the protest of contracts awarded to us may result in the delay of program performance and the generation of revenue while the protest is pending; and</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are not given the opportunity to re-compete for U.S. Government contracts previously awarded to us, we may incur expenses to protect such decision and ultimately may not succeed in competing for or winning such contract renewal.</w:t>
      </w:r>
    </w:p>
    <w:p>
      <w:pPr>
        <w:spacing w:after="0" w:line="212"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The U.S. Government contracts for which we compete typically have multiple option periods, and if we fail to win a contract or a task order, we generally will be unable to compete again for that contract for several years. If we fail to win new contracts or to receive renewal contracts upon re-competition, it may result in additional costs and expenses and possible loss of revenue, and we will not have an opportunity to compete for these contract opportunities again until such contracts expire.</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9" w:name="page20"/>
    <w:bookmarkEnd w:id="19"/>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U.S. Government contracts generally are not fully funded at inception and are subject to amendment or termination, which places a significant portion of our revenues at risk and could adversely impact our earnings</w:t>
      </w:r>
      <w:r>
        <w:rPr>
          <w:rFonts w:ascii="Arial" w:cs="Arial" w:eastAsia="Arial" w:hAnsi="Arial"/>
          <w:sz w:val="18"/>
          <w:szCs w:val="18"/>
          <w:color w:val="auto"/>
        </w:rPr>
        <w:t>.</w:t>
      </w:r>
    </w:p>
    <w:p>
      <w:pPr>
        <w:ind w:firstLine="324"/>
        <w:spacing w:after="0" w:line="284" w:lineRule="auto"/>
        <w:rPr>
          <w:sz w:val="20"/>
          <w:szCs w:val="20"/>
          <w:color w:val="auto"/>
        </w:rPr>
      </w:pPr>
      <w:r>
        <w:rPr>
          <w:rFonts w:ascii="Arial" w:cs="Arial" w:eastAsia="Arial" w:hAnsi="Arial"/>
          <w:sz w:val="16"/>
          <w:szCs w:val="16"/>
          <w:color w:val="auto"/>
        </w:rPr>
        <w:t>Our U.S. Government sales are funded by customer budgets, which operate on an October-to-September fiscal year. In February of each year, the President of the United States presents to the Congress the budget for the upcoming fiscal year. This budget proposes funding levels for every federal agency and is the result of months of policy and program reviews throughout the Executive branch. From February through September of each year, the appropriations and authorization committees of Congress review the President’s budget proposals and establish the funding levels for the upcoming fiscal year in appropriations and authorization legislation. Once these levels are enacted into law, the Executive Office of the President administers the funds to the agencies. There are two primary risks associated with this process. First, the process may be delayed or disrupted. Changes in congressional schedules, negotiations for program funding levels or unforeseen world events can interrupt the funding for a program or contract. Second, funds for multi-year contracts can be changed in subsequent years in the appropriations process. In addition, the U.S. Government has increasingly relied on IDIQ contracts and other procurement vehicles that are subject to a competitive bidding and funding process even after the award of the basic contract, adding an additional element of uncertainty to future funding levels. Delays in the funding process or changes in funding or funding priorities can impact the timing of available funds or can lead to changes in program content or termination at the government’s convenience. The loss of anticipated funding or the termination of multiple or large programs could have an adverse effect on our future sales and earnings. The health and economic crisis created by the Coronavirus pandemic, and the substantial increase in federal spending devoted to addressing multiple aspects of the crisis, might cause changes in federal or agency spending priorities that might impact our customer’s willingness or ability to continue or extend our contracts or procure contracts which we otherwise, in the absence of the crisis, might have secured.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substantial oversight from federal agencies that have the authority to suspend our ability to bid on contracts</w:t>
      </w:r>
      <w:r>
        <w:rPr>
          <w:rFonts w:ascii="Arial" w:cs="Arial" w:eastAsia="Arial" w:hAnsi="Arial"/>
          <w:sz w:val="18"/>
          <w:szCs w:val="18"/>
          <w:color w:val="auto"/>
        </w:rPr>
        <w:t>.</w:t>
      </w:r>
    </w:p>
    <w:p>
      <w:pPr>
        <w:spacing w:after="0" w:line="27"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As a U.S. Government contractor, we are subject to oversight by many agencies and entities of the U.S. Government that may investigate and make inquiries of our business practices and conduct audits of contract performance and cost accounting. Depending on the results of any such audits and investigations, the U.S. Government may make claims against us. Under U.S. Government procurement regulations and practices, an indictment of a U.S. Government contractor could result in that contractor being fined and/or suspended for a period of time from eligibility for bidding on, or for the award of, new U.S. Government contracts. A conviction could result in debarment for a specified period of time. To the best of management’s knowledge, there are no pending investigations, inquiries, claims or audits against the Company likely to have a material adverse effect on our business or our consolidated results of operations, cash flows or financial position.</w:t>
      </w:r>
    </w:p>
    <w:p>
      <w:pPr>
        <w:spacing w:after="0" w:line="203" w:lineRule="exact"/>
        <w:rPr>
          <w:sz w:val="20"/>
          <w:szCs w:val="20"/>
          <w:color w:val="auto"/>
        </w:rPr>
      </w:pPr>
    </w:p>
    <w:p>
      <w:pPr>
        <w:ind w:left="340" w:right="420" w:hanging="323"/>
        <w:spacing w:after="0" w:line="313" w:lineRule="auto"/>
        <w:rPr>
          <w:sz w:val="20"/>
          <w:szCs w:val="20"/>
          <w:color w:val="auto"/>
        </w:rPr>
      </w:pPr>
      <w:r>
        <w:rPr>
          <w:rFonts w:ascii="Arial" w:cs="Arial" w:eastAsia="Arial" w:hAnsi="Arial"/>
          <w:sz w:val="15"/>
          <w:szCs w:val="15"/>
          <w:b w:val="1"/>
          <w:bCs w:val="1"/>
          <w:color w:val="auto"/>
        </w:rPr>
        <w:t xml:space="preserve">We enter into fixed-price and other contracts that could subject us to losses if we experience cost growth that cannot be billed to customers. </w:t>
      </w:r>
      <w:r>
        <w:rPr>
          <w:rFonts w:ascii="Arial" w:cs="Arial" w:eastAsia="Arial" w:hAnsi="Arial"/>
          <w:sz w:val="15"/>
          <w:szCs w:val="15"/>
          <w:color w:val="auto"/>
        </w:rPr>
        <w:t>Generally, our customer contracts are either fixed-priced or cost reimbursable contracts. Under fixed-priced contracts, which represented</w:t>
      </w:r>
    </w:p>
    <w:p>
      <w:pPr>
        <w:ind w:right="40"/>
        <w:spacing w:after="0" w:line="286" w:lineRule="auto"/>
        <w:rPr>
          <w:sz w:val="20"/>
          <w:szCs w:val="20"/>
          <w:color w:val="auto"/>
        </w:rPr>
      </w:pPr>
      <w:r>
        <w:rPr>
          <w:rFonts w:ascii="Arial" w:cs="Arial" w:eastAsia="Arial" w:hAnsi="Arial"/>
          <w:sz w:val="16"/>
          <w:szCs w:val="16"/>
          <w:color w:val="auto"/>
        </w:rPr>
        <w:t>approximately 84.3% of our 2020 revenues, we receive a fixed price irrespective of the actual costs we incur and, consequently, we carry the burden of any cost overruns. Due to their nature, fixed-priced contracts inherently have more risk than cost reimbursable contracts, particularly fixed-price development contracts where the costs to complete the development stage of the program can be highly variable, uncertain and difficult to estimate. Under cost reimbursable contracts, subject to a contract-ceiling amount in certain cases, we are reimbursed for allowable costs and paid a fee, which may be fixed or performance based. If our costs exceed the contract ceiling and are not authorized by the customer or are not allowable under the contract or applicable regulations, we may not be able to obtain reimbursement for all such costs and our fees may be reduced or eliminated. Because many of our contracts involve advanced designs and innovative technologies, we may experience unforeseen technological difficulties and cost overruns. Under both types of contracts, if we are unable to control costs or if our initial cost estimates are incorrect, we can lose money on these contracts. In addition, some of our contracts have provisions relating to cost controls and audit rights, and if we fail to meet the terms specified in those contracts, we may not realize their full benefits. Lower earnings caused by cost overruns and cost controls would have a negative impact on our results of operations.</w:t>
      </w:r>
    </w:p>
    <w:p>
      <w:pPr>
        <w:spacing w:after="0" w:line="19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color w:val="auto"/>
        </w:rPr>
        <w:t>We depend on third parties in order to fully perform under our contracts and the failure of a third party to perform could have an adverse impact on our earnings.</w:t>
      </w:r>
    </w:p>
    <w:p>
      <w:pPr>
        <w:ind w:firstLine="324"/>
        <w:spacing w:after="0" w:line="252" w:lineRule="auto"/>
        <w:rPr>
          <w:sz w:val="20"/>
          <w:szCs w:val="20"/>
          <w:color w:val="auto"/>
        </w:rPr>
      </w:pPr>
      <w:r>
        <w:rPr>
          <w:rFonts w:ascii="Arial" w:cs="Arial" w:eastAsia="Arial" w:hAnsi="Arial"/>
          <w:sz w:val="18"/>
          <w:szCs w:val="18"/>
          <w:color w:val="auto"/>
        </w:rPr>
        <w:t>We rely on subcontractors and other companies to provide raw materials, major components and subsystems for our products or to perform a portion of the services that we provide to our customers. Occasionally, we rely on only one or two sources of supply, which, if disrupted, could have an adverse effect on our ability to meet our commitments to customers. We depend on these subcontractors and vendors to fulfill their contractual obligations in a timely and satisfactory manner in full compliance with customer requirements. If one or more of our subcontractors or suppliers is unable to satisfactorily provide on a timely basis the agreed-upon supplies or perform the agreed-upon services, our ability to perform our obligations as a prime contractor may be adversely affected.</w:t>
      </w:r>
    </w:p>
    <w:p>
      <w:pPr>
        <w:spacing w:after="0" w:line="21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Our future profitability depends, in part, on our ability to develop new technologies and maintain a qualified workforce to meet the needs of our customers</w:t>
      </w:r>
      <w:r>
        <w:rPr>
          <w:rFonts w:ascii="Arial" w:cs="Arial" w:eastAsia="Arial" w:hAnsi="Arial"/>
          <w:sz w:val="18"/>
          <w:szCs w:val="18"/>
          <w:color w:val="auto"/>
        </w:rPr>
        <w:t>.</w:t>
      </w:r>
    </w:p>
    <w:p>
      <w:pPr>
        <w:ind w:firstLine="648"/>
        <w:spacing w:after="0" w:line="288" w:lineRule="auto"/>
        <w:rPr>
          <w:sz w:val="20"/>
          <w:szCs w:val="20"/>
          <w:color w:val="auto"/>
        </w:rPr>
      </w:pPr>
      <w:r>
        <w:rPr>
          <w:rFonts w:ascii="Arial" w:cs="Arial" w:eastAsia="Arial" w:hAnsi="Arial"/>
          <w:sz w:val="16"/>
          <w:szCs w:val="16"/>
          <w:color w:val="auto"/>
        </w:rPr>
        <w:t>Virtually all of the products that we produce and sell are highly engineered and require sophisticated manufacturing and system integration techniques and capabilities. The government market in which we primarily operate is characterized by rapidly changing technologies. The product and program needs of our government and commercial customers change and evolve regularly. Accordingly, our future performance in part depends on our ability to identify emerging technological trends, develop and manufacture competitive products, and bring those products to market quickly at cost-effective prices. In addition, because of the highly specialized nature of our business, we must be able to hire and retain the skilled and appropriately qualified personnel necessary to perform the services required by our customers. If we are unable to develop new products that meet customers’ changing needs or successfully attract and retain qualified personnel, future sales and earnings may be adversely affected.</w:t>
      </w:r>
    </w:p>
    <w:p>
      <w:pPr>
        <w:sectPr>
          <w:pgSz w:w="11900" w:h="16838" w:orient="portrait"/>
          <w:cols w:equalWidth="0" w:num="1">
            <w:col w:w="11080"/>
          </w:cols>
          <w:pgMar w:left="320" w:top="125" w:right="499" w:bottom="1440" w:gutter="0" w:footer="0" w:header="0"/>
        </w:sect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type w:val="continuous"/>
        </w:sectPr>
      </w:pPr>
    </w:p>
    <w:bookmarkStart w:id="20" w:name="page21"/>
    <w:bookmarkEnd w:id="20"/>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environment in which we operate is highly competitive and may impair our ability to achieve revenue growth.</w:t>
      </w:r>
    </w:p>
    <w:p>
      <w:pPr>
        <w:spacing w:after="0" w:line="2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operate in industry segments that are diverse. Based upon our current market analysis, there is no single company or small group of companies in a dominant competitive position. Some large competitors offer capabilities in a number of markets that overlap many of the same areas in which we offer services, while certain companies are focused upon only one or a few of such markets. Some of the firms that compete with us in multiple areas include: Northrop Grumman, Lockheed Martin and General Dynamics. In addition, we compete with smaller specialty companies, including risk and compliance management companies, organizational messaging companies, and security consulting organizations, and companies that provide secure network offerings. If we do not compete effectively, we may suffer price reductions, reduced gross margins, and loss of market share.</w:t>
      </w:r>
    </w:p>
    <w:p>
      <w:pPr>
        <w:spacing w:after="0" w:line="18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color w:val="auto"/>
        </w:rPr>
        <w:t>Some of our security solutions have lengthy sales and implementation cycles, which could significantly impact our results of operations if projected orders are not realized</w:t>
      </w:r>
      <w:r>
        <w:rPr>
          <w:rFonts w:ascii="Arial" w:cs="Arial" w:eastAsia="Arial" w:hAnsi="Arial"/>
          <w:sz w:val="18"/>
          <w:szCs w:val="18"/>
          <w:color w:val="auto"/>
        </w:rPr>
        <w:t>.</w:t>
      </w:r>
    </w:p>
    <w:p>
      <w:pPr>
        <w:ind w:right="40" w:firstLine="324"/>
        <w:spacing w:after="0" w:line="270" w:lineRule="auto"/>
        <w:rPr>
          <w:sz w:val="20"/>
          <w:szCs w:val="20"/>
          <w:color w:val="auto"/>
        </w:rPr>
      </w:pPr>
      <w:r>
        <w:rPr>
          <w:rFonts w:ascii="Arial" w:cs="Arial" w:eastAsia="Arial" w:hAnsi="Arial"/>
          <w:sz w:val="17"/>
          <w:szCs w:val="17"/>
          <w:color w:val="auto"/>
        </w:rPr>
        <w:t>We market the majority of our security solutions directly to U.S. Government customers. The sale and implementation of our services to these entities typically involves a lengthy education process and a significant technical evaluation and commitment of capital and other resources. This process is also subject to the risk of delays associated with customers’ internal budgeting and other procedures for approving large capital expenditures, deploying new technologies within their networks and testing and accepting new technologies that affect key operations. As a result, the sales and implementation cycles associated with certain of our services can be lengthy. Our quarterly and annual operating results could be materially harmed if orders forecasted for a specific customer for a particular quarter are not realized.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negatively affected by cyber or other security threats or other disruptions.</w:t>
      </w:r>
    </w:p>
    <w:p>
      <w:pPr>
        <w:spacing w:after="0" w:line="27"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As a cybersecurity company and a U.S. defense contractor, we face cyber threats, threats to the physical security of our facilities and employees, and terrorist acts. We also are exposed to the potential for business disruptions associated with information technology failures, natural disasters, or public health or economic crises, such as that created by the Coronavirus pandemic. We routinely experience cyber security threats, threats to our information technology infrastructure and attempts to gain access to our sensitive information, as do our customers, suppliers, subcontractors and joint venture partners. We may experience similar security threats at customer sites that we operate and manage as a contractual requirement. Prior cyber attacks directed at us have not had a material impact on our financial results, and we believe our threat detection and mitigation processes and procedures are adequate. The threats we face vary from attacks common to most industries to more advanced and persistent, highly organized adversaries who target us because we protect national security information. If we are unable to protect sensitive information, our customers or governmental authorities could question the adequacy of our threat mitigation and detection processes and procedures. Due to the evolving nature of these security threats, however, the impact of any future incident cannot be predicted. Occurrence of any of these events could adversely affect our internal operations, the services we provide to our customers, loss of competitive advantages derived from our research and development efforts or other intellectual property, early obsolescence of our products and services, our future financial results, or our reputation.</w:t>
      </w:r>
    </w:p>
    <w:p>
      <w:pPr>
        <w:spacing w:after="0" w:line="19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color w:val="auto"/>
        </w:rPr>
        <w:t>If we are unable to protect our intellectual property, our revenues may be impacted adversely by the unauthorized use of our products and services.</w:t>
      </w:r>
    </w:p>
    <w:p>
      <w:pPr>
        <w:ind w:right="20" w:firstLine="324"/>
        <w:spacing w:after="0" w:line="269" w:lineRule="auto"/>
        <w:rPr>
          <w:sz w:val="20"/>
          <w:szCs w:val="20"/>
          <w:color w:val="auto"/>
        </w:rPr>
      </w:pPr>
      <w:r>
        <w:rPr>
          <w:rFonts w:ascii="Arial" w:cs="Arial" w:eastAsia="Arial" w:hAnsi="Arial"/>
          <w:sz w:val="17"/>
          <w:szCs w:val="17"/>
          <w:color w:val="auto"/>
        </w:rPr>
        <w:t>Our success depends on our internally developed technologies, patents and other intellectual property. Despite our precautions, it may be possible for a third party to copy or otherwise obtain and use our trade secrets or other forms of intellectual property without authorization. Furthermore, the laws of foreign countries may not protect our proprietary rights in those countries to the same extent U.S. law protects these rights in the United States. In addition, it is possible that others may independently develop substantially equivalent intellectual property. If we do not effectively protect our intellectual property, our business could suffer. In the future, we may have to resort to litigation to enforce our intellectual property rights, to protect our trade secrets or to determine the validity and scope of the proprietary rights of others. This type of litigation, regardless of its outcome, could result in substantial costs and diversion of management and technical resources.</w:t>
      </w:r>
    </w:p>
    <w:p>
      <w:pPr>
        <w:spacing w:after="0" w:line="20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color w:val="auto"/>
        </w:rPr>
        <w:t>If we are unable to license third-party technology that is used in our products and services to perform key functions, the loss could have an adverse effect on our revenues.</w:t>
      </w:r>
    </w:p>
    <w:p>
      <w:pPr>
        <w:ind w:right="40" w:firstLine="324"/>
        <w:spacing w:after="0" w:line="270" w:lineRule="auto"/>
        <w:rPr>
          <w:sz w:val="20"/>
          <w:szCs w:val="20"/>
          <w:color w:val="auto"/>
        </w:rPr>
      </w:pPr>
      <w:r>
        <w:rPr>
          <w:rFonts w:ascii="Arial" w:cs="Arial" w:eastAsia="Arial" w:hAnsi="Arial"/>
          <w:sz w:val="17"/>
          <w:szCs w:val="17"/>
          <w:color w:val="auto"/>
        </w:rPr>
        <w:t>The third-party technology licenses used by us may not continue to be available on commercially reasonable terms or at all. Our business could suffer if we lost the rights to use these technologies. A third-party could claim that the licensed software infringes a patent or other proprietary right. Litigation between the licensor and a third-party or between us and a third-party could lead to royalty obligations for which we are not indemnified or for which indemnification is insufficient, or we may not be able to obtain any additional license on commercially reasonable terms or at all. The loss of, or our inability to obtain or maintain, any of these technology licenses could delay the introduction of new products or services until equivalent technology, if available, is identified, licensed and integrated. This could harm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involved in a number of legal proceedings. We cannot predict the outcome of litigation and other contingencies with certainty.</w:t>
      </w:r>
    </w:p>
    <w:p>
      <w:pPr>
        <w:spacing w:after="0" w:line="3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business may be adversely affected by the outcome of legal proceedings and other contingencies that cannot be predicted with certainty. As required by GAAP, we estimate loss contingencies and establish reserves based on our assessment of contingencies where liability is deemed probable and the amount of loss is reasonably estimable in light of the facts and circumstances known to us at a particular point in time. Subsequent developments in legal proceedings may affect our assessment of the potential for liability and our estimates of the loss contingency recorded as a liability or as a reserve against assets in our financial statements. For a description of our current legal proceedings, see Note 13 – Commitments, Contingencies and Subsequent Events to the consolidated financial statements.</w:t>
      </w:r>
    </w:p>
    <w:p>
      <w:pPr>
        <w:sectPr>
          <w:pgSz w:w="11900" w:h="16838" w:orient="portrait"/>
          <w:cols w:equalWidth="0" w:num="1">
            <w:col w:w="11080"/>
          </w:cols>
          <w:pgMar w:left="320" w:top="125" w:right="4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type w:val="continuous"/>
        </w:sectPr>
      </w:pPr>
    </w:p>
    <w:bookmarkStart w:id="21" w:name="page22"/>
    <w:bookmarkEnd w:id="21"/>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Any potential future acquisitions, strategic investments, divestitures, mergers or joint ventures may subject us to significant risks, any of which could harm our business.</w:t>
      </w:r>
    </w:p>
    <w:p>
      <w:pPr>
        <w:ind w:right="140" w:firstLine="324"/>
        <w:spacing w:after="0" w:line="250" w:lineRule="auto"/>
        <w:rPr>
          <w:sz w:val="20"/>
          <w:szCs w:val="20"/>
          <w:color w:val="auto"/>
        </w:rPr>
      </w:pPr>
      <w:r>
        <w:rPr>
          <w:rFonts w:ascii="Arial" w:cs="Arial" w:eastAsia="Arial" w:hAnsi="Arial"/>
          <w:sz w:val="18"/>
          <w:szCs w:val="18"/>
          <w:color w:val="auto"/>
        </w:rPr>
        <w:t>Our long-term strategy may include identifying and acquiring, investing in or merging with suitable candidates on acceptable terms, or divesting of certain business lines or activities. In particular, over time, we may acquire, make investments in, or merge with providers of product offerings that complement our business or may terminate such activities. Mergers, acquisitions, and divestitures include a number of risks and present financial, managerial and operational challenges, including but not limited to:</w:t>
      </w:r>
    </w:p>
    <w:p>
      <w:pPr>
        <w:spacing w:after="0" w:line="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 attention from running our existing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material weaknesses in internal control over financial reporting;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expenses including legal, administrative and compensation expenses related to newly hired or terminated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to integrate the technology, personnel, customer base and business practices of the acquired company with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exposure to material liabilities not discovered in the due diligence process;</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adverse effects on reported operating results due to possible write-down of goodwill and other intangible assets associated with acquisitions;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unavailability of acquisition financing or unavailability of such financing on reasonable terms.</w:t>
      </w:r>
    </w:p>
    <w:p>
      <w:pPr>
        <w:spacing w:after="0" w:line="238"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Any acquired business, technology, service or product could significantly under-perform relative to our expectations, and may not achieve the benefits we expect from possible acquisitions. For all these reasons, our pursuit of an acquisition, investment, divestiture, merger, or joint venture could cause its actual results to differ materially from those anticipated.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Weakened global economic conditions may adversely affect our industry, business, operating results and financial condition.</w:t>
      </w:r>
    </w:p>
    <w:p>
      <w:pPr>
        <w:spacing w:after="0" w:line="2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overall performance depends in part on worldwide economic and geopolitical conditions. The United States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These economic conditions can arise suddenly and the full impact of such conditions can remain uncertain at any point in time. In addition, geopolitical developments, such as potential trade wars, can increase levels of political and economic unpredictability globally and increase the volatility of global financial markets. Moreover, these conditions can affect the rate of information technology spending and could adversely affect our customers’ ability or willingness to purchase our solutions and services, delay prospective customers’ purchasing decisions, reduce the value or duration of their subscription contracts, or affect attrition rates, all of which could adversely affect our future sales and operating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w:t>
      </w:r>
      <w:r>
        <w:rPr>
          <w:rFonts w:ascii="Arial" w:cs="Arial" w:eastAsia="Arial" w:hAnsi="Arial"/>
          <w:sz w:val="18"/>
          <w:szCs w:val="18"/>
          <w:color w:val="auto"/>
        </w:rPr>
        <w:t>a</w:t>
      </w:r>
      <w:r>
        <w:rPr>
          <w:rFonts w:ascii="Arial" w:cs="Arial" w:eastAsia="Arial" w:hAnsi="Arial"/>
          <w:sz w:val="18"/>
          <w:szCs w:val="18"/>
          <w:b w:val="1"/>
          <w:bCs w:val="1"/>
          <w:color w:val="auto"/>
        </w:rPr>
        <w:t>te change may have a long-term impact on our business.</w:t>
      </w:r>
    </w:p>
    <w:p>
      <w:pPr>
        <w:spacing w:after="0" w:line="27"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While we seek to mitigate our business risks associated with climate change by establishing robust environmental programs, we recognize that there are inherent climate related risks wherever business is conducted. Access to clean water and reliable energy in the communities where we conduct our business, whether for our offices, vendors, customers or other stakeholders, is a priority. Any of our primary locations may be vulnerable to the adverse effects of climate change. Climate related events, including the increasing frequency of extreme weather events and their impact on U.S. critical infrastructure, have the potential to disrupt our business, our third party suppliers, or the operations and/or business of our customers, and may cause us to experience higher attrition, losses and additional costs to maintain or resume operations.</w:t>
      </w:r>
    </w:p>
    <w:p>
      <w:pPr>
        <w:spacing w:after="0" w:line="201"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b w:val="1"/>
          <w:bCs w:val="1"/>
          <w:color w:val="auto"/>
        </w:rPr>
        <w:t>Any failure in our delivery of high-quality technical support services may adversely affect our relationships with our customers and our financial results.</w:t>
      </w:r>
    </w:p>
    <w:p>
      <w:pPr>
        <w:ind w:right="60" w:firstLine="324"/>
        <w:spacing w:after="0" w:line="270" w:lineRule="auto"/>
        <w:rPr>
          <w:sz w:val="20"/>
          <w:szCs w:val="20"/>
          <w:color w:val="auto"/>
        </w:rPr>
      </w:pPr>
      <w:r>
        <w:rPr>
          <w:rFonts w:ascii="Arial" w:cs="Arial" w:eastAsia="Arial" w:hAnsi="Arial"/>
          <w:sz w:val="17"/>
          <w:szCs w:val="17"/>
          <w:color w:val="auto"/>
        </w:rPr>
        <w:t>Our customers depend on our support organization to resolve technical issues relating to our solutions and offerings. We may be unable to respond quickly enough to accommodate short-term increases in customer demand for support services. Increased customer demand for these services, without corresponding revenues, could increase costs and adversely affect our operating results. In addition, our sales process is highly dependent on our solutions and business reputation and on positive recommendations from our existing customers. Any failure to maintain high-quality technical support, or a market perception that we do not maintain high-quality support, could adversely affect our reputation, our ability to sell our offerings to existing and prospective customers, and our business, operating results and financial position.</w:t>
      </w:r>
    </w:p>
    <w:p>
      <w:pPr>
        <w:spacing w:after="0" w:line="20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We may lose key members of our management team, development and operations personnel, or subject matter experts, and may be unable to attract and retain employees we need to support our operations and growth.</w:t>
      </w:r>
    </w:p>
    <w:p>
      <w:pPr>
        <w:ind w:right="80" w:firstLine="324"/>
        <w:spacing w:after="0" w:line="271" w:lineRule="auto"/>
        <w:rPr>
          <w:sz w:val="20"/>
          <w:szCs w:val="20"/>
          <w:color w:val="auto"/>
        </w:rPr>
      </w:pPr>
      <w:r>
        <w:rPr>
          <w:rFonts w:ascii="Arial" w:cs="Arial" w:eastAsia="Arial" w:hAnsi="Arial"/>
          <w:sz w:val="17"/>
          <w:szCs w:val="17"/>
          <w:color w:val="auto"/>
        </w:rPr>
        <w:t>Our success depends substantially upon the continued services of our executive officers and other key members of management, particularly our chief executive officer. From time to time, there may be changes in our executive management team resulting from the hiring or departure of executives. Such changes in our executive management team may be disruptive to our business. We are also substantially dependent on the continued service of our existing development and operations personnel and subject matter experts because of the complexity of our services and technologies. The loss of one or more of our key employees or groups could seriously harm our business.</w:t>
      </w:r>
    </w:p>
    <w:p>
      <w:pPr>
        <w:spacing w:after="0" w:line="20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technology industry is subject to substantial and continuous competition for engineers and other subject matter experts with high levels of experience in designing, developing and managing software, cybersecurity, and Internet-related services, as well as competition for sales executives, data scientists and operations personnel. We may not be successful in attracting and retaining qualified personnel. We have from time to time experienced, and we expect to continue to experience, difficulty in hiring, developing, integrating and retaining highly skilled employees with appropriate qualifications. These difficulties may be amplified by evolving restrictions on immigration, travel, or availability of visas for skilled technology workers. These difficulties may potentially be further amplified by the high cost of living in Washington D.C. metropolitan area, where our headquarters and one of our other offices are located. If we fail to attract new personnel or fail to retain and motivate our current personnel, our business and future growth prospects could be severely harmed.</w:t>
      </w:r>
    </w:p>
    <w:p>
      <w:pPr>
        <w:sectPr>
          <w:pgSz w:w="11900" w:h="16838" w:orient="portrait"/>
          <w:cols w:equalWidth="0" w:num="1">
            <w:col w:w="11080"/>
          </w:cols>
          <w:pgMar w:left="320" w:top="125" w:right="4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If our customers do not renew their subscriptions or contracts for our solutions and services, our revenue could decline and our business may suffer.</w:t>
      </w:r>
    </w:p>
    <w:p>
      <w:pPr>
        <w:ind w:right="460" w:firstLine="324"/>
        <w:spacing w:after="0" w:line="292" w:lineRule="auto"/>
        <w:rPr>
          <w:sz w:val="20"/>
          <w:szCs w:val="20"/>
          <w:color w:val="auto"/>
        </w:rPr>
      </w:pPr>
      <w:r>
        <w:rPr>
          <w:rFonts w:ascii="Arial" w:cs="Arial" w:eastAsia="Arial" w:hAnsi="Arial"/>
          <w:sz w:val="16"/>
          <w:szCs w:val="16"/>
          <w:color w:val="auto"/>
        </w:rPr>
        <w:t>Our customers have no obligation to renew or extend their subscriptions or contracts for our solutions or services after the expiration of the contractual period, which vary in length, and in the normal course of business, some customers have elected not to renew or extend. It is difficult to predict attrition rates given the varying needs of our customer base. Our attrition rates may increase or fluctuate as a result of a number of factors, including customer dissatisfaction with our services, customers’ spending levels, mix of customer base, decreases in the number of users at our customers, competition, pricing increases or changes and deteriorating general economic conditions or budgetary constraints.</w:t>
      </w:r>
    </w:p>
    <w:p>
      <w:pPr>
        <w:spacing w:after="0" w:line="189" w:lineRule="exact"/>
        <w:rPr>
          <w:sz w:val="20"/>
          <w:szCs w:val="20"/>
          <w:color w:val="auto"/>
        </w:rPr>
      </w:pPr>
    </w:p>
    <w:p>
      <w:pPr>
        <w:jc w:val="both"/>
        <w:ind w:right="80" w:firstLine="324"/>
        <w:spacing w:after="0" w:line="311" w:lineRule="auto"/>
        <w:rPr>
          <w:sz w:val="20"/>
          <w:szCs w:val="20"/>
          <w:color w:val="auto"/>
        </w:rPr>
      </w:pPr>
      <w:r>
        <w:rPr>
          <w:rFonts w:ascii="Arial" w:cs="Arial" w:eastAsia="Arial" w:hAnsi="Arial"/>
          <w:sz w:val="16"/>
          <w:szCs w:val="16"/>
          <w:color w:val="auto"/>
        </w:rPr>
        <w:t>Our future success also depends in part on our ability to sell additional features and services, more subscriptions or enhanced editions of our services to our current customers. This may also require increasingly sophisticated and costly sales efforts that are targeted at senior leaders. Similarly, the rate at which our customers purchase new or enhanced services depends on a number of factors, some of which are beyond our control.</w:t>
      </w:r>
    </w:p>
    <w:p>
      <w:pPr>
        <w:spacing w:after="0" w:line="176" w:lineRule="exact"/>
        <w:rPr>
          <w:sz w:val="20"/>
          <w:szCs w:val="20"/>
          <w:color w:val="auto"/>
        </w:rPr>
      </w:pPr>
    </w:p>
    <w:p>
      <w:pPr>
        <w:jc w:val="both"/>
        <w:ind w:right="320" w:firstLine="324"/>
        <w:spacing w:after="0" w:line="277" w:lineRule="auto"/>
        <w:rPr>
          <w:sz w:val="20"/>
          <w:szCs w:val="20"/>
          <w:color w:val="auto"/>
        </w:rPr>
      </w:pPr>
      <w:r>
        <w:rPr>
          <w:rFonts w:ascii="Arial" w:cs="Arial" w:eastAsia="Arial" w:hAnsi="Arial"/>
          <w:sz w:val="18"/>
          <w:szCs w:val="18"/>
          <w:color w:val="auto"/>
        </w:rPr>
        <w:t>If customers do not renew or extend their subscriptions or contracts, do not purchase additional features or enhanced solutions, or if attrition rates increase, our business could be harmed.</w:t>
      </w:r>
    </w:p>
    <w:p>
      <w:pPr>
        <w:spacing w:after="0" w:line="193" w:lineRule="exact"/>
        <w:rPr>
          <w:sz w:val="20"/>
          <w:szCs w:val="20"/>
          <w:color w:val="auto"/>
        </w:rPr>
      </w:pPr>
    </w:p>
    <w:p>
      <w:pPr>
        <w:jc w:val="both"/>
        <w:ind w:right="320"/>
        <w:spacing w:after="0" w:line="303" w:lineRule="auto"/>
        <w:rPr>
          <w:sz w:val="20"/>
          <w:szCs w:val="20"/>
          <w:color w:val="auto"/>
        </w:rPr>
      </w:pPr>
      <w:r>
        <w:rPr>
          <w:rFonts w:ascii="Arial" w:cs="Arial" w:eastAsia="Arial" w:hAnsi="Arial"/>
          <w:sz w:val="16"/>
          <w:szCs w:val="16"/>
          <w:b w:val="1"/>
          <w:bCs w:val="1"/>
          <w:color w:val="auto"/>
        </w:rPr>
        <w:t>If our security measures or those of our third-party data center hosting facilities, cloud computing platform providers or third-party service partners, or the underlying infrastructure of the internet are breached, and unauthorized access is obtained to a customer’s data, our data or our IT systems, or authorized access is blocked or disabled, our services may be perceived as not being secure, customers may curtail or stop using our services, and we may incur significant reputational harm, legal exposure and liabilities, or a negative financial impact.</w:t>
      </w:r>
    </w:p>
    <w:p>
      <w:pPr>
        <w:spacing w:after="0" w:line="182"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Our services sometimes involve the storage and transmission of our customers’ and our customers' customers' proprietary and other sensitive data, including financial information and personally identifiable information. While we have security measures in place to protect our customers and our customers’ customers' data, our services and underlying infrastructure may in the future be materially breached or compromised as a result of the following:</w:t>
      </w:r>
    </w:p>
    <w:p>
      <w:pPr>
        <w:spacing w:after="0" w:line="2" w:lineRule="exact"/>
        <w:rPr>
          <w:sz w:val="20"/>
          <w:szCs w:val="20"/>
          <w:color w:val="auto"/>
        </w:rPr>
      </w:pPr>
    </w:p>
    <w:p>
      <w:pPr>
        <w:ind w:left="660" w:right="10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 party attempts to fraudulently induce employees or customers into disclosing sensitive information such as user names, passwords or other information to gain access to our customers’ data, our data or our IT systems;</w:t>
      </w: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efforts by individuals or groups of hackers and sophisticated organizations, including state-sponsored organizations or nation-states;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cyber-attacks on our internally built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vulnerabilities resulting from enhancements and updates to our existing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vulnerabilities in the products or components across the broad ecosystem that our services operate in or are dependent 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vulnerabilities existing within newly acquired or integrated technologies and infrastructures;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attacks on, or vulnerabilities in, the many different underlying networks and services that power the internet that our products depend on, most of which are not under our control or the control of our vendors, partners, or customers;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 or contractor errors or intentional acts that compromise our security systems.</w:t>
      </w:r>
    </w:p>
    <w:p>
      <w:pPr>
        <w:spacing w:after="0" w:line="23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These risks are mitigated, to the extent possible, by our ability to maintain and improve business and data governance policies, enhanced processes and internal security controls, including our ability to escalate and respond to known and potential risks. Although we have developed systems and processes designed to protect our customers’ and our customers’ customers’ sensitive data, as well as our data, we can provide no assurances that such measures will provide absolute security. In the normal course of business, we are the target of malicious cyber-attack attempts. To date, any such attempts have not been material or significant to us, including to our reputation or business operations, or had a material financial impact, but there can be no assurance that future cyberattacks will not be material or significant.</w:t>
      </w:r>
    </w:p>
    <w:p>
      <w:pPr>
        <w:spacing w:after="0" w:line="20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A security breach or incident could result in unauthorized parties obtaining access to, or the denial of authorized access to, our IT systems or data, or our customers' systems or data, including intellectual property, proprietary, sensitive, or other confidential information. A security breach could also result in a loss of confidence in the security of our services, damage our reputation, negatively impact our future sales, disrupt our business and lead to increases in insurance premiums and legal and financial exposure and liability. Finally, the detection, prevention and remediation of known or potential security vulnerabilities, including those arising from third-party hardware or software, may result in additional financial burdens due to additional direct and indirect costs, such as additional infrastructure capacity spending to mitigate any system degradation.</w:t>
      </w:r>
    </w:p>
    <w:p>
      <w:pPr>
        <w:spacing w:after="0" w:line="187" w:lineRule="exact"/>
        <w:rPr>
          <w:sz w:val="20"/>
          <w:szCs w:val="20"/>
          <w:color w:val="auto"/>
        </w:rPr>
      </w:pPr>
    </w:p>
    <w:p>
      <w:pPr>
        <w:ind w:left="340" w:right="560" w:hanging="323"/>
        <w:spacing w:after="0" w:line="293" w:lineRule="auto"/>
        <w:rPr>
          <w:sz w:val="20"/>
          <w:szCs w:val="20"/>
          <w:color w:val="auto"/>
        </w:rPr>
      </w:pPr>
      <w:r>
        <w:rPr>
          <w:rFonts w:ascii="Arial" w:cs="Arial" w:eastAsia="Arial" w:hAnsi="Arial"/>
          <w:sz w:val="16"/>
          <w:szCs w:val="16"/>
          <w:b w:val="1"/>
          <w:bCs w:val="1"/>
          <w:color w:val="auto"/>
        </w:rPr>
        <w:t xml:space="preserve">Our ability to deliver our services is dependent on the development and maintenance of the infrastructure of the Internet by third parties. </w:t>
      </w:r>
      <w:r>
        <w:rPr>
          <w:rFonts w:ascii="Arial" w:cs="Arial" w:eastAsia="Arial" w:hAnsi="Arial"/>
          <w:sz w:val="16"/>
          <w:szCs w:val="16"/>
          <w:color w:val="auto"/>
        </w:rPr>
        <w:t>The Internet’s infrastructure is comprised of many different networks and services that are highly fragmented and distributed by design. This</w:t>
      </w:r>
    </w:p>
    <w:p>
      <w:pPr>
        <w:spacing w:after="0" w:line="1"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infrastructure is run by a series of independent third-party organizations that work together to provide the infrastructure and supporting services of the Internet under the governance of the Internet Corporation for Assigned Numbers and Names (ICANN) and the Internet Assigned Numbers Authority (IANA), now under the stewardship of ICANN.</w:t>
      </w:r>
    </w:p>
    <w:p>
      <w:pPr>
        <w:spacing w:after="0" w:line="217"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The Internet has experienced a variety of outages and other delays as a result of damages to portions of its infrastructure, denial-of-service attacks or related cyber incidents, and it could face outages and delays in the future. These outages and delays could reduce the level of Internet usage or result in fragmentation of the Internet, resulting in multiple separate Internets. These scenarios are not under our control and could reduce the availability of the Internet to us or our customers for delivery of our Internet-related services. Any resulting interruptions in our services or the ability of our customers to access our services could result in a loss of potential or existing customers and harm our business.</w:t>
      </w:r>
    </w:p>
    <w:p>
      <w:pPr>
        <w:sectPr>
          <w:pgSz w:w="11900" w:h="16838" w:orient="portrait"/>
          <w:cols w:equalWidth="0" w:num="1">
            <w:col w:w="11120"/>
          </w:cols>
          <w:pgMar w:left="320" w:top="125" w:right="459" w:bottom="1440" w:gutter="0" w:footer="0" w:header="0"/>
        </w:sectPr>
      </w:pP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to customers outside the United States expose us to risks inherent in international operations.</w:t>
      </w:r>
    </w:p>
    <w:p>
      <w:pPr>
        <w:spacing w:after="0" w:line="27" w:lineRule="exact"/>
        <w:rPr>
          <w:sz w:val="20"/>
          <w:szCs w:val="20"/>
          <w:color w:val="auto"/>
        </w:rPr>
      </w:pPr>
    </w:p>
    <w:p>
      <w:pPr>
        <w:ind w:right="60" w:firstLine="324"/>
        <w:spacing w:after="0" w:line="250" w:lineRule="auto"/>
        <w:rPr>
          <w:sz w:val="20"/>
          <w:szCs w:val="20"/>
          <w:color w:val="auto"/>
        </w:rPr>
      </w:pPr>
      <w:r>
        <w:rPr>
          <w:rFonts w:ascii="Arial" w:cs="Arial" w:eastAsia="Arial" w:hAnsi="Arial"/>
          <w:sz w:val="18"/>
          <w:szCs w:val="18"/>
          <w:color w:val="auto"/>
        </w:rPr>
        <w:t>We sell our services outside the United States and are subject to risks and challenges associated with international business. We intend to continue to expand our international sales efforts. The risks and challenges associated with sales to customers outside the United States or those that can affect international operations generally, include:</w:t>
      </w:r>
    </w:p>
    <w:p>
      <w:pPr>
        <w:spacing w:after="0" w:line="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localization of our services, including translation into foreign languages and associated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frameworks or business practices favoring local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pressure on the creditworthiness of sovereign nations;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evolving domestic and international tax environments;</w:t>
      </w:r>
    </w:p>
    <w:p>
      <w:pPr>
        <w:spacing w:after="0" w:line="9" w:lineRule="exact"/>
        <w:rPr>
          <w:rFonts w:ascii="Arial" w:cs="Arial" w:eastAsia="Arial" w:hAnsi="Arial"/>
          <w:sz w:val="18"/>
          <w:szCs w:val="18"/>
          <w:color w:val="auto"/>
        </w:rPr>
      </w:pPr>
    </w:p>
    <w:p>
      <w:pPr>
        <w:ind w:left="660" w:right="580" w:hanging="328"/>
        <w:spacing w:after="0" w:line="265"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liquidity issues or political actions by sovereign nations, including nations with a controlled currency environment, which could result in decreased values of these balances or potential difficulties protecting our foreign assets or satisfying local obligations;</w:t>
      </w:r>
    </w:p>
    <w:p>
      <w:pPr>
        <w:ind w:left="660" w:right="8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currency fluctuations and controls, which may make our services more expensive for international customers and could add volatility to our operating results;</w:t>
      </w:r>
    </w:p>
    <w:p>
      <w:pPr>
        <w:ind w:left="660" w:right="240" w:hanging="328"/>
        <w:spacing w:after="0" w:line="265"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with multiple, conflicting, ambiguous or evolving governmental laws and regulations, including employment, tax, privacy, anti-corruption, import/export, antitrust, data transfer, storage and protection, and industry-specific laws and regulations, including rules related to compliance by our third-party resellers and our ability to identify and respond timely to compliance issues when they occur;</w:t>
      </w:r>
    </w:p>
    <w:p>
      <w:pPr>
        <w:ind w:left="660" w:right="18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vetting and monitoring our third-party resellers in new and evolving markets to confirm they maintain standards consistent with our brand and reputation;</w:t>
      </w: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uncertainty regarding regulation, currency, tax, and operations resulting from the Brexit vote that could disrupt trade, the sale of our services and commerce, and movement of our people between the United Kingdom, European Union, and locations;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public perception of governments in the regions where we operate or plan to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regional data privacy laws and other regulatory requirements;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treatment of revenue from international sources, intellectual property considerations and changes to tax codes, including being subject to foreign tax laws and being liable for paying withholding income or other taxes in foreign jurisdictions;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pricing environments;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or lesser protection of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accounts receivable payment cycles and other collection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 acts of war, terrorism, pandemics or security breaches;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regional economic and political conditions.</w:t>
      </w:r>
    </w:p>
    <w:p>
      <w:pPr>
        <w:spacing w:after="0" w:line="23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Any of these factors could negatively impact our business and results of operations. The above factors may also negatively impact our ability to successfully expand into emerging market countries, where we have little or no operating experience, where it can be costly and challenging to establish and maintain operations, including hiring and managing required personnel, and difficult to promote our brand, and where we may not benefit from any first-to-market advantage or otherwise succeed.</w:t>
      </w:r>
    </w:p>
    <w:p>
      <w:pPr>
        <w:spacing w:after="0" w:line="21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We are subject to governmental export and import controls that could impair our ability to compete in international markets and subject us to liability if we are not in full compliance with applicable laws.</w:t>
      </w:r>
    </w:p>
    <w:p>
      <w:pPr>
        <w:ind w:right="40" w:firstLine="324"/>
        <w:spacing w:after="0" w:line="267" w:lineRule="auto"/>
        <w:rPr>
          <w:sz w:val="20"/>
          <w:szCs w:val="20"/>
          <w:color w:val="auto"/>
        </w:rPr>
      </w:pPr>
      <w:r>
        <w:rPr>
          <w:rFonts w:ascii="Arial" w:cs="Arial" w:eastAsia="Arial" w:hAnsi="Arial"/>
          <w:sz w:val="17"/>
          <w:szCs w:val="17"/>
          <w:color w:val="auto"/>
        </w:rPr>
        <w:t>Some of our solutions are subject to export and import controls, including the Commerce Department’s Export Administration Regulations, U.S. Customs regulations and various economic and trade sanctions regulations established by the Treasury Department’s Office of Foreign Assets Control. If we fail to comply with these U.S. export control laws and import laws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may be time-consuming, is not guaranteed and may result in the delay or loss of sales opportunities. Furthermore, the U.S. export control laws and economic sanctions laws prohibit the shipment of certain products and services to U.S. embargoed or sanctioned countries, governments and persons. Even though we take precautions to prevent our solutions from being provisioned or provided to U.S. sanctions targets in violation of applicable regulations, our solutions could be provisioned to those targets despite such precautions. Any such sales could have negative consequences, including government investigations, penalties and reputational harm. Changes in our solutions or changes in export and import regulations may create delays in the introduction, sale and deployment of our solutions in international markets or prevent the export or import of our solutions to certain countries, governments or persons altogether. Any decreased use of our solutions or limitation on our ability to export or sell our solutions may adversely affect our business,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4" w:name="page25"/>
    <w:bookmarkEnd w:id="24"/>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lease approximately 191,700 square feet of space for our corporate headquarters, integration facility, and primary service depot in Ashburn, Virginia. The lease expires in May 2029.</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lease additional office space in facilities located in Maryland, New Jersey and Nevada under various leases expiring through January 2024.</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current space is substantially adequate to meet our operating requirements.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Hamot et al. v. Telos Corporation</w:t>
      </w:r>
    </w:p>
    <w:p>
      <w:pPr>
        <w:spacing w:after="0" w:line="252"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As previously disclosed in Note 13 of the Consolidated Financial Statements contained in our Annual Report on Form 10-K for the year ended December 31, 2020, beginning on August 2, 2007, Messrs. Seth W. Hamot (“Hamot”) and Andrew R. Siegel (“Siegel”), principals of Costa Brava Partnership III, L.P. (“Costa Brava”), were involved in litigation against the Company as Plaintiffs and Counter-defendants in the Circuit Court for Baltimore City, Maryland (the “Circuit Court”). Mr. Siegel was a Class D Director of the Company and Mr. Hamot was a Class D Director of the Company until his resignation on March 9, 2018. The Plaintiffs initially alleged that certain documents and records had not been provided to them promptly and were necessary to fulfill their duties as directors of the Company. Subsequently, Hamot and Siegel further alleged that the Company had failed to follow certain provisions concerning the noticing of Board committee meetings and the recording of Board meeting minutes and, additionally, that Mr. John Wood’s service as both CEO and Chairman of the Board was improper and impermissible under the Company’s Bylaws. On April 23, 2008, the Company filed a counterclaim against Hamot and Siegel for money damages and preliminary and injunctive relief based upon Hamot and Siegel’s interference with, and improper influence of, the Company’s independent auditors regarding, among other things, a specific accounting treatment. On June 27, 2008, the Circuit Court granted the Company’s motion for preliminary injunction and enjoined Hamot and Siegel from contacting the Company’s auditors until the completion of the Company’s Form 10-K for the preceding year, which injunction later expired by its own terms. As previously disclosed, trial on Hamot and Siegel’s claims and the Company’s counterclaims took place in July through September 2013, and the Court subsequently issued decisions on the various claims by way of memorandum opinions and orders dated September 11, 2017. Among other rulings, the Court found Hamot and Siegel liable for the intentional tort of tortious interference with the Company’s contractual relationship with one of its auditors and entered a monetary judgment in favor of the Company and against Hamot and Siegel for approximately $278,000. The Company’s subsequent appeal of the amount of damages awarded to it for Hamot and Siegel’s intentional interference was ultimately dismissed by way of the Mandate issued by the Court of Appeals of Maryland on October 11, 2019.</w:t>
      </w:r>
    </w:p>
    <w:p>
      <w:pPr>
        <w:spacing w:after="0" w:line="217"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Hamot (and later, his Estate) and Siegel on multiple occasions during this litigation have sought to be indemnified or to be awarded advancement of various attorney’s fees and expenses incurred by them in this litigation. On October 20, 2020, Hamot’s Estate and Siegel (together the “Plaintiffs”) filed their latest Motion for Indemnification of Legal Fees and Expenses against the Company in the Circuit Court for Baltimore City and a Request for a Hearing. The Motion demands that the Company indemnify the Plaintiffs for legal fees and expenses incurred in the sum of $2,540,000. The Company filed an Opposition to the Motion on November 4, 2020. On January 28, 2021, Plaintiffs filed a Motion for Leave to File Amended Motion for Indemnification of Legal Fees and Expenses, which the Company opposed, and which was granted by the Court on February 23, 2021, and briefing of the Amended Motion for Indemnification of Legal Fees and Expenses (“Amended Motion”) continues. A hearing is scheduled before the Court on Plaintiffs’ Amended Motion for Indemnification of Legal Fees and Expenses for May 18, 2021. The Company denies that it has any liability for indemnification to the Plaintiffs and intends to vigorously defend the matter through its opposition to the Amended Motion and further proceedings.</w:t>
      </w:r>
    </w:p>
    <w:p>
      <w:pPr>
        <w:spacing w:after="0" w:line="19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At this stage of the litigation, it is impossible to reasonably determine the degree of probability related to the Company’s success in relation to this claim by Hamot’s Estate and Siegel for indemnification for certain attorney’s fees and expenses incurred in this litigation. The Company intends to vigorously defend the matter.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Litigation</w:t>
      </w:r>
    </w:p>
    <w:p>
      <w:pPr>
        <w:spacing w:after="0" w:line="252"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In addition, the Company is a party to litigation arising in the ordinary course of business. In the opinion of management, while the results of such litigation cannot be predicted with any reasonable degree of certainty, the final outcome of such known matters will not, based upon all available information, have a material adverse effect on the Company's condensed consolidated financial position, results of operations or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5" w:name="page26"/>
    <w:bookmarkEnd w:id="25"/>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6" w:lineRule="exact"/>
        <w:rPr>
          <w:sz w:val="20"/>
          <w:szCs w:val="20"/>
          <w:color w:val="auto"/>
        </w:rPr>
      </w:pPr>
    </w:p>
    <w:p>
      <w:pPr>
        <w:jc w:val="both"/>
        <w:ind w:right="440" w:firstLine="315"/>
        <w:spacing w:after="0" w:line="263" w:lineRule="auto"/>
        <w:rPr>
          <w:sz w:val="20"/>
          <w:szCs w:val="20"/>
          <w:color w:val="auto"/>
        </w:rPr>
      </w:pPr>
      <w:r>
        <w:rPr>
          <w:rFonts w:ascii="Arial" w:cs="Arial" w:eastAsia="Arial" w:hAnsi="Arial"/>
          <w:sz w:val="18"/>
          <w:szCs w:val="18"/>
          <w:color w:val="auto"/>
        </w:rPr>
        <w:t>Our common stock is traded on the Nasdaq Global Market under the symbol “TLS”. As of December 31, 2020, there were approximately 231 registered shareholders of record, not including the number of persons or entities whose stock is held in nominee or "street" name through various brokerage firms. There was no public market for our common stock prior to November 19,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Securities Exchange Commission (“SEC”) for purposes of Section 18 of the Securities Exchange Act of 1934, as amended (“Exchange Act”), or otherwise subject to the liabilities under that Section, and shall not be deemed to be incorporated by reference into any of our filings under the Securities Act or the Exchange Act.</w:t>
      </w:r>
    </w:p>
    <w:p>
      <w:pPr>
        <w:spacing w:after="0" w:line="31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following graph compares the cumulative total return to stockholders on our common stock since November 19, 2020 (the date our common stock commenced trading on the NASDAQ National Market) relative to the cumulative total returns of the Standard &amp; Poor’s 500 Index and the Standard &amp; Poor’s Information Technology Index over the same period. An investment of $100 (with reinvestment of all dividends) is assumed to have been made in our common stock and in each index at the market close on November 19, 2020, and its relative performance is tracked through December 31, 2020. The returns shown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292100</wp:posOffset>
            </wp:positionV>
            <wp:extent cx="5212080" cy="27863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26" w:name="page27"/>
    <w:bookmarkEnd w:id="26"/>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should be read in connection with the accompanying information presented in Item 7 and Item 8 of this Form 10-K.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660" w:type="dxa"/>
            <w:vAlign w:val="bottom"/>
            <w:gridSpan w:val="8"/>
          </w:tcPr>
          <w:p>
            <w:pPr>
              <w:jc w:val="right"/>
              <w:ind w:right="610"/>
              <w:spacing w:after="0"/>
              <w:rPr>
                <w:sz w:val="20"/>
                <w:szCs w:val="20"/>
                <w:color w:val="auto"/>
              </w:rPr>
            </w:pPr>
            <w:r>
              <w:rPr>
                <w:rFonts w:ascii="Arial" w:cs="Arial" w:eastAsia="Arial" w:hAnsi="Arial"/>
                <w:sz w:val="18"/>
                <w:szCs w:val="18"/>
                <w:b w:val="1"/>
                <w:bCs w:val="1"/>
                <w:color w:val="auto"/>
                <w:w w:val="98"/>
              </w:rPr>
              <w:t>OPERATING RESULTS</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Years Ended December 31,</w:t>
            </w: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jc w:val="right"/>
              <w:ind w:right="340"/>
              <w:spacing w:after="0" w:line="169" w:lineRule="exact"/>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14"/>
                <w:szCs w:val="14"/>
                <w:color w:val="auto"/>
              </w:rPr>
            </w:pPr>
          </w:p>
        </w:tc>
        <w:tc>
          <w:tcPr>
            <w:tcW w:w="1020" w:type="dxa"/>
            <w:vAlign w:val="bottom"/>
            <w:gridSpan w:val="3"/>
          </w:tcPr>
          <w:p>
            <w:pPr>
              <w:jc w:val="right"/>
              <w:ind w:right="410"/>
              <w:spacing w:after="0" w:line="169" w:lineRule="exact"/>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84"/>
              </w:rPr>
              <w:t>2018</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84"/>
              </w:rPr>
              <w:t>2016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gridSpan w:val="5"/>
          </w:tcPr>
          <w:p>
            <w:pPr>
              <w:jc w:val="center"/>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179,917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159,218</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138,016</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107,727</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134,868</w:t>
            </w: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297</w:t>
            </w:r>
          </w:p>
        </w:tc>
        <w:tc>
          <w:tcPr>
            <w:tcW w:w="380" w:type="dxa"/>
            <w:vAlign w:val="bottom"/>
          </w:tcPr>
          <w:p>
            <w:pPr>
              <w:spacing w:after="0"/>
              <w:rPr>
                <w:sz w:val="18"/>
                <w:szCs w:val="18"/>
                <w:color w:val="auto"/>
              </w:rPr>
            </w:pPr>
          </w:p>
        </w:tc>
        <w:tc>
          <w:tcPr>
            <w:tcW w:w="1020" w:type="dxa"/>
            <w:vAlign w:val="bottom"/>
            <w:gridSpan w:val="3"/>
          </w:tcPr>
          <w:p>
            <w:pPr>
              <w:jc w:val="right"/>
              <w:ind w:right="50"/>
              <w:spacing w:after="0"/>
              <w:rPr>
                <w:sz w:val="20"/>
                <w:szCs w:val="20"/>
                <w:color w:val="auto"/>
              </w:rPr>
            </w:pPr>
            <w:r>
              <w:rPr>
                <w:rFonts w:ascii="Arial" w:cs="Arial" w:eastAsia="Arial" w:hAnsi="Arial"/>
                <w:sz w:val="18"/>
                <w:szCs w:val="18"/>
                <w:color w:val="auto"/>
              </w:rPr>
              <w:t>5,025</w:t>
            </w:r>
          </w:p>
        </w:tc>
        <w:tc>
          <w:tcPr>
            <w:tcW w:w="5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9,014</w:t>
            </w:r>
          </w:p>
        </w:tc>
        <w:tc>
          <w:tcPr>
            <w:tcW w:w="44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414</w:t>
            </w:r>
          </w:p>
        </w:tc>
        <w:tc>
          <w:tcPr>
            <w:tcW w:w="4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2,112</w:t>
            </w: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income before income taxes</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6,795</w:t>
            </w:r>
          </w:p>
        </w:tc>
        <w:tc>
          <w:tcPr>
            <w:tcW w:w="3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1,768</w:t>
            </w:r>
          </w:p>
        </w:tc>
        <w:tc>
          <w:tcPr>
            <w:tcW w:w="4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(6,265)</w:t>
            </w:r>
          </w:p>
        </w:tc>
        <w:tc>
          <w:tcPr>
            <w:tcW w:w="4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(3,335)</w:t>
            </w: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Net income (loss) attributable to Telos Corporation</w:t>
            </w:r>
          </w:p>
        </w:tc>
        <w:tc>
          <w:tcPr>
            <w:tcW w:w="32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1,687</w:t>
            </w:r>
          </w:p>
        </w:tc>
        <w:tc>
          <w:tcPr>
            <w:tcW w:w="3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(6,401)</w:t>
            </w:r>
          </w:p>
        </w:tc>
        <w:tc>
          <w:tcPr>
            <w:tcW w:w="5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(1,640)</w:t>
            </w:r>
          </w:p>
        </w:tc>
        <w:tc>
          <w:tcPr>
            <w:tcW w:w="44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(5,833)</w:t>
            </w:r>
          </w:p>
        </w:tc>
        <w:tc>
          <w:tcPr>
            <w:tcW w:w="46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(7,175)</w:t>
            </w:r>
          </w:p>
        </w:tc>
      </w:tr>
    </w:tbl>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180" w:type="dxa"/>
            <w:vAlign w:val="bottom"/>
            <w:gridSpan w:val="9"/>
          </w:tcPr>
          <w:p>
            <w:pPr>
              <w:jc w:val="right"/>
              <w:ind w:right="460"/>
              <w:spacing w:after="0"/>
              <w:rPr>
                <w:sz w:val="20"/>
                <w:szCs w:val="20"/>
                <w:color w:val="auto"/>
              </w:rPr>
            </w:pPr>
            <w:r>
              <w:rPr>
                <w:rFonts w:ascii="Arial" w:cs="Arial" w:eastAsia="Arial" w:hAnsi="Arial"/>
                <w:sz w:val="18"/>
                <w:szCs w:val="18"/>
                <w:b w:val="1"/>
                <w:bCs w:val="1"/>
                <w:color w:val="auto"/>
              </w:rPr>
              <w:t>FINANCIAL CONDITION</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3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87"/>
              </w:rPr>
              <w:t>As of December 31,</w:t>
            </w: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jc w:val="right"/>
              <w:ind w:right="340"/>
              <w:spacing w:after="0" w:line="169" w:lineRule="exact"/>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14"/>
                <w:szCs w:val="14"/>
                <w:color w:val="auto"/>
              </w:rPr>
            </w:pPr>
          </w:p>
        </w:tc>
        <w:tc>
          <w:tcPr>
            <w:tcW w:w="880" w:type="dxa"/>
            <w:vAlign w:val="bottom"/>
            <w:gridSpan w:val="3"/>
          </w:tcPr>
          <w:p>
            <w:pPr>
              <w:jc w:val="right"/>
              <w:ind w:right="360"/>
              <w:spacing w:after="0" w:line="169" w:lineRule="exact"/>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84"/>
              </w:rPr>
              <w:t>2018</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84"/>
              </w:rPr>
              <w:t>2017</w:t>
            </w: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84"/>
              </w:rPr>
              <w:t>2016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4"/>
          </w:tcPr>
          <w:p>
            <w:pPr>
              <w:jc w:val="right"/>
              <w:ind w:right="130"/>
              <w:spacing w:after="0"/>
              <w:rPr>
                <w:sz w:val="20"/>
                <w:szCs w:val="20"/>
                <w:color w:val="auto"/>
              </w:rPr>
            </w:pPr>
            <w:r>
              <w:rPr>
                <w:rFonts w:ascii="Arial" w:cs="Arial" w:eastAsia="Arial" w:hAnsi="Arial"/>
                <w:sz w:val="18"/>
                <w:szCs w:val="18"/>
                <w:color w:val="auto"/>
                <w:w w:val="91"/>
              </w:rPr>
              <w:t>(amounts in thousands)</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183,817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77,692</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74,489</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74,421</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56,799</w:t>
            </w:r>
          </w:p>
        </w:tc>
      </w:tr>
      <w:tr>
        <w:trPr>
          <w:trHeight w:val="216"/>
        </w:trPr>
        <w:tc>
          <w:tcPr>
            <w:tcW w:w="3960" w:type="dxa"/>
            <w:vAlign w:val="bottom"/>
          </w:tcPr>
          <w:p>
            <w:pPr>
              <w:ind w:left="340"/>
              <w:spacing w:after="0"/>
              <w:rPr>
                <w:sz w:val="20"/>
                <w:szCs w:val="20"/>
                <w:color w:val="auto"/>
              </w:rPr>
            </w:pPr>
            <w:r>
              <w:rPr>
                <w:rFonts w:ascii="Arial" w:cs="Arial" w:eastAsia="Arial" w:hAnsi="Arial"/>
                <w:sz w:val="18"/>
                <w:szCs w:val="18"/>
                <w:color w:val="auto"/>
              </w:rPr>
              <w:t>Senior term loan (1)</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16,335</w:t>
            </w:r>
          </w:p>
        </w:tc>
        <w:tc>
          <w:tcPr>
            <w:tcW w:w="6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10,984</w:t>
            </w:r>
          </w:p>
        </w:tc>
        <w:tc>
          <w:tcPr>
            <w:tcW w:w="4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10,786</w:t>
            </w:r>
          </w:p>
        </w:tc>
        <w:tc>
          <w:tcPr>
            <w:tcW w:w="4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Subordinated debt, long-term (1)</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2,597</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2,289</w:t>
            </w:r>
          </w:p>
        </w:tc>
        <w:tc>
          <w:tcPr>
            <w:tcW w:w="4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tcPr>
          <w:p>
            <w:pPr>
              <w:ind w:left="340"/>
              <w:spacing w:after="0"/>
              <w:rPr>
                <w:sz w:val="20"/>
                <w:szCs w:val="20"/>
                <w:color w:val="auto"/>
              </w:rPr>
            </w:pPr>
            <w:r>
              <w:rPr>
                <w:rFonts w:ascii="Arial" w:cs="Arial" w:eastAsia="Arial" w:hAnsi="Arial"/>
                <w:sz w:val="18"/>
                <w:szCs w:val="18"/>
                <w:color w:val="auto"/>
              </w:rPr>
              <w:t>Finance lease obligations, long-term (2)</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14,301</w:t>
            </w:r>
          </w:p>
        </w:tc>
        <w:tc>
          <w:tcPr>
            <w:tcW w:w="3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15,641</w:t>
            </w:r>
          </w:p>
        </w:tc>
        <w:tc>
          <w:tcPr>
            <w:tcW w:w="6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16,865</w:t>
            </w:r>
          </w:p>
        </w:tc>
        <w:tc>
          <w:tcPr>
            <w:tcW w:w="4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17,980</w:t>
            </w:r>
          </w:p>
        </w:tc>
        <w:tc>
          <w:tcPr>
            <w:tcW w:w="4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18,990</w:t>
            </w:r>
          </w:p>
        </w:tc>
      </w:tr>
      <w:tr>
        <w:trPr>
          <w:trHeight w:val="216"/>
        </w:trPr>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obligations, long-term (2)</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941</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tcPr>
          <w:p>
            <w:pPr>
              <w:ind w:left="340"/>
              <w:spacing w:after="0"/>
              <w:rPr>
                <w:sz w:val="20"/>
                <w:szCs w:val="20"/>
                <w:color w:val="auto"/>
              </w:rPr>
            </w:pPr>
            <w:r>
              <w:rPr>
                <w:rFonts w:ascii="Arial" w:cs="Arial" w:eastAsia="Arial" w:hAnsi="Arial"/>
                <w:sz w:val="18"/>
                <w:szCs w:val="18"/>
                <w:color w:val="auto"/>
              </w:rPr>
              <w:t>Deferred income taxes, long-term (3)</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652</w:t>
            </w:r>
          </w:p>
        </w:tc>
        <w:tc>
          <w:tcPr>
            <w:tcW w:w="3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621</w:t>
            </w:r>
          </w:p>
        </w:tc>
        <w:tc>
          <w:tcPr>
            <w:tcW w:w="6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818</w:t>
            </w:r>
          </w:p>
        </w:tc>
        <w:tc>
          <w:tcPr>
            <w:tcW w:w="4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741</w:t>
            </w:r>
          </w:p>
        </w:tc>
        <w:tc>
          <w:tcPr>
            <w:tcW w:w="4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3,391</w:t>
            </w:r>
          </w:p>
        </w:tc>
      </w:tr>
      <w:tr>
        <w:trPr>
          <w:trHeight w:val="216"/>
        </w:trPr>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Senior redeemable preferred stock (4)</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2,092</w:t>
            </w:r>
          </w:p>
        </w:tc>
      </w:tr>
      <w:tr>
        <w:trPr>
          <w:trHeight w:val="230"/>
        </w:trPr>
        <w:tc>
          <w:tcPr>
            <w:tcW w:w="3960" w:type="dxa"/>
            <w:vAlign w:val="bottom"/>
          </w:tcPr>
          <w:p>
            <w:pPr>
              <w:ind w:left="340"/>
              <w:spacing w:after="0"/>
              <w:rPr>
                <w:sz w:val="20"/>
                <w:szCs w:val="20"/>
                <w:color w:val="auto"/>
              </w:rPr>
            </w:pPr>
            <w:r>
              <w:rPr>
                <w:rFonts w:ascii="Arial" w:cs="Arial" w:eastAsia="Arial" w:hAnsi="Arial"/>
                <w:sz w:val="18"/>
                <w:szCs w:val="18"/>
                <w:color w:val="auto"/>
              </w:rPr>
              <w:t>Public preferred stock (4)</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139,210</w:t>
            </w:r>
          </w:p>
        </w:tc>
        <w:tc>
          <w:tcPr>
            <w:tcW w:w="6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135,387</w:t>
            </w:r>
          </w:p>
        </w:tc>
        <w:tc>
          <w:tcPr>
            <w:tcW w:w="4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131,565</w:t>
            </w:r>
          </w:p>
        </w:tc>
        <w:tc>
          <w:tcPr>
            <w:tcW w:w="480" w:type="dxa"/>
            <w:vAlign w:val="bottom"/>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127,742</w:t>
            </w:r>
          </w:p>
        </w:tc>
      </w:tr>
    </w:tbl>
    <w:p>
      <w:pPr>
        <w:spacing w:after="0" w:line="200" w:lineRule="exact"/>
        <w:rPr>
          <w:sz w:val="20"/>
          <w:szCs w:val="20"/>
          <w:color w:val="auto"/>
        </w:rPr>
      </w:pPr>
    </w:p>
    <w:p>
      <w:pPr>
        <w:spacing w:after="0" w:line="257" w:lineRule="exact"/>
        <w:rPr>
          <w:sz w:val="20"/>
          <w:szCs w:val="20"/>
          <w:color w:val="auto"/>
        </w:rPr>
      </w:pPr>
    </w:p>
    <w:p>
      <w:pPr>
        <w:ind w:left="780" w:hanging="492"/>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Note 6 to the Consolidated Financial Statements in Item 8 regarding our debt obligations.</w:t>
      </w:r>
    </w:p>
    <w:p>
      <w:pPr>
        <w:spacing w:after="0" w:line="23" w:lineRule="exact"/>
        <w:rPr>
          <w:rFonts w:ascii="Arial" w:cs="Arial" w:eastAsia="Arial" w:hAnsi="Arial"/>
          <w:sz w:val="18"/>
          <w:szCs w:val="18"/>
          <w:color w:val="auto"/>
        </w:rPr>
      </w:pPr>
    </w:p>
    <w:p>
      <w:pPr>
        <w:ind w:left="780" w:hanging="492"/>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Note 10 to the Consolidated Financial Statements in Item 8 regarding our lease obligations.</w:t>
      </w:r>
    </w:p>
    <w:p>
      <w:pPr>
        <w:spacing w:after="0" w:line="9" w:lineRule="exact"/>
        <w:rPr>
          <w:rFonts w:ascii="Arial" w:cs="Arial" w:eastAsia="Arial" w:hAnsi="Arial"/>
          <w:sz w:val="18"/>
          <w:szCs w:val="18"/>
          <w:color w:val="auto"/>
        </w:rPr>
      </w:pPr>
    </w:p>
    <w:p>
      <w:pPr>
        <w:ind w:left="780" w:hanging="492"/>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Note 9 to the Consolidated Financial Statements in Item 8 regarding our income taxes.</w:t>
      </w:r>
    </w:p>
    <w:p>
      <w:pPr>
        <w:spacing w:after="0" w:line="9" w:lineRule="exact"/>
        <w:rPr>
          <w:rFonts w:ascii="Arial" w:cs="Arial" w:eastAsia="Arial" w:hAnsi="Arial"/>
          <w:sz w:val="18"/>
          <w:szCs w:val="18"/>
          <w:color w:val="auto"/>
        </w:rPr>
      </w:pPr>
    </w:p>
    <w:p>
      <w:pPr>
        <w:ind w:left="780" w:hanging="492"/>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Note 7 to the Consolidated Financial Statements in Item 8 regarding our redeemable preferred stock.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right="380" w:firstLine="324"/>
        <w:spacing w:after="0" w:line="253" w:lineRule="auto"/>
        <w:rPr>
          <w:sz w:val="20"/>
          <w:szCs w:val="20"/>
          <w:color w:val="auto"/>
        </w:rPr>
      </w:pPr>
      <w:r>
        <w:rPr>
          <w:rFonts w:ascii="Arial" w:cs="Arial" w:eastAsia="Arial" w:hAnsi="Arial"/>
          <w:sz w:val="18"/>
          <w:szCs w:val="18"/>
          <w:color w:val="auto"/>
        </w:rPr>
        <w:t>We offer technologically advanced, software-based security solutions that empower and protect the world’s most security-conscious organizations against rapidly evolving, sophisticated and pervasive threats. Our portfolio of security products, services and expertise empower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w:t>
      </w:r>
    </w:p>
    <w:p>
      <w:pPr>
        <w:spacing w:after="0" w:line="218"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Our mission is to protect our customers’ people, systems, and vital information assets with offerings for cybersecurity, cloud security, and enterprise security. In the current global environment, our mission is more critical than ever. The emergence of each new ICT introduces new vulnerabilities, as security is still too often overlooked in solution development. Networks and applications meant to enhance productivity and profitability often jeopardize an organization due to poor planning, misconfiguration, or an unknown gap in security. Ransomware, insider threats, cybercrime, and advanced persistent threats continue to menace public and private enterprises across all industries.</w:t>
      </w:r>
    </w:p>
    <w:p>
      <w:pPr>
        <w:spacing w:after="0" w:line="203"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Cybersecurity, cloud security, and enterprise security of the modern organization share much in common, yet also call for a diverse range of skills, capabilities, and experience in order to meet the requirements of security-conscious customers. Decades of experience in developing, orchestrating, and delivering solutions across these three domains gives us the vision and the confidence to provide solutions that empower and protect the enterprise at an integrated, holistic level. Our experience in addressing challenges in one area of an enterprise helps us meet requirements in others. We understand that a range of complementary capabilities may be needed to solve a single challenge, and we also recognize when a single solution might address multiple challenges.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security solutions span across the following domains:</w:t>
      </w:r>
    </w:p>
    <w:p>
      <w:pPr>
        <w:spacing w:after="0" w:line="23" w:lineRule="exact"/>
        <w:rPr>
          <w:sz w:val="20"/>
          <w:szCs w:val="20"/>
          <w:color w:val="auto"/>
        </w:rPr>
      </w:pPr>
    </w:p>
    <w:p>
      <w:pPr>
        <w:ind w:left="400" w:right="140" w:hanging="66"/>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Cybersecurity</w:t>
      </w:r>
      <w:r>
        <w:rPr>
          <w:rFonts w:ascii="Arial" w:cs="Arial" w:eastAsia="Arial" w:hAnsi="Arial"/>
          <w:sz w:val="17"/>
          <w:szCs w:val="17"/>
          <w:color w:val="auto"/>
        </w:rPr>
        <w:t xml:space="preserve"> – We help our customers ensure the ongoing security, integrity, and compliance of their on-premises and related cloud-based systems, reducing threats and vulnerabilities in order to foil cyber adversaries before they can attack. Our consultants assess our customers’ security environments and then design, engineer, and operate the systems they need to strengthen their cybersecurity posture.</w:t>
      </w:r>
    </w:p>
    <w:p>
      <w:pPr>
        <w:ind w:left="420" w:hanging="88"/>
        <w:spacing w:after="0" w:line="265" w:lineRule="auto"/>
        <w:tabs>
          <w:tab w:leader="none" w:pos="42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Cloud Security </w:t>
      </w:r>
      <w:r>
        <w:rPr>
          <w:rFonts w:ascii="Arial" w:cs="Arial" w:eastAsia="Arial" w:hAnsi="Arial"/>
          <w:sz w:val="17"/>
          <w:szCs w:val="17"/>
          <w:color w:val="auto"/>
        </w:rPr>
        <w:t>– The cloud as an organizational resource is more than two decades old, yet the needs of cloud users are constantly changing. We offer</w:t>
      </w:r>
      <w:r>
        <w:rPr>
          <w:rFonts w:ascii="Arial" w:cs="Arial" w:eastAsia="Arial" w:hAnsi="Arial"/>
          <w:sz w:val="17"/>
          <w:szCs w:val="17"/>
          <w:i w:val="1"/>
          <w:iCs w:val="1"/>
          <w:color w:val="auto"/>
        </w:rPr>
        <w:t xml:space="preserve"> </w:t>
      </w:r>
      <w:r>
        <w:rPr>
          <w:rFonts w:ascii="Arial" w:cs="Arial" w:eastAsia="Arial" w:hAnsi="Arial"/>
          <w:sz w:val="17"/>
          <w:szCs w:val="17"/>
          <w:color w:val="auto"/>
        </w:rPr>
        <w:t>the specialized skills and experience needed to help our customers plan, engineer, and execute secure cloud migration strategies and then ensure ongoing management and security in keeping with the leading standards for cloud-based systems and workloads.</w:t>
      </w:r>
    </w:p>
    <w:p>
      <w:pPr>
        <w:ind w:left="420" w:right="160" w:hanging="88"/>
        <w:spacing w:after="0" w:line="302" w:lineRule="auto"/>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Enterprise Security </w:t>
      </w:r>
      <w:r>
        <w:rPr>
          <w:rFonts w:ascii="Arial" w:cs="Arial" w:eastAsia="Arial" w:hAnsi="Arial"/>
          <w:sz w:val="16"/>
          <w:szCs w:val="16"/>
          <w:color w:val="auto"/>
        </w:rPr>
        <w:t>– Securing the enterprise means protecting the essential and timeless elements common to every organization: its people and</w:t>
      </w:r>
      <w:r>
        <w:rPr>
          <w:rFonts w:ascii="Arial" w:cs="Arial" w:eastAsia="Arial" w:hAnsi="Arial"/>
          <w:sz w:val="16"/>
          <w:szCs w:val="16"/>
          <w:i w:val="1"/>
          <w:iCs w:val="1"/>
          <w:color w:val="auto"/>
        </w:rPr>
        <w:t xml:space="preserve"> </w:t>
      </w:r>
      <w:r>
        <w:rPr>
          <w:rFonts w:ascii="Arial" w:cs="Arial" w:eastAsia="Arial" w:hAnsi="Arial"/>
          <w:sz w:val="16"/>
          <w:szCs w:val="16"/>
          <w:color w:val="auto"/>
        </w:rPr>
        <w:t>processes, its supply chain and inventories, its finances and facilities, and its information and communications. As ICT and OT have become part of the organizational make-up, we have offered solutions that ensure personnel can work securely and productively across and beyond the enterprise.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refer to our cyber and cloud applications as Security Solutions, which includes Information Assurance / Xacta® (previously referred to as Cyber</w:t>
      </w:r>
    </w:p>
    <w:p>
      <w:pPr>
        <w:spacing w:after="0" w:line="46" w:lineRule="exact"/>
        <w:rPr>
          <w:sz w:val="20"/>
          <w:szCs w:val="20"/>
          <w:color w:val="auto"/>
        </w:rPr>
      </w:pPr>
    </w:p>
    <w:p>
      <w:pPr>
        <w:ind w:right="340" w:firstLine="8"/>
        <w:spacing w:after="0" w:line="255" w:lineRule="auto"/>
        <w:tabs>
          <w:tab w:leader="none" w:pos="1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Cloud Solutions), Secure Communications (previously referred to as Secure Communications Cyber and Enterprise Solutions), and Telos ID (previously referred to as Telos ID Enterprise Solutions). We refer to our offerings for enterprise security as Secure Networks (previously referred to as Secure Mobility and Network Management/Defense Enterprise Solutions).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Security Solutions</w:t>
      </w:r>
    </w:p>
    <w:p>
      <w:pPr>
        <w:spacing w:after="0" w:line="23" w:lineRule="exact"/>
        <w:rPr>
          <w:sz w:val="20"/>
          <w:szCs w:val="20"/>
          <w:color w:val="auto"/>
        </w:rPr>
      </w:pPr>
    </w:p>
    <w:p>
      <w:pPr>
        <w:ind w:left="460" w:right="640" w:hanging="128"/>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Information Assurance / Xacta: </w:t>
      </w:r>
      <w:r>
        <w:rPr>
          <w:rFonts w:ascii="Arial" w:cs="Arial" w:eastAsia="Arial" w:hAnsi="Arial"/>
          <w:sz w:val="18"/>
          <w:szCs w:val="18"/>
          <w:color w:val="auto"/>
        </w:rPr>
        <w:t>a premier platform for enterprise cyber risk management and security compliance automation, delivering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awareness for systems in the cloud, on-premises, and in hybrid and multi-cloud environments. Xacta delivers automated cyber risk and compliance management solutions to large commercial and government enterprises. Across the U.S. federal government, Xacta is the de facto commercial cyber risk and compliance management solution.</w:t>
      </w:r>
    </w:p>
    <w:p>
      <w:pPr>
        <w:spacing w:after="0" w:line="1" w:lineRule="exact"/>
        <w:rPr>
          <w:rFonts w:ascii="Arial" w:cs="Arial" w:eastAsia="Arial" w:hAnsi="Arial"/>
          <w:sz w:val="18"/>
          <w:szCs w:val="18"/>
          <w:color w:val="auto"/>
        </w:rPr>
      </w:pPr>
    </w:p>
    <w:p>
      <w:pPr>
        <w:ind w:left="460" w:hanging="128"/>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Secure Communications:</w:t>
      </w:r>
    </w:p>
    <w:p>
      <w:pPr>
        <w:spacing w:after="0" w:line="9" w:lineRule="exact"/>
        <w:rPr>
          <w:rFonts w:ascii="Arial" w:cs="Arial" w:eastAsia="Arial" w:hAnsi="Arial"/>
          <w:sz w:val="18"/>
          <w:szCs w:val="18"/>
          <w:color w:val="auto"/>
        </w:rPr>
      </w:pPr>
    </w:p>
    <w:p>
      <w:pPr>
        <w:ind w:left="1800" w:right="120" w:hanging="1331"/>
        <w:spacing w:after="0" w:line="250" w:lineRule="auto"/>
        <w:tabs>
          <w:tab w:leader="none" w:pos="1800"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Telos Ghost: </w:t>
      </w:r>
      <w:r>
        <w:rPr>
          <w:rFonts w:ascii="Arial" w:cs="Arial" w:eastAsia="Arial" w:hAnsi="Arial"/>
          <w:sz w:val="18"/>
          <w:szCs w:val="18"/>
          <w:color w:val="auto"/>
        </w:rPr>
        <w:t>a virtual obfuscation network-as-a-service with encryption and managed attribution capabilities to ensure the safety</w:t>
      </w:r>
      <w:r>
        <w:rPr>
          <w:rFonts w:ascii="Arial" w:cs="Arial" w:eastAsia="Arial" w:hAnsi="Arial"/>
          <w:sz w:val="18"/>
          <w:szCs w:val="18"/>
          <w:b w:val="1"/>
          <w:bCs w:val="1"/>
          <w:color w:val="auto"/>
        </w:rPr>
        <w:t xml:space="preserve"> </w:t>
      </w:r>
      <w:r>
        <w:rPr>
          <w:rFonts w:ascii="Arial" w:cs="Arial" w:eastAsia="Arial" w:hAnsi="Arial"/>
          <w:sz w:val="18"/>
          <w:szCs w:val="18"/>
          <w:color w:val="auto"/>
        </w:rPr>
        <w:t>and privacy of people, information, and resources on the network. Telos Ghost seeks to eliminate cyber-attack surfaces by obfuscating and encrypting data, masking user identity and location, and hiding network resources. It provides the additional layers of security and privacy needed for intelligence gathering, cyber threat protection, securing critical infrastructure, and protecting communications and applications when operations, property, and even lives can be jeopardized by a single error in security.</w:t>
      </w:r>
    </w:p>
    <w:p>
      <w:pPr>
        <w:spacing w:after="0" w:line="2" w:lineRule="exact"/>
        <w:rPr>
          <w:rFonts w:ascii="Arial" w:cs="Arial" w:eastAsia="Arial" w:hAnsi="Arial"/>
          <w:sz w:val="18"/>
          <w:szCs w:val="18"/>
          <w:color w:val="auto"/>
        </w:rPr>
      </w:pPr>
    </w:p>
    <w:p>
      <w:pPr>
        <w:ind w:left="1800" w:hanging="1331"/>
        <w:spacing w:after="0" w:line="281" w:lineRule="auto"/>
        <w:tabs>
          <w:tab w:leader="none" w:pos="1800" w:val="left"/>
        </w:tabs>
        <w:numPr>
          <w:ilvl w:val="1"/>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Telos Automated Message Handling System (“AMHS”): </w:t>
      </w:r>
      <w:r>
        <w:rPr>
          <w:rFonts w:ascii="Arial" w:cs="Arial" w:eastAsia="Arial" w:hAnsi="Arial"/>
          <w:sz w:val="16"/>
          <w:szCs w:val="16"/>
          <w:color w:val="auto"/>
        </w:rPr>
        <w:t>web-based organizational message distribution and management for</w:t>
      </w:r>
      <w:r>
        <w:rPr>
          <w:rFonts w:ascii="Arial" w:cs="Arial" w:eastAsia="Arial" w:hAnsi="Arial"/>
          <w:sz w:val="16"/>
          <w:szCs w:val="16"/>
          <w:b w:val="1"/>
          <w:bCs w:val="1"/>
          <w:color w:val="auto"/>
        </w:rPr>
        <w:t xml:space="preserve"> </w:t>
      </w:r>
      <w:r>
        <w:rPr>
          <w:rFonts w:ascii="Arial" w:cs="Arial" w:eastAsia="Arial" w:hAnsi="Arial"/>
          <w:sz w:val="16"/>
          <w:szCs w:val="16"/>
          <w:color w:val="auto"/>
        </w:rPr>
        <w:t>mission-critical communications; the recognized gold standard for organizational messaging in the U.S. government. Telos AMHS is used by military field operatives for critical communications on the battlefield and is the only web-based solution for assured messaging and directory services using the DISA Organizational Messaging Service and its specialized communications protocols.</w:t>
      </w:r>
    </w:p>
    <w:p>
      <w:pPr>
        <w:spacing w:after="0" w:line="2" w:lineRule="exact"/>
        <w:rPr>
          <w:rFonts w:ascii="Arial" w:cs="Arial" w:eastAsia="Arial" w:hAnsi="Arial"/>
          <w:sz w:val="16"/>
          <w:szCs w:val="16"/>
          <w:color w:val="auto"/>
        </w:rPr>
      </w:pPr>
    </w:p>
    <w:p>
      <w:pPr>
        <w:ind w:left="460" w:right="720" w:hanging="128"/>
        <w:spacing w:after="0" w:line="20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Telos ID: </w:t>
      </w:r>
      <w:r>
        <w:rPr>
          <w:rFonts w:ascii="Arial" w:cs="Arial" w:eastAsia="Arial" w:hAnsi="Arial"/>
          <w:sz w:val="18"/>
          <w:szCs w:val="18"/>
          <w:color w:val="auto"/>
        </w:rPr>
        <w:t>offering Identity Trust and Digital Services through IDTrust360</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an enterprise-class digital identity risk platform for extending</w:t>
      </w:r>
      <w:r>
        <w:rPr>
          <w:rFonts w:ascii="Arial" w:cs="Arial" w:eastAsia="Arial" w:hAnsi="Arial"/>
          <w:sz w:val="18"/>
          <w:szCs w:val="18"/>
          <w:b w:val="1"/>
          <w:bCs w:val="1"/>
          <w:color w:val="auto"/>
        </w:rPr>
        <w:t xml:space="preserve"> </w:t>
      </w:r>
      <w:r>
        <w:rPr>
          <w:rFonts w:ascii="Arial" w:cs="Arial" w:eastAsia="Arial" w:hAnsi="Arial"/>
          <w:sz w:val="18"/>
          <w:szCs w:val="18"/>
          <w:color w:val="auto"/>
        </w:rPr>
        <w:t>SaaS and custom digital identity services that mitigate threats through the integration of advanced technologies that fuse biometrics, credentials, and other identity-centric data used to continuously monitor trust. We maintain government certifications and designations that distinguish Telos ID, including TSA PreCheck</w:t>
      </w:r>
      <w:r>
        <w:rPr>
          <w:rFonts w:ascii="Arial" w:cs="Arial" w:eastAsia="Arial" w:hAnsi="Arial"/>
          <w:sz w:val="29"/>
          <w:szCs w:val="29"/>
          <w:color w:val="auto"/>
          <w:vertAlign w:val="superscript"/>
        </w:rPr>
        <w:t>®</w:t>
      </w:r>
      <w:r>
        <w:rPr>
          <w:rFonts w:ascii="Arial" w:cs="Arial" w:eastAsia="Arial" w:hAnsi="Arial"/>
          <w:sz w:val="18"/>
          <w:szCs w:val="18"/>
          <w:color w:val="auto"/>
        </w:rPr>
        <w:t xml:space="preserve"> enrollment provider, Designated Aviation Channeling provider, FBI-approved Channeler, and FINRA Electronic Fingerprint Submission provider. We are the only commercial entity in our industry designated as a Secure Flight Services provider for terrorist watchlist checks.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Secure Networks</w:t>
      </w:r>
    </w:p>
    <w:p>
      <w:pPr>
        <w:spacing w:after="0" w:line="23" w:lineRule="exact"/>
        <w:rPr>
          <w:sz w:val="20"/>
          <w:szCs w:val="20"/>
          <w:color w:val="auto"/>
        </w:rPr>
      </w:pPr>
    </w:p>
    <w:p>
      <w:pPr>
        <w:ind w:left="460" w:right="340" w:hanging="128"/>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Secure Mobility: </w:t>
      </w:r>
      <w:r>
        <w:rPr>
          <w:rFonts w:ascii="Arial" w:cs="Arial" w:eastAsia="Arial" w:hAnsi="Arial"/>
          <w:sz w:val="18"/>
          <w:szCs w:val="18"/>
          <w:color w:val="auto"/>
        </w:rPr>
        <w:t>solutions for business and government that enable remote work and minimize concern across and beyond the enterprise. Our</w:t>
      </w:r>
      <w:r>
        <w:rPr>
          <w:rFonts w:ascii="Arial" w:cs="Arial" w:eastAsia="Arial" w:hAnsi="Arial"/>
          <w:sz w:val="18"/>
          <w:szCs w:val="18"/>
          <w:b w:val="1"/>
          <w:bCs w:val="1"/>
          <w:color w:val="auto"/>
        </w:rPr>
        <w:t xml:space="preserve"> </w:t>
      </w:r>
      <w:r>
        <w:rPr>
          <w:rFonts w:ascii="Arial" w:cs="Arial" w:eastAsia="Arial" w:hAnsi="Arial"/>
          <w:sz w:val="18"/>
          <w:szCs w:val="18"/>
          <w:color w:val="auto"/>
        </w:rPr>
        <w:t>secure mobility team brings credentials to every engagement, supplying deep expertise and experience as well as highly desirable clearances and industry recognized certifications for network engineering, mobility, and security.</w:t>
      </w:r>
    </w:p>
    <w:p>
      <w:pPr>
        <w:spacing w:after="0" w:line="1" w:lineRule="exact"/>
        <w:rPr>
          <w:rFonts w:ascii="Arial" w:cs="Arial" w:eastAsia="Arial" w:hAnsi="Arial"/>
          <w:sz w:val="18"/>
          <w:szCs w:val="18"/>
          <w:color w:val="auto"/>
        </w:rPr>
      </w:pPr>
    </w:p>
    <w:p>
      <w:pPr>
        <w:ind w:left="460" w:hanging="128"/>
        <w:spacing w:after="0" w:line="25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Network Management and Defense: </w:t>
      </w:r>
      <w:r>
        <w:rPr>
          <w:rFonts w:ascii="Arial" w:cs="Arial" w:eastAsia="Arial" w:hAnsi="Arial"/>
          <w:sz w:val="18"/>
          <w:szCs w:val="18"/>
          <w:color w:val="auto"/>
        </w:rPr>
        <w:t>services for operating, administrating, and defending complex enterprise networks and defensive cyber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Our diverse portfolio of capabilities addresses common and uncommon requirements in many industries and disciplines, ranging from the military and government agencies to Fortune 500 companies.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Significant estimates and assumptions used in the preparation of our consolidated financial statements include revenue recognition, allowance for doubtful accounts receivable, allowance for inventory obsolescence, the valuation allowance for deferred tax assets, income taxes, contingencies and litigation, potential impairments of goodwill and intangible assets, estimated pension-related costs for our foreign subsidiaries and accretion of public preferred stock. Actual results could differ from those estimates.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the most critical accounting policies used in the preparation of our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ind w:right="220" w:firstLine="324"/>
        <w:spacing w:after="0" w:line="268" w:lineRule="auto"/>
        <w:rPr>
          <w:sz w:val="20"/>
          <w:szCs w:val="20"/>
          <w:color w:val="auto"/>
        </w:rPr>
      </w:pPr>
      <w:r>
        <w:rPr>
          <w:rFonts w:ascii="Arial" w:cs="Arial" w:eastAsia="Arial" w:hAnsi="Arial"/>
          <w:sz w:val="17"/>
          <w:szCs w:val="17"/>
          <w:color w:val="auto"/>
        </w:rPr>
        <w:t>We account for revenue in accordance with Accounting Standards Codification (“ASC”) Topic 606, “Revenue from Contracts with Customers.” The unit of account in ASC 606 is a performance obligation, which is a promise in a contract with a customer to transfer a good or service to the customer. ASC 606 prescribes a five-step model for recognizing revenue that includes identifying the contract with the customer, determining the performance obligation(s), determining the transaction price, allocating the transaction price to the performance obligation(s), and recognizing revenue as the performance obligations are satisfied. Timing of the satisfaction of performance obligations varies across our businesses due to our diverse product and service mix, customer base, and contractual terms. Significant judgment can be required in determining certain performance obligations, and these determinations could change the amount of revenue and profit recorded in a given period. Our contracts may have a single performance obligation or multiple performance obligations. When there are multiple performance obligations within a contract, we allocate the transaction price to each performance obligation based on our best estimate of standalone selling price.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majority of our revenue is recognized over time, as control is transferred continuously to our customers who receive and consume benefits as we perform, and is classified as services revenue. All of our business groups earn services revenue under a variety of contract types, including time and materials, firm-fixed price, firm-fixed price level of effort, and cost plus fixed fee contract types, which may include variable consideration as discussed further below. Revenue is recognized over time using costs incurred to date relative to total estimated costs at completion to measure progress toward satisfying our performance obligations. Incurred cost represents work performed, which corresponds with, and thereby best depicts, the transfer of control to the customer. Contract costs include labor, material, subcontractor costs and indirect expenses. This continuous transfer of control to the customer is supported by clauses in our contracts with U.S. Government customers whereby the customer may terminate a contract for convenience and then pay for costs incurred plus a profit, at which time the customer would take control of any work in process. For non-U.S. Government contracts where we perform as a subcontractor and our order includes similar Federal Acquisition Regulation (FAR) provisions as the prime contractor’s order from the U.S. Government, continuous transfer of control is likewise supported by such provisions. For other non-U.S. Government customers, continuous transfer of control to such customers is also supported due to general terms in our contracts and rights to recover damages which would include, among other potential damages, the right to payment for our work performed to date plus a reasonable profit.</w:t>
      </w:r>
    </w:p>
    <w:p>
      <w:pPr>
        <w:spacing w:after="0" w:line="19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Due to the transfer of control over time, revenue is recognized based on progress towards completion of the performance obligation. The selection of the method to measure progress towards completion requires judgment and is based on the nature of the performance obligations. We generally use the cost-to-cost measure of progress on a proportional performance basis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are recorded proportionally as costs are incurred. Due to the nature of the work required to be performed on certain of our performance obligations, the estimation of total revenue and cost at completion is complex, subject to many variables and requires significant judgment. Contract estimates are based on various assumptions including labor and subcontractor costs, materials and other direct costs and the complexity of the work to be performed. A significant change in one or more of these estimates could affect the profitability of our contracts. We review and update our contract-related estimates regularly and recognize adjustments in estimated profit on contracts on a cumulative catch-up basis, which may result in an adjustment increasing or decreasing revenue to date on a contract in a particular period that the adjustment is identified. Revenue and profit in future periods of contract performance are recognized using the adjusted estimate.</w:t>
      </w:r>
    </w:p>
    <w:p>
      <w:pPr>
        <w:spacing w:after="0" w:line="196" w:lineRule="exact"/>
        <w:rPr>
          <w:sz w:val="20"/>
          <w:szCs w:val="20"/>
          <w:color w:val="auto"/>
        </w:rPr>
      </w:pPr>
    </w:p>
    <w:p>
      <w:pPr>
        <w:ind w:right="100" w:firstLine="324"/>
        <w:spacing w:after="0" w:line="247" w:lineRule="auto"/>
        <w:rPr>
          <w:sz w:val="20"/>
          <w:szCs w:val="20"/>
          <w:color w:val="auto"/>
        </w:rPr>
      </w:pPr>
      <w:r>
        <w:rPr>
          <w:rFonts w:ascii="Arial" w:cs="Arial" w:eastAsia="Arial" w:hAnsi="Arial"/>
          <w:sz w:val="17"/>
          <w:szCs w:val="17"/>
          <w:color w:val="auto"/>
        </w:rPr>
        <w:t>Revenue that is recognized at a point in time is for the sale of software licenses in our Information Assurance / Xacta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Secure Communications business groups and for the sale of resold products in Telos ID and Secure Networks, and is classified as product revenue. Revenue on these contracts is recognized when the customer obtains control of the transferred product or service, which is generally upon delivery of the product to the customer for their use, due to us maintaining control of the product until that point. 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using our best estimate of standalone selling price.</w:t>
      </w:r>
    </w:p>
    <w:p>
      <w:pPr>
        <w:spacing w:after="0" w:line="226"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Contracts are routinely and often modified to account for changes in contract requirements, specifications, quantities, or price. Depending on the nature of the modification, we determine whether to account for the modification as an adjustment to the existing contract or as a new contract. Generally, modifications are not distinct from the existing contract due to the significant interrelatedness of the performance obligations and are therefore accounted for as an adjustment to the existing contract, and recognized as a cumulative adjustment to revenue (as either an increase or reduction of revenue) based on the modification’s effect on progress toward completion of a performance obligation.</w:t>
      </w:r>
    </w:p>
    <w:p>
      <w:pPr>
        <w:spacing w:after="0" w:line="203"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Our contracts may include various types of variable consideration, such as claims (for instance, indirect rate or other equitable adjustments) or incentive fees. We include estimated amounts in the transaction price based on all of the information available to us, including historical information and future estimations, and to the extent it is probable that a significant reversal of cumulative revenue recognized will not occur when any uncertainty associated with the variable consideration is resolved. We have revised and re-submitted several years of incurred cost submissions reflecting certain indirect rate structure changes as a result of regular Defense Contract Audit Agency (“DCAA”) audits of incurred cost submissions. This resulted in signed final rate agreement letters for fiscal years 2011 to 2013 and conformed incurred cost submissions for 2014 to 2015. We evaluated the resulting changes to revenue under the applicable cost plus fixed fee contracts for the years 2011 to 2015 as variable consideration, and determined the most likely amount to which we expect to be entitled, to the extent that no constraint exists that would preclude recognizing this revenue or result in a significant reversal of cumulative revenue recognized. We included these estimated amounts of variable consideration in the transaction price and as performance on these contracts is complete, we have recognized revenue of $6.0 million during the year ended December 31, 2018.</w:t>
      </w:r>
    </w:p>
    <w:p>
      <w:pPr>
        <w:spacing w:after="0" w:line="19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Historically, most of our contracts do not include award or incentive fees. For incentive fees, we would include such fees in the transaction price to the extent we could reasonably estimate the amount of the fee. With limited historical experience, we have not included any revenue related to incentive fees in our estimated transaction prices. We may include in our contract estimates additional revenue for submitted contract modifications or claims against the customer when we believe we have an enforceable right to the modification or claim, the amount can be estimated reliably and its realization is probable. We consider the contractual/legal basis for the claim (in particular FAR provisions), the facts and circumstances around any additional costs incurred, the reasonableness of those costs and the objective evidence available to support such claims.</w:t>
      </w:r>
    </w:p>
    <w:p>
      <w:pPr>
        <w:sectPr>
          <w:pgSz w:w="11900" w:h="16838" w:orient="portrait"/>
          <w:cols w:equalWidth="0" w:num="1">
            <w:col w:w="11080"/>
          </w:cols>
          <w:pgMar w:left="320" w:top="125" w:right="499" w:bottom="1440" w:gutter="0" w:footer="0" w:header="0"/>
        </w:sect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For our contracts that have an original duration of one year or less, we use the practical expedient applicable to such contracts and do not consider the time value of money. We capitalize sales commissions related to proprietary software and related services that are directly tied to sales. We do not elect the practical expedient to expense as incurred the incremental costs of obtaining a contract if the amortization period would have been one year or less. For the sales commissions that are capitalized, we amortize the asset over the expected customer life, which is based on recent and historical data.</w:t>
      </w:r>
    </w:p>
    <w:p>
      <w:pPr>
        <w:spacing w:after="0" w:line="184" w:lineRule="exact"/>
        <w:rPr>
          <w:sz w:val="20"/>
          <w:szCs w:val="20"/>
          <w:color w:val="auto"/>
        </w:rPr>
      </w:pPr>
    </w:p>
    <w:p>
      <w:pPr>
        <w:jc w:val="both"/>
        <w:ind w:right="360" w:firstLine="324"/>
        <w:spacing w:after="0" w:line="311" w:lineRule="auto"/>
        <w:rPr>
          <w:sz w:val="20"/>
          <w:szCs w:val="20"/>
          <w:color w:val="auto"/>
        </w:rPr>
      </w:pPr>
      <w:r>
        <w:rPr>
          <w:rFonts w:ascii="Arial" w:cs="Arial" w:eastAsia="Arial" w:hAnsi="Arial"/>
          <w:sz w:val="16"/>
          <w:szCs w:val="16"/>
          <w:color w:val="auto"/>
        </w:rPr>
        <w:t>Contract assets are amounts that are invoiced as work progresses in accordance with agreed-upon contractual terms, either at periodic intervals or upon achievement of contractual milestones. Generally, revenue recognition occurs before billing, resulting in contract assets. These contract assets are referred to as unbilled receivables and are reported within accounts receivable, net of reserve on our consolidated balance sheets.</w:t>
      </w:r>
    </w:p>
    <w:p>
      <w:pPr>
        <w:spacing w:after="0" w:line="176"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Billed receivables are amounts billed and due from our customers and are reported within accounts receivable, net of reserve on the consolidated balance sheets. The portion of the payments retained by the customer until final contract settlement is not considered a significant financing component due to the intent of the retainage being the customer’s protection with respect to full and final performance under the contract.</w:t>
      </w:r>
    </w:p>
    <w:p>
      <w:pPr>
        <w:spacing w:after="0" w:line="176"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Contract liabilities are payments received in advance and milestone payments from our customers on selected contracts that exceed revenue earned to date, resulting in contract liabilities. Contract liabilities typically are not considered a significant financing component because they are generally satisfied within one year and are used to meet working capital demands that can be higher in the early stages of a contract. Contract liabilities are reported on our consolidated balance sheets on a net contract basis at the end of each reporting period.</w:t>
      </w:r>
    </w:p>
    <w:p>
      <w:pPr>
        <w:spacing w:after="0" w:line="198"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We have one reportable segment. We treat sales to U.S. customers as sales within the U.S. regardless of where the services are performed. Substantially all of our revenues are from U.S. customers as revenue derived from international customers is de minimus. The following tables disclose revenue (in thousands) by customer type and contract type for the periods presented. Prior period amounts have not been adjusted under the modified retrospective method.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42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171,677</w:t>
            </w: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149,257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129,279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State &amp; Local, and Commercial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9,961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8,737</w:t>
            </w:r>
          </w:p>
        </w:tc>
      </w:tr>
      <w:tr>
        <w:trPr>
          <w:trHeight w:val="249"/>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179,917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159,218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138,016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Firm fixed-price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151,703</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131,629</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103,454</w:t>
            </w:r>
          </w:p>
        </w:tc>
        <w:tc>
          <w:tcPr>
            <w:tcW w:w="0" w:type="dxa"/>
            <w:vAlign w:val="bottom"/>
          </w:tcPr>
          <w:p>
            <w:pPr>
              <w:spacing w:after="0"/>
              <w:rPr>
                <w:sz w:val="1"/>
                <w:szCs w:val="1"/>
                <w:color w:val="auto"/>
              </w:rPr>
            </w:pP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Time-and-materials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13,455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16,795</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Cost plus fixed fee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14,759</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6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179,917</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159,218</w:t>
            </w:r>
          </w:p>
        </w:tc>
        <w:tc>
          <w:tcPr>
            <w:tcW w:w="220" w:type="dxa"/>
            <w:vAlign w:val="bottom"/>
          </w:tcPr>
          <w:p>
            <w:pPr>
              <w:spacing w:after="0"/>
              <w:rPr>
                <w:sz w:val="18"/>
                <w:szCs w:val="18"/>
                <w:color w:val="auto"/>
              </w:rPr>
            </w:pPr>
          </w:p>
        </w:tc>
        <w:tc>
          <w:tcPr>
            <w:tcW w:w="24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138,016</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340"/>
              <w:spacing w:after="0"/>
              <w:rPr>
                <w:sz w:val="20"/>
                <w:szCs w:val="20"/>
                <w:color w:val="auto"/>
              </w:rPr>
            </w:pPr>
            <w:r>
              <w:rPr>
                <w:rFonts w:ascii="Arial" w:cs="Arial" w:eastAsia="Arial" w:hAnsi="Arial"/>
                <w:sz w:val="18"/>
                <w:szCs w:val="18"/>
                <w:color w:val="auto"/>
              </w:rPr>
              <w:t>The following table discloses accounts receivable and contract assets (in thousands):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vMerge w:val="restart"/>
          </w:tcPr>
          <w:p>
            <w:pPr>
              <w:jc w:val="center"/>
              <w:ind w:right="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Billed accounts receivable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Unbilled receivables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16,745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Allowance for doubtful accounts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rPr>
              <w:t>Receivables – net</w:t>
            </w: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30,913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firstLine="324"/>
        <w:spacing w:after="0" w:line="291" w:lineRule="auto"/>
        <w:rPr>
          <w:sz w:val="20"/>
          <w:szCs w:val="20"/>
          <w:color w:val="auto"/>
        </w:rPr>
      </w:pPr>
      <w:r>
        <w:rPr>
          <w:rFonts w:ascii="Arial" w:cs="Arial" w:eastAsia="Arial" w:hAnsi="Arial"/>
          <w:sz w:val="16"/>
          <w:szCs w:val="16"/>
          <w:color w:val="auto"/>
        </w:rPr>
        <w:t>As of December 31, 2020 and 2019, we had $127.7 million and $112.4 million of remaining performance obligations, respectively, which we also refer to as funded backlog. We expect to recognize approximately 92.4% of our remaining performance obligations as revenue in 2021, an additional</w:t>
      </w:r>
    </w:p>
    <w:p>
      <w:pPr>
        <w:ind w:right="180"/>
        <w:spacing w:after="0" w:line="255" w:lineRule="auto"/>
        <w:rPr>
          <w:sz w:val="20"/>
          <w:szCs w:val="20"/>
          <w:color w:val="auto"/>
        </w:rPr>
      </w:pPr>
      <w:r>
        <w:rPr>
          <w:rFonts w:ascii="Arial" w:cs="Arial" w:eastAsia="Arial" w:hAnsi="Arial"/>
          <w:sz w:val="18"/>
          <w:szCs w:val="18"/>
          <w:color w:val="auto"/>
        </w:rPr>
        <w:t>2.5% by 2022 and the balance thereafter. For the years ended December 31, 2020, 2019, and 2018, the amount of revenue recognized during the year that was included in the opening contract liabilities balance was $5.3 million, $4.2 million, and $5.5 million, respectively. Contract liabilities were $5.7 million and $6.3 million as of December 31, 2020 and 2019, respectively.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develop our annual budgeted revenue by estimating for the upcoming year our continuing business from existing customers and active contracts. We consider backlog, both funded and unfunded (as explained below), other expected annual renewals, and expansion planned by our current customers. In the context of our current customer portfolio, we view “recurring revenue” as revenue that occurs often and repeatedly. In each of the last three years, recurring revenue has exceeded 85% of our annual revenue. Our total budgeted revenue is the combination of recurring revenue and a forecast of new business.</w:t>
      </w:r>
    </w:p>
    <w:p>
      <w:pPr>
        <w:spacing w:after="0" w:line="21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Total backlog, a component of recurring revenue, consists of the aggregate contract revenues remaining to be earned by us at a given time over the life of our contracts, whether funded or unfunded. Funded backlog consists of the aggregate contract revenues remaining to be earned at a given time, which, in the case of U.S. government contracts, means that they have been funded by the procuring agency. Unfunded backlog is the difference between total backlog and funded backlog and includes potential revenues that may be earned if customers exercise delivery orders and/or renewal options to continue these contracts. Based on historical experience, we generally assume option year renewals to be exercised. Most of our customers fund contracts on a basis of one year or less and, as a result, funded backlog is generally expected to be earned within one year from any point in time, whereas unfunded backlog is expected to be earned over a longer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ind w:right="280" w:firstLine="324"/>
        <w:spacing w:after="0" w:line="270" w:lineRule="auto"/>
        <w:rPr>
          <w:sz w:val="20"/>
          <w:szCs w:val="20"/>
          <w:color w:val="auto"/>
        </w:rPr>
      </w:pPr>
      <w:r>
        <w:rPr>
          <w:rFonts w:ascii="Arial" w:cs="Arial" w:eastAsia="Arial" w:hAnsi="Arial"/>
          <w:sz w:val="17"/>
          <w:szCs w:val="17"/>
          <w:color w:val="auto"/>
        </w:rPr>
        <w:t>Inventories are stated at the lower of cost or net realizable value, where cost is determined primarily using the weighted average cost method. Inventories consist primarily of purchased off-the-shelf hardware and software, and component computer parts used in connection with system integration services that we perform. Inventories also include spare parts utilized to support certain maintenance contracts. Spare parts inventory is amortized on a straight-line basis over two to five years, which represents the shorter of the warranty period or estimated useful life of the asset. An allowance for obsolete, slow-moving or non-salable inventory is provided for all other inventory. This allowance is based on our overall obsolescence experience and our assessment of future inventory requirements.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evaluate the impairment of goodwill in accordance with ASC 350, “Intangibles – Goodwill and Other,” which requires goodwill and indefinite-lived intangible assets to be assessed on at least an annual basis for impairment using a fair value basis. Between annual evaluations, if events occur or circumstances change that would more likely than not reduce the fair value of the reporting unit below its carrying amount, then impairment must be evaluated. Such circumstances could include, but are not limited to: (1) a significant adverse change in legal factors or business climate, or (2) a loss of key contracts or customers.</w:t>
      </w:r>
    </w:p>
    <w:p>
      <w:pPr>
        <w:spacing w:after="0" w:line="21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As the result of an acquisition, we record any excess purchase price over the net tangible and identifiable intangible assets acquired as goodwill. An allocation of the purchase price to tangible and intangible net assets acquired is based upon our valuation of the acquired assets. Goodwill is not amortized, but is subject to annual impairment tests. We complete our goodwill impairment tests as of December 31st each year. Additionally, we make evaluations between annual tests if events occur or circumstances change that would more likely than not reduce the fair value of a reporting unit below its carrying amount. The evaluation is based on the estimation of the fair values of our three reporting units, CO&amp;D (comprised of Information Assurance</w:t>
      </w:r>
    </w:p>
    <w:p>
      <w:pPr>
        <w:spacing w:after="0" w:line="2" w:lineRule="exact"/>
        <w:rPr>
          <w:sz w:val="20"/>
          <w:szCs w:val="20"/>
          <w:color w:val="auto"/>
        </w:rPr>
      </w:pPr>
    </w:p>
    <w:p>
      <w:pPr>
        <w:ind w:right="40" w:firstLine="8"/>
        <w:spacing w:after="0" w:line="267" w:lineRule="auto"/>
        <w:tabs>
          <w:tab w:leader="none" w:pos="95" w:val="left"/>
        </w:tabs>
        <w:numPr>
          <w:ilvl w:val="0"/>
          <w:numId w:val="27"/>
        </w:numPr>
        <w:rPr>
          <w:rFonts w:ascii="Arial" w:cs="Arial" w:eastAsia="Arial" w:hAnsi="Arial"/>
          <w:sz w:val="17"/>
          <w:szCs w:val="17"/>
          <w:color w:val="auto"/>
        </w:rPr>
      </w:pPr>
      <w:r>
        <w:rPr>
          <w:rFonts w:ascii="Arial" w:cs="Arial" w:eastAsia="Arial" w:hAnsi="Arial"/>
          <w:sz w:val="17"/>
          <w:szCs w:val="17"/>
          <w:color w:val="auto"/>
        </w:rPr>
        <w:t>Xacta and Secure Networks), Telos ID, and Secure Communications, of which goodwill is housed in the CO&amp;D reporting unit, in comparison to the reporting unit’s net asset carrying values. Our discounted cash flows required management’s judgment with respect to forecasted revenue streams and operating margins, capital expenditures and the selection and use of an appropriate discount rate. We utilized the weighted average cost of capital as derived by certain assumptions specific to our facts and circumstances as the discount rate. The net assets attributable to the reporting units are determined based upon the estimated assets and liabilities attributable to the reporting units in deriving its free cash flows. In addition, the estimate of the total fair value of our reporting units is compared to the market capitalization of the Company. The Company’s assessment resulted in a fair value that was greater than the Company’s carrying value, therefore the second step of the impairment test, as prescribed by the authoritative literature, was not required to be performed and no impairment of goodwill was recorded as of December 31, 2020. Subsequent reviews may result in future periodic impairments that could have a material adverse effect on the results of operations in the period recognized. Recent operating results have reduced the projection of future cash flow growth potential, which indicates that certain negative potential events, such as a material loss or losses on contracts, or failure to achieve projected growth could result in impairment in the future. We estimate the fair value of our reporting unit and compare the valuation with the respective carrying value for the reporting unit to determine whether any goodwill impairment exists. If we determine through the impairment review process that goodwill is impaired, we will record an impairment charge in our consolidated statements of operations. Goodwill is amortized and deducted over a 15-year period for tax purposes.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We account for income taxes in accordance with ASC 740, “Income Taxes.” Under ASC 740, deferred tax assets and liabilities are recognized for the estimated future tax consequences of temporary differences and income tax credits. Deferred tax assets and liabilities are measured by applying enacted statutory tax rates that are applicable to the future years in which deferred tax assets or liabilities are expected to be settled or realized for differences between the financial statement carrying amounts and the tax bases of existing assets and liabilities. Any change in tax rates on deferred tax assets and liabilities is recognized in net income in the period in which the tax rate change is enacted. We record a valuation allowance that reduces deferred tax assets when it is "more likely than not" that deferred tax assets will not be realized. We are required to establish a valuation allowance for deferred tax assets if, based on the weight of available evidence, it is more likely than not that some portion or all of the deferred tax assets will not be realized. Based on available evidence, realization of deferred tax assets is dependent upon the generation of future taxable income. We considered projected future taxable income, tax planning strategies, and reversal of taxable temporary differences in making this assessment. As such, we have determined that a full valuation allowance is required as of December 31, 2020 and 2019. As a result of a full valuation allowance against our deferred tax assets, a deferred tax liability related to goodwill remained on our consolidated balance sheet at December 31, 2020 and 2019. Due to the tax reform enacted on December 22, 2017, net operating losses generated in taxable years beginning after December 31, 2017 will have an indefinite carryforward period, which will be available to offset future taxable income created by the reversal of temporary taxable differences related to goodwill. As a result, we have adjusted the valuation allowance on our deferred tax assets and liabilities at December 31, 2020 and 2019. See additional information on tax reform and its impact on our income taxes in Note 9 – Income Taxes.</w:t>
      </w:r>
    </w:p>
    <w:p>
      <w:pPr>
        <w:sectPr>
          <w:pgSz w:w="11900" w:h="16838" w:orient="portrait"/>
          <w:cols w:equalWidth="0" w:num="1">
            <w:col w:w="11080"/>
          </w:cols>
          <w:pgMar w:left="320" w:top="125" w:right="499" w:bottom="1016" w:gutter="0" w:footer="0" w:header="0"/>
        </w:sectPr>
      </w:pPr>
    </w:p>
    <w:p>
      <w:pPr>
        <w:spacing w:after="0" w:line="388"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016" w:gutter="0" w:footer="0" w:header="0"/>
          <w:type w:val="continuous"/>
        </w:sectPr>
      </w:pPr>
    </w:p>
    <w:bookmarkStart w:id="32" w:name="page33"/>
    <w:bookmarkEnd w:id="32"/>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derive a substantial portion of our revenues from contracts and subcontracts with the U.S. Government. Our revenues are generated from a number of contract vehicles and task orders. Over the past several years we have sought to diversify and improve our operating margins through an evolution of our business from an emphasis on product reselling to that of an advanced solutions technologies provider. To that end, although we continue to offer resold products through our contract vehicles, we have focused on selling solutions and outsourcing product sales, as well as designing and delivering Telos manufactured and branded technologies. We believe our contract portfolio is characterized as having low to moderate financial risk due to the limited number of long-term fixed price development contracts. Our firm fixed-price activities consist principally of contracts for the products and services at established contract prices. Our time-and-material contracts generally allow the pass-through of allowable costs plus a profit margin. For 2020, 2019, and 2018, the Company’s revenue derived from firm fixed-price contracts was 84.3%, 82.7%, and 74.9%, respectively, cost-plus contracts was 8.2%, 8.2%, and 12.9%, respectively, and time-and-material contracts was 7.5%, 9.1%, and 12.2%, respectively.</w:t>
      </w:r>
    </w:p>
    <w:p>
      <w:pPr>
        <w:spacing w:after="0" w:line="19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We provide different solutions and are party to contracts of varying revenue types under the NETCENTS (Network-Centric Solutions) and NETCENTS-2 contracts to the U.S. Air Force. NETCENTS and NETCENTS-2 are IDIQ and GWAC, therefore any government customer may utilize the NETCENTS and NETCENTS-2 vehicles to meet its purchasing needs. Consequently, revenue earned on the underlying NETCENTS and NETCENTS-2 delivery orders varies from period to period according to the customer and solution mix for the products and services delivered during a particular period, unlike a standalone contract with one separately identified customer. The contracts themselves do not fund any orders and they state that the contracts are for an indefinite delivery and indefinite quantity. The majority of our task/delivery orders have periods of performance of less than 12 months, which contributes to the variances between interim and annual reporting periods. We have also been awarded other IDIQ/GWACs, including the Department of Homeland Security’s EAGLE II, GSA Alliant 2, and blanket purchase agreements under our GSA schedule.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refer to our cyber and cloud applications as Security Solutions, which includes Information Assurance /Xacta® (previously referred to as Cyber</w:t>
      </w:r>
    </w:p>
    <w:p>
      <w:pPr>
        <w:spacing w:after="0" w:line="46" w:lineRule="exact"/>
        <w:rPr>
          <w:sz w:val="20"/>
          <w:szCs w:val="20"/>
          <w:color w:val="auto"/>
        </w:rPr>
      </w:pPr>
    </w:p>
    <w:p>
      <w:pPr>
        <w:ind w:right="180" w:firstLine="8"/>
        <w:spacing w:after="0" w:line="255" w:lineRule="auto"/>
        <w:tabs>
          <w:tab w:leader="none" w:pos="1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Cloud Solutions), Secure Communications (previously referred to as Secure Communications Cyber and Enterprise Solutions), and Telos ID (previously referred to as Telos ID Enterprise Solutions). We refer to our offerings for enterprise security as Secure Networks (previously referred to as Secure Mobility and Network Management/Defense Enterprise Solutions).</w:t>
      </w:r>
    </w:p>
    <w:p>
      <w:pPr>
        <w:spacing w:after="0" w:line="21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U.S. Government appropriations have been and continue to be affected by larger U.S. Government budgetary issues and related legislation. In 2011, Congress enacted the Budget Control Act of 2011 (the “BCA”), which established specific limits on annual appropriations for fiscal years 2012-2021. These limits were subsequently amended several times. With the expiration of the BCA at the end of FY 2021, there are no statutory limits in place for FY 2022.</w:t>
      </w:r>
    </w:p>
    <w:p>
      <w:pPr>
        <w:spacing w:after="0" w:line="21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According to the non-partisan Congressional Budget Office (CBO), since enactment of the BCA, federal outlays devoted to defense programs fell from 4.5 percent as a share of Gross Domestic Product (GDP) to as low as 3.1 percent of GDP in each of FYs 2016-18, before rising slightly the past two years to a level of 3.4 percent in FY 2020. Moreover, CBO reports that, as a result of the spending caps imposed by the BCA, non-adjusted defense outlays subsequently shrank from $699.4 billion in FY 2011 to as low as $583.4 billion in FY 2016, and did not again exceed their FY 2011 level until FY 2020, when outlays were $713.8 billion, two percent above the FY 2011 level.</w:t>
      </w:r>
    </w:p>
    <w:p>
      <w:pPr>
        <w:spacing w:after="0" w:line="21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Fiscal Years 2020 and 2021, the COVID-19 pandemic and associated economic dislocation in the United States has resulted in an overwhelming federal response, including enactment of several massive and comprehensive emergency appropriations and economic stimulus measures. These were in addition to annual appropriations legislation for FY 2021, which was not enacted into law until late December, 2020, nearly three months after the beginning of the fiscal year, during which time the government once again operated under a series of Continuing Resolutions which strictly limited new spending initiatives. These enormous emergency spending packages and their resulting increases in the budget deficit will necessarily factor into future spending decisions to an unknown degree. Further, as the outgoing Trump Administration did not complete its work on a proposed FY 2022 budget prior to leaving office on January 20, 2021, and the incoming Biden Administration has been delayed in submitting a proposed budget to Congress, the proposed spending levels for FY 2022 cannot be predicted. Finally, the near- and long-term impacts of the COVID-19 health and associated economic crisis on federal budget planning and the government contracts that we hold, and on the federal procurements that we would otherwise compete for, cannot be known.</w:t>
      </w:r>
    </w:p>
    <w:p>
      <w:pPr>
        <w:spacing w:after="0" w:line="212"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Should Congress and the White House be unable to make sufficient progress on the FY 2022 budget and enact appropriations legislation prior to the beginning of the new fiscal year on October 1, 2021, the Department of Defense and other federal departments and agencies will likely again be funded for an unknown period of time under a Continuing Resolution, which would restrict new spending initiatives.</w:t>
      </w:r>
    </w:p>
    <w:p>
      <w:pPr>
        <w:spacing w:after="0" w:line="192"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Despite the pandemic’s resultant shift to teleworking by federal employees and contractors, the government has successfully maintained continuity of services as has Telos Corporation. With much of the business of government continuing to be conducted remotely through use of information technology systems, we believe there will continue to be a need on the part of the government for the types of solutions and services provided by Telos.</w:t>
      </w:r>
    </w:p>
    <w:p>
      <w:pPr>
        <w:spacing w:after="0" w:line="17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more information on the risks and uncertainties related to U.S. Government contracts, see Part I – Item 1A Risk Factors in this Annual Report on the Form 10-K.</w:t>
      </w:r>
    </w:p>
    <w:p>
      <w:pPr>
        <w:sectPr>
          <w:pgSz w:w="11900" w:h="16838" w:orient="portrait"/>
          <w:cols w:equalWidth="0" w:num="1">
            <w:col w:w="11060"/>
          </w:cols>
          <w:pgMar w:left="320" w:top="125" w:right="519" w:bottom="1440" w:gutter="0" w:footer="0" w:header="0"/>
        </w:sectPr>
      </w:pP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type w:val="continuous"/>
        </w:sectPr>
      </w:pPr>
    </w:p>
    <w:bookmarkStart w:id="33" w:name="page34"/>
    <w:bookmarkEnd w:id="33"/>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Data</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consolidated financial data and related percentages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89"/>
              </w:rPr>
              <w:t>Years Ended December 31,</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w w:val="84"/>
              </w:rPr>
              <w:t>2019</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18"/>
                <w:szCs w:val="18"/>
                <w:color w:val="auto"/>
              </w:rPr>
            </w:pPr>
          </w:p>
        </w:tc>
      </w:tr>
      <w:tr>
        <w:trPr>
          <w:trHeight w:val="176"/>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4"/>
          </w:tcPr>
          <w:p>
            <w:pPr>
              <w:jc w:val="center"/>
              <w:ind w:left="91"/>
              <w:spacing w:after="0"/>
              <w:rPr>
                <w:sz w:val="20"/>
                <w:szCs w:val="20"/>
                <w:color w:val="auto"/>
              </w:rPr>
            </w:pPr>
            <w:r>
              <w:rPr>
                <w:rFonts w:ascii="Arial" w:cs="Arial" w:eastAsia="Arial" w:hAnsi="Arial"/>
                <w:sz w:val="14"/>
                <w:szCs w:val="14"/>
                <w:color w:val="auto"/>
                <w:w w:val="93"/>
              </w:rPr>
              <w:t>(dollar amounts in thousands)</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50"/>
        </w:trPr>
        <w:tc>
          <w:tcPr>
            <w:tcW w:w="298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spacing w:after="0"/>
              <w:rPr>
                <w:sz w:val="21"/>
                <w:szCs w:val="2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179,917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159,218</w:t>
            </w:r>
          </w:p>
        </w:tc>
        <w:tc>
          <w:tcPr>
            <w:tcW w:w="1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138,016</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9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117,497</w:t>
            </w:r>
          </w:p>
        </w:tc>
        <w:tc>
          <w:tcPr>
            <w:tcW w:w="4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65.3</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106,874</w:t>
            </w: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67.1</w:t>
            </w:r>
          </w:p>
        </w:tc>
        <w:tc>
          <w:tcPr>
            <w:tcW w:w="3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84,954</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61.6</w:t>
            </w:r>
          </w:p>
        </w:tc>
      </w:tr>
      <w:tr>
        <w:trPr>
          <w:trHeight w:val="202"/>
        </w:trPr>
        <w:tc>
          <w:tcPr>
            <w:tcW w:w="29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62,123</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47,319</w:t>
            </w: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29.7</w:t>
            </w: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44,048</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r>
      <w:tr>
        <w:trPr>
          <w:trHeight w:val="20"/>
        </w:trPr>
        <w:tc>
          <w:tcPr>
            <w:tcW w:w="29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9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5,025</w:t>
            </w: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9,014</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6.5</w:t>
            </w: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2"/>
        </w:trPr>
        <w:tc>
          <w:tcPr>
            <w:tcW w:w="2980" w:type="dxa"/>
            <w:vAlign w:val="bottom"/>
          </w:tcPr>
          <w:p>
            <w:pPr>
              <w:ind w:left="400"/>
              <w:spacing w:after="0" w:line="201" w:lineRule="exact"/>
              <w:rPr>
                <w:sz w:val="20"/>
                <w:szCs w:val="20"/>
                <w:color w:val="auto"/>
              </w:rPr>
            </w:pPr>
            <w:r>
              <w:rPr>
                <w:rFonts w:ascii="Arial" w:cs="Arial" w:eastAsia="Arial" w:hAnsi="Arial"/>
                <w:sz w:val="18"/>
                <w:szCs w:val="18"/>
                <w:color w:val="auto"/>
              </w:rPr>
              <w:t>Gain on redemption of public</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14,012</w:t>
            </w:r>
          </w:p>
        </w:tc>
        <w:tc>
          <w:tcPr>
            <w:tcW w:w="48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Non-operating (expense)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4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(7,259)</w:t>
            </w:r>
          </w:p>
        </w:tc>
        <w:tc>
          <w:tcPr>
            <w:tcW w:w="4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(7,467)</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(7,258)</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(5.2)</w:t>
            </w:r>
          </w:p>
        </w:tc>
      </w:tr>
      <w:tr>
        <w:trPr>
          <w:trHeight w:val="195"/>
        </w:trPr>
        <w:tc>
          <w:tcPr>
            <w:tcW w:w="29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Income (loss) income before income</w:t>
            </w:r>
          </w:p>
        </w:tc>
        <w:tc>
          <w:tcPr>
            <w:tcW w:w="2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(2,241)</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1,768</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r>
      <w:tr>
        <w:trPr>
          <w:trHeight w:val="202"/>
        </w:trPr>
        <w:tc>
          <w:tcPr>
            <w:tcW w:w="2980" w:type="dxa"/>
            <w:vAlign w:val="bottom"/>
          </w:tcPr>
          <w:p>
            <w:pPr>
              <w:ind w:left="20"/>
              <w:spacing w:after="0" w:line="201" w:lineRule="exact"/>
              <w:rPr>
                <w:sz w:val="20"/>
                <w:szCs w:val="20"/>
                <w:color w:val="auto"/>
              </w:rPr>
            </w:pPr>
            <w:r>
              <w:rPr>
                <w:rFonts w:ascii="Arial" w:cs="Arial" w:eastAsia="Arial" w:hAnsi="Arial"/>
                <w:sz w:val="18"/>
                <w:szCs w:val="18"/>
                <w:color w:val="auto"/>
              </w:rPr>
              <w:t>Benefit from (provision for) income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r>
      <w:tr>
        <w:trPr>
          <w:trHeight w:val="202"/>
        </w:trPr>
        <w:tc>
          <w:tcPr>
            <w:tcW w:w="2980" w:type="dxa"/>
            <w:vAlign w:val="bottom"/>
          </w:tcPr>
          <w:p>
            <w:pPr>
              <w:ind w:left="20"/>
              <w:spacing w:after="0" w:line="201" w:lineRule="exact"/>
              <w:rPr>
                <w:sz w:val="20"/>
                <w:szCs w:val="20"/>
                <w:color w:val="auto"/>
              </w:rPr>
            </w:pPr>
            <w:r>
              <w:rPr>
                <w:rFonts w:ascii="Arial" w:cs="Arial" w:eastAsia="Arial" w:hAnsi="Arial"/>
                <w:sz w:val="18"/>
                <w:szCs w:val="18"/>
                <w:color w:val="auto"/>
                <w:w w:val="99"/>
              </w:rPr>
              <w:t>Less: Net income attributable to non-</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controlling interest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(5,154)</w:t>
            </w:r>
          </w:p>
        </w:tc>
        <w:tc>
          <w:tcPr>
            <w:tcW w:w="4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(4,264)</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(3,377)</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r>
      <w:tr>
        <w:trPr>
          <w:trHeight w:val="195"/>
        </w:trPr>
        <w:tc>
          <w:tcPr>
            <w:tcW w:w="2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Net income (loss) attributable to Telos</w:t>
            </w:r>
          </w:p>
        </w:tc>
        <w:tc>
          <w:tcPr>
            <w:tcW w:w="2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5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Corporation</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(6,401)</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(1,640)</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5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increased by 13.0% to $179.9 million for 2020 from $159.2 million for 2019. Security Solutions revenue was $117.3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$101.9 million for 2020 and 2019, respectively. This increase in 2020 of approximately 15% was driven primarily by an increase of $8.1 million in sales of offerings in Telos ID on the contract with the U.S. Census Bureau and $7.3 million in sales of offerings related to the contract with a U.S. government agency for our Telos Ghost managed intelligence support solution in Secure Communications. Secure Networks revenue was $62.6 million and $57.3 million for 2020 and 2019, respectively. This increase in 2020 of approximately 9% resulted from various DoD contracts, in both our Secure Mobility and Network Management/Defense Enterprise Solutions offerings. Due to the various solutions offerings and within the business groups, sales may vary from period to period according to the solution mix and timing of deliverables for a particular period.</w:t>
      </w:r>
    </w:p>
    <w:p>
      <w:pPr>
        <w:spacing w:after="0" w:line="20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Revenue increased by 15.4% to $159.2 million for 2019 from $138.0 million for 2018. Such increase primarily consists of an increase in sales from the U.S. Air Force NETCENTS-2 contract. As discussed above, NETCENTS-2 is an IDIQ contract utilized by multiple government customers and sales under NETCENTS-2 vary from period to period according to the solution mix and timing of deliverables for a particular period. Security Solutions revenue was $101.9 million and $86.6 million in 2019 and 2018, respectively. This increase in 2019 of approximately 18% is primarily attributable to a $10.1 million increase in sales of offerings in Telos ID on a contract with the U.S. Census Bureau and a $6.3 million increase in sales of offerings related to a contract with a U.S. government agency for our Telos Ghost managed intelligence support solution in Secure Communications. Secure Networks revenue was $57.3 million in 2019 and $51.4 million in 2018. The sales increase in 2019 is the result of various DoD contracts around our Secure Mobility as well as our Network Management and Defense offerings.</w:t>
      </w:r>
    </w:p>
    <w:p>
      <w:pPr>
        <w:spacing w:after="0" w:line="20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increased by 9.9% to $117.5 million for 2020 from $106.9 million for 2019 as a result of increases in revenue.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sales for Security Solutions increased to $66.9 million in 2020 from $59.9 million in 2019 which translates as a decrease in the cost of sales as a percentage of revenue to 57.0% from 58.7%. due to a change in the mix and nature of the programs. Cost of sales for Secure Networks increased to $50.6 million in 2020 from $47.0 million in 2019 which translates as a decrease in the cost of sales as a percentage of revenue to 80.9% from 82.0%.</w:t>
      </w:r>
    </w:p>
    <w:p>
      <w:pPr>
        <w:spacing w:after="0" w:line="198"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Cost of sales increased by 25.8% to $106.9 million for 2019 from $85.0 million for 2018 as a result of increases in revenue. Cost of sales for Security Solutions increased to $59.9 million in 2019 from $48.2 million in 2018 which translates as a increase in the cost of sales as a percentage of revenue to 58.7% from 55.7%. due to a change in the mix and nature of the programs. Cost of sales for Secure Networks increased to $47.0 million in 2019 from $36.7 million in 2018 which translates as an increase in the cost of sales as a percentage of revenue to 82.0% from 71.5% due primarily to the effect of revenue accruals in 2018 for multiple contracts as a result of several years of cumulative indirect rate adjustments, which did not include direct costs.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increased by 19.2% to $62.4 million for 2020 from $52.3 million for 2019. Gross profit for Security Solutions increased to</w:t>
      </w:r>
      <w:r>
        <w:rPr>
          <w:rFonts w:ascii="Arial" w:cs="Arial" w:eastAsia="Arial" w:hAnsi="Arial"/>
          <w:sz w:val="18"/>
          <w:szCs w:val="18"/>
          <w:i w:val="1"/>
          <w:iCs w:val="1"/>
          <w:color w:val="auto"/>
        </w:rPr>
        <w:t xml:space="preserve"> </w:t>
      </w:r>
      <w:r>
        <w:rPr>
          <w:rFonts w:ascii="Arial" w:cs="Arial" w:eastAsia="Arial" w:hAnsi="Arial"/>
          <w:sz w:val="18"/>
          <w:szCs w:val="18"/>
          <w:color w:val="auto"/>
        </w:rPr>
        <w:t>$50.5 million in 2020 from $42.1 million in 2019. Gross profit for Secure Networks increased to $12.0 million in 2020 from $10.3 million in 2019. Gross margin increased to 34.7% for 2020 from 32.9% for 2019, due to various changes in the mix of contracts in all business lines as discussed above. Gross margin for Security Solutions increased to 43.0% in 2020 from 41.3% in 2019. Gross margin for Secure Networks increased to 19.1% in 2020 from 18% in 2019.</w:t>
      </w:r>
    </w:p>
    <w:p>
      <w:pPr>
        <w:spacing w:after="0" w:line="21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Gross profit decreased by 1.4% to $52.3 million for 2019 from $53.1 million for 2018. Gross profit for Security Solutions increased to $42.1 million in 2019 from $38.4 million in 2018. Gross profit for Secure Networks decreased to $10.3 million in 2019 from $14.6 million in 2018, due primarily to the effect of revenue accruals in 2018 for multiple contracts as a result of several years of cumulative indirect rate adjustments, which did not include direct costs. Gross margin decreased to 32.9% for 2019 from 38.4% for 2018, due to various changes in the mix of contracts in all business lines, primarily decreases in proprietary software sales. Gross margin for Security Solutions decreased to 41.3% in 2019 from 44.3% in 2018. Gross margin for Secure Networks decreased to 18% in 2019 from 28.5% in 2018.</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increased by 31.3% to $62.1 million for 2020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$47.3 million for 2019. Such increase is primarily attributable to increases in bonuses of $6.3 million, outside services of $5.9 million, labor costs of $5.9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and $0.6 million in legal fees, offset by capitalization of research and development costs of $4.2 million.</w:t>
      </w:r>
    </w:p>
    <w:p>
      <w:pPr>
        <w:spacing w:after="0" w:line="238" w:lineRule="exact"/>
        <w:rPr>
          <w:sz w:val="20"/>
          <w:szCs w:val="20"/>
          <w:color w:val="auto"/>
        </w:rPr>
      </w:pPr>
    </w:p>
    <w:p>
      <w:pPr>
        <w:jc w:val="both"/>
        <w:ind w:right="380" w:firstLine="324"/>
        <w:spacing w:after="0" w:line="342" w:lineRule="auto"/>
        <w:rPr>
          <w:sz w:val="20"/>
          <w:szCs w:val="20"/>
          <w:color w:val="auto"/>
        </w:rPr>
      </w:pPr>
      <w:r>
        <w:rPr>
          <w:rFonts w:ascii="Arial" w:cs="Arial" w:eastAsia="Arial" w:hAnsi="Arial"/>
          <w:sz w:val="16"/>
          <w:szCs w:val="16"/>
          <w:color w:val="auto"/>
        </w:rPr>
        <w:t>Selling, general, and administrative expenses increased by 7.4% to $47.3 million for 2019 from $44.0 million for 2018. Such increase is primarily attributable to increases in labor costs of $1.9 million, bonuses of $0.5 million, bad debt expenses of $0.5 million, and outside services of $0.4 million.</w:t>
      </w:r>
    </w:p>
    <w:p>
      <w:pPr>
        <w:spacing w:after="0" w:line="151"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2.8% to $7.3 million for 2020 from $7.5 million for 2019, primarily due to decreases in public</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interest as a result of such stock redemption, and interest on an equipment purchase arrangement, offset by an increase in interest on the senior term loan with EnCap (as defined below).</w:t>
      </w:r>
    </w:p>
    <w:p>
      <w:pPr>
        <w:spacing w:after="0" w:line="21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Interest expense increased by 2.9% to $7.5 million for 2019 from $7.3 million for 2018, primarily due to an increase in interest on the EnCap senior term loan, offset by a decrease in interest on an equipment purchase arrangement.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340"/>
              <w:spacing w:after="0"/>
              <w:rPr>
                <w:sz w:val="20"/>
                <w:szCs w:val="20"/>
                <w:color w:val="auto"/>
              </w:rPr>
            </w:pPr>
            <w:r>
              <w:rPr>
                <w:rFonts w:ascii="Arial" w:cs="Arial" w:eastAsia="Arial" w:hAnsi="Arial"/>
                <w:sz w:val="18"/>
                <w:szCs w:val="18"/>
                <w:color w:val="auto"/>
              </w:rPr>
              <w:t>Components of interest expense are as follows:</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7"/>
              </w:rPr>
              <w:t>December 31,</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4"/>
          </w:tcPr>
          <w:p>
            <w:pPr>
              <w:spacing w:after="0"/>
              <w:rPr>
                <w:sz w:val="20"/>
                <w:szCs w:val="20"/>
                <w:color w:val="auto"/>
              </w:rPr>
            </w:pPr>
            <w:r>
              <w:rPr>
                <w:rFonts w:ascii="Arial" w:cs="Arial" w:eastAsia="Arial" w:hAnsi="Arial"/>
                <w:sz w:val="18"/>
                <w:szCs w:val="18"/>
                <w:color w:val="auto"/>
                <w:w w:val="89"/>
              </w:rPr>
              <w:t>(amounts in 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subordinated note interest incurred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3,644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Preferred stock interest accrued</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3,823</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4"/>
              </w:rPr>
              <w:t>7,467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Income tax benefit was $46,000 for 2020, compared to an income tax provision of $104,000 for 2019,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administrative practice release of certain FIN48 liability.</w:t>
      </w:r>
    </w:p>
    <w:p>
      <w:pPr>
        <w:spacing w:after="0" w:line="197"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Income tax benefit was $104,000 for 2019, compared to an income tax provision of $31,000 for 2018, primarily attributable to the decrease in deferred tax liability due to the timing of the state conformity to the indefinite-lived net operating loss provision of the Tax Act (as described below).</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In addition to our results determined in accordance with GAAP, we believe the non-GAAP financial measures of Non-GAAP Operating Income, Enterprise EBITDA and Adjusted EBITDA are useful in evaluating our operating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spacing w:after="0" w:line="21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use the following non-GAAP financial measures to understand and evaluate our core operating performance and trends, to prepare and approve our annual budget, to develop short-term and long-term operating plans, and to evaluate the performance of certain management personnel when determining incentive compensation. We believe these non-GAAP financial measures facilitate comparison of our operating performance on a consistent basis between periods by excluding certain items that may, or could, have a disproportionate positive or negative impact on our results of operations in any particular period. When viewed in combination with our results prepared in accordance with GAAP, these non-GAAP financial measures help provide a broader picture of factors and trends affecting our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EBITDA and Adjusted EBITDA</w:t>
      </w:r>
    </w:p>
    <w:p>
      <w:pPr>
        <w:spacing w:after="0" w:line="2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Both Enterprise EBITDA and Adjusted EBITDA are supplemental measures of operating performance that are not made under GAAP and that does not represent, and should not be considered as, an alternative to net income (loss) as determined by GAAP. We define Enterprise EBITDA as net income (loss) attributable to Telos Corporation, adjusted for net income attributable to non-controlling interest, non-operating income, interest expense, (benefit) provision for income taxes, and depreciation and amortization. We define Adjusted EBITDA as Enterprise EBITDA, adjusted for stock-based compensation expense, the gain realized on redemption of the public preferred stock upon the closing of our initial public offering, the losses realized on the extinguishment of senior term loan and subordinated debt upon the closing of our initial public offering, bonuses paid as a result of the closing of our initial public offering, and other expenses related to our initial public offering.</w:t>
      </w:r>
    </w:p>
    <w:p>
      <w:pPr>
        <w:spacing w:after="0" w:line="39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36" w:name="page37"/>
    <w:bookmarkEnd w:id="36"/>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Enterprise EBITDA and Adjusted EBITDA to net income (loss) attributable to Telos Corporation, the most directly comparable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measure,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center"/>
              <w:ind w:left="470"/>
              <w:spacing w:after="0"/>
              <w:rPr>
                <w:sz w:val="20"/>
                <w:szCs w:val="20"/>
                <w:color w:val="auto"/>
              </w:rPr>
            </w:pPr>
            <w:r>
              <w:rPr>
                <w:rFonts w:ascii="Arial" w:cs="Arial" w:eastAsia="Arial" w:hAnsi="Arial"/>
                <w:sz w:val="18"/>
                <w:szCs w:val="18"/>
                <w:b w:val="1"/>
                <w:bCs w:val="1"/>
                <w:color w:val="auto"/>
                <w:w w:val="89"/>
              </w:rPr>
              <w:t>Years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8"/>
                <w:szCs w:val="18"/>
                <w:color w:val="auto"/>
              </w:rPr>
            </w:pPr>
          </w:p>
        </w:tc>
      </w:tr>
      <w:tr>
        <w:trPr>
          <w:trHeight w:val="209"/>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80" w:type="dxa"/>
            <w:vAlign w:val="bottom"/>
            <w:gridSpan w:val="5"/>
          </w:tcPr>
          <w:p>
            <w:pPr>
              <w:jc w:val="center"/>
              <w:ind w:right="210"/>
              <w:spacing w:after="0"/>
              <w:rPr>
                <w:sz w:val="20"/>
                <w:szCs w:val="20"/>
                <w:color w:val="auto"/>
              </w:rPr>
            </w:pPr>
            <w:r>
              <w:rPr>
                <w:rFonts w:ascii="Arial" w:cs="Arial" w:eastAsia="Arial" w:hAnsi="Arial"/>
                <w:sz w:val="18"/>
                <w:szCs w:val="18"/>
                <w:color w:val="auto"/>
                <w:w w:val="88"/>
              </w:rPr>
              <w:t>(amount in thousands)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Telos Corporation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4,264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3,377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7,467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7,258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5,353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4,972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3,028</w:t>
            </w:r>
          </w:p>
        </w:tc>
      </w:tr>
      <w:tr>
        <w:trPr>
          <w:trHeight w:val="209"/>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Enterprise EBITDA</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19,387</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color w:val="auto"/>
              </w:rPr>
              <w:t>Transaction related gains/losses/expenses: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Transaction related legal and accounting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320"/>
              <w:spacing w:after="0"/>
              <w:rPr>
                <w:sz w:val="20"/>
                <w:szCs w:val="20"/>
                <w:color w:val="auto"/>
              </w:rPr>
            </w:pPr>
            <w:r>
              <w:rPr>
                <w:rFonts w:ascii="Arial" w:cs="Arial" w:eastAsia="Arial" w:hAnsi="Arial"/>
                <w:sz w:val="18"/>
                <w:szCs w:val="18"/>
                <w:color w:val="auto"/>
              </w:rPr>
              <w:t>Transaction related bonus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redemption of public preferred stock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(14,012)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320"/>
              <w:spacing w:after="0"/>
              <w:rPr>
                <w:sz w:val="20"/>
                <w:szCs w:val="20"/>
                <w:color w:val="auto"/>
              </w:rPr>
            </w:pPr>
            <w:r>
              <w:rPr>
                <w:rFonts w:ascii="Arial" w:cs="Arial" w:eastAsia="Arial" w:hAnsi="Arial"/>
                <w:sz w:val="18"/>
                <w:szCs w:val="18"/>
                <w:color w:val="auto"/>
              </w:rPr>
              <w:t>Transaction related non-operating income</w:t>
            </w:r>
          </w:p>
        </w:tc>
        <w:tc>
          <w:tcPr>
            <w:tcW w:w="2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extinguishment of senior term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320"/>
              <w:spacing w:after="0"/>
              <w:rPr>
                <w:sz w:val="20"/>
                <w:szCs w:val="20"/>
                <w:color w:val="auto"/>
              </w:rPr>
            </w:pPr>
            <w:r>
              <w:rPr>
                <w:rFonts w:ascii="Arial" w:cs="Arial" w:eastAsia="Arial" w:hAnsi="Arial"/>
                <w:sz w:val="18"/>
                <w:szCs w:val="18"/>
                <w:color w:val="auto"/>
              </w:rPr>
              <w:t>Loss on extinguishment of subordinated debt</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Total transaction related gains/losses/expenses</w:t>
            </w:r>
          </w:p>
        </w:tc>
        <w:tc>
          <w:tcPr>
            <w:tcW w:w="2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(8,007)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11,384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9,997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12,042</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Each of Enterprise EBITDA and Adjusted EBITDA has limitations as an analytical tool, and you should not consider it in isolation, or as a substitute for analysis of our results as reported under GAAP. Among other limitations, each of Enterprise EBITDA and Adjusted EBITDA does not reflect our cash expenditures, or future requirements, for capital expenditures or contractual commitments, does not reflect the impact of certain cash charges resulting from matters we consider not to be indicative of our ongoing operations, and does not reflect income tax expense or benefit. Other companies in our industry may calculate Adjusted EBITDA differently than we do, which limits its usefulness as a comparative measure. Because of these limitations, neither Enterprise EBITDA nor Adjusted EBITDA should be considered as a replacement for net income (loss), as determined by GAAP, or as a measure of our profitability. We compensate for these limitations by relying primarily on our GAAP results and using non-GAAP measures only for supplemental purposes.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Upon the closing of our initial public offering, we issued 17.2 million shares of our common stock at a price of $17.00 per share, generating net proceeds of approximately $272.8 million. We used approximately $108.9 million of the net proceeds in connection with the ERPS Conversion (see Note 7 – Exchangeable Redeemable Preferred Stock Conversion), $30.0 million to fund our acquisition of the outstanding Class B Units of Telos ID (see Note 2 – Purchase of Telos ID/Non-controlling Interests), $21.0 million to repay our outstanding senior term loan and subordinated debt (see Note 6 – Debt Obligations). We intend to use the remaining net proceeds for general corporate purposes. We also may use a portion of the net proceeds to acquire complementary businesses, products, services, or technologies. However, we do not have agreements, commitments, or plans for any specific acquisitions at this time. The amounts and timing of our actual use of the net proceeds will vary depending on numerous factors. Proceeds held by us are invested in short-term investments until needed for the uses described above. We currently anticipate that we will retain all available funds for use in the operation and expansion of our business, and we do not anticipate paying any cash dividends on our common stock in the foreseeable future.</w:t>
      </w:r>
    </w:p>
    <w:p>
      <w:pPr>
        <w:spacing w:after="0" w:line="19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working capital was $105.2 million and $2.9 million as of December 31, 2020 and 2019, respectively. Although no assurances can be given, we expect that funds generated from operations are sufficient to maintain the liquidity we require to meet our operating, investing and financing needs for the next 12 months.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used in operating activities was $2.1 million for the year ended December 31, 2020, compared to cash provided by operating activities of $11.8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and $6.3 million, for the years ended December 31, 2019 and 2018, respectively. Cash provided by operating activities is primarily driven by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the timing of receipt of customer payments, the timing of payments to vendors and employees, and the timing of inventory turnover,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adjusted for certain non-cash items that do not impact cash flows from operating activities. Additionally, cash used in operating activities also includes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dividends from preferred stock recorded as interest expense of $3.4 million, $3.8 million, and $3.8 million for 2020, 2019, and 2018, respectively.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2020, net income was $6.8 million, $14.0 million of gain related to the redemption of public preferred stock, and $5.4 million of depreciation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amortization, $1.7 million of which was amortization of capitalized software development costs. In 2019, net loss was $2.1 million, which included $5.0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of depreciation and amortization, $1.8 million of which was amortization of capitalized software development costs. In 2018, net income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 million, which included $3.0 million of depreciation and amortization, $1.1 million of which was amortization of capitalized software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157"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Cash used in investing activities for the years ended December 31, 2020, 2019, and 2018 was $7.5 million, $6.5 million, and $4.1 million, respectively, which, for the year ended December 31, 2020, 2019 and 2018, consisted of the capitalization of software development costs of $6.7 million, $2.4 million and $1.6 million, respectively, and the purchases of property and equipment of $0.8 million, $4.1 million and $2.5 million, respectively.</w:t>
      </w:r>
    </w:p>
    <w:p>
      <w:pPr>
        <w:spacing w:after="0" w:line="8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Cash provided by financing activities for the years ended December 31, 2020 and 2019 was $108.9 million and $1.4 million, respectively, compared to cash used in financing activities $2.7 million for 2018. The financing activities in 2020 consisted of net proceeds of $272.8 million from the initial public offering, offset by $108.9 million redemption of the public preferred stock, $17.4 million payoff of senior term loan, $30.0 million purchase of Telos ID membership interest, distributions of $2.7 million to the Class B Member of Telos ID, $3.7 million payoff of subordinated debt, and repayments of $1.2 million under finance leases. The financing activities in 2019 consisted of net proceeds of $4.9 million from the EnCap senior term loan, distributions of $2.4 million to the Class B Member of Telos ID, and repayments of $1.1 million under finance leases. The financing activities in 2018 consisted of distributions of $1.7 million to the Class B Member of Telos ID and repayments of $1.0 million under finance leases.</w:t>
      </w: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38" w:name="page39"/>
    <w:bookmarkEnd w:id="38"/>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contractual obligations and our redeemable preferred stock at December 31, 2020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4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88"/>
              </w:rPr>
              <w:t>Payments due by Period</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2022 - 2024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2025 - 2027</w:t>
            </w: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1"/>
              </w:rPr>
              <w:t>2028 and later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 (1)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19,364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6,609</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7,117</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Operating lease obligations (2)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752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992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21,108</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620" w:type="dxa"/>
            <w:vAlign w:val="bottom"/>
          </w:tcPr>
          <w:p>
            <w:pPr>
              <w:ind w:left="60"/>
              <w:spacing w:after="0"/>
              <w:rPr>
                <w:sz w:val="20"/>
                <w:szCs w:val="20"/>
                <w:color w:val="auto"/>
              </w:rPr>
            </w:pPr>
            <w:r>
              <w:rPr>
                <w:rFonts w:ascii="Arial" w:cs="Arial" w:eastAsia="Arial" w:hAnsi="Arial"/>
                <w:sz w:val="18"/>
                <w:szCs w:val="18"/>
                <w:color w:val="auto"/>
              </w:rPr>
              <w:t>(1)  Includes interest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3,724</w:t>
            </w:r>
          </w:p>
        </w:tc>
        <w:tc>
          <w:tcPr>
            <w:tcW w:w="2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758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1 ,826</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1,009</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80" w:hanging="427"/>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operating lease right-of-use obligations and short-term leases with terms of 12 months or less.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no off-balance sheet arrangements (as defined in Item 303, paragraph (a)(4)(ii) of Regulation S-K) that have or are reasonably likely to have a material current or future effect on our financial condition, changes in financial condition, sales or expenses, results of operations, liquidity, capital expenditures or capital resources.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7"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Capital expenditures for property and equipment were $0.8 million, $4.1 million, and $2.5 million for 2020, 2019, and 2018, respectively. We presently anticipate capital expenditures of approximately $5.2 million in 2021; however, there can be no assurance that this level of capital expenditures will occur. We believe that available cash and borrowings under the Purchase Agreement will be sufficient to generate adequate amounts of cash to fund our projected capital expenditures for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and Related Obligations</w:t>
      </w:r>
    </w:p>
    <w:p>
      <w:pPr>
        <w:spacing w:after="0" w:line="27" w:lineRule="exact"/>
        <w:rPr>
          <w:sz w:val="20"/>
          <w:szCs w:val="20"/>
          <w:color w:val="auto"/>
        </w:rPr>
      </w:pPr>
    </w:p>
    <w:p>
      <w:pPr>
        <w:ind w:right="360" w:firstLine="324"/>
        <w:spacing w:after="0" w:line="255" w:lineRule="auto"/>
        <w:rPr>
          <w:sz w:val="20"/>
          <w:szCs w:val="20"/>
          <w:color w:val="auto"/>
        </w:rPr>
      </w:pPr>
      <w:r>
        <w:rPr>
          <w:rFonts w:ascii="Arial" w:cs="Arial" w:eastAsia="Arial" w:hAnsi="Arial"/>
          <w:sz w:val="18"/>
          <w:szCs w:val="18"/>
          <w:color w:val="auto"/>
        </w:rPr>
        <w:t>We have various lease agreements for property and equipment that, pursuant to ASC 840, “Leases,” require us to record the present value of the minimum lease payments for such equipment and property as an asset in our consolidated financial statements. Such assets are amortized on a straight-line basis over the term of the related lease or their useful life, whichever is shorter.</w:t>
      </w:r>
    </w:p>
    <w:p>
      <w:pPr>
        <w:spacing w:after="0" w:line="217" w:lineRule="exact"/>
        <w:rPr>
          <w:sz w:val="20"/>
          <w:szCs w:val="20"/>
          <w:color w:val="auto"/>
        </w:rPr>
      </w:pPr>
    </w:p>
    <w:p>
      <w:pPr>
        <w:ind w:right="980" w:firstLine="324"/>
        <w:spacing w:after="0" w:line="277" w:lineRule="auto"/>
        <w:rPr>
          <w:sz w:val="20"/>
          <w:szCs w:val="20"/>
          <w:color w:val="auto"/>
        </w:rPr>
      </w:pPr>
      <w:r>
        <w:rPr>
          <w:rFonts w:ascii="Arial" w:cs="Arial" w:eastAsia="Arial" w:hAnsi="Arial"/>
          <w:sz w:val="18"/>
          <w:szCs w:val="18"/>
          <w:color w:val="auto"/>
        </w:rPr>
        <w:t>We adopted ASU 2016-02 effective January 1, 2019 and recorded right-of-use assets and liabilities in our consolidated balance sheets and expanded disclosures about leasing arrangements, among other items, for most lease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7" w:lineRule="exact"/>
        <w:rPr>
          <w:sz w:val="20"/>
          <w:szCs w:val="20"/>
          <w:color w:val="auto"/>
        </w:rPr>
      </w:pPr>
    </w:p>
    <w:p>
      <w:pPr>
        <w:ind w:right="120" w:firstLine="324"/>
        <w:spacing w:after="0" w:line="290" w:lineRule="auto"/>
        <w:rPr>
          <w:sz w:val="20"/>
          <w:szCs w:val="20"/>
          <w:color w:val="auto"/>
        </w:rPr>
      </w:pPr>
      <w:r>
        <w:rPr>
          <w:rFonts w:ascii="Arial" w:cs="Arial" w:eastAsia="Arial" w:hAnsi="Arial"/>
          <w:sz w:val="17"/>
          <w:szCs w:val="17"/>
          <w:color w:val="auto"/>
        </w:rPr>
        <w:t>The rate of inflation has been moderate over the past five years and, accordingly, has not had a significant impact on the Company. We have generally been able to pass through any increased costs to customers through higher prices to the extent permitted by competitive pressures.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ind w:right="380" w:firstLine="324"/>
        <w:spacing w:after="0" w:line="260" w:lineRule="auto"/>
        <w:rPr>
          <w:sz w:val="20"/>
          <w:szCs w:val="20"/>
          <w:color w:val="auto"/>
        </w:rPr>
      </w:pPr>
      <w:r>
        <w:rPr>
          <w:rFonts w:ascii="Arial" w:cs="Arial" w:eastAsia="Arial" w:hAnsi="Arial"/>
          <w:sz w:val="18"/>
          <w:szCs w:val="18"/>
          <w:color w:val="auto"/>
        </w:rPr>
        <w:t>See Note 1 – Summary of Significant Accounting Policies of the Consolidated Financial Statements for a discussion of recently issued accounting pronouncements.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7360" w:type="dxa"/>
            <w:vAlign w:val="bottom"/>
            <w:gridSpan w:val="7"/>
          </w:tcPr>
          <w:p>
            <w:pPr>
              <w:jc w:val="center"/>
              <w:ind w:right="2440"/>
              <w:spacing w:after="0"/>
              <w:rPr>
                <w:sz w:val="20"/>
                <w:szCs w:val="20"/>
                <w:color w:val="auto"/>
              </w:rPr>
            </w:pPr>
            <w:r>
              <w:rPr>
                <w:rFonts w:ascii="Arial" w:cs="Arial" w:eastAsia="Arial" w:hAnsi="Arial"/>
                <w:sz w:val="18"/>
                <w:szCs w:val="18"/>
                <w:b w:val="1"/>
                <w:bCs w:val="1"/>
                <w:color w:val="auto"/>
                <w:w w:val="99"/>
              </w:rPr>
              <w:t>TELOS CORPORATION AND SUBSIDIARIES</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520" w:type="dxa"/>
            <w:vAlign w:val="bottom"/>
            <w:gridSpan w:val="8"/>
          </w:tcPr>
          <w:p>
            <w:pPr>
              <w:jc w:val="center"/>
              <w:ind w:left="652"/>
              <w:spacing w:after="0"/>
              <w:rPr>
                <w:sz w:val="20"/>
                <w:szCs w:val="20"/>
                <w:color w:val="auto"/>
              </w:rPr>
            </w:pPr>
            <w:r>
              <w:rPr>
                <w:rFonts w:ascii="Arial" w:cs="Arial" w:eastAsia="Arial" w:hAnsi="Arial"/>
                <w:sz w:val="18"/>
                <w:szCs w:val="18"/>
                <w:b w:val="1"/>
                <w:bCs w:val="1"/>
                <w:color w:val="auto"/>
              </w:rPr>
              <w:t>INDEX TO CONSOLIDATED FINANCIAL STATEMENTS AND SUPPLEMENTARY DATA</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8"/>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Report of Independent Registered Public Accounting Firm</w:t>
              </w:r>
            </w:hyperlink>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520" w:type="dxa"/>
            <w:vAlign w:val="bottom"/>
            <w:gridSpan w:val="8"/>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Consolidated Statements of Operations for the Years Ended December 31, 2020, 2019 and 2018</w:t>
              </w:r>
            </w:hyperlink>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520" w:type="dxa"/>
            <w:vAlign w:val="bottom"/>
            <w:gridSpan w:val="8"/>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Consolidated Statements of Comprehensive Income (Loss) for the Years Ended December 31, 2020, 2019 and 2018</w:t>
              </w:r>
            </w:hyperlink>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520" w:type="dxa"/>
            <w:vAlign w:val="bottom"/>
            <w:gridSpan w:val="8"/>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Consolidated Balance Sheets as of December 31, 2020 and 2019</w:t>
              </w:r>
            </w:hyperlink>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44 - 45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520" w:type="dxa"/>
            <w:vAlign w:val="bottom"/>
            <w:gridSpan w:val="8"/>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Statements of Cash Flows for the Years Ended December 31, 2020, 2019, and 2018</w:t>
              </w:r>
            </w:hyperlink>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46 - 47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520" w:type="dxa"/>
            <w:vAlign w:val="bottom"/>
            <w:gridSpan w:val="8"/>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Statements of Changes in Stockholders' Equity (Deficit) for the Years Ended December 31, 2020, 2019, and 2018</w:t>
              </w:r>
            </w:hyperlink>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Notes to Consolidated Financial Statements</w:t>
              </w:r>
            </w:hyperlink>
          </w:p>
        </w:tc>
        <w:tc>
          <w:tcPr>
            <w:tcW w:w="7360" w:type="dxa"/>
            <w:vAlign w:val="bottom"/>
            <w:tcBorders>
              <w:bottom w:val="single" w:sz="8" w:color="CCEEFF"/>
            </w:tcBorders>
            <w:gridSpan w:val="7"/>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49 - 71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6920" w:type="dxa"/>
            <w:vAlign w:val="bottom"/>
            <w:gridSpan w:val="4"/>
          </w:tcPr>
          <w:p>
            <w:pPr>
              <w:jc w:val="center"/>
              <w:ind w:left="4252"/>
              <w:spacing w:after="0"/>
              <w:rPr>
                <w:sz w:val="20"/>
                <w:szCs w:val="20"/>
                <w:color w:val="auto"/>
              </w:rPr>
            </w:pPr>
            <w:r>
              <w:rPr>
                <w:rFonts w:ascii="Arial" w:cs="Arial" w:eastAsia="Arial" w:hAnsi="Arial"/>
                <w:sz w:val="14"/>
                <w:szCs w:val="14"/>
                <w:color w:val="auto"/>
                <w:w w:val="89"/>
              </w:rPr>
              <w:t>40</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Telos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Ashburn, Virginia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Telos Corporation (the “Company”) and subsidiaries as of December 31, 2020 and 2019, the related consolidated statements of operations, comprehensive income (loss), changes in stockholders’ equity (deficit),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and subsidiaries at December 31, 2020 and 2019, and the results of their operations and their cash flows for each of the three years in the period ended December 31, 2020</w:t>
      </w:r>
      <w:r>
        <w:rPr>
          <w:rFonts w:ascii="Arial" w:cs="Arial" w:eastAsia="Arial" w:hAnsi="Arial"/>
          <w:sz w:val="17"/>
          <w:szCs w:val="17"/>
          <w:b w:val="1"/>
          <w:bCs w:val="1"/>
          <w:color w:val="auto"/>
        </w:rPr>
        <w:t>,</w:t>
      </w:r>
      <w:r>
        <w:rPr>
          <w:rFonts w:ascii="Arial" w:cs="Arial" w:eastAsia="Arial" w:hAnsi="Arial"/>
          <w:sz w:val="17"/>
          <w:szCs w:val="17"/>
          <w:color w:val="auto"/>
        </w:rPr>
        <w:t xml:space="preserve">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25, 2021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TELOS CORPORATION AND SUBSIDIARIES</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(amounts in thousands, except earnings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vMerge w:val="restart"/>
          </w:tcPr>
          <w:p>
            <w:pPr>
              <w:spacing w:after="0"/>
              <w:rPr>
                <w:sz w:val="20"/>
                <w:szCs w:val="20"/>
                <w:color w:val="auto"/>
              </w:rPr>
            </w:pPr>
            <w:r>
              <w:rPr>
                <w:rFonts w:ascii="Arial" w:cs="Arial" w:eastAsia="Arial" w:hAnsi="Arial"/>
                <w:sz w:val="18"/>
                <w:szCs w:val="18"/>
                <w:color w:val="auto"/>
              </w:rPr>
              <w:t>Revenue (Note 5)</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143,581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120,990</w:t>
            </w:r>
          </w:p>
        </w:tc>
        <w:tc>
          <w:tcPr>
            <w:tcW w:w="0" w:type="dxa"/>
            <w:vAlign w:val="bottom"/>
          </w:tcPr>
          <w:p>
            <w:pPr>
              <w:spacing w:after="0"/>
              <w:rPr>
                <w:sz w:val="1"/>
                <w:szCs w:val="1"/>
                <w:color w:val="auto"/>
              </w:rPr>
            </w:pPr>
          </w:p>
        </w:tc>
      </w:tr>
      <w:tr>
        <w:trPr>
          <w:trHeight w:val="216"/>
        </w:trPr>
        <w:tc>
          <w:tcPr>
            <w:tcW w:w="7320" w:type="dxa"/>
            <w:vAlign w:val="bottom"/>
          </w:tcPr>
          <w:p>
            <w:pPr>
              <w:ind w:left="240"/>
              <w:spacing w:after="0"/>
              <w:rPr>
                <w:sz w:val="20"/>
                <w:szCs w:val="20"/>
                <w:color w:val="auto"/>
              </w:rPr>
            </w:pPr>
            <w:r>
              <w:rPr>
                <w:rFonts w:ascii="Arial" w:cs="Arial" w:eastAsia="Arial" w:hAnsi="Arial"/>
                <w:sz w:val="18"/>
                <w:szCs w:val="18"/>
                <w:color w:val="auto"/>
              </w:rPr>
              <w:t>Products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15,637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17,026</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179,917</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159,218</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sales – Services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106,969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98,772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76,857</w:t>
            </w:r>
          </w:p>
        </w:tc>
        <w:tc>
          <w:tcPr>
            <w:tcW w:w="0" w:type="dxa"/>
            <w:vAlign w:val="bottom"/>
          </w:tcPr>
          <w:p>
            <w:pPr>
              <w:spacing w:after="0"/>
              <w:rPr>
                <w:sz w:val="1"/>
                <w:szCs w:val="1"/>
                <w:color w:val="auto"/>
              </w:rPr>
            </w:pPr>
          </w:p>
        </w:tc>
      </w:tr>
      <w:tr>
        <w:trPr>
          <w:trHeight w:val="216"/>
        </w:trPr>
        <w:tc>
          <w:tcPr>
            <w:tcW w:w="7320" w:type="dxa"/>
            <w:vAlign w:val="bottom"/>
          </w:tcPr>
          <w:p>
            <w:pPr>
              <w:ind w:left="240"/>
              <w:spacing w:after="0"/>
              <w:rPr>
                <w:sz w:val="20"/>
                <w:szCs w:val="20"/>
                <w:color w:val="auto"/>
              </w:rPr>
            </w:pPr>
            <w:r>
              <w:rPr>
                <w:rFonts w:ascii="Arial" w:cs="Arial" w:eastAsia="Arial" w:hAnsi="Arial"/>
                <w:sz w:val="18"/>
                <w:szCs w:val="18"/>
                <w:color w:val="auto"/>
              </w:rPr>
              <w:t>Cost of sales – Products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8,102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117,497</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106,874</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6,014</w:t>
            </w:r>
          </w:p>
        </w:tc>
        <w:tc>
          <w:tcPr>
            <w:tcW w:w="0" w:type="dxa"/>
            <w:vAlign w:val="bottom"/>
          </w:tcPr>
          <w:p>
            <w:pPr>
              <w:spacing w:after="0"/>
              <w:rPr>
                <w:sz w:val="1"/>
                <w:szCs w:val="1"/>
                <w:color w:val="auto"/>
              </w:rPr>
            </w:pPr>
          </w:p>
        </w:tc>
      </w:tr>
      <w:tr>
        <w:trPr>
          <w:trHeight w:val="216"/>
        </w:trPr>
        <w:tc>
          <w:tcPr>
            <w:tcW w:w="73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10,647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30,721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29,279</w:t>
            </w:r>
          </w:p>
        </w:tc>
        <w:tc>
          <w:tcPr>
            <w:tcW w:w="0" w:type="dxa"/>
            <w:vAlign w:val="bottom"/>
          </w:tcPr>
          <w:p>
            <w:pPr>
              <w:spacing w:after="0"/>
              <w:rPr>
                <w:sz w:val="1"/>
                <w:szCs w:val="1"/>
                <w:color w:val="auto"/>
              </w:rPr>
            </w:pPr>
          </w:p>
        </w:tc>
      </w:tr>
      <w:tr>
        <w:trPr>
          <w:trHeight w:val="20"/>
        </w:trPr>
        <w:tc>
          <w:tcPr>
            <w:tcW w:w="7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47,319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44,048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income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redemption of public preferred stock (Note 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240"/>
              <w:spacing w:after="0"/>
              <w:rPr>
                <w:sz w:val="20"/>
                <w:szCs w:val="20"/>
                <w:color w:val="auto"/>
              </w:rPr>
            </w:pPr>
            <w:r>
              <w:rPr>
                <w:rFonts w:ascii="Arial" w:cs="Arial" w:eastAsia="Arial" w:hAnsi="Arial"/>
                <w:sz w:val="18"/>
                <w:szCs w:val="18"/>
                <w:color w:val="auto"/>
              </w:rPr>
              <w:t>Non-operating (expense) income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0"/>
        </w:trPr>
        <w:tc>
          <w:tcPr>
            <w:tcW w:w="7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6,795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(2,241)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 (Note 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 (Note 2)</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(5,154)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(4,264)</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49"/>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Telos Corporation</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320" w:type="dxa"/>
            <w:vAlign w:val="bottom"/>
          </w:tcPr>
          <w:p>
            <w:pPr>
              <w:spacing w:after="0" w:line="196" w:lineRule="exact"/>
              <w:rPr>
                <w:sz w:val="20"/>
                <w:szCs w:val="20"/>
                <w:color w:val="auto"/>
              </w:rPr>
            </w:pPr>
            <w:r>
              <w:rPr>
                <w:rFonts w:ascii="Arial" w:cs="Arial" w:eastAsia="Arial" w:hAnsi="Arial"/>
                <w:sz w:val="18"/>
                <w:szCs w:val="18"/>
                <w:color w:val="auto"/>
              </w:rPr>
              <w:t>Net earnings (loss) per share attributable to Telos Corporation, basic</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0.04</w:t>
            </w:r>
          </w:p>
        </w:tc>
        <w:tc>
          <w:tcPr>
            <w:tcW w:w="24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(0.17)</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3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earnings (loss) per share attributable to Telos Corporation, diluted</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320" w:type="dxa"/>
            <w:vAlign w:val="bottom"/>
          </w:tcPr>
          <w:p>
            <w:pPr>
              <w:spacing w:after="0" w:line="196" w:lineRule="exact"/>
              <w:rPr>
                <w:sz w:val="20"/>
                <w:szCs w:val="20"/>
                <w:color w:val="auto"/>
              </w:rPr>
            </w:pPr>
            <w:r>
              <w:rPr>
                <w:rFonts w:ascii="Arial" w:cs="Arial" w:eastAsia="Arial" w:hAnsi="Arial"/>
                <w:sz w:val="18"/>
                <w:szCs w:val="18"/>
                <w:color w:val="auto"/>
              </w:rPr>
              <w:t>Weighted-average shares of common stock outstanding, basic</w:t>
            </w:r>
          </w:p>
        </w:tc>
        <w:tc>
          <w:tcPr>
            <w:tcW w:w="2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41,642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37,729</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36,762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Weighted-average shares of common stock outstanding, diluted</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42,877</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37,729</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36,762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4640" w:type="dxa"/>
            <w:vAlign w:val="bottom"/>
            <w:gridSpan w:val="2"/>
          </w:tcPr>
          <w:p>
            <w:pPr>
              <w:spacing w:after="0"/>
              <w:rPr>
                <w:rFonts w:ascii="Arial" w:cs="Arial" w:eastAsia="Arial" w:hAnsi="Arial"/>
                <w:sz w:val="18"/>
                <w:szCs w:val="18"/>
                <w:i w:val="1"/>
                <w:iCs w:val="1"/>
                <w:color w:val="auto"/>
              </w:rPr>
            </w:pPr>
            <w:hyperlink w:anchor="page2">
              <w:r>
                <w:rPr>
                  <w:rFonts w:ascii="Arial" w:cs="Arial" w:eastAsia="Arial" w:hAnsi="Arial"/>
                  <w:sz w:val="18"/>
                  <w:szCs w:val="18"/>
                  <w:i w:val="1"/>
                  <w:iCs w:val="1"/>
                  <w:color w:val="auto"/>
                </w:rPr>
                <w:t>Table of Contents</w:t>
              </w:r>
            </w:hyperlink>
          </w:p>
        </w:tc>
        <w:tc>
          <w:tcPr>
            <w:tcW w:w="2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7"/>
        </w:trPr>
        <w:tc>
          <w:tcPr>
            <w:tcW w:w="1280" w:type="dxa"/>
            <w:vAlign w:val="bottom"/>
            <w:tcBorders>
              <w:top w:val="single" w:sz="8" w:color="auto"/>
            </w:tcBorders>
          </w:tcPr>
          <w:p>
            <w:pPr>
              <w:spacing w:after="0"/>
              <w:rPr>
                <w:sz w:val="24"/>
                <w:szCs w:val="24"/>
                <w:color w:val="auto"/>
              </w:rPr>
            </w:pPr>
          </w:p>
        </w:tc>
        <w:tc>
          <w:tcPr>
            <w:tcW w:w="63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TELOS CORPORATION AND SUBSIDIARIES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2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940" w:type="dxa"/>
            <w:vAlign w:val="bottom"/>
            <w:gridSpan w:val="2"/>
          </w:tcPr>
          <w:p>
            <w:pPr>
              <w:jc w:val="right"/>
              <w:ind w:right="950"/>
              <w:spacing w:after="0"/>
              <w:rPr>
                <w:sz w:val="20"/>
                <w:szCs w:val="20"/>
                <w:color w:val="auto"/>
              </w:rPr>
            </w:pPr>
            <w:r>
              <w:rPr>
                <w:rFonts w:ascii="Arial" w:cs="Arial" w:eastAsia="Arial" w:hAnsi="Arial"/>
                <w:sz w:val="18"/>
                <w:szCs w:val="18"/>
                <w:b w:val="1"/>
                <w:bCs w:val="1"/>
                <w:color w:val="auto"/>
                <w:w w:val="92"/>
              </w:rPr>
              <w:t>(amounts in thousands)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1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8"/>
                <w:szCs w:val="18"/>
                <w:color w:val="auto"/>
              </w:rPr>
            </w:pPr>
          </w:p>
        </w:tc>
      </w:tr>
      <w:tr>
        <w:trPr>
          <w:trHeight w:val="21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2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Foreign currency translation adjustments</w:t>
            </w:r>
          </w:p>
        </w:tc>
        <w:tc>
          <w:tcPr>
            <w:tcW w:w="2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w w:val="94"/>
              </w:rPr>
              <w:t>Comprehensive income attributable to non-controlling interest</w:t>
            </w:r>
          </w:p>
        </w:tc>
        <w:tc>
          <w:tcPr>
            <w:tcW w:w="2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(5,154)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(4,264)</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(3,377)</w:t>
            </w:r>
          </w:p>
        </w:tc>
      </w:tr>
      <w:tr>
        <w:trPr>
          <w:trHeight w:val="20"/>
        </w:trPr>
        <w:tc>
          <w:tcPr>
            <w:tcW w:w="1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64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2"/>
              </w:rPr>
              <w:t>Comprehensive income (loss) attributable to Telos Corporation</w:t>
            </w:r>
          </w:p>
        </w:tc>
        <w:tc>
          <w:tcPr>
            <w:tcW w:w="26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1,725</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(6,412)</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rFonts w:ascii="Arial" w:cs="Arial" w:eastAsia="Arial" w:hAnsi="Arial"/>
                <w:sz w:val="18"/>
                <w:szCs w:val="18"/>
                <w:i w:val="1"/>
                <w:iCs w:val="1"/>
                <w:color w:val="auto"/>
              </w:rPr>
            </w:pPr>
            <w:hyperlink w:anchor="page2">
              <w:r>
                <w:rPr>
                  <w:rFonts w:ascii="Arial" w:cs="Arial" w:eastAsia="Arial" w:hAnsi="Arial"/>
                  <w:sz w:val="18"/>
                  <w:szCs w:val="18"/>
                  <w:i w:val="1"/>
                  <w:iCs w:val="1"/>
                  <w:color w:val="auto"/>
                </w:rPr>
                <w:t>Table of Contents</w:t>
              </w:r>
            </w:hyperlink>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7"/>
        </w:trPr>
        <w:tc>
          <w:tcPr>
            <w:tcW w:w="1280" w:type="dxa"/>
            <w:vAlign w:val="bottom"/>
            <w:tcBorders>
              <w:top w:val="single" w:sz="8" w:color="auto"/>
            </w:tcBorders>
          </w:tcPr>
          <w:p>
            <w:pPr>
              <w:spacing w:after="0"/>
              <w:rPr>
                <w:sz w:val="24"/>
                <w:szCs w:val="24"/>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TELOS CORPORATION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88"/>
              </w:rPr>
              <w:t>(amounts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94"/>
              </w:rPr>
              <w:t>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Current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400"/>
              <w:spacing w:after="0"/>
              <w:rPr>
                <w:sz w:val="20"/>
                <w:szCs w:val="20"/>
                <w:color w:val="auto"/>
              </w:rPr>
            </w:pPr>
            <w:r>
              <w:rPr>
                <w:rFonts w:ascii="Arial" w:cs="Arial" w:eastAsia="Arial" w:hAnsi="Arial"/>
                <w:sz w:val="18"/>
                <w:szCs w:val="18"/>
                <w:color w:val="auto"/>
              </w:rPr>
              <w:t>Accounts receivable, net of reserve of $308 and $720, respectively (Note 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27,942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Inventories, net of obsolescence reserve of $851 and $860, respectively (Note 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40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program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40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144,114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Property and equipment (Note 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Furniture, equipment, and capitalized software development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40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16"/>
        </w:trPr>
        <w:tc>
          <w:tcPr>
            <w:tcW w:w="86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Property and equipment under finance leases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59,288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52,037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Accumulated 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(32,470)</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74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22,397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Goodwill (Note 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21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gridSpan w:val="2"/>
          </w:tcPr>
          <w:p>
            <w:pPr>
              <w:ind w:left="40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183,817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77,692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rFonts w:ascii="Arial" w:cs="Arial" w:eastAsia="Arial" w:hAnsi="Arial"/>
                <w:sz w:val="18"/>
                <w:szCs w:val="18"/>
                <w:i w:val="1"/>
                <w:iCs w:val="1"/>
                <w:color w:val="auto"/>
              </w:rPr>
            </w:pPr>
            <w:hyperlink w:anchor="page2">
              <w:r>
                <w:rPr>
                  <w:rFonts w:ascii="Arial" w:cs="Arial" w:eastAsia="Arial" w:hAnsi="Arial"/>
                  <w:sz w:val="18"/>
                  <w:szCs w:val="18"/>
                  <w:i w:val="1"/>
                  <w:iCs w:val="1"/>
                  <w:color w:val="auto"/>
                </w:rPr>
                <w:t>Table of Contents</w:t>
              </w:r>
            </w:hyperlink>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7"/>
        </w:trPr>
        <w:tc>
          <w:tcPr>
            <w:tcW w:w="1280" w:type="dxa"/>
            <w:vAlign w:val="bottom"/>
            <w:tcBorders>
              <w:top w:val="single" w:sz="8" w:color="auto"/>
            </w:tcBorders>
          </w:tcPr>
          <w:p>
            <w:pPr>
              <w:spacing w:after="0"/>
              <w:rPr>
                <w:sz w:val="24"/>
                <w:szCs w:val="24"/>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TELOS CORPORATION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00" w:type="dxa"/>
            <w:vAlign w:val="bottom"/>
          </w:tcPr>
          <w:p>
            <w:pPr>
              <w:jc w:val="center"/>
              <w:ind w:left="1210"/>
              <w:spacing w:after="0"/>
              <w:rPr>
                <w:sz w:val="20"/>
                <w:szCs w:val="20"/>
                <w:color w:val="auto"/>
              </w:rPr>
            </w:pPr>
            <w:r>
              <w:rPr>
                <w:rFonts w:ascii="Arial" w:cs="Arial" w:eastAsia="Arial" w:hAnsi="Arial"/>
                <w:sz w:val="18"/>
                <w:szCs w:val="18"/>
                <w:b w:val="1"/>
                <w:bCs w:val="1"/>
                <w:color w:val="auto"/>
                <w:w w:val="87"/>
              </w:rPr>
              <w:t>(amounts in thousands, except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7400" w:type="dxa"/>
            <w:vAlign w:val="bottom"/>
          </w:tcPr>
          <w:p>
            <w:pPr>
              <w:jc w:val="center"/>
              <w:ind w:left="1210"/>
              <w:spacing w:after="0"/>
              <w:rPr>
                <w:sz w:val="20"/>
                <w:szCs w:val="20"/>
                <w:color w:val="auto"/>
              </w:rPr>
            </w:pPr>
            <w:r>
              <w:rPr>
                <w:rFonts w:ascii="Arial" w:cs="Arial" w:eastAsia="Arial" w:hAnsi="Arial"/>
                <w:sz w:val="18"/>
                <w:szCs w:val="18"/>
                <w:b w:val="1"/>
                <w:bCs w:val="1"/>
                <w:color w:val="auto"/>
              </w:rPr>
              <w:t>LIABILITIES AND STOCKHOLDERS' EQUITY (DEFICIT)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Accounts payable and other accrued liabilities (Note 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20,899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12,187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Contract liabilities (Notes 1 and 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Arial" w:cs="Arial" w:eastAsia="Arial" w:hAnsi="Arial"/>
                <w:sz w:val="18"/>
                <w:szCs w:val="18"/>
                <w:color w:val="auto"/>
              </w:rPr>
              <w:t>Finance lease obligations – short-term (Note 10)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Operating lease obligations – short-term (Note 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term loan, net of unamortized discount and issuance costs (Note 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Subordinated debt (Note 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obligations - long-term (Note 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Operating lease obligations - long-term (Note 10)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(Note 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Public preferred stock (Note 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139,210</w:t>
            </w:r>
          </w:p>
        </w:tc>
        <w:tc>
          <w:tcPr>
            <w:tcW w:w="0" w:type="dxa"/>
            <w:vAlign w:val="bottom"/>
          </w:tcPr>
          <w:p>
            <w:pPr>
              <w:spacing w:after="0"/>
              <w:rPr>
                <w:sz w:val="1"/>
                <w:szCs w:val="1"/>
                <w:color w:val="auto"/>
              </w:rPr>
            </w:pPr>
          </w:p>
        </w:tc>
      </w:tr>
      <w:tr>
        <w:trPr>
          <w:trHeight w:val="21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liabilities (Note 9)</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ind w:left="2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56,713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214,314</w:t>
            </w: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(Notes 10 and 13)</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(deficit) (Note 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Telos stockholders’ equity (deficit)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w w:val="91"/>
              </w:rPr>
              <w:t>Common stock, $0.001 par value, 250,000,000 shares authorized, 64,625,071 shares issued and outstanding as of</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December 31, 2020</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gridSpan w:val="2"/>
          </w:tcPr>
          <w:p>
            <w:pPr>
              <w:ind w:left="300"/>
              <w:spacing w:after="0" w:line="201" w:lineRule="exact"/>
              <w:rPr>
                <w:sz w:val="20"/>
                <w:szCs w:val="20"/>
                <w:color w:val="auto"/>
              </w:rPr>
            </w:pPr>
            <w:r>
              <w:rPr>
                <w:rFonts w:ascii="Arial" w:cs="Arial" w:eastAsia="Arial" w:hAnsi="Arial"/>
                <w:sz w:val="18"/>
                <w:szCs w:val="18"/>
                <w:color w:val="auto"/>
                <w:w w:val="91"/>
              </w:rPr>
              <w:t>Class A common stock, no par value, 50,000,000 shares authorized, 35,826,200 shares issued and outstanding as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300"/>
              <w:spacing w:after="0"/>
              <w:rPr>
                <w:sz w:val="20"/>
                <w:szCs w:val="20"/>
                <w:color w:val="auto"/>
              </w:rPr>
            </w:pPr>
            <w:r>
              <w:rPr>
                <w:rFonts w:ascii="Arial" w:cs="Arial" w:eastAsia="Arial" w:hAnsi="Arial"/>
                <w:sz w:val="18"/>
                <w:szCs w:val="18"/>
                <w:color w:val="auto"/>
              </w:rPr>
              <w:t>of December 31, 2019</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w w:val="91"/>
              </w:rPr>
              <w:t>Class B common stock, no par value, 5,000,000 shares authorized, 3,204,293 shares issued and outstanding as of</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December 31, 2019</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270,800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(143,843)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(145,530)</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Telos stockholders’ equity (deficit)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127,104</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(141,136)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 in subsidiary (Note 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127,104</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ind w:left="280"/>
              <w:spacing w:after="0"/>
              <w:rPr>
                <w:sz w:val="20"/>
                <w:szCs w:val="20"/>
                <w:color w:val="auto"/>
              </w:rPr>
            </w:pPr>
            <w:r>
              <w:rPr>
                <w:rFonts w:ascii="Arial" w:cs="Arial" w:eastAsia="Arial" w:hAnsi="Arial"/>
                <w:sz w:val="18"/>
                <w:szCs w:val="18"/>
                <w:color w:val="auto"/>
              </w:rPr>
              <w:t>Total liabilities and stockholders’ equity (deficit)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183,817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77,692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rFonts w:ascii="Arial" w:cs="Arial" w:eastAsia="Arial" w:hAnsi="Arial"/>
                <w:sz w:val="18"/>
                <w:szCs w:val="18"/>
                <w:i w:val="1"/>
                <w:iCs w:val="1"/>
                <w:color w:val="auto"/>
              </w:rPr>
            </w:pPr>
            <w:hyperlink w:anchor="page2">
              <w:r>
                <w:rPr>
                  <w:rFonts w:ascii="Arial" w:cs="Arial" w:eastAsia="Arial" w:hAnsi="Arial"/>
                  <w:sz w:val="18"/>
                  <w:szCs w:val="18"/>
                  <w:i w:val="1"/>
                  <w:iCs w:val="1"/>
                  <w:color w:val="auto"/>
                </w:rPr>
                <w:t>Table of Contents</w:t>
              </w:r>
            </w:hyperlink>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7"/>
        </w:trPr>
        <w:tc>
          <w:tcPr>
            <w:tcW w:w="1280" w:type="dxa"/>
            <w:vAlign w:val="bottom"/>
            <w:tcBorders>
              <w:top w:val="single" w:sz="8" w:color="auto"/>
            </w:tcBorders>
          </w:tcPr>
          <w:p>
            <w:pPr>
              <w:spacing w:after="0"/>
              <w:rPr>
                <w:sz w:val="24"/>
                <w:szCs w:val="24"/>
                <w:color w:val="auto"/>
              </w:rPr>
            </w:pPr>
          </w:p>
        </w:tc>
        <w:tc>
          <w:tcPr>
            <w:tcW w:w="6320" w:type="dxa"/>
            <w:vAlign w:val="bottom"/>
            <w:gridSpan w:val="2"/>
          </w:tcPr>
          <w:p>
            <w:pPr>
              <w:jc w:val="center"/>
              <w:ind w:left="2270"/>
              <w:spacing w:after="0"/>
              <w:rPr>
                <w:sz w:val="20"/>
                <w:szCs w:val="20"/>
                <w:color w:val="auto"/>
              </w:rPr>
            </w:pPr>
            <w:r>
              <w:rPr>
                <w:rFonts w:ascii="Arial" w:cs="Arial" w:eastAsia="Arial" w:hAnsi="Arial"/>
                <w:sz w:val="18"/>
                <w:szCs w:val="18"/>
                <w:b w:val="1"/>
                <w:bCs w:val="1"/>
                <w:color w:val="auto"/>
                <w:w w:val="99"/>
              </w:rPr>
              <w:t>TELOS CORPORATION AND SUBSIDIARIES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20" w:type="dxa"/>
            <w:vAlign w:val="bottom"/>
            <w:gridSpan w:val="4"/>
          </w:tcPr>
          <w:p>
            <w:pPr>
              <w:jc w:val="center"/>
              <w:ind w:left="117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040" w:type="dxa"/>
            <w:vAlign w:val="bottom"/>
          </w:tcPr>
          <w:p>
            <w:pPr>
              <w:jc w:val="center"/>
              <w:ind w:left="2550"/>
              <w:spacing w:after="0"/>
              <w:rPr>
                <w:sz w:val="20"/>
                <w:szCs w:val="20"/>
                <w:color w:val="auto"/>
              </w:rPr>
            </w:pPr>
            <w:r>
              <w:rPr>
                <w:rFonts w:ascii="Arial" w:cs="Arial" w:eastAsia="Arial" w:hAnsi="Arial"/>
                <w:sz w:val="18"/>
                <w:szCs w:val="18"/>
                <w:b w:val="1"/>
                <w:bCs w:val="1"/>
                <w:color w:val="auto"/>
                <w:w w:val="88"/>
              </w:rPr>
              <w:t>(amounts in thousands)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20"/>
              <w:spacing w:after="0"/>
              <w:rPr>
                <w:sz w:val="20"/>
                <w:szCs w:val="20"/>
                <w:color w:val="auto"/>
              </w:rPr>
            </w:pPr>
            <w:r>
              <w:rPr>
                <w:rFonts w:ascii="Arial" w:cs="Arial" w:eastAsia="Arial" w:hAnsi="Arial"/>
                <w:sz w:val="18"/>
                <w:szCs w:val="18"/>
                <w:color w:val="auto"/>
                <w:w w:val="97"/>
              </w:rPr>
              <w:t>Adjustments to reconcile net income (loss) to cash (used in) provided by operating activities: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Gain on redemption of public preferred stock</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ind w:left="460"/>
              <w:spacing w:after="0"/>
              <w:rPr>
                <w:sz w:val="20"/>
                <w:szCs w:val="20"/>
                <w:color w:val="auto"/>
              </w:rPr>
            </w:pPr>
            <w:r>
              <w:rPr>
                <w:rFonts w:ascii="Arial" w:cs="Arial" w:eastAsia="Arial" w:hAnsi="Arial"/>
                <w:sz w:val="18"/>
                <w:szCs w:val="18"/>
                <w:color w:val="auto"/>
              </w:rPr>
              <w:t>Net loss on early extinguishment of debt and other transactions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ind w:left="460"/>
              <w:spacing w:after="0"/>
              <w:rPr>
                <w:sz w:val="20"/>
                <w:szCs w:val="20"/>
                <w:color w:val="auto"/>
              </w:rPr>
            </w:pPr>
            <w:r>
              <w:rPr>
                <w:rFonts w:ascii="Arial" w:cs="Arial" w:eastAsia="Arial" w:hAnsi="Arial"/>
                <w:sz w:val="18"/>
                <w:szCs w:val="18"/>
                <w:color w:val="auto"/>
              </w:rPr>
              <w:t>Dividends from preferred stock recorded as interest expense</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3,823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16"/>
        </w:trPr>
        <w:tc>
          <w:tcPr>
            <w:tcW w:w="7320" w:type="dxa"/>
            <w:vAlign w:val="bottom"/>
            <w:gridSpan w:val="2"/>
          </w:tcPr>
          <w:p>
            <w:pPr>
              <w:ind w:left="460"/>
              <w:spacing w:after="0"/>
              <w:rPr>
                <w:sz w:val="20"/>
                <w:szCs w:val="20"/>
                <w:color w:val="auto"/>
              </w:rPr>
            </w:pPr>
            <w:r>
              <w:rPr>
                <w:rFonts w:ascii="Arial" w:cs="Arial" w:eastAsia="Arial" w:hAnsi="Arial"/>
                <w:sz w:val="18"/>
                <w:szCs w:val="18"/>
                <w:color w:val="auto"/>
              </w:rPr>
              <w:t>Provision for inventory obsolescence</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(Benefit) provision for doubtful accounts receivable</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7320" w:type="dxa"/>
            <w:vAlign w:val="bottom"/>
            <w:gridSpan w:val="2"/>
          </w:tcPr>
          <w:p>
            <w:pPr>
              <w:ind w:left="460"/>
              <w:spacing w:after="0"/>
              <w:rPr>
                <w:sz w:val="20"/>
                <w:szCs w:val="20"/>
                <w:color w:val="auto"/>
              </w:rPr>
            </w:pPr>
            <w:r>
              <w:rPr>
                <w:rFonts w:ascii="Arial" w:cs="Arial" w:eastAsia="Arial" w:hAnsi="Arial"/>
                <w:sz w:val="18"/>
                <w:szCs w:val="18"/>
                <w:color w:val="auto"/>
              </w:rPr>
              <w:t>Provision for doubtful non-trade receivables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7320" w:type="dxa"/>
            <w:vAlign w:val="bottom"/>
            <w:gridSpan w:val="2"/>
          </w:tcPr>
          <w:p>
            <w:pPr>
              <w:ind w:left="460"/>
              <w:spacing w:after="0"/>
              <w:rPr>
                <w:sz w:val="20"/>
                <w:szCs w:val="20"/>
                <w:color w:val="auto"/>
              </w:rPr>
            </w:pPr>
            <w:r>
              <w:rPr>
                <w:rFonts w:ascii="Arial" w:cs="Arial" w:eastAsia="Arial" w:hAnsi="Arial"/>
                <w:sz w:val="18"/>
                <w:szCs w:val="18"/>
                <w:color w:val="auto"/>
              </w:rPr>
              <w:t>Deferred income tax provision (benefit)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Loss on disposal of fixed assets</w:t>
            </w:r>
          </w:p>
        </w:tc>
        <w:tc>
          <w:tcPr>
            <w:tcW w:w="2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320" w:type="dxa"/>
            <w:vAlign w:val="bottom"/>
            <w:gridSpan w:val="2"/>
          </w:tcPr>
          <w:p>
            <w:pPr>
              <w:ind w:left="46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(Increase) decrease in accounts receivable</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(9,917)</w:t>
            </w:r>
          </w:p>
        </w:tc>
        <w:tc>
          <w:tcPr>
            <w:tcW w:w="0" w:type="dxa"/>
            <w:vAlign w:val="bottom"/>
          </w:tcPr>
          <w:p>
            <w:pPr>
              <w:spacing w:after="0"/>
              <w:rPr>
                <w:sz w:val="1"/>
                <w:szCs w:val="1"/>
                <w:color w:val="auto"/>
              </w:rPr>
            </w:pPr>
          </w:p>
        </w:tc>
      </w:tr>
      <w:tr>
        <w:trPr>
          <w:trHeight w:val="216"/>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(Increase) decrease in inventories</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(1,345)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2,048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9,101</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Decrease (increase) in deferred program expenses</w:t>
            </w:r>
          </w:p>
        </w:tc>
        <w:tc>
          <w:tcPr>
            <w:tcW w:w="2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16"/>
        </w:trPr>
        <w:tc>
          <w:tcPr>
            <w:tcW w:w="7320" w:type="dxa"/>
            <w:vAlign w:val="bottom"/>
            <w:gridSpan w:val="2"/>
          </w:tcPr>
          <w:p>
            <w:pPr>
              <w:ind w:left="700"/>
              <w:spacing w:after="0"/>
              <w:rPr>
                <w:sz w:val="20"/>
                <w:szCs w:val="20"/>
                <w:color w:val="auto"/>
              </w:rPr>
            </w:pPr>
            <w:r>
              <w:rPr>
                <w:rFonts w:ascii="Arial" w:cs="Arial" w:eastAsia="Arial" w:hAnsi="Arial"/>
                <w:sz w:val="18"/>
                <w:szCs w:val="18"/>
                <w:color w:val="auto"/>
              </w:rPr>
              <w:t>Increase in prepaid expenses, other current assets and other assets</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(1,606)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(3,576)</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Increase (decrease) in accounts payable and other accrued payables</w:t>
            </w:r>
          </w:p>
        </w:tc>
        <w:tc>
          <w:tcPr>
            <w:tcW w:w="2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16"/>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(Decrease) increase in accrued compensation and benefits</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(3,713)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3,105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(Decrease) increase in contract liabilities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7320" w:type="dxa"/>
            <w:vAlign w:val="bottom"/>
            <w:gridSpan w:val="2"/>
          </w:tcPr>
          <w:p>
            <w:pPr>
              <w:ind w:left="700"/>
              <w:spacing w:after="0"/>
              <w:rPr>
                <w:sz w:val="20"/>
                <w:szCs w:val="20"/>
                <w:color w:val="auto"/>
              </w:rPr>
            </w:pPr>
            <w:r>
              <w:rPr>
                <w:rFonts w:ascii="Arial" w:cs="Arial" w:eastAsia="Arial" w:hAnsi="Arial"/>
                <w:sz w:val="18"/>
                <w:szCs w:val="18"/>
                <w:color w:val="auto"/>
              </w:rPr>
              <w:t>Increase in other current liabilities and other liabilities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2,379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Cash (used in) provided by operating activities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11,816</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Capitalized software development costs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16"/>
        </w:trPr>
        <w:tc>
          <w:tcPr>
            <w:tcW w:w="7320" w:type="dxa"/>
            <w:vAlign w:val="bottom"/>
            <w:gridSpan w:val="2"/>
          </w:tcPr>
          <w:p>
            <w:pPr>
              <w:ind w:left="46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(780)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(4,090)</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Cash used in investing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Proceeds from initial public offering</w:t>
            </w:r>
          </w:p>
        </w:tc>
        <w:tc>
          <w:tcPr>
            <w:tcW w:w="2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ind w:left="460"/>
              <w:spacing w:after="0"/>
              <w:rPr>
                <w:sz w:val="20"/>
                <w:szCs w:val="20"/>
                <w:color w:val="auto"/>
              </w:rPr>
            </w:pPr>
            <w:r>
              <w:rPr>
                <w:rFonts w:ascii="Arial" w:cs="Arial" w:eastAsia="Arial" w:hAnsi="Arial"/>
                <w:sz w:val="18"/>
                <w:szCs w:val="18"/>
                <w:color w:val="auto"/>
              </w:rPr>
              <w:t>Redemption of public preferred stock</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(108,878)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Purchase of Telos ID membership interest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ind w:left="460"/>
              <w:spacing w:after="0"/>
              <w:rPr>
                <w:sz w:val="20"/>
                <w:szCs w:val="20"/>
                <w:color w:val="auto"/>
              </w:rPr>
            </w:pPr>
            <w:r>
              <w:rPr>
                <w:rFonts w:ascii="Arial" w:cs="Arial" w:eastAsia="Arial" w:hAnsi="Arial"/>
                <w:sz w:val="18"/>
                <w:szCs w:val="18"/>
                <w:color w:val="auto"/>
              </w:rPr>
              <w:t>Payment of senior term loan</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(17,351)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Payment of subordinated debt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ind w:left="460"/>
              <w:spacing w:after="0"/>
              <w:rPr>
                <w:sz w:val="20"/>
                <w:szCs w:val="20"/>
                <w:color w:val="auto"/>
              </w:rPr>
            </w:pPr>
            <w:r>
              <w:rPr>
                <w:rFonts w:ascii="Arial" w:cs="Arial" w:eastAsia="Arial" w:hAnsi="Arial"/>
                <w:sz w:val="18"/>
                <w:szCs w:val="18"/>
                <w:color w:val="auto"/>
              </w:rPr>
              <w:t>Proceeds from senior term loan</w:t>
            </w:r>
          </w:p>
        </w:tc>
        <w:tc>
          <w:tcPr>
            <w:tcW w:w="2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4,881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Payments under finance lease obligations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7320" w:type="dxa"/>
            <w:vAlign w:val="bottom"/>
            <w:gridSpan w:val="2"/>
          </w:tcPr>
          <w:p>
            <w:pPr>
              <w:ind w:left="460"/>
              <w:spacing w:after="0"/>
              <w:rPr>
                <w:sz w:val="20"/>
                <w:szCs w:val="20"/>
                <w:color w:val="auto"/>
              </w:rPr>
            </w:pPr>
            <w:r>
              <w:rPr>
                <w:rFonts w:ascii="Arial" w:cs="Arial" w:eastAsia="Arial" w:hAnsi="Arial"/>
                <w:sz w:val="18"/>
                <w:szCs w:val="18"/>
                <w:color w:val="auto"/>
              </w:rPr>
              <w:t>Amendment fee paid to lender</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Distributions to Telos ID Class B member – non-controlling interest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0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gridSpan w:val="2"/>
          </w:tcPr>
          <w:p>
            <w:pPr>
              <w:ind w:left="460"/>
              <w:spacing w:after="0"/>
              <w:rPr>
                <w:sz w:val="20"/>
                <w:szCs w:val="20"/>
                <w:color w:val="auto"/>
              </w:rPr>
            </w:pPr>
            <w:r>
              <w:rPr>
                <w:rFonts w:ascii="Arial" w:cs="Arial" w:eastAsia="Arial" w:hAnsi="Arial"/>
                <w:sz w:val="18"/>
                <w:szCs w:val="18"/>
                <w:color w:val="auto"/>
              </w:rPr>
              <w:t>Cash provided by (used in) financing activities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108,859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1,395</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09"/>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99,294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the year</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9"/>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106,045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76"/>
        </w:trPr>
        <w:tc>
          <w:tcPr>
            <w:tcW w:w="7320" w:type="dxa"/>
            <w:vAlign w:val="bottom"/>
            <w:gridSpan w:val="2"/>
          </w:tcPr>
          <w:p>
            <w:pPr>
              <w:jc w:val="center"/>
              <w:ind w:left="3850"/>
              <w:spacing w:after="0"/>
              <w:rPr>
                <w:sz w:val="20"/>
                <w:szCs w:val="20"/>
                <w:color w:val="auto"/>
              </w:rPr>
            </w:pPr>
            <w:r>
              <w:rPr>
                <w:rFonts w:ascii="Arial" w:cs="Arial" w:eastAsia="Arial" w:hAnsi="Arial"/>
                <w:sz w:val="14"/>
                <w:szCs w:val="14"/>
                <w:color w:val="auto"/>
                <w:w w:val="89"/>
              </w:rPr>
              <w:t>46</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rFonts w:ascii="Arial" w:cs="Arial" w:eastAsia="Arial" w:hAnsi="Arial"/>
                <w:sz w:val="18"/>
                <w:szCs w:val="18"/>
                <w:i w:val="1"/>
                <w:iCs w:val="1"/>
                <w:color w:val="auto"/>
              </w:rPr>
            </w:pPr>
            <w:hyperlink w:anchor="page2">
              <w:r>
                <w:rPr>
                  <w:rFonts w:ascii="Arial" w:cs="Arial" w:eastAsia="Arial" w:hAnsi="Arial"/>
                  <w:sz w:val="18"/>
                  <w:szCs w:val="18"/>
                  <w:i w:val="1"/>
                  <w:iCs w:val="1"/>
                  <w:color w:val="auto"/>
                </w:rPr>
                <w:t>Table of Contents</w:t>
              </w:r>
            </w:hyperlink>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12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3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460"/>
              <w:spacing w:after="0"/>
              <w:rPr>
                <w:sz w:val="20"/>
                <w:szCs w:val="20"/>
                <w:color w:val="auto"/>
              </w:rPr>
            </w:pPr>
            <w:r>
              <w:rPr>
                <w:rFonts w:ascii="Arial" w:cs="Arial" w:eastAsia="Arial" w:hAnsi="Arial"/>
                <w:sz w:val="18"/>
                <w:szCs w:val="18"/>
                <w:color w:val="auto"/>
              </w:rPr>
              <w:t>Cash paid during the year for:</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3,299</w:t>
            </w: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732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Income taxes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220" w:type="dxa"/>
            <w:vAlign w:val="bottom"/>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40</w:t>
            </w: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w:t>
            </w:r>
          </w:p>
        </w:tc>
      </w:tr>
      <w:tr>
        <w:trPr>
          <w:trHeight w:val="20"/>
        </w:trPr>
        <w:tc>
          <w:tcPr>
            <w:tcW w:w="12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20" w:type="dxa"/>
            <w:vAlign w:val="bottom"/>
            <w:gridSpan w:val="2"/>
          </w:tcPr>
          <w:p>
            <w:pPr>
              <w:ind w:left="460"/>
              <w:spacing w:after="0"/>
              <w:rPr>
                <w:sz w:val="20"/>
                <w:szCs w:val="20"/>
                <w:color w:val="auto"/>
              </w:rPr>
            </w:pPr>
            <w:r>
              <w:rPr>
                <w:rFonts w:ascii="Arial" w:cs="Arial" w:eastAsia="Arial" w:hAnsi="Arial"/>
                <w:sz w:val="18"/>
                <w:szCs w:val="18"/>
                <w:color w:val="auto"/>
              </w:rPr>
              <w:t>Noncash:</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Dividends from preferred stock recorded as interest expense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732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Common stock issued on redemption of public preferred stock (Note 7)</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19,213</w:t>
            </w:r>
          </w:p>
        </w:tc>
        <w:tc>
          <w:tcPr>
            <w:tcW w:w="220" w:type="dxa"/>
            <w:vAlign w:val="bottom"/>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320" w:type="dxa"/>
            <w:vAlign w:val="bottom"/>
            <w:tcBorders>
              <w:bottom w:val="single" w:sz="8" w:color="CCEEFF"/>
            </w:tcBorders>
            <w:gridSpan w:val="2"/>
            <w:shd w:val="clear" w:color="auto" w:fill="CCEEFF"/>
          </w:tcPr>
          <w:p>
            <w:pPr>
              <w:ind w:left="620"/>
              <w:spacing w:after="0" w:line="196" w:lineRule="exact"/>
              <w:rPr>
                <w:sz w:val="20"/>
                <w:szCs w:val="20"/>
                <w:color w:val="auto"/>
              </w:rPr>
            </w:pPr>
            <w:r>
              <w:rPr>
                <w:rFonts w:ascii="Arial" w:cs="Arial" w:eastAsia="Arial" w:hAnsi="Arial"/>
                <w:sz w:val="18"/>
                <w:szCs w:val="18"/>
                <w:color w:val="auto"/>
              </w:rPr>
              <w:t>Common stock issued on purchase of Telos ID membership interest (Note 2)</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148,399</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7320" w:type="dxa"/>
            <w:vAlign w:val="bottom"/>
            <w:gridSpan w:val="2"/>
          </w:tcPr>
          <w:p>
            <w:pPr>
              <w:ind w:left="620"/>
              <w:spacing w:after="0" w:line="196" w:lineRule="exact"/>
              <w:rPr>
                <w:sz w:val="20"/>
                <w:szCs w:val="20"/>
                <w:color w:val="auto"/>
              </w:rPr>
            </w:pPr>
            <w:r>
              <w:rPr>
                <w:rFonts w:ascii="Arial" w:cs="Arial" w:eastAsia="Arial" w:hAnsi="Arial"/>
                <w:sz w:val="18"/>
                <w:szCs w:val="18"/>
                <w:color w:val="auto"/>
              </w:rPr>
              <w:t>Distributions to Telos ID Class B member – non-controlling interest</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2,436</w:t>
            </w:r>
          </w:p>
        </w:tc>
        <w:tc>
          <w:tcPr>
            <w:tcW w:w="220" w:type="dxa"/>
            <w:vAlign w:val="bottom"/>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320" w:type="dxa"/>
            <w:vAlign w:val="bottom"/>
            <w:tcBorders>
              <w:bottom w:val="single" w:sz="8" w:color="CCEEFF"/>
            </w:tcBorders>
            <w:gridSpan w:val="2"/>
            <w:shd w:val="clear" w:color="auto" w:fill="CCEEFF"/>
          </w:tcPr>
          <w:p>
            <w:pPr>
              <w:ind w:left="620"/>
              <w:spacing w:after="0" w:line="196" w:lineRule="exact"/>
              <w:rPr>
                <w:sz w:val="20"/>
                <w:szCs w:val="20"/>
                <w:color w:val="auto"/>
              </w:rPr>
            </w:pPr>
            <w:r>
              <w:rPr>
                <w:rFonts w:ascii="Arial" w:cs="Arial" w:eastAsia="Arial" w:hAnsi="Arial"/>
                <w:sz w:val="18"/>
                <w:szCs w:val="18"/>
                <w:color w:val="auto"/>
              </w:rPr>
              <w:t>Debt issuance costs and prepayment of interest on senior term loan</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2040" w:type="dxa"/>
            <w:vAlign w:val="bottom"/>
            <w:gridSpan w:val="3"/>
          </w:tcPr>
          <w:p>
            <w:pPr>
              <w:spacing w:after="0"/>
              <w:rPr>
                <w:rFonts w:ascii="Arial" w:cs="Arial" w:eastAsia="Arial" w:hAnsi="Arial"/>
                <w:sz w:val="18"/>
                <w:szCs w:val="18"/>
                <w:i w:val="1"/>
                <w:iCs w:val="1"/>
                <w:color w:val="auto"/>
              </w:rPr>
            </w:pPr>
            <w:hyperlink w:anchor="page2">
              <w:r>
                <w:rPr>
                  <w:rFonts w:ascii="Arial" w:cs="Arial" w:eastAsia="Arial" w:hAnsi="Arial"/>
                  <w:sz w:val="18"/>
                  <w:szCs w:val="18"/>
                  <w:i w:val="1"/>
                  <w:iCs w:val="1"/>
                  <w:color w:val="auto"/>
                </w:rPr>
                <w:t>Table of Contents</w:t>
              </w:r>
            </w:hyperlink>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7"/>
        </w:trPr>
        <w:tc>
          <w:tcPr>
            <w:tcW w:w="12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gridSpan w:val="12"/>
          </w:tcPr>
          <w:p>
            <w:pPr>
              <w:jc w:val="center"/>
              <w:ind w:left="310"/>
              <w:spacing w:after="0"/>
              <w:rPr>
                <w:sz w:val="20"/>
                <w:szCs w:val="20"/>
                <w:color w:val="auto"/>
              </w:rPr>
            </w:pPr>
            <w:r>
              <w:rPr>
                <w:rFonts w:ascii="Arial" w:cs="Arial" w:eastAsia="Arial" w:hAnsi="Arial"/>
                <w:sz w:val="18"/>
                <w:szCs w:val="18"/>
                <w:b w:val="1"/>
                <w:bCs w:val="1"/>
                <w:color w:val="auto"/>
                <w:w w:val="99"/>
              </w:rPr>
              <w:t>TELOS CORPORATION AND SUBSIDIARIES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800" w:type="dxa"/>
            <w:vAlign w:val="bottom"/>
            <w:gridSpan w:val="25"/>
          </w:tcPr>
          <w:p>
            <w:pPr>
              <w:jc w:val="center"/>
              <w:ind w:right="120"/>
              <w:spacing w:after="0"/>
              <w:rPr>
                <w:sz w:val="20"/>
                <w:szCs w:val="20"/>
                <w:color w:val="auto"/>
              </w:rPr>
            </w:pPr>
            <w:r>
              <w:rPr>
                <w:rFonts w:ascii="Arial" w:cs="Arial" w:eastAsia="Arial" w:hAnsi="Arial"/>
                <w:sz w:val="18"/>
                <w:szCs w:val="18"/>
                <w:b w:val="1"/>
                <w:bCs w:val="1"/>
                <w:color w:val="auto"/>
              </w:rPr>
              <w:t>CONSOLIDATED STATEMENTS OF CHANGES IN STOCKHOLDERS' EQUITY (DEFICIT)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7"/>
          </w:tcPr>
          <w:p>
            <w:pPr>
              <w:jc w:val="center"/>
              <w:ind w:left="290"/>
              <w:spacing w:after="0"/>
              <w:rPr>
                <w:sz w:val="20"/>
                <w:szCs w:val="20"/>
                <w:color w:val="auto"/>
              </w:rPr>
            </w:pPr>
            <w:r>
              <w:rPr>
                <w:rFonts w:ascii="Arial" w:cs="Arial" w:eastAsia="Arial" w:hAnsi="Arial"/>
                <w:sz w:val="18"/>
                <w:szCs w:val="18"/>
                <w:b w:val="1"/>
                <w:bCs w:val="1"/>
                <w:color w:val="auto"/>
                <w:w w:val="88"/>
              </w:rPr>
              <w:t>(amounts in thousands)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Class A</w:t>
            </w:r>
          </w:p>
        </w:tc>
        <w:tc>
          <w:tcPr>
            <w:tcW w:w="12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Class B</w:t>
            </w: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16"/>
        </w:trPr>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7"/>
              </w:rPr>
              <w:t>Common</w:t>
            </w: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Paid–in</w:t>
            </w:r>
          </w:p>
        </w:tc>
        <w:tc>
          <w:tcPr>
            <w:tcW w:w="140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Comprehensive</w:t>
            </w:r>
          </w:p>
        </w:tc>
        <w:tc>
          <w:tcPr>
            <w:tcW w:w="1340" w:type="dxa"/>
            <w:vAlign w:val="bottom"/>
            <w:gridSpan w:val="4"/>
          </w:tcPr>
          <w:p>
            <w:pPr>
              <w:ind w:left="100"/>
              <w:spacing w:after="0"/>
              <w:rPr>
                <w:sz w:val="20"/>
                <w:szCs w:val="20"/>
                <w:color w:val="auto"/>
              </w:rPr>
            </w:pPr>
            <w:r>
              <w:rPr>
                <w:rFonts w:ascii="Arial" w:cs="Arial" w:eastAsia="Arial" w:hAnsi="Arial"/>
                <w:sz w:val="18"/>
                <w:szCs w:val="18"/>
                <w:b w:val="1"/>
                <w:bCs w:val="1"/>
                <w:color w:val="auto"/>
              </w:rPr>
              <w:t>Accumulated</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140" w:type="dxa"/>
            <w:vAlign w:val="bottom"/>
          </w:tcPr>
          <w:p>
            <w:pPr>
              <w:spacing w:after="0"/>
              <w:rPr>
                <w:sz w:val="18"/>
                <w:szCs w:val="18"/>
                <w:color w:val="auto"/>
              </w:rPr>
            </w:pPr>
          </w:p>
        </w:tc>
        <w:tc>
          <w:tcPr>
            <w:tcW w:w="102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4"/>
              </w:rPr>
              <w:t>Equity</w:t>
            </w:r>
          </w:p>
        </w:tc>
      </w:tr>
      <w:tr>
        <w:trPr>
          <w:trHeight w:val="234"/>
        </w:trPr>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Stock</w:t>
            </w:r>
          </w:p>
        </w:tc>
        <w:tc>
          <w:tcPr>
            <w:tcW w:w="12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Income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Interest</w:t>
            </w:r>
          </w:p>
        </w:tc>
        <w:tc>
          <w:tcPr>
            <w:tcW w:w="140" w:type="dxa"/>
            <w:vAlign w:val="bottom"/>
          </w:tcPr>
          <w:p>
            <w:pPr>
              <w:spacing w:after="0"/>
              <w:rPr>
                <w:sz w:val="20"/>
                <w:szCs w:val="20"/>
                <w:color w:val="auto"/>
              </w:rPr>
            </w:pPr>
          </w:p>
        </w:tc>
        <w:tc>
          <w:tcPr>
            <w:tcW w:w="102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2"/>
              </w:rPr>
              <w:t>(Deficit)</w:t>
            </w:r>
          </w:p>
        </w:tc>
      </w:tr>
      <w:tr>
        <w:trPr>
          <w:trHeight w:val="195"/>
        </w:trPr>
        <w:tc>
          <w:tcPr>
            <w:tcW w:w="19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Balance December 31,</w:t>
            </w: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580"/>
              <w:spacing w:after="0"/>
              <w:rPr>
                <w:sz w:val="20"/>
                <w:szCs w:val="20"/>
                <w:color w:val="auto"/>
              </w:rPr>
            </w:pPr>
            <w:r>
              <w:rPr>
                <w:rFonts w:ascii="Arial" w:cs="Arial" w:eastAsia="Arial" w:hAnsi="Arial"/>
                <w:sz w:val="17"/>
                <w:szCs w:val="17"/>
                <w:color w:val="auto"/>
                <w:w w:val="73"/>
              </w:rPr>
              <w:t>65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580"/>
              <w:spacing w:after="0"/>
              <w:rPr>
                <w:sz w:val="20"/>
                <w:szCs w:val="20"/>
                <w:color w:val="auto"/>
              </w:rPr>
            </w:pPr>
            <w:r>
              <w:rPr>
                <w:rFonts w:ascii="Arial" w:cs="Arial" w:eastAsia="Arial" w:hAnsi="Arial"/>
                <w:sz w:val="17"/>
                <w:szCs w:val="17"/>
                <w:color w:val="auto"/>
                <w:w w:val="73"/>
              </w:rPr>
              <w:t>13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(141,370</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(136,037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1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7"/>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7"/>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1940" w:type="dxa"/>
            <w:vAlign w:val="bottom"/>
            <w:gridSpan w:val="2"/>
          </w:tcPr>
          <w:p>
            <w:pPr>
              <w:spacing w:after="0" w:line="201" w:lineRule="exact"/>
              <w:rPr>
                <w:sz w:val="20"/>
                <w:szCs w:val="20"/>
                <w:color w:val="auto"/>
              </w:rPr>
            </w:pPr>
            <w:r>
              <w:rPr>
                <w:rFonts w:ascii="Arial" w:cs="Arial" w:eastAsia="Arial" w:hAnsi="Arial"/>
                <w:sz w:val="18"/>
                <w:szCs w:val="18"/>
                <w:color w:val="auto"/>
              </w:rPr>
              <w:t>Cumulative effect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w w:val="97"/>
              </w:rPr>
              <w:t>adjustment due to change</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in accounting policy</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3,881</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3,881</w:t>
            </w:r>
          </w:p>
        </w:tc>
      </w:tr>
      <w:tr>
        <w:trPr>
          <w:trHeight w:val="202"/>
        </w:trPr>
        <w:tc>
          <w:tcPr>
            <w:tcW w:w="20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 loss</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Distributions</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(1,669)</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(1,669)</w:t>
            </w:r>
          </w:p>
        </w:tc>
      </w:tr>
      <w:tr>
        <w:trPr>
          <w:trHeight w:val="195"/>
        </w:trPr>
        <w:tc>
          <w:tcPr>
            <w:tcW w:w="204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Balance December 31,</w:t>
            </w: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4,310</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(139,129)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2,621</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(132,103)</w:t>
            </w:r>
          </w:p>
        </w:tc>
      </w:tr>
      <w:tr>
        <w:trPr>
          <w:trHeight w:val="20"/>
        </w:trPr>
        <w:tc>
          <w:tcPr>
            <w:tcW w:w="1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40" w:type="dxa"/>
            <w:vAlign w:val="bottom"/>
            <w:gridSpan w:val="3"/>
          </w:tcPr>
          <w:p>
            <w:pPr>
              <w:spacing w:after="0"/>
              <w:rPr>
                <w:sz w:val="20"/>
                <w:szCs w:val="20"/>
                <w:color w:val="auto"/>
              </w:rPr>
            </w:pPr>
            <w:r>
              <w:rPr>
                <w:rFonts w:ascii="Arial" w:cs="Arial" w:eastAsia="Arial" w:hAnsi="Arial"/>
                <w:sz w:val="18"/>
                <w:szCs w:val="18"/>
                <w:color w:val="auto"/>
              </w:rPr>
              <w:t>Net (loss) income</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(6,401)</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4,264</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(2,137)</w:t>
            </w:r>
          </w:p>
        </w:tc>
      </w:tr>
      <w:tr>
        <w:trPr>
          <w:trHeight w:val="202"/>
        </w:trPr>
        <w:tc>
          <w:tcPr>
            <w:tcW w:w="20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 loss</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Distributions</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(2,371)</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(2,371)</w:t>
            </w:r>
          </w:p>
        </w:tc>
      </w:tr>
      <w:tr>
        <w:trPr>
          <w:trHeight w:val="195"/>
        </w:trPr>
        <w:tc>
          <w:tcPr>
            <w:tcW w:w="204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Balance December 31,</w:t>
            </w: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4,310</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(145,530)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(136,622)</w:t>
            </w:r>
          </w:p>
        </w:tc>
      </w:tr>
      <w:tr>
        <w:trPr>
          <w:trHeight w:val="20"/>
        </w:trPr>
        <w:tc>
          <w:tcPr>
            <w:tcW w:w="1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0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1,687</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5,154</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6,841</w:t>
            </w:r>
          </w:p>
        </w:tc>
      </w:tr>
      <w:tr>
        <w:trPr>
          <w:trHeight w:val="216"/>
        </w:trPr>
        <w:tc>
          <w:tcPr>
            <w:tcW w:w="20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Issuance of common stock</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291,997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292,022</w:t>
            </w:r>
          </w:p>
        </w:tc>
      </w:tr>
      <w:tr>
        <w:trPr>
          <w:trHeight w:val="202"/>
        </w:trPr>
        <w:tc>
          <w:tcPr>
            <w:tcW w:w="2040" w:type="dxa"/>
            <w:vAlign w:val="bottom"/>
            <w:gridSpan w:val="3"/>
          </w:tcPr>
          <w:p>
            <w:pPr>
              <w:spacing w:after="0" w:line="201" w:lineRule="exact"/>
              <w:rPr>
                <w:sz w:val="20"/>
                <w:szCs w:val="20"/>
                <w:color w:val="auto"/>
              </w:rPr>
            </w:pPr>
            <w:r>
              <w:rPr>
                <w:rFonts w:ascii="Arial" w:cs="Arial" w:eastAsia="Arial" w:hAnsi="Arial"/>
                <w:sz w:val="18"/>
                <w:szCs w:val="18"/>
                <w:color w:val="auto"/>
              </w:rPr>
              <w:t>Purchase of Telos ID</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membership interest</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(25,511)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(4,489)</w:t>
            </w: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(30,000)</w:t>
            </w:r>
          </w:p>
        </w:tc>
      </w:tr>
      <w:tr>
        <w:trPr>
          <w:trHeight w:val="202"/>
        </w:trPr>
        <w:tc>
          <w:tcPr>
            <w:tcW w:w="20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 gain</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w:t>
            </w: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w w:val="93"/>
              </w:rPr>
              <w:t>Stock-based compensation</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4</w:t>
            </w:r>
          </w:p>
        </w:tc>
      </w:tr>
      <w:tr>
        <w:trPr>
          <w:trHeight w:val="216"/>
        </w:trPr>
        <w:tc>
          <w:tcPr>
            <w:tcW w:w="2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Distributions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(5,179)</w:t>
            </w:r>
          </w:p>
        </w:tc>
      </w:tr>
      <w:tr>
        <w:trPr>
          <w:trHeight w:val="195"/>
        </w:trPr>
        <w:tc>
          <w:tcPr>
            <w:tcW w:w="2040" w:type="dxa"/>
            <w:vAlign w:val="bottom"/>
            <w:tcBorders>
              <w:top w:val="single" w:sz="8" w:color="CCEEFF"/>
            </w:tcBorders>
            <w:gridSpan w:val="3"/>
          </w:tcPr>
          <w:p>
            <w:pPr>
              <w:spacing w:after="0" w:line="195" w:lineRule="exact"/>
              <w:rPr>
                <w:sz w:val="20"/>
                <w:szCs w:val="20"/>
                <w:color w:val="auto"/>
              </w:rPr>
            </w:pPr>
            <w:r>
              <w:rPr>
                <w:rFonts w:ascii="Arial" w:cs="Arial" w:eastAsia="Arial" w:hAnsi="Arial"/>
                <w:sz w:val="18"/>
                <w:szCs w:val="18"/>
                <w:color w:val="auto"/>
              </w:rPr>
              <w:t>Balance December 31,</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270,800</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(143,843)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127,104</w:t>
            </w:r>
          </w:p>
        </w:tc>
      </w:tr>
      <w:tr>
        <w:trPr>
          <w:trHeight w:val="20"/>
        </w:trPr>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TELOS CORPORATION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and Organization</w:t>
      </w:r>
    </w:p>
    <w:p>
      <w:pPr>
        <w:spacing w:after="0" w:line="23"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Telos Corporation, together with its subsidiaries, (the “Company” or “Telos” or “We”), is an information technology solutions and services company addressing the needs of U.S. Government and commercial customers worldwide. We own all of the issued and outstanding share capital of Xacta Corporation, a subsidiary that develops, markets and sells government-validated secure enterprise solutions to government and commercial customers. We also own all of the issued and outstanding share capital of Ubiquity.com, Inc., a holding company for Xacta Corporation. We also have a 100% ownership interest in Telos Identity Management Solutions, LLC (“Telos ID”), Teloworks, Inc. (“Teloworks”) and Telos APAC Pte. Ltd. (Telos APAC).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 of Common Stock</w:t>
      </w:r>
    </w:p>
    <w:p>
      <w:pPr>
        <w:spacing w:after="0" w:line="23"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On November 19, 2020, we completed our initial public offering of shares of our common stock. We issued 17.2 million shares of our common stock at a price of $17.00 per share, generating net proceeds of approximately $272.8 million. We used approximately $108.9 million of the net proceeds in connection with the conversion of our outstanding shares of Exchangeable Redeemable Preferred Stock into the right to receive cash and shares of our common stock, $30.0 million to fund our acquisition of the outstanding Class B Units of Telos ID, and $21.0 million to repay our outstanding senior term loan and subordinated debt. We intend to use the remaining net proceeds for general corporate purposes. We also may use a portion of the net proceeds to acquire complementary businesses, products, services, or technologies. We do not, however, have agreements, commitments, or plans for any specific acquisitions at this time. The amounts and timing of our actual use of the net proceeds will vary depending on numerous factors.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23" w:lineRule="exact"/>
        <w:rPr>
          <w:sz w:val="20"/>
          <w:szCs w:val="20"/>
          <w:color w:val="auto"/>
        </w:rPr>
      </w:pPr>
    </w:p>
    <w:p>
      <w:pPr>
        <w:jc w:val="both"/>
        <w:ind w:right="780" w:firstLine="324"/>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Telos and its subsidiaries, including Ubiquity.com, Inc., Xacta Corporation, Telos ID, Teloworks, and Telos APAC, all of whose issued and outstanding share capital is owned by the Company. Intercompany transactions have been eliminated in consolidation.</w:t>
      </w:r>
    </w:p>
    <w:p>
      <w:pPr>
        <w:spacing w:after="0" w:line="217"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In December 2019, an outbreak of COVID-19 was reported in Wuhan, China. On March 11, 2020, the World Health Organization declared COVID-19 a global pandemic and on March 13, 2020, President Donald J. Trump declared the virus a national emergency. This highly contagious disease has spread to most of the countries in the world and throughout the United States, creating a serious impact on customers, workforces, and suppliers, disrupting economies and financial markets, and leading to a world-wide economic downturn. COVID-19, together with subsequently reported variants of this strain, have caused a disruption of the normal operations of many businesses, including the temporary closure or scale-back of business operations and/or the imposition of either quarantine or remote work or meeting requirements for employees, either by government order or on a voluntary basis. The pandemic may adversely affect our customers’ ability to perform their missions and is in many cases disrupting their operations. It may also impact the ability of our subcontractors, partners, and suppliers to operate and fulfill their contractual obligations, and result in an increase in their costs and cause delays in performance. These supply chain effects, and the direct effect of the virus and the disruption on our operations, may negatively impact both our ability to meet customer demand and our revenue and profit margins. Our employees, in some cases, are working remotely due either to safety concerns or to customer imposed limitations and using various technologies to perform their functions. We could see delays or changes in customer demand, particularly if government funding priorities change. Additionally, the disruption and volatility in the global and domestic capital markets may increase the cost of capital and limit our ability to access capital. Both the health and economic aspects of COVID-19 are highly fluid and the future course of each is uncertain.</w:t>
      </w:r>
    </w:p>
    <w:p>
      <w:pPr>
        <w:spacing w:after="0" w:line="211"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In preparing these consolidated financial statements, we have evaluated subsequent events through the date that these consolidated financial statements were issued.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2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evaluated regularly by the chief operating decision maker (“CODM”), or decision making group, in deciding how to allocate resources and assess performance. We currently operate in one operating and reportable business segment for financial reporting purposes. Our Chief Executive Officer is the CODM. The CODM only evaluates profitability based on consolidated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Significant estimates and assumptions used in the preparation of our consolidated financial statements include revenue recognition, allowance for doubtful accounts receivable, allowance for inventory obsolescence, the valuation allowance for deferred tax assets, income taxes, contingencies and litigation, potential impairments of goodwill and estimated pension-related costs for our foreign subsidiaries. Actual results could differ from those estimates.</w:t>
      </w:r>
    </w:p>
    <w:p>
      <w:pPr>
        <w:sectPr>
          <w:pgSz w:w="11900" w:h="16838" w:orient="portrait"/>
          <w:cols w:equalWidth="0" w:num="1">
            <w:col w:w="11140"/>
          </w:cols>
          <w:pgMar w:left="320" w:top="125" w:right="439" w:bottom="1440" w:gutter="0" w:footer="0" w:header="0"/>
        </w:sectPr>
      </w:pPr>
    </w:p>
    <w:p>
      <w:pPr>
        <w:spacing w:after="0" w:line="375"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49" w:name="page50"/>
    <w:bookmarkEnd w:id="49"/>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ind w:right="140" w:firstLine="324"/>
        <w:spacing w:after="0" w:line="268" w:lineRule="auto"/>
        <w:rPr>
          <w:sz w:val="20"/>
          <w:szCs w:val="20"/>
          <w:color w:val="auto"/>
        </w:rPr>
      </w:pPr>
      <w:r>
        <w:rPr>
          <w:rFonts w:ascii="Arial" w:cs="Arial" w:eastAsia="Arial" w:hAnsi="Arial"/>
          <w:sz w:val="17"/>
          <w:szCs w:val="17"/>
          <w:color w:val="auto"/>
        </w:rPr>
        <w:t>We account for revenue in accordance with ASC Topic 606, “Revenue from Contracts with Customers.” The unit of account in ASC 606 is a performance obligation, which is a promise in a contract with a customer to transfer a good or service to the customer. ASC 606 prescribes a five-step model for recognizing revenue that includes identifying the contract with the customer, determining the performance obligation(s), determining the transaction price, allocating the transaction price to the performance obligation(s), and recognizing revenue as the performance obligations are satisfied. Timing of the satisfaction of performance obligations varies across our businesses due to our diverse product and service mix, customer base, and contractual terms. Significant judgment can be required in determining certain performance obligations, and these determinations could change the amount of revenue and profit recorded in a given period. Our contracts may have a single performance obligation or multiple performance obligations. When there are multiple performance obligations within a contract, we allocate the transaction price to each performance obligation based on our best estimate of standalone selling price.</w:t>
      </w:r>
    </w:p>
    <w:p>
      <w:pPr>
        <w:spacing w:after="0" w:line="20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majority of our revenue is recognized over time, as control is transferred continuously to our customers who receive and consume benefits as we perform, and is classified as services revenue. All of our business groups earn services revenue under a variety of contract types, including time and materials, firm-fixed price, firm fixed price level of effort, and cost plus fixed fee contract types, which may include variable consideration as discussed further below. Revenue is recognized over time using costs incurred to date relative to total estimated costs at completion to measure progress toward satisfying our performance obligations. Incurred cost represents work performed, which corresponds with, and thereby best depicts, the transfer of control to the customer. Contract costs include labor, material, subcontractor costs and indirect expenses. This continuous transfer of control to the customer is supported by clauses in our contracts with U.S. Government customers whereby the customer may terminate a contract for convenience and then pay for costs incurred plus a profit, at which time the customer would take control of any work in process. For non-U.S. Government contracts where we perform as a subcontractor and our order includes similar Federal Acquisition Regulation (the FAR) provisions as the prime contractor’s order from the U.S. Government, continuous transfer of control is likewise supported by such provisions. For other non-U.S. Government customers, continuous transfer of control to such customers is also supported due to general terms in our contracts and rights to recover damages which would include, among other potential damages, the right to payment for our work performed to date plus a reasonable profit.</w:t>
      </w:r>
    </w:p>
    <w:p>
      <w:pPr>
        <w:spacing w:after="0" w:line="19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Due to the transfer of control over time, revenue is recognized based on progress towards completion of the performance obligation. The selection of the method to measure progress towards completion requires judgment and is based on the nature of the performance obligations. We generally use the cost-to-cost measure of progress on a proportional performance basis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are recorded proportionally as costs are incurred. Due to the nature of the work required to be performed on certain of our performance obligations, the estimation of total revenue and cost at completion is complex, subject to many variables and requires significant judgment. Contract estimates are based on various assumptions including labor and subcontractor costs, materials and other direct costs and the complexity of the work to be performed. A significant change in one or more of these estimates could affect the profitability of our contracts. We review and update our contract-related estimates regularly and recognize adjustments in estimated profit on contracts on a cumulative catch-up basis, which may result in an adjustment increasing or decreasing revenue to date on a contract in a particular period that the adjustment is identified. Revenue and profit in future periods of contract performance are recognized using the adjusted estimate.</w:t>
      </w:r>
    </w:p>
    <w:p>
      <w:pPr>
        <w:spacing w:after="0" w:line="20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Revenue that is recognized at a point in time is for the sale of software licenses in our Information Assurance / Xacta® (previously referred to as Cyber &amp; Cloud Solutions) and Secure Communications (previously referred to as Secure Communications Cyber and Enterprise Solutions) business groups and for the sale of resold products in Telos ID (previously referred to as Telos ID Enterprise Solutions) and Secure Networks (previously referred to as Secure Mobility and Network Management/Defense Enterprise Solutions), and is classified as product revenue. Revenue on these contracts is recognized when the customer obtains control of the transferred product or service, which is generally upon delivery of the product to the customer for their use, due to us maintaining control of the product until that point. 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using our best estimate of standalone selling price.</w:t>
      </w:r>
    </w:p>
    <w:p>
      <w:pPr>
        <w:spacing w:after="0" w:line="208"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Contracts are routinely and often modified to account for changes in contract requirements, specifications, quantities, or price. Depending on the nature of the modification, we determine whether to account for the modification as an adjustment to the existing contract or as a new contract. Generally, modifications are not distinct from the existing contract due to the significant interrelatedness of the performance obligations and are therefore accounted for as an adjustment to the existing contract, and recognized as a cumulative adjustment to revenue (as either an increase or reduction of revenue) based on the modification’s effect on progress toward completion of a performance obligation.</w:t>
      </w:r>
    </w:p>
    <w:p>
      <w:pPr>
        <w:spacing w:after="0" w:line="388"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50" w:name="page51"/>
    <w:bookmarkEnd w:id="50"/>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contracts may include various types of variable consideration, such as claims (for instance, indirect rate or other equitable adjustments) or incentive fees. We include estimated amounts in the transaction price based on all of the information available to us, including historical information and future estimations, and to the extent it is probable that a significant reversal of cumulative revenue recognized will not occur when any uncertainty associated with the variable consideration is resolved. We have revised and re-submitted several years of incurred cost submissions reflecting certain indirect rate structure changes as a result of regular DCAA audits of incurred cost submissions. This resulted in signed final rate agreement letters for fiscal years 2011 to 2013 and conformed incurred cost submissions for 2014 to 2015. We evaluated the resulting changes to revenue under the applicable cost plus fixed fee contracts for the years 2011 to 2015 as variable consideration, and determined the most likely amount to which we expect to be entitled, to the extent that no constraint exists that would preclude recognizing this revenue or result in a significant reversal of cumulative revenue recognized. We included these estimated amounts of variable consideration in the transaction price and as performance on these contracts is complete, we have recognized revenue of $6.0 million during the year ended December 31, 2018.</w:t>
      </w:r>
    </w:p>
    <w:p>
      <w:pPr>
        <w:spacing w:after="0" w:line="212"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Historically, most of our contracts do not include award or incentive fees. For incentive fees, we would include such fees in the transaction price to the extent we could reasonably estimate the amount of the fee. With limited historical experience, we have not included any revenue related to incentive fees in our estimated transaction prices. We may include in our contract estimates additional revenue for submitted contract modifications or claims against the customer when we believe we have an enforceable right to the modification or claim, the amount can be estimated reliably and its realization is probable. We consider the contractual/legal basis for the claim (in particular FAR provisions), the facts and circumstances around any additional costs incurred, the reasonableness of those costs and the objective evidence available to support such claims.</w:t>
      </w:r>
    </w:p>
    <w:p>
      <w:pPr>
        <w:spacing w:after="0" w:line="191"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For our contracts that have an original duration of one year or less, we use the practical expedient applicable to such contracts and do not consider the time value of money. We capitalize sales commissions related to proprietary software and related services that are directly tied to sales. We do not elect the practical expedient to expense as incurred the incremental costs of obtaining a contract if the amortization period would have been one year or less. For the sales commissions that are capitalized, we amortize the asset over the expected customer life, which is based on recent and historical data.</w:t>
      </w:r>
    </w:p>
    <w:p>
      <w:pPr>
        <w:spacing w:after="0" w:line="184" w:lineRule="exact"/>
        <w:rPr>
          <w:sz w:val="20"/>
          <w:szCs w:val="20"/>
          <w:color w:val="auto"/>
        </w:rPr>
      </w:pPr>
    </w:p>
    <w:p>
      <w:pPr>
        <w:jc w:val="both"/>
        <w:ind w:right="360" w:firstLine="324"/>
        <w:spacing w:after="0" w:line="311" w:lineRule="auto"/>
        <w:rPr>
          <w:sz w:val="20"/>
          <w:szCs w:val="20"/>
          <w:color w:val="auto"/>
        </w:rPr>
      </w:pPr>
      <w:r>
        <w:rPr>
          <w:rFonts w:ascii="Arial" w:cs="Arial" w:eastAsia="Arial" w:hAnsi="Arial"/>
          <w:sz w:val="16"/>
          <w:szCs w:val="16"/>
          <w:color w:val="auto"/>
        </w:rPr>
        <w:t>Contract assets are amounts that are invoiced as work progresses in accordance with agreed-upon contractual terms, either at periodic intervals or upon achievement of contractual milestones. Generally, revenue recognition occurs before billing, resulting in contract assets. These contract assets are referred to as unbilled receivables and are reported within accounts receivable, net of reserve on our consolidated balance sheets.</w:t>
      </w:r>
    </w:p>
    <w:p>
      <w:pPr>
        <w:spacing w:after="0" w:line="176"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Billed receivables are amounts billed and due from our customers and are reported within accounts receivable, net of reserve on the consolidated balance sheets. The portion of the payments retained by the customer until final contract settlement is not considered a significant financing component due to the intent of the retainage being the customer’s protection with respect to full and final performance under the contract.</w:t>
      </w:r>
    </w:p>
    <w:p>
      <w:pPr>
        <w:spacing w:after="0" w:line="176"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Contract liabilities are payments received in advance and milestone payments from our customers on selected contracts that exceed revenue earned to date, resulting in contract liabilities. Contract liabilities typically are not considered a significant financing component because they are generally satisfied within one year and are used to meet working capital demands that can be higher in the early stages of a contract. Contract liabilities are reported on our consolidated balance sheets on a net contract basis at the end of each reporting period.</w:t>
      </w:r>
    </w:p>
    <w:p>
      <w:pPr>
        <w:spacing w:after="0" w:line="19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have one reportable segment. We treat sales to U.S. customers as sales within the U.S. regardless of where the services are performed. Substantially all of our revenues are from U.S. customers as revenue derived from international customers is de minimus. The following tables disclose revenue (in thousands) by customer type and contract type for the years ended December 31, 2020, 2019, and 2018. Prior period amounts have not been adjusted under the modified retrospective method.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171,677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149,257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129,279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color w:val="auto"/>
              </w:rPr>
              <w:t>State &amp; Local, and Commercial</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8,240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9,961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8,737</w:t>
            </w:r>
          </w:p>
        </w:tc>
      </w:tr>
      <w:tr>
        <w:trPr>
          <w:trHeight w:val="250"/>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179,917</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159,218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138,016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Firm fixed-price</w:t>
            </w:r>
          </w:p>
        </w:tc>
        <w:tc>
          <w:tcPr>
            <w:tcW w:w="37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151,703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131,629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60"/>
              <w:spacing w:after="0"/>
              <w:rPr>
                <w:sz w:val="20"/>
                <w:szCs w:val="20"/>
                <w:color w:val="auto"/>
              </w:rPr>
            </w:pPr>
            <w:r>
              <w:rPr>
                <w:rFonts w:ascii="Arial" w:cs="Arial" w:eastAsia="Arial" w:hAnsi="Arial"/>
                <w:sz w:val="18"/>
                <w:szCs w:val="18"/>
                <w:color w:val="auto"/>
              </w:rPr>
              <w:t>Time-and-materials</w:t>
            </w:r>
          </w:p>
        </w:tc>
        <w:tc>
          <w:tcPr>
            <w:tcW w:w="3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13,455</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14,569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16,795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Cost plus fixed fee</w:t>
            </w:r>
          </w:p>
        </w:tc>
        <w:tc>
          <w:tcPr>
            <w:tcW w:w="3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13,020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17,767</w:t>
            </w: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ind w:left="260"/>
              <w:spacing w:after="0"/>
              <w:rPr>
                <w:sz w:val="20"/>
                <w:szCs w:val="20"/>
                <w:color w:val="auto"/>
              </w:rPr>
            </w:pPr>
            <w:r>
              <w:rPr>
                <w:rFonts w:ascii="Arial" w:cs="Arial" w:eastAsia="Arial" w:hAnsi="Arial"/>
                <w:sz w:val="18"/>
                <w:szCs w:val="18"/>
                <w:color w:val="auto"/>
              </w:rPr>
              <w:t>Total</w:t>
            </w:r>
          </w:p>
        </w:tc>
        <w:tc>
          <w:tcPr>
            <w:tcW w:w="37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179,917</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159,218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138,016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700" w:type="dxa"/>
            <w:vAlign w:val="bottom"/>
            <w:vMerge w:val="restart"/>
          </w:tcPr>
          <w:p>
            <w:pPr>
              <w:jc w:val="right"/>
              <w:ind w:right="1548"/>
              <w:spacing w:after="0"/>
              <w:rPr>
                <w:sz w:val="20"/>
                <w:szCs w:val="20"/>
                <w:color w:val="auto"/>
              </w:rPr>
            </w:pPr>
            <w:r>
              <w:rPr>
                <w:rFonts w:ascii="Arial" w:cs="Arial" w:eastAsia="Arial" w:hAnsi="Arial"/>
                <w:sz w:val="14"/>
                <w:szCs w:val="14"/>
                <w:color w:val="auto"/>
              </w:rPr>
              <w:t>51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36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2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right="380" w:firstLine="324"/>
        <w:spacing w:after="0" w:line="291" w:lineRule="auto"/>
        <w:rPr>
          <w:sz w:val="20"/>
          <w:szCs w:val="20"/>
          <w:color w:val="auto"/>
        </w:rPr>
      </w:pPr>
      <w:r>
        <w:rPr>
          <w:rFonts w:ascii="Arial" w:cs="Arial" w:eastAsia="Arial" w:hAnsi="Arial"/>
          <w:sz w:val="16"/>
          <w:szCs w:val="16"/>
          <w:color w:val="auto"/>
        </w:rPr>
        <w:t>As of December 31, 2020 and 2019, we had $127.7 million and $112.4 million of remaining performance obligations, respectively, which we also refer to as funded backlog. We expect to recognize approximately 92.4% of our remaining performance obligations as revenue in 2021, an additional</w:t>
      </w:r>
    </w:p>
    <w:p>
      <w:pPr>
        <w:ind w:right="220"/>
        <w:spacing w:after="0" w:line="255" w:lineRule="auto"/>
        <w:rPr>
          <w:sz w:val="20"/>
          <w:szCs w:val="20"/>
          <w:color w:val="auto"/>
        </w:rPr>
      </w:pPr>
      <w:r>
        <w:rPr>
          <w:rFonts w:ascii="Arial" w:cs="Arial" w:eastAsia="Arial" w:hAnsi="Arial"/>
          <w:sz w:val="18"/>
          <w:szCs w:val="18"/>
          <w:color w:val="auto"/>
        </w:rPr>
        <w:t>2.5% by 2022 and the balance thereafter. For the years ended December 31, 2020, 2019 and 2018, the amount of revenue recognized during the year that was included in the opening contract liabilities balance was $5.3 million, $4.2 million, and $5.5 million, respectively. Contract liabilities were $5.7 million and $6.3 million as of December 31, 2020 and 2019,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consider all highly liquid investments with an original maturity of three months or less at the date of purchase to be cash equivalents. Our cash management program utilizes zero balance accounts. Accordingly, all book overdraft balances have been reclassified to accounts payable and other accrued liabilities.</w:t>
      </w:r>
    </w:p>
    <w:p>
      <w:pPr>
        <w:spacing w:after="0" w:line="217"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accordance with ASC 275-10-50-16, in consideration that such a large amount of our working capital and total assets are held in cash and cash equivalents, we have considered that the balances held in our various treasury accounts may exceed federally insured limits as of the date of the financial statements. Due to the financial strength of the financial institution where the accounts are held, we do not believe that this concentration risk makes it reasonably possible that a near-term severe impact risk of loss will occur.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3" w:lineRule="exact"/>
        <w:rPr>
          <w:sz w:val="20"/>
          <w:szCs w:val="20"/>
          <w:color w:val="auto"/>
        </w:rPr>
      </w:pPr>
    </w:p>
    <w:p>
      <w:pPr>
        <w:ind w:right="500" w:firstLine="324"/>
        <w:spacing w:after="0" w:line="253" w:lineRule="auto"/>
        <w:rPr>
          <w:sz w:val="20"/>
          <w:szCs w:val="20"/>
          <w:color w:val="auto"/>
        </w:rPr>
      </w:pPr>
      <w:r>
        <w:rPr>
          <w:rFonts w:ascii="Arial" w:cs="Arial" w:eastAsia="Arial" w:hAnsi="Arial"/>
          <w:sz w:val="18"/>
          <w:szCs w:val="18"/>
          <w:color w:val="auto"/>
        </w:rPr>
        <w:t>Accounts receivable are stated at the invoiced amount, less an allowance for doubtful accounts. Collectability of accounts receivable is regularly reviewed based upon managements’ knowledge of the specific circumstances related to overdue balances. The allowance for doubtful accounts is adjusted based on such evaluation. Accounts receivable balances are written off against the allowance when management deems the balances uncollectible.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ind w:right="380" w:firstLine="324"/>
        <w:spacing w:after="0" w:line="288" w:lineRule="auto"/>
        <w:rPr>
          <w:sz w:val="20"/>
          <w:szCs w:val="20"/>
          <w:color w:val="auto"/>
        </w:rPr>
      </w:pPr>
      <w:r>
        <w:rPr>
          <w:rFonts w:ascii="Arial" w:cs="Arial" w:eastAsia="Arial" w:hAnsi="Arial"/>
          <w:sz w:val="16"/>
          <w:szCs w:val="16"/>
          <w:color w:val="auto"/>
        </w:rPr>
        <w:t>Inventories are stated at the lower of cost or net realizable value, where cost is determined using the weighted average method. Substantially all inventories consist of purchased customer off-the-shelf hardware and software, and component computer parts used in connection with system integration services that we perform. An allowance for obsolete, slow-moving or nonsalable inventory is provided for all other inventory. This allowance is based on our overall obsolescence experience and our assessment of future inventory requirements. This charge is taken primarily due to the age of the specific inventory and the significant additional costs that would be necessary to upgrade to current standards as well as the lack of forecasted sales for such inventory in the near future. Gross inventory was $4.2 million and $2.8 million at December 31, 2020 and 2019, respectively. As of December 31, 2020, it is management’s judgment that we have fully provided for any potential inventory obsolescence.</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rFonts w:ascii="Arial" w:cs="Arial" w:eastAsia="Arial" w:hAnsi="Arial"/>
                <w:sz w:val="18"/>
                <w:szCs w:val="18"/>
                <w:i w:val="1"/>
                <w:iCs w:val="1"/>
                <w:color w:val="auto"/>
                <w:w w:val="88"/>
              </w:rPr>
            </w:pPr>
            <w:hyperlink w:anchor="page2">
              <w:r>
                <w:rPr>
                  <w:rFonts w:ascii="Arial" w:cs="Arial" w:eastAsia="Arial" w:hAnsi="Arial"/>
                  <w:sz w:val="18"/>
                  <w:szCs w:val="18"/>
                  <w:i w:val="1"/>
                  <w:iCs w:val="1"/>
                  <w:color w:val="auto"/>
                  <w:w w:val="88"/>
                </w:rPr>
                <w:t>Table of Contents</w:t>
              </w:r>
            </w:hyperlink>
          </w:p>
        </w:tc>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7360" w:type="dxa"/>
            <w:vAlign w:val="bottom"/>
            <w:gridSpan w:val="5"/>
          </w:tcPr>
          <w:p>
            <w:pPr>
              <w:ind w:left="340"/>
              <w:spacing w:after="0"/>
              <w:rPr>
                <w:sz w:val="20"/>
                <w:szCs w:val="20"/>
                <w:color w:val="auto"/>
              </w:rPr>
            </w:pPr>
            <w:r>
              <w:rPr>
                <w:rFonts w:ascii="Arial" w:cs="Arial" w:eastAsia="Arial" w:hAnsi="Arial"/>
                <w:sz w:val="18"/>
                <w:szCs w:val="18"/>
                <w:color w:val="auto"/>
                <w:w w:val="91"/>
              </w:rPr>
              <w:t>The components of the allowance for inventory obsolescence are set forth below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Additions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Balance</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Charge to</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Beginning 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Costs and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End of</w:t>
            </w: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Year</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Expense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Recoveries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2020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Year Ended December 31, 2019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5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Property and equipment is recorded at cost. Depreciation is provided using the straight-line method at rates based on the estimated useful lives of the individual assets or classes of assets as follows:</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4020" w:type="dxa"/>
            <w:vAlign w:val="bottom"/>
          </w:tcPr>
          <w:p>
            <w:pPr>
              <w:jc w:val="center"/>
              <w:ind w:left="190"/>
              <w:spacing w:after="0"/>
              <w:rPr>
                <w:sz w:val="20"/>
                <w:szCs w:val="20"/>
                <w:color w:val="auto"/>
              </w:rPr>
            </w:pPr>
            <w:r>
              <w:rPr>
                <w:rFonts w:ascii="Arial" w:cs="Arial" w:eastAsia="Arial" w:hAnsi="Arial"/>
                <w:sz w:val="18"/>
                <w:szCs w:val="18"/>
                <w:color w:val="auto"/>
                <w:w w:val="93"/>
              </w:rPr>
              <w:t>3-5  Years</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0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Lesser of life of lease or useful life of asset</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Property and equipment under finance leases</w:t>
            </w:r>
          </w:p>
        </w:tc>
        <w:tc>
          <w:tcPr>
            <w:tcW w:w="4020" w:type="dxa"/>
            <w:vAlign w:val="bottom"/>
          </w:tcPr>
          <w:p>
            <w:pPr>
              <w:jc w:val="center"/>
              <w:ind w:left="190"/>
              <w:spacing w:after="0"/>
              <w:rPr>
                <w:sz w:val="20"/>
                <w:szCs w:val="20"/>
                <w:color w:val="auto"/>
              </w:rPr>
            </w:pPr>
            <w:r>
              <w:rPr>
                <w:rFonts w:ascii="Arial" w:cs="Arial" w:eastAsia="Arial" w:hAnsi="Arial"/>
                <w:sz w:val="18"/>
                <w:szCs w:val="18"/>
                <w:color w:val="auto"/>
                <w:w w:val="91"/>
              </w:rPr>
              <w:t>Lesser of life of lease or useful life of asset</w:t>
            </w:r>
          </w:p>
        </w:tc>
      </w:tr>
    </w:tbl>
    <w:p>
      <w:pPr>
        <w:spacing w:after="0" w:line="214"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Leased property meeting certain criteria is capitalized at the present value of the related minimum lease payments. Amortization of property and equipment under finance leases is computed using the straight-line method over the lesser of the term of the related lease and the useful life of the related asset.</w:t>
      </w:r>
    </w:p>
    <w:p>
      <w:pPr>
        <w:spacing w:after="0" w:line="211"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Upon sale or retirement of property and equipment, the costs and related accumulated depreciation are eliminated from the accounts and any gain or loss on such disposition is reflected in the consolidated statements of operations. For the years ended December 31, 2020, 2019, and 2018, such amounts are negligible. Expenditures for repairs and maintenance are charged to operations as incurred.</w:t>
      </w:r>
    </w:p>
    <w:p>
      <w:pPr>
        <w:spacing w:after="0" w:line="192"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Long-lived assets, such as fixed assets, are reviewed for impairment whenever circumstances indicate that the carrying amount of the asset exceeds its estimated fair value. Considerable management judgment is necessary to estimate its fair value. Accordingly, actual results could differ from such estimates. No events have been identified that caused an evaluation of the recoverability of long-lived assets.</w:t>
      </w:r>
    </w:p>
    <w:p>
      <w:pPr>
        <w:spacing w:after="0" w:line="19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Depreciation and amortization expense related to property and equipment, including property and equipment under finance leases was $5.4 million, $5.0 million, and $3.0 million for the years ended December 31, 2020, 2019, and 2018,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23"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Our policy on accounting for development costs of software to be sold is in accordance with ASC Topic 985-20, “Software – Costs of Software to be Sold, Leased, or Marketed” and ASC Topic 350-40 “Internal Use Software” in so far as our Xacta products being available in various deployment modalities including on premises licenses and cloud-based Software as a Service (“SaaS”). Under both standards, software development costs are expensed as incurred until technological feasibility is reached, at which time additional costs are capitalized until the product is available for general release to customers or is ready for its intended use, as appropriate. Technological feasibility is established when all planning, designing, coding and testing activities have been completed, and all risks have been identified. Beginning with the second quarter of 2017, software development costs are capitalized and amortized over the estimated product life of 2 years on a straight-line basis. As of December 31, 2020 and 2019, we capitalized $12.3 million and $5.6 million of software development costs, respectively, which are included as a part of property and equipment. Amortization expense was $1.7 million, $1.8 million, and $1.1 million for the years ended December 31, 2020, 2019, and 2018, respectively. Accumulated amortization was $4.8 million and $3.1 million as of December 31, 2020 and 2019, respectively. The Company analyzes the net realizable value of capitalized software development costs on at least an annual basis and has determined that there is no indication of impairment of the capitalized software development costs as forecasted future sales are adequate to support amortization costs.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account for income taxes in accordance with ASC 740, “Income Taxes.” Under ASC 740, deferred tax assets and liabilities are recognized for the estimated future tax consequences of temporary differences and income tax credits. Deferred tax assets and liabilities are measured by applying enacted statutory tax rates that are applicable to the future years in which deferred tax assets or liabilities are expected to be settled or realized for differences between the financial statement carrying amounts and the tax bases of existing assets and liabilities. Any change in tax rates on deferred tax assets and liabilities is recognized in net income in the period in which the tax rate change is enacted. We record a valuation allowance that reduces deferred tax assets when it is “more likely than not” that deferred tax assets will not be realized. We are required to establish a valuation allowance for deferred tax assets if, based on the weight of available evidence, it is more likely than not that some portion or all of the deferred tax assets will not be realized. Based on available evidence, realization of deferred tax assets is dependent upon the generation of future taxable income. We considered projected future taxable income, tax planning strategies, and reversal of taxable temporary differences in making this assessment. As such, we have determined that a full valuation allowance is required as of December 31, 2020 and 2019. As a result of a full valuation allowance against our deferred tax assets, a deferred tax liability related to goodwill remains on our consolidated balance sheets at December 31, 2020 and 2019. Due to the tax reform enacted on December 22, 2017, net operating losses generated in taxable years beginning after December 31, 2017 will have an indefinite carryforward period, which will be available to offset future taxable income created by the reversal of temporary taxable differences related to goodwill. As a result, we have adjusted the valuation allowance on our deferred tax assets and liabilities at December 31, 2020 and 2019. See additional information on tax reform and its impact on our income taxes in Note 9 – Income Taxes.</w:t>
      </w:r>
    </w:p>
    <w:p>
      <w:pPr>
        <w:spacing w:after="0" w:line="207"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We follow the provisions of ASC 740 related to accounting for uncertainty in income taxes. The accounting estimates related to liabilities for uncertain tax positions require us to make judgments regarding the sustainability of each uncertain tax position based on its technical merits. If we determine it is more likely than not that a tax position will be sustained based on its technical merits, we record the impact of the position in our consolidated financial statements at the largest amount that is greater than fifty percent likely of being realized upon ultimate settlement. These estimates are updated at each reporting date based on the facts, circumstances and information available. We are also required to assess at each reporting date whether it is reasonably possible that any significant increases or decreases to our unrecognized tax benefits will occur during the next 12 months.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3" w:lineRule="exact"/>
        <w:rPr>
          <w:sz w:val="20"/>
          <w:szCs w:val="20"/>
          <w:color w:val="auto"/>
        </w:rPr>
      </w:pPr>
    </w:p>
    <w:p>
      <w:pPr>
        <w:ind w:right="220" w:firstLine="324"/>
        <w:spacing w:after="0" w:line="295" w:lineRule="auto"/>
        <w:rPr>
          <w:sz w:val="20"/>
          <w:szCs w:val="20"/>
          <w:color w:val="auto"/>
        </w:rPr>
      </w:pPr>
      <w:r>
        <w:rPr>
          <w:rFonts w:ascii="Arial" w:cs="Arial" w:eastAsia="Arial" w:hAnsi="Arial"/>
          <w:sz w:val="16"/>
          <w:szCs w:val="16"/>
          <w:color w:val="auto"/>
        </w:rPr>
        <w:t>We evaluate the impairment of goodwill in accordance with ASC 350, which requires goodwill and indefinite-lived intangible assets to be assessed on at least an annual basis for impairment using a fair value basis. Between annual evaluations, if events occur or circumstances change that would more likely than not reduce the fair value of the reporting unit below its carrying amount, then impairment must be evaluated. Such circumstances could include, but are not limited to: (1) a significant adverse change in legal factors or business climate, or (2) a loss of key contracts or customers.</w:t>
      </w:r>
    </w:p>
    <w:p>
      <w:pPr>
        <w:spacing w:after="0" w:line="188"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As the result of an acquisition, we record any excess purchase price over the net tangible and identifiable intangible assets acquired as goodwill. An allocation of the purchase price to tangible and intangible net assets acquired is based upon our valuation of the acquired assets. Goodwill is not amortized, but is subject to annual impairment tests. We complete our goodwill impairment tests as of December 31st each year. Additionally, we make evaluations between annual tests if events occur or circumstances change that would more likely than not reduce the fair value of a reporting unit below its carrying amount. The evaluation is based on the estimation of the fair values of our three reporting units, CO&amp;D (comprised of Information Assurance / Xacta and Secure Networks), Telos ID, and Secure Communications, of which goodwill is housed in the CO&amp;D reporting unit, in comparison to the reporting unit’s net asset carrying values. Our discounted cash flows required management’s judgment with respect to forecasted revenue streams and operating margins, capital expenditures and the selection and use of an appropriate discount rate. We utilized the weighted average cost of capital as derived by certain assumptions specific to our facts and circumstances as the discount rate. The net assets attributable to the reporting units are determined based upon the estimated assets and liabilities attributable to the reporting units in deriving its free cash flows. In addition, the estimate of the total fair value of our reporting units is compared to the market capitalization of the Company. The Company’s assessment resulted in a fair value that was greater than the Company’s carrying value, therefore no impairment of goodwill was recorded as of December 31, 2020. Subsequent reviews may result in future periodic impairments that could have a material adverse effect on the results of operations in the period recognized. Recent operating results have reduced the projection of future cash flow growth potential, which indicates that certain negative potential events, such as a material loss or losses on contracts, or failure to achieve projected growth could result in impairment in the future. We estimate fair value of our reporting unit and compare the valuation with the respective carrying value for the reporting unit to determine whether any goodwill impairment exists. If we determine through the impairment review process that goodwill is impaired, we will record an impairment charge in our consolidated statements of operations. . Goodwill is amortized and deducted over a 15-year period for tax purposes.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Compensation cost is recognized based on the requirements of ASC 718, “Stock Compensation,” for all share-based awards granted. Since June 2008, we have issued restricted stock to our executive officers, directors and employees. 79,361 shares were granted in 2020. Such stock is subject to a vesting schedule as follows: 25% of the restricted stock vests immediately on the date of grant, thereafter, an additional 25% will vest annually on the anniversary of the date of grant subject to continued employment or services. As of December 31, 2020, there were 59,521 shares of restricted stock that remained subject to vesting. In the event of death of the employee or a change in control, as defined by the Telos Corporation 2008 Omnibus Long-Term Incentive Plan, the 2013 Omnibus Long-Term Incentive Plan, or the 2016 Omnibus Long-Term Incentive Plan, all unvested shares shall automatically vest in full. In accordance with ASC 718, we recorded immaterial compensation expense for any of the issuances as the value of the common stock was nominal prior to the initial public offering of our common stock, based on the deduction of our outstanding debt, capital lease obligations, and preferred stock from an estimated enterprise value, which was estimated based on discounted cash flow analysis, comparable public company analysis, and comparable transaction analysis. Additionally, we determined that a significant change in the valuation estimate for common stock would not have a significant effect on the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23" w:lineRule="exact"/>
        <w:rPr>
          <w:sz w:val="20"/>
          <w:szCs w:val="20"/>
          <w:color w:val="auto"/>
        </w:rPr>
      </w:pPr>
    </w:p>
    <w:p>
      <w:pPr>
        <w:ind w:right="400" w:firstLine="324"/>
        <w:spacing w:after="0" w:line="295" w:lineRule="auto"/>
        <w:rPr>
          <w:sz w:val="20"/>
          <w:szCs w:val="20"/>
          <w:color w:val="auto"/>
        </w:rPr>
      </w:pPr>
      <w:r>
        <w:rPr>
          <w:rFonts w:ascii="Arial" w:cs="Arial" w:eastAsia="Arial" w:hAnsi="Arial"/>
          <w:sz w:val="16"/>
          <w:szCs w:val="16"/>
          <w:color w:val="auto"/>
        </w:rPr>
        <w:t>Basic net earnings (loss) per share is computed by dividing the net loss by the weighted-average number of common shares outstanding for the period, without consideration for potentially dilutive securities. Diluted net earnings (loss) per share is computed by dividing the net earnings (loss) by the weighted-average number of shares of common stock and dilutive common stock equivalents outstanding for the period determined using the treasury-stock and if-converted methods. Dilutive common stock equivalents are comprised of unvested restricted common stock and warrants.</w:t>
      </w:r>
    </w:p>
    <w:p>
      <w:pPr>
        <w:spacing w:after="0" w:line="188"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For the year ended December 31, 2019, the Class A common basic and diluted net loss per share was $(0.17), and the Class A common basic and diluted weighted-average shares were 34,525, the Class B common basic and diluted net loss per share was $(0.17), and the Class B common basic and diluted weighted-average shares were 3,204.</w:t>
      </w:r>
    </w:p>
    <w:p>
      <w:pPr>
        <w:spacing w:after="0" w:line="211"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For the year ended December 31, 2018, the Class A common basic and diluted net loss per share was $(0.04), and the Class A common basic and diluted weighted-average shares were 33,558, the Class B common basic and diluted net loss per share was $(0.04), and the Class B common basic and diluted weighted-average shares were 3,204.</w:t>
      </w:r>
    </w:p>
    <w:p>
      <w:pPr>
        <w:spacing w:after="0" w:line="21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earnings (loss) per share because to do so would be anti-dilutive are as follows (in common stock equivalent shares):</w:t>
      </w:r>
    </w:p>
    <w:p>
      <w:pPr>
        <w:spacing w:after="0" w:line="193"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8"/>
                <w:szCs w:val="18"/>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Common stock warrants, exercisable at $1.665/sh.</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901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961</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On November 12, 2020, we amended our Articles of Amendment and Restatement to effect an approximate 0.794-for-1 reverse stock split with respect to our common stock. The par value and the authorized shares of the common stock were not adjusted as a result of the reverse stock split. The accompanying consolidated financial statements and notes to the consolidated financial statements give retroactive effect to the reverse stock split for all periods presented.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2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Comprehensive income (loss) includes changes in equity (net assets) during a period from non-owner sources. Our accumulated other comprehensive income (loss) was comprised of a loss from foreign currency translation of $63,000 and $101,000 as of December 31, 2020 and 2019, respectively; and actuarial gain on pension liability adjustments in Teloworks of $107,000 as of December 31, 2020 and 2019.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3" w:lineRule="exact"/>
        <w:rPr>
          <w:sz w:val="20"/>
          <w:szCs w:val="20"/>
          <w:color w:val="auto"/>
        </w:rPr>
      </w:pPr>
    </w:p>
    <w:p>
      <w:pPr>
        <w:jc w:val="both"/>
        <w:ind w:right="220" w:firstLine="324"/>
        <w:spacing w:after="0" w:line="255" w:lineRule="auto"/>
        <w:rPr>
          <w:sz w:val="20"/>
          <w:szCs w:val="20"/>
          <w:color w:val="auto"/>
        </w:rPr>
      </w:pPr>
      <w:r>
        <w:rPr>
          <w:rFonts w:ascii="Arial" w:cs="Arial" w:eastAsia="Arial" w:hAnsi="Arial"/>
          <w:sz w:val="18"/>
          <w:szCs w:val="18"/>
          <w:color w:val="auto"/>
        </w:rPr>
        <w:t>We use various methods and assumptions to estimate the fair value of our financial instruments. Due to their short-term nature, the carrying value of cash and cash equivalents, accounts receivable and accounts payable approximates fair value. The fair value of long-term debt is based on the discounted cash flows for similar term borrowings based on market prices for the same or similar issues.</w:t>
      </w:r>
    </w:p>
    <w:p>
      <w:pPr>
        <w:spacing w:after="0" w:line="217"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Fair value estimates are made at a specific point in time, based on relevant market information. These estimates are subjective in nature and involve matters of judgment and therefore cannot be determined with precision. Changes in assumptions could significantly affect the estimates.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w:t>
      </w:r>
    </w:p>
    <w:p>
      <w:pPr>
        <w:spacing w:after="0" w:line="23" w:lineRule="exact"/>
        <w:rPr>
          <w:sz w:val="20"/>
          <w:szCs w:val="20"/>
          <w:color w:val="auto"/>
        </w:rPr>
      </w:pPr>
    </w:p>
    <w:p>
      <w:pPr>
        <w:ind w:right="320" w:firstLine="324"/>
        <w:spacing w:after="0" w:line="253"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which introduces new guidance for estimating credit losses on certain types of financial instruments based on expected losses and the timing of the recognition of such losses. This standard is effective for interim and annual reporting periods beginning after December 15, 2019, which made this standard effective for us on January 1, 2020. The adoption of this ASU did not have a material impact on our consolidated financial position, results of operations and cash flows.</w:t>
      </w:r>
    </w:p>
    <w:p>
      <w:pPr>
        <w:spacing w:after="0" w:line="218"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which eliminates Step 2 of the current goodwill impairment test that requires a hypothetical purchase price allocation to measure goodwill impairment. A goodwill impairment loss instead is measured at the amount by which a reporting unit's carrying value exceeds its fair value, not to exceed the recorded amount of goodwill. The provisions of this ASU are effective for years beginning after December 15, 2019, which made this standard effective for us on January 1, 2020. The adoption of this ASU did not have a material impact on our consolidated financial position, results of operations and cash flows.</w:t>
      </w:r>
    </w:p>
    <w:p>
      <w:pPr>
        <w:spacing w:after="0" w:line="188" w:lineRule="exact"/>
        <w:rPr>
          <w:sz w:val="20"/>
          <w:szCs w:val="20"/>
          <w:color w:val="auto"/>
        </w:rPr>
      </w:pPr>
    </w:p>
    <w:p>
      <w:pPr>
        <w:ind w:right="340" w:firstLine="324"/>
        <w:spacing w:after="0" w:line="255" w:lineRule="auto"/>
        <w:rPr>
          <w:sz w:val="20"/>
          <w:szCs w:val="20"/>
          <w:color w:val="auto"/>
        </w:rPr>
      </w:pPr>
      <w:r>
        <w:rPr>
          <w:rFonts w:ascii="Arial" w:cs="Arial" w:eastAsia="Arial" w:hAnsi="Arial"/>
          <w:sz w:val="18"/>
          <w:szCs w:val="18"/>
          <w:color w:val="auto"/>
        </w:rPr>
        <w:t>In August 2018, the FASB issued ASU 2018-13, “Fair Value Measurement (Topic 820): Disclosure Framework – Changes to the Disclosure Requirements for Fair Value Measurement”, which modifies the disclosure requirement for fair value measurement under ASC 820 to improve the effectiveness of such disclosures. Those modifications include the removal and addition of disclosure requirements as well as clarifying specific disclosure requirements. This standard is effective for interim and annual reporting periods beginning after December 15, 2019, which made this standard effective for us on January 1, 2020. The adoption of this ASU did not have a material impact on our consolidated financial position, results of operations and cash flows.</w:t>
      </w:r>
    </w:p>
    <w:p>
      <w:pPr>
        <w:spacing w:after="0" w:line="219" w:lineRule="exact"/>
        <w:rPr>
          <w:sz w:val="20"/>
          <w:szCs w:val="20"/>
          <w:color w:val="auto"/>
        </w:rPr>
      </w:pPr>
    </w:p>
    <w:p>
      <w:pPr>
        <w:ind w:right="180" w:firstLine="324"/>
        <w:spacing w:after="0" w:line="219" w:lineRule="exact"/>
        <w:rPr>
          <w:sz w:val="20"/>
          <w:szCs w:val="20"/>
          <w:color w:val="auto"/>
        </w:rPr>
      </w:pPr>
      <w:r>
        <w:rPr>
          <w:rFonts w:ascii="Arial" w:cs="Arial" w:eastAsia="Arial" w:hAnsi="Arial"/>
          <w:sz w:val="18"/>
          <w:szCs w:val="18"/>
          <w:color w:val="auto"/>
        </w:rPr>
        <w:t>In August 2018, the FASB issued ASU 2018</w:t>
      </w:r>
      <w:r>
        <w:rPr>
          <w:rFonts w:ascii="MS PGothic" w:cs="MS PGothic" w:eastAsia="MS PGothic" w:hAnsi="MS PGothic"/>
          <w:sz w:val="18"/>
          <w:szCs w:val="18"/>
          <w:color w:val="auto"/>
        </w:rPr>
        <w:t>‑</w:t>
      </w:r>
      <w:r>
        <w:rPr>
          <w:rFonts w:ascii="Arial" w:cs="Arial" w:eastAsia="Arial" w:hAnsi="Arial"/>
          <w:sz w:val="18"/>
          <w:szCs w:val="18"/>
          <w:color w:val="auto"/>
        </w:rPr>
        <w:t>15, “Intangibles - Goodwill and Other - 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This standard will be effective for interim and annual reporting periods beginning after December 15, 2019, which made this standard effective for us on January 1, 2020. The adoption of this ASU did not have a material impact on our consolidated financial position, results of operations and cash flows.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3" w:lineRule="exact"/>
        <w:rPr>
          <w:sz w:val="20"/>
          <w:szCs w:val="20"/>
          <w:color w:val="auto"/>
        </w:rPr>
      </w:pPr>
    </w:p>
    <w:p>
      <w:pPr>
        <w:ind w:right="260" w:firstLine="324"/>
        <w:spacing w:after="0" w:line="271"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simplifies the accounting for income taxes by removing certain exceptions to the general principles in Topic 740. The ASU also clarifies and amends existing guidance to improve consistent application. This standard will be effective for reporting periods beginning after December 15, 2020, with early adoption permitted. While we are currently assessing the impact of the adoption of this ASU, we do not believe the adoption of this ASU will have a material impact on our consolidated financial position, results of operations and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Purchase of Telos ID/Non-Controlling Interests</w:t>
      </w:r>
    </w:p>
    <w:p>
      <w:pPr>
        <w:spacing w:after="0" w:line="256"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On October 5, 2020, we entered into a Membership Interest Purchase Agreement between the Company and Hoya ID Fund A, LLC (“Hoya”) to purchase all of the Class B Units of Telos ID (“Telos ID Units”) owned by Hoya (the “Telos ID Purchase”). Upon the closing of the Telos ID Purchase, Telos ID became our wholly owned subsidiary. On November 23, 2020, the Telos ID Purchase was consummated with the Company transferring $30.0 million in cash and issuing 7,278,040 shares of our common stock at $20.39 per share (which totals approximately $148.4 million); the total consideration transferred to Hoya was $178.4 million. As part of the common stock issuance, the Company recognized a credit to APIC of $148.4 million. The Company further recognized a debit to APIC of $173.9 million as part of the elimination of Hoya’s non-controlling interest in Telos ID. The net impact to APIC associated with the acquisition of the additional 50% interest in Telos ID was a debit of $25.5 million.</w:t>
      </w:r>
    </w:p>
    <w:p>
      <w:pPr>
        <w:spacing w:after="0" w:line="20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April 11, 2007, Telos ID was formed as a limited liability company under the Delaware Limited Liability Company Act. We contributed substantially all of the assets of our Telos ID Enterprise business line and assigned our rights to perform under our U.S. Government contract with the Defense Manpower Data Center (“DMDC”) to Telos ID at their stated book values. The net book value of assets we contributed totaled $17,000. Until April 19, 2007, we owned 99.999% of the membership interests of Telos ID and Hoya owned 0.001% of the membership interests of Telos ID. On April 20, 2007, we sold an additional 39.999% of the membership interests to Hoya in exchange for $6 million in cash consideration. In accordance with ASC 505, “Equity,” we recognized a gain of $5.8 million. As a result, we owned 60% of Telos ID, and therefore continued to account for the investment in Telos ID using the consolidation method.</w:t>
      </w:r>
    </w:p>
    <w:p>
      <w:pPr>
        <w:spacing w:after="0" w:line="22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On December 24, 2014 (the “Closing Date”), we entered into a Membership Interest Purchase Agreement (the “Purchase Agreement”) between the Company and Hoya, pursuant to which Hoya acquired from the Company an additional ten percent (10%) membership interest in Telos ID in exchange for $5 million (the “Transaction”). In connection with the Transaction, the Company and Hoya entered into the Second Amended and Restated Operating Agreement (the “Operating Agreement”) governing the business, allocation of profits and losses and management of Telos ID. Under the Operating Agreement, Telos ID was managed by a board of directors comprised of five (5) members (the “Telos ID Board”). The Operating Agreement provided for two classes of membership units, Class A (owned by the Company) and Class B (owned by Hoya). The Class A member (the Company) owned 50% of Telos ID, was entitled to receive 50% of the profits of Telos ID, and could appoint three (3) members of the Telos ID Board. The Class B member (Hoya) owned 50% of Telos ID, was entitled to receive 50% of the profits of Telos ID, and could appoint two (2) members of the Telos ID Board.</w:t>
      </w:r>
    </w:p>
    <w:p>
      <w:pPr>
        <w:sectPr>
          <w:pgSz w:w="11900" w:h="16838" w:orient="portrait"/>
          <w:cols w:equalWidth="0" w:num="1">
            <w:col w:w="11200"/>
          </w:cols>
          <w:pgMar w:left="320" w:top="125" w:right="379" w:bottom="1440" w:gutter="0" w:footer="0" w:header="0"/>
        </w:sect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56" w:name="page57"/>
    <w:bookmarkEnd w:id="56"/>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a result of the 2014 Transaction, the Class A and Class B members each owned 50% of Telos ID, as mentioned above, and as such each was allocated 50% of the profits, which was $5.2 million, $4.3 million, and $3.4 million for 2020, 2019, and 2018, respectively. The Class B member was the non-controlling interest.</w:t>
      </w:r>
    </w:p>
    <w:p>
      <w:pPr>
        <w:spacing w:after="0" w:line="21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Distributions were made to the members only when and to the extent determined by Telos ID’s Board of Directors, in accordance with the Operating Agreement. During the years ended December 31, 2020, 2019, and 2018, the Class B member received a total of $2.8 million, $2.4 million, and $1.7 million, respectively, of such distributions. The Class B member also received a final distribution of $2.4 million in January 2021, which was accrued and presented in accounts payable and other accrued liabilities in the consolidated balance sheets as of December 31, 2020.</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details the changes in non-controlling interest for the years ended December 31, 2020, 2019, and 2018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09"/>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Non-controlling interest, 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3,377</w:t>
            </w:r>
          </w:p>
        </w:tc>
      </w:tr>
      <w:tr>
        <w:trPr>
          <w:trHeight w:val="216"/>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(1,669)</w:t>
            </w:r>
          </w:p>
        </w:tc>
      </w:tr>
      <w:tr>
        <w:trPr>
          <w:trHeight w:val="216"/>
        </w:trPr>
        <w:tc>
          <w:tcPr>
            <w:tcW w:w="7320" w:type="dxa"/>
            <w:vAlign w:val="bottom"/>
          </w:tcPr>
          <w:p>
            <w:pPr>
              <w:ind w:left="240"/>
              <w:spacing w:after="0"/>
              <w:rPr>
                <w:sz w:val="20"/>
                <w:szCs w:val="20"/>
                <w:color w:val="auto"/>
              </w:rPr>
            </w:pPr>
            <w:r>
              <w:rPr>
                <w:rFonts w:ascii="Arial" w:cs="Arial" w:eastAsia="Arial" w:hAnsi="Arial"/>
                <w:sz w:val="18"/>
                <w:szCs w:val="18"/>
                <w:color w:val="auto"/>
              </w:rPr>
              <w:t>Sale of 50% membership interest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(4,489)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Non-controlling interest, end of period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w:t>
      </w:r>
    </w:p>
    <w:p>
      <w:pPr>
        <w:spacing w:after="0" w:line="256"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goodwill balance was $14.9 million as of December 31, 2020 and 2019. Goodwill is subject to annual impairment tests and in the interim if triggering events are present before the annual tests, we will assess impairment. For the years ended December 31, 2020, 2019 and 2018, no impairment charges were taken.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56"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expands disclosures about fair value measurements. The framework requires the valuation of investments using a three-tiered approach. The statement requires fair value measurement to be classified and disclosed in one of the following categories: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1: Unadjusted quoted prices in active markets that are accessible at the measurement date for identical, unrestricted assets and liabilities;</w:t>
      </w:r>
    </w:p>
    <w:p>
      <w:pPr>
        <w:spacing w:after="0" w:line="26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or</w:t>
      </w:r>
    </w:p>
    <w:p>
      <w:pPr>
        <w:spacing w:after="0" w:line="19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97"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As of December 31, 2020 and 2019, we did not have any financial instruments with significant Level 3 inputs and we did not have any financial instruments that are measured at fair value on a recurring basis.</w:t>
      </w:r>
    </w:p>
    <w:p>
      <w:pPr>
        <w:spacing w:after="0" w:line="197"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As of December 31, 2019, the carrying value of the Company’s 12% Cumulative Exchangeable Redeemable Preferred Stock, par value $.01 per share (the “Public Preferred Stock”) was $139.2 million, and the estimated fair market value was $60.5 million, based on quoted market prices.</w:t>
      </w:r>
    </w:p>
    <w:p>
      <w:pPr>
        <w:spacing w:after="0" w:line="17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For certain of our non-derivative financial instruments, including receivables, accounts payable and other accrued liabilities, the carrying amount approximates fair value due to the short-term maturities of these instruments.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Revenue and Accounts Receivable</w:t>
      </w:r>
    </w:p>
    <w:p>
      <w:pPr>
        <w:spacing w:after="0" w:line="256"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Revenue resulting from contracts and subcontracts with the U.S. Government accounted for 95.4%, 93.7%, and 93.7% of consolidated revenue in 2020, 2019, and 2018, respectively. As our primary customer base includes agencies of the U.S. Government, we have a concentration of credit risk associated with our accounts receivable, as 96.1% of our billed accounts receivable were directly with U.S. Government customers. While we acknowledge the potentially material and adverse risk of such a significant concentration of credit risk, our past experience of collecting substantially all of such receivables provide us with an informed basis that such risk, if any, is manageable. We perform ongoing credit evaluations of all of our customers and generally do not require collateral or other guarantee from our customers. We maintain allowances for potential losses.</w:t>
      </w:r>
    </w:p>
    <w:p>
      <w:pPr>
        <w:spacing w:after="0" w:line="205" w:lineRule="exact"/>
        <w:rPr>
          <w:sz w:val="20"/>
          <w:szCs w:val="20"/>
          <w:color w:val="auto"/>
        </w:rPr>
      </w:pPr>
    </w:p>
    <w:p>
      <w:pPr>
        <w:ind w:right="360" w:firstLine="324"/>
        <w:spacing w:after="0" w:line="288" w:lineRule="auto"/>
        <w:rPr>
          <w:sz w:val="20"/>
          <w:szCs w:val="20"/>
          <w:color w:val="auto"/>
        </w:rPr>
      </w:pPr>
      <w:r>
        <w:rPr>
          <w:rFonts w:ascii="Arial" w:cs="Arial" w:eastAsia="Arial" w:hAnsi="Arial"/>
          <w:sz w:val="16"/>
          <w:szCs w:val="16"/>
          <w:color w:val="auto"/>
        </w:rPr>
        <w:t>On July 15, 2016, the Company entered into an accounts receivable purchase agreement under which the Company could sell certain accounts receivable to a third party, or the “Factor”, without recourse to the Company. The Factor initially paid the Company 90% of U.S. Federal government receivables or 85% of certain commercial prime contractors’ receivables that were sold under the agreement. The remaining payment was deferred and based on the amount the Factor received from our customer, less a discount fee and a program access fee that was determined by the amount of time the receivable was outstanding before payment. The structure of the transaction provided for a true sale of the receivables transferred. Accordingly, upon transfer of the receivable to the Factor, the receivable was removed from the Company's consolidated balance sheet, a loss on the sale was recorded and the residual amount remains a deferred payment as an accounts receivable until payment was received from the Factor. The balance of the sold receivables could not exceed $10 million. There were no accounts receivable sold during 2020. During the year ended December 31, 2019, the Company sold approximately $12.6 million of accounts receivable, and recognized a related loss of approximately $0.1 million in selling, general and administrative expenses for the same period. As of December 31, 2020 and 2019, there were no outstanding sold accounts receivable.</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accounts receivable and contract assets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Billed accounts receivable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Unbilled receivables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19,161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16,745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Allowance for doubtful accounts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30,913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27,942</w:t>
            </w:r>
          </w:p>
        </w:tc>
        <w:tc>
          <w:tcPr>
            <w:tcW w:w="0" w:type="dxa"/>
            <w:vAlign w:val="bottom"/>
          </w:tcPr>
          <w:p>
            <w:pPr>
              <w:spacing w:after="0"/>
              <w:rPr>
                <w:sz w:val="1"/>
                <w:szCs w:val="1"/>
                <w:color w:val="auto"/>
              </w:rPr>
            </w:pPr>
          </w:p>
        </w:tc>
      </w:tr>
      <w:tr>
        <w:trPr>
          <w:trHeight w:val="20"/>
        </w:trPr>
        <w:tc>
          <w:tcPr>
            <w:tcW w:w="7360" w:type="dxa"/>
            <w:vAlign w:val="bottom"/>
            <w:gridSpan w:val="4"/>
            <w:vMerge w:val="restart"/>
          </w:tcPr>
          <w:p>
            <w:pPr>
              <w:spacing w:after="0"/>
              <w:rPr>
                <w:sz w:val="20"/>
                <w:szCs w:val="20"/>
                <w:color w:val="auto"/>
              </w:rPr>
            </w:pPr>
            <w:r>
              <w:rPr>
                <w:rFonts w:ascii="Arial" w:cs="Arial" w:eastAsia="Arial" w:hAnsi="Arial"/>
                <w:sz w:val="18"/>
                <w:szCs w:val="18"/>
                <w:color w:val="auto"/>
              </w:rPr>
              <w:t>The activities in the allowance for doubtful accounts are set forth below (in thousands):</w:t>
            </w: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36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Balance</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Beginning</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Bad Debt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End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of Year</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Expenses (1)</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Recoveries (2)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of Year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Year Ended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Year Ended December 31, 2019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Year Ended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Accounts receivable reserves and reversal of allowance for subsequent collections, net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Accounts receivable written-off and subsequent recoveries, net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Major Market and Significant Customers</w:t>
      </w:r>
    </w:p>
    <w:p>
      <w:pPr>
        <w:spacing w:after="0" w:line="25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derived a substantial portion of our revenues from contracts and subcontracts with the U.S. Government. Revenue by customer sector for the last three fiscal years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2019</w:t>
            </w:r>
          </w:p>
        </w:tc>
        <w:tc>
          <w:tcPr>
            <w:tcW w:w="7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2018</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4"/>
        </w:trPr>
        <w:tc>
          <w:tcPr>
            <w:tcW w:w="3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4"/>
          </w:tcPr>
          <w:p>
            <w:pPr>
              <w:jc w:val="center"/>
              <w:ind w:right="10"/>
              <w:spacing w:after="0"/>
              <w:rPr>
                <w:sz w:val="20"/>
                <w:szCs w:val="20"/>
                <w:color w:val="auto"/>
              </w:rPr>
            </w:pPr>
            <w:r>
              <w:rPr>
                <w:rFonts w:ascii="Arial" w:cs="Arial" w:eastAsia="Arial" w:hAnsi="Arial"/>
                <w:sz w:val="18"/>
                <w:szCs w:val="18"/>
                <w:color w:val="auto"/>
                <w:w w:val="90"/>
              </w:rPr>
              <w:t>(dollar amounts in thousands)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2"/>
        </w:trPr>
        <w:tc>
          <w:tcPr>
            <w:tcW w:w="3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r>
      <w:tr>
        <w:trPr>
          <w:trHeight w:val="216"/>
        </w:trPr>
        <w:tc>
          <w:tcPr>
            <w:tcW w:w="3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171,677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149,257</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129,279</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93.7%</w:t>
            </w:r>
          </w:p>
        </w:tc>
      </w:tr>
      <w:tr>
        <w:trPr>
          <w:trHeight w:val="216"/>
        </w:trPr>
        <w:tc>
          <w:tcPr>
            <w:tcW w:w="3240" w:type="dxa"/>
            <w:vAlign w:val="bottom"/>
          </w:tcPr>
          <w:p>
            <w:pPr>
              <w:ind w:left="60"/>
              <w:spacing w:after="0"/>
              <w:rPr>
                <w:sz w:val="20"/>
                <w:szCs w:val="20"/>
                <w:color w:val="auto"/>
              </w:rPr>
            </w:pPr>
            <w:r>
              <w:rPr>
                <w:rFonts w:ascii="Arial" w:cs="Arial" w:eastAsia="Arial" w:hAnsi="Arial"/>
                <w:sz w:val="18"/>
                <w:szCs w:val="18"/>
                <w:color w:val="auto"/>
              </w:rPr>
              <w:t>State &amp; Local, and Commercial</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8,240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9,961</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8,737</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20"/>
        </w:trPr>
        <w:tc>
          <w:tcPr>
            <w:tcW w:w="3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3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179,917</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159,218</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138,016</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576"/>
        </w:trPr>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
        </w:trPr>
        <w:tc>
          <w:tcPr>
            <w:tcW w:w="3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Current Liabilities and Debt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Other Accrued Liabilities</w:t>
      </w:r>
    </w:p>
    <w:p>
      <w:pPr>
        <w:spacing w:after="0" w:line="23" w:lineRule="exact"/>
        <w:rPr>
          <w:sz w:val="20"/>
          <w:szCs w:val="20"/>
          <w:color w:val="auto"/>
        </w:rPr>
      </w:pPr>
    </w:p>
    <w:p>
      <w:pPr>
        <w:ind w:right="240" w:firstLine="324"/>
        <w:spacing w:after="0" w:line="260" w:lineRule="auto"/>
        <w:rPr>
          <w:sz w:val="20"/>
          <w:szCs w:val="20"/>
          <w:color w:val="auto"/>
        </w:rPr>
      </w:pPr>
      <w:r>
        <w:rPr>
          <w:rFonts w:ascii="Arial" w:cs="Arial" w:eastAsia="Arial" w:hAnsi="Arial"/>
          <w:sz w:val="18"/>
          <w:szCs w:val="18"/>
          <w:color w:val="auto"/>
        </w:rPr>
        <w:t>As of December 31, 2020 and 2019, the accounts payable and other accrued payables consisted of $14.7 million and $13.6 million, respectively, in trade account payables and $6.2 million and $1.5 million, respectively, in accrued liabilities.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Contract liabilities are payments received in advance and milestone payments from our customers on selected contracts that exceed revenue earned to date, resulting in contract liabilities. Contract liabilities typically are not considered a significant financing component because they are generally satisfied within one year and are used to meet working capital demands that can be higher in the early stages of a contract. Contract liabilities are reported on our consolidated balance sheets on a net contract basis at the end of each reporting period. As of December 31, 2020 and 2019, the contract liabilities primarily related to product support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Enlightenment Capital Credit Agreement</w:t>
      </w:r>
    </w:p>
    <w:p>
      <w:pPr>
        <w:spacing w:after="0" w:line="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color w:val="auto"/>
        </w:rPr>
        <w:t>On January 25, 2017, we entered into a Credit Agreement (the "Credit Agreement") with Enlightenment Capital Solutions Fund II, L.P., as agent (the "Agent") and the lenders party thereto (the "Lenders") (together referenced as “EnCap”). The Credit Agreement provided for an $11 million senior term loan (the "Loan") with a maturity date of January 25, 2022, subject to acceleration in the event of customary events of default.</w:t>
      </w:r>
    </w:p>
    <w:p>
      <w:pPr>
        <w:spacing w:after="0" w:line="20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All borrowings under the Credit Agreement accrued interest at the rate of 13.0% per annum (the “Accrual Rate”). If, at the request of the Company, the Agent executed an intercreditor agreement with another senior lender under which the Agent and the Lenders subordinate their liens (an "Alternative Interest Rate Event"), the interest rate would increase to 14.5% per annum. After the occurrence and during the continuance of any event of default, the interest rate would increase 2.0%. The Company was obligated to pay accrued interest in cash on a monthly basis at a rate of not less than 10.0% per annum or, during the continuance of an Alternate Interest Rate Event, 11.5% per annum. The Company may elect to pay the remaining interest in cash, by payment-in-kind (by addition to the principal amount of the Loan) or by combination of cash and payment-in-kind. Upon thirty days prior written notice, the Company may prepay any portion or the entire amount of the Loan.</w:t>
      </w:r>
    </w:p>
    <w:p>
      <w:pPr>
        <w:spacing w:after="0" w:line="204"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The Credit Agreement contained representations, warranties, covenants, terms and conditions customary for transactions of this type. In connection with the Credit Agreement, the Agent had been granted, for the benefit of the Lenders, a security interest in and general lien upon various property of the Company, subject to certain permitted liens and any intercreditor agreement. The occurrence of an event of default under the Credit Agreement could result in the Loan and other obligations becoming immediately due and payable and allow the Lenders to exercise all rights and remedies available to them under the Credit Agreement or as a secured party under the UCC, in addition to all other rights and remedies available to them.</w:t>
      </w:r>
    </w:p>
    <w:p>
      <w:pPr>
        <w:spacing w:after="0" w:line="188"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In connection with the Credit Agreement, on January 25, 2017, the Company issued warrants (each, a "Warrant") to the Agent and certain of the Lenders representing in the aggregate the right to purchase in accordance with their terms 900,970 shares of the Class A Common Stock of the Company, no par value per share, which was equivalent to approximately 2.5% of the common equity interests of the Company on a fully diluted basis. The exercise price as $1.665 per share and each Warrant would expire on January 25, 2027. The value of the warrants was determined to be de minimis and no value was allocated to them on a relative fair value basis in accounting for the debt instrument.</w:t>
      </w:r>
    </w:p>
    <w:p>
      <w:pPr>
        <w:spacing w:after="0" w:line="20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Credit Agreement also included an $825,000 exit fee, which was payable upon any repayment or prepayment of the loan. This amount had been included in the total principal due and treated as an unamortized discount on the debt, which would be amortized over the term of the loan, using the effective interest method at a rate of 15.0%. We incurred fees and transaction costs of approximately $374,000 related to the issuance of the Credit Agreement, which are being amortized over the life of the Credit Agreement.</w:t>
      </w:r>
    </w:p>
    <w:p>
      <w:pPr>
        <w:spacing w:after="0" w:line="214" w:lineRule="exact"/>
        <w:rPr>
          <w:sz w:val="20"/>
          <w:szCs w:val="20"/>
          <w:color w:val="auto"/>
        </w:rPr>
      </w:pPr>
    </w:p>
    <w:p>
      <w:pPr>
        <w:ind w:right="340" w:firstLine="324"/>
        <w:spacing w:after="0" w:line="253" w:lineRule="auto"/>
        <w:rPr>
          <w:sz w:val="20"/>
          <w:szCs w:val="20"/>
          <w:color w:val="auto"/>
        </w:rPr>
      </w:pPr>
      <w:r>
        <w:rPr>
          <w:rFonts w:ascii="Arial" w:cs="Arial" w:eastAsia="Arial" w:hAnsi="Arial"/>
          <w:sz w:val="18"/>
          <w:szCs w:val="18"/>
          <w:color w:val="auto"/>
        </w:rPr>
        <w:t>On March 30, 2018, the Credit Agreement was further amended (the “Third Amendment”) to waive certain covenant defaults and to reset the covenants for 2018 measurement periods to more accurately reflect the Company’s projected performance for the year. The measurement against the covenants for consolidated leverage ratio and consolidated fixed charge coverage ratio were agreed to not be measured as of December 31, 2017 and were reset for 2018 measurement periods. Additionally, a minimum revenue covenant and a net working capital covenant were added. In consideration of these amendments, the interest rate on the loan was increased by 1%, which would revert back to the original rate upon achievement of two consecutive quarters of a specified fixed charge coverage ratio as defined in the agreement. The Company may elect to pay the increase in interest expense in cash or by payment-in-kind (by addition to the principal amount of the Loan). The increase in interest expense had been paid in cash. Contemporaneously with the Third Amendment, Mr. John B. Wood agreed to transfer 50,000 shares of the Company’s Class A Common Stock owned by him to EnCap.</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July 19, 2019, we entered into the Fourth Amendment to Credit Agreement and Waiver; First Amendment to Fee Letter (“Fourth Amendment”) to amend the Credit Agreement. As a result of the Fourth Amendment, several terms of the Credit Agreement were amended, including the following:</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borrowed an additional $5 million from the Lenders, increasing the total amount of the principal to $16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maturity date of the Credit Agreement was amended from January 25, 2022 to January 15, 2021.</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prepayment price was amended as follows: (a) from January 26, 2019 through January 25, 2020, the prepayment price was 102% of the principal amount, (b) from January 26, 2020 through October 14, 2020, the prepayment price was 101% of the principal amount, and (c) from October 15, 2020 to the maturity date, the prepayment price would be at par. However, the prepayment price for the additional $5 million loan attributable to the Fourth Amendment would be at par.</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following financial covenants, as defined in the Credit Agreement, were amended and updated: Consolidated Leverage Ratio, Consolidated Senior Leverage Ratio, Consolidated Capital Expenditures, Minimum Fixed Charge Coverage Ratio, and Minimum Consolidated Net Working Capital.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actual or potential non-compliance with the applicable provisions of the Credit Agreement were waived.</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borrowing under the Credit Agreement continued to be collateralized by substantially all of the Company’s assets including inventory, equipment and accounts receivable.</w:t>
      </w:r>
    </w:p>
    <w:p>
      <w:pPr>
        <w:ind w:left="660" w:right="1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paid the Agent a fee of $110,000 in connection with the Fourth Amendment. We incurred immaterial third party transaction costs which were expensed in the current period.</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exit fee was increased from $825,000 to $1,200,000.</w:t>
      </w:r>
    </w:p>
    <w:p>
      <w:pPr>
        <w:spacing w:after="0" w:line="23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exit fee had been included in the total principal due and treated as an unamortized discount on the debt, which was amortized over the term of the loan using the effective interest method at a rate of 17.3% over the remaining term of the loan.</w:t>
      </w:r>
    </w:p>
    <w:p>
      <w:pPr>
        <w:spacing w:after="0" w:line="19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March 26, 2020, the Credit Agreement was amended (the “Fifth Amendment”) to modify the financial covenants for 2020 through the maturity of the Credit Agreement to establish that the covenants would remain at the December 31, 2019 levels and to update the previously agreed-upon definition of certain financial covenants, specifically the amount of Capital Expenditures to be included in the measurement of the covenants. The Fifth Amendment also provided for the right for the Company to elect to extend the maturity date of the Credit Agreement which was scheduled to mature on January 15, 2021. The Fifth Amendment provided for four quarterly maturity date extensions, which would increase the Exit Fee payable under the Credit Agreement by $250,000 for each quarterly maturity date extension elected, for a total of $1 million increase to the Exit Fee were all four of the maturity date extensions to be elected. The Company paid EnCap an amendment fee of $100,000 and out-of-pocket costs and expenses in consideration for the Fifth Amendment.</w:t>
      </w:r>
    </w:p>
    <w:p>
      <w:pPr>
        <w:spacing w:after="0" w:line="21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incurred interest expense in the amount of $2.7 million, $2.2 million and $1.7 million for the years ended December 31, 2020, 2019 and 2018, respectively, under the Credit Agreement.</w:t>
      </w:r>
    </w:p>
    <w:p>
      <w:pPr>
        <w:spacing w:after="0" w:line="197"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On November 24, 2020, upon the closing of the IPO, the Company paid a total of $17.4 million which paid off the Credit Agreement in full including an exit fee of $1.2 million, accrued interest of $138,000, and legal fees of $13,000. As a result, we recognized a loss on debt extinguishment of $138,000 presented as a part of the non-operating expense in the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Debt</w:t>
      </w:r>
    </w:p>
    <w:p>
      <w:pPr>
        <w:spacing w:after="0" w:line="2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On March 31, 2015, the Company entered into Subordinated Loan Agreements and Subordinated Promissory Notes (“Porter Notes”) with affiliated entities of Mr. John R. C. Porter (together referenced as “Porter”). Mr. Porter and Toxford Corporation, of which Mr. Porter is the sole shareholder, owned 35.0% of our Class A Common Stock. Under the terms of the Porter Notes, Porter lent the Company $2.5 million on or about March 31, 2015. Telos also entered into Subordination and Intercreditor Agreements (the “Subordination Agreements”) with Porter and a prior senior lender, in which the Porter Notes were fully subordinated to the financing provided by that senior lender, and payments under the Porter Notes were permitted only if certain conditions are met. According to the original terms of the Porter Notes, the outstanding principal sum bore interest at the fixed rate of twelve percent (12%) per annum which would be payable in arrears in cash on the 20th day of each May, August, November and February, with the first interest payment date due on August 20, 2015. The Porter Notes did not call for amortization payments and were unsecured. The Porter Notes, in whole or in part, may be repaid at any time without premium or penalty. The unpaid principal, together with interest, was originally due and payable in full on July 1, 2017.</w:t>
      </w:r>
    </w:p>
    <w:p>
      <w:pPr>
        <w:spacing w:after="0" w:line="19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On April 18, 2017, we amended and restated the Porter Notes to reduce the interest rate from twelve percent (12%) to six percent (6%) per annum, to be accrued, and extended the maturity date from July 1, 2017 to July 25, 2022. Telos also entered into Intercreditor Agreements with Porter and EnCap, in which the Porter Notes were fully subordinated to the Credit Agreement and any subsequent senior lenders, and payments under the Porter Notes were permitted only if certain conditions were met. As a result of the amendment and restatement of the Porter Notes, we recorded a gain on extinguishment of debt of approximately $1 million, which consisted of the remeasurement of the debt at fair value. As the extinguishment was with a related party, the transaction was deemed to be a capital transaction and the gain was recorded in the Company’s stockholders’ deficit as of December 31, 2017. All other terms remained in full force and effect. We incurred interest expense in the amount of $319,000, $330,000, and $308,000 for 2020, 2019, and 2018, respectively, on the Porter Notes.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November 23, 2020, upon the closing of the IPO, the Porter Notes were paid in full.</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60" w:name="page61"/>
    <w:bookmarkEnd w:id="60"/>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Exchangeable Redeemable Preferred Stock Conversion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Preferred Stock</w:t>
      </w:r>
    </w:p>
    <w:p>
      <w:pPr>
        <w:spacing w:after="0" w:line="23" w:lineRule="exact"/>
        <w:rPr>
          <w:sz w:val="20"/>
          <w:szCs w:val="20"/>
          <w:color w:val="auto"/>
        </w:rPr>
      </w:pPr>
    </w:p>
    <w:p>
      <w:pPr>
        <w:ind w:right="80" w:firstLine="324"/>
        <w:spacing w:after="0" w:line="281" w:lineRule="auto"/>
        <w:rPr>
          <w:sz w:val="20"/>
          <w:szCs w:val="20"/>
          <w:color w:val="auto"/>
        </w:rPr>
      </w:pPr>
      <w:r>
        <w:rPr>
          <w:rFonts w:ascii="Arial" w:cs="Arial" w:eastAsia="Arial" w:hAnsi="Arial"/>
          <w:sz w:val="16"/>
          <w:szCs w:val="16"/>
          <w:color w:val="auto"/>
        </w:rPr>
        <w:t>Upon the closing of the IPO, which constituted a qualified initial public offering for the purposes of the terms of the Exchangeable Redeemable Preferred Stock, each issued and outstanding share of Exchangeable Redeemable Preferred Stock automatically was converted (the “ERPS Conversion”) into the right to receive (i) an amount of cash equal to (I) the ERPS Liquidation Value; multiplied by (II) 0.90; multiplied by (III) 0.85 and (ii) that number of shares of common stock (valued at the initial offering price to the public) equal to (I) the ERPS Liquidation Value; multiplied by (II) 0.90; multiplied by</w:t>
      </w:r>
    </w:p>
    <w:p>
      <w:pPr>
        <w:spacing w:after="0" w:line="2" w:lineRule="exact"/>
        <w:rPr>
          <w:sz w:val="20"/>
          <w:szCs w:val="20"/>
          <w:color w:val="auto"/>
        </w:rPr>
      </w:pPr>
    </w:p>
    <w:p>
      <w:pPr>
        <w:ind w:right="20" w:firstLine="8"/>
        <w:spacing w:after="0" w:line="268" w:lineRule="auto"/>
        <w:tabs>
          <w:tab w:leader="none" w:pos="345" w:val="left"/>
        </w:tabs>
        <w:numPr>
          <w:ilvl w:val="0"/>
          <w:numId w:val="32"/>
        </w:numPr>
        <w:rPr>
          <w:rFonts w:ascii="Arial" w:cs="Arial" w:eastAsia="Arial" w:hAnsi="Arial"/>
          <w:sz w:val="17"/>
          <w:szCs w:val="17"/>
          <w:color w:val="auto"/>
        </w:rPr>
      </w:pPr>
      <w:r>
        <w:rPr>
          <w:rFonts w:ascii="Arial" w:cs="Arial" w:eastAsia="Arial" w:hAnsi="Arial"/>
          <w:sz w:val="17"/>
          <w:szCs w:val="17"/>
          <w:color w:val="auto"/>
        </w:rPr>
        <w:t>0.15. No fractional shares of common stock, however, were issued upon an ERPS Conversion Event but, in lieu thereof, the holder was entitled to receive an amount of cash equal to the fair market value of a share of common stock (valued at the initial offering price to the public) at the time of such ERPS Conversion Event multiplied by such fractional amount (rounded to the nearest cent). “ERPS Liquidation Value” means, per each share of Exchangeable Redeemable Preferred Stock, $10 together with all accrued and unpaid dividends (whether or not earned or declared) thereon calculated as of the actual date of an ERPS Conversion Event without interest, which, was approximately $142.3 million as of November 19, 2020. All shares of common stock issued upon an ERPS Conversion were validly issued, fully paid and non-assessable. On November 23, 2020, holders of Exchangeable Redeemable Preferred Stock received $108.9 million in cash and 1.1 million shares of our common stock at $17 per share for a total value of $19.2 million in connection with the ERPS Conversion. The difference in the redemption value of the ERPS and the carrying value has been accounted for as a gain on extinguishment of debt in accordance with ASC 470 and ASC 480. Approximately $220,000 of costs directly attributable to this redemption were applied against the gain, resulting in a net gain of $14.0 million.</w:t>
      </w:r>
    </w:p>
    <w:p>
      <w:pPr>
        <w:spacing w:after="0" w:line="206" w:lineRule="exact"/>
        <w:rPr>
          <w:sz w:val="20"/>
          <w:szCs w:val="20"/>
          <w:color w:val="auto"/>
        </w:rPr>
      </w:pPr>
    </w:p>
    <w:p>
      <w:pPr>
        <w:ind w:right="380" w:firstLine="324"/>
        <w:spacing w:after="0" w:line="271" w:lineRule="auto"/>
        <w:rPr>
          <w:sz w:val="20"/>
          <w:szCs w:val="20"/>
          <w:color w:val="auto"/>
        </w:rPr>
      </w:pPr>
      <w:r>
        <w:rPr>
          <w:rFonts w:ascii="Arial" w:cs="Arial" w:eastAsia="Arial" w:hAnsi="Arial"/>
          <w:sz w:val="17"/>
          <w:szCs w:val="17"/>
          <w:color w:val="auto"/>
        </w:rPr>
        <w:t>A maximum of 6,000,000 shares of the Public Preferred Stock, par value $0.01 per share, had been authorized for issuance. We initially issued 2,858,723 shares of the Public Preferred Stock pursuant to the acquisition of the Company during fiscal year 1990. The Public Preferred Stock was recorded at fair value on the date of original issue, November 21, 1989, and we made periodic accretions under the interest method of the excess of the redemption value over the recorded value. We adjusted our estimate of accrued accretion in the amount of $1.5 million in the second quarter of 2006. The Public Preferred Stock was fully accreted as of December 2008. We declared stock dividends totaling 736,863 shares in 1990 and 1991. Since 1991, no other dividends, in stock or cash, have been declared. In November 1998, we retired 410,000 shares of the Public Preferred Stock. The total number of shares issued and outstanding at December 31, 2019, was 3,185,586. The Public Preferred Stock was quoted as “TLSRP” on the OTCQB marketplace and the OTC Bulletin Board.</w:t>
      </w:r>
    </w:p>
    <w:p>
      <w:pPr>
        <w:spacing w:after="0" w:line="20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Since 1991, no dividends were declared or paid on our Public Preferred Stock, based upon our interpretation of restrictions in our Articles of Amendment and Restatement, limitations in the terms of the Public Preferred Stock instrument, specific dividend payment restrictions in the various financing agreements to which the Public Preferred Stock is subject, other senior obligations currently or previously in existence, and Maryland law limitations in existence prior to October 1, 2009. Subsequent to the 2009 Maryland law change, dividend payments continue to be prohibited except under certain specific circumstances as set forth in Maryland Code Section 2-311, which the Company did not satisfy as of the measurement dates. Pursuant to the terms of the Articles of Amendment and Restatement, we were scheduled, but not required, to redeem the Public Preferred Stock in five annual tranches during the period 2005 through 2009. However, due to our substantial senior obligations currently or previously in existence, limitations set forth in the covenants in the Credit Agreement and the Porter Notes, foreseeable capital and operational requirements, and restrictions and prohibitions of our Articles of Amendment and Restatement, we were unable to meet the redemption schedule set forth in the terms of the Public Preferred Stock as of the measurement dates. Moreover, the Public Preferred Stock was not payable on demand, nor callable, for failure to redeem the Public Preferred Stock in accordance with the redemption schedule set forth in the instrument. Therefore, we classified these securities as noncurrent liabilities in the consolidated balance sheets as of December 31, 2019.</w:t>
      </w:r>
    </w:p>
    <w:p>
      <w:pPr>
        <w:spacing w:after="0" w:line="206"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We paid dividends on the Public Preferred Stock when and if declared by the Board of Directors. The Public Preferred Stock accrued a semi-annual dividend at the annual rate of 12% ($1.20) per share, based on the liquidation preference of $10 per share, and was fully cumulative. Dividends in additional shares of the Public Preferred Stock for 1990 and 1991 were paid at the rate of 6% per share for each $.60 of such dividends not paid in cash. For the cash dividends payable since December 1, 1995, we had accrued $107.4 million as of December 31, 2019. We accrued dividends on the Public Preferred Stock of $3.4 million $3.8 million and $3.8 million for the years ended December 31, 2020, 2019, and 2018, respectively, which was recorded as interest expense. Prior to the effective date of ASC 480 on July 1, 2003, such dividends were charged to stockholders’ accumulated deficit.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Redeemable Preferred Stock</w:t>
      </w:r>
    </w:p>
    <w:p>
      <w:pPr>
        <w:spacing w:after="0" w:line="23" w:lineRule="exact"/>
        <w:rPr>
          <w:sz w:val="20"/>
          <w:szCs w:val="20"/>
          <w:color w:val="auto"/>
        </w:rPr>
      </w:pPr>
    </w:p>
    <w:p>
      <w:pPr>
        <w:ind w:right="260" w:firstLine="324"/>
        <w:spacing w:after="0" w:line="269" w:lineRule="auto"/>
        <w:rPr>
          <w:sz w:val="20"/>
          <w:szCs w:val="20"/>
          <w:color w:val="auto"/>
        </w:rPr>
      </w:pPr>
      <w:r>
        <w:rPr>
          <w:rFonts w:ascii="Arial" w:cs="Arial" w:eastAsia="Arial" w:hAnsi="Arial"/>
          <w:sz w:val="17"/>
          <w:szCs w:val="17"/>
          <w:color w:val="auto"/>
        </w:rPr>
        <w:t>The Senior Redeemable Preferred Stock was senior to all other outstanding equity of the Company, including the Public Preferred Stock. The Series A-1 ranked on a parity with the Series A-2. The components of the authorized Senior Redeemable Preferred Stock were 1,250 shares of Series A-1 and 1,750 shares of Series A-2 Senior Redeemable Preferred Stock, each with $.01 par value. The Senior Redeemable Preferred Stock carried a cumulative per annum dividend rate of 14.125% of its liquidation value of $1,000 per share. The dividends were payable semiannually on June 30 and December 31 of each year. We had not declared dividends on our Senior Redeemable Preferred Stock since its issuance, other than in connection with the redemptions from 2010 to 2013. The liquidation preference of the Senior Redeemable Preferred Stock was the face amount of the Series A-1 and A-2 ($1,000 per share), plus all accrued and unpaid dividends.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Due to the terms of the Credit Agreement, the Porter Notes, other senior obligations currently or previously in existence, the Senior Redeemable Preferred Stock and applicable provisions of Maryland law governing the payment of distributions, we had been precluded from redeeming the Senior Redeemable Preferred Stock and paying any accrued and unpaid dividends on the Senior Redeemable Preferred Stock, other than the redemptions that occurred from 2010 to 2013. In addition, certain holders of the Senior Redeemable Preferred Stock had entered into standby agreements whereby, among other things, those holders would not demand any payments in respect of dividends or redemptions of their instruments and the maturity dates of the instruments have been extended.</w:t>
      </w:r>
    </w:p>
    <w:p>
      <w:pPr>
        <w:spacing w:after="0" w:line="21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accordance with the requirements of the Second Amendment to the EnCap Credit Agreement, we redeemed all outstanding shares of the Senior Redeemable Preferred Stock on April 18, 2017 for $2.1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Deficit and Employee Benefit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3"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Our authorized capital stock consists of 250,000,000 shares of common stock, $0.001 par value per share, and 10,000,000 shares of preferred stock, $0.01 par value per share. Prior to our Second Amended and Restated Articles of Incorporation, which were effective November 12, 2020, the relative rights, preferences, and limitations of the Class A common stock and the Class B common stock were in all respects identical. The holders of the common stock had one vote for each share of common stock held. Our Second Amended and Restated Articles of Incorporation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On November 12, 2020, we filed Articles of Amendment (the “Articles”) with the State Department of Assessments and Taxation of the State of Maryland, effective as of the same date (the “Effective Time”). The Articles amend the Company’s charter to effect a reverse stock split such that (1) every 1.259446 shares of Class A Common Stock that were issued and outstanding immediately prior to the Effective Time were changed into one issued and outstanding share of Class A Common Stock, and (2) every 1.259446 shares of Class B Common Stock that were issued and outstanding immediately prior to the Effective Time were changed into one issued and outstanding share of Class B Common Stock. Also on November 12, 2020, we filed the Second Articles of Amendment and Restatement (the “Second Amended Articles”) with the State Department of Assessments and Taxation of the State of Maryland, effective as of the same date (the “Effective Time”). The Second Amended Articles amend the Company’s charter to effect a conversion of each share of the Class B Common Stock that were issued and outstanding immediately prior to the Effective Time into one fully paid and nonassessable share of Class A Common Stock. From and after the Effective Time, certificates representing the Class B Common Stock now represent the number of shares of Class A Common Stock in which such Class B Common Stock was converted. Also at the Effective Time, the Class A Common Stock was renamed and redesignated as common stock, par value $0.001 per share, of the Corporation.</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there were 64,625,071 shares of common stock outstanding and no shares of preferred stock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Grants</w:t>
      </w:r>
    </w:p>
    <w:p>
      <w:pPr>
        <w:spacing w:after="0" w:line="23"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Since June 2008, we have issued restricted stock to our executive officers, directors and employees. Such stock is subject to a vesting schedule as follows: 25% of the restricted stock vests immediately on the date of grant, thereafter, an additional 25% will vest annually on the anniversary of the date of grant subject to continued employment or services. In the event of death of the employee or a change in control, as defined by the Telos Corporation 2008 Omnibus Long-Term Incentive Plan, the 2013 Omnibus Long-Term Incentive Plan, or the 2016 Omnibus Long-Term Incentive Plan, all unvested shares shall automatically vest in full. In accordance with ASC 718, we recorded immaterial compensation expense for any of the issuances as the value of the common stock was nominal, based on the deduction of our outstanding debt, capital lease obligations, and preferred stock from an estimated enterprise value, which was estimated based on discounted cash flow analysis, comparable public company analysis, and comparable transaction analysis. Additionally, we determined that a significant change in the valuation estimate for common stock would not have a significant effect on the consolidated financial statements.</w:t>
      </w:r>
    </w:p>
    <w:p>
      <w:pPr>
        <w:spacing w:after="0" w:line="208" w:lineRule="exact"/>
        <w:rPr>
          <w:sz w:val="20"/>
          <w:szCs w:val="20"/>
          <w:color w:val="auto"/>
        </w:rPr>
      </w:pPr>
    </w:p>
    <w:p>
      <w:pPr>
        <w:jc w:val="both"/>
        <w:ind w:right="60" w:firstLine="324"/>
        <w:spacing w:after="0" w:line="287" w:lineRule="auto"/>
        <w:rPr>
          <w:sz w:val="20"/>
          <w:szCs w:val="20"/>
          <w:color w:val="auto"/>
        </w:rPr>
      </w:pPr>
      <w:r>
        <w:rPr>
          <w:rFonts w:ascii="Arial" w:cs="Arial" w:eastAsia="Arial" w:hAnsi="Arial"/>
          <w:sz w:val="16"/>
          <w:szCs w:val="16"/>
          <w:color w:val="auto"/>
        </w:rPr>
        <w:t>In May 2017, we issued grants of 3,972,007 shares to our executive officers and employees. The shares vest according to the schedule set forth above. There were 3,948,199 shares outstanding at the beginning of 2018, and 43,649 shares were forfeited during 2018. There were no new grants in 2018. There were 3,904,550 shares outstanding at the beginning of 2019, and 11,904 shares were forfeited during 2019. There were no new grants in</w:t>
      </w:r>
    </w:p>
    <w:p>
      <w:pPr>
        <w:spacing w:after="0" w:line="2"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2019. At the beginning of 2020 there were 3,892,646 shares outstanding and 47,616 were forfeited prior to May 2020, when the remaining 3,845,030 shares became fully vested. Upon vesting there were no remaining restrictions on these shares and they are able to be sold or disposed of, subject to any lock-up agreements subsequently entered into by certain holders of the shares in connection with the IPO of the Company’s common stock in November 2020.</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May 2020, 79,361 shares were granted. As of December 31, 2020, there were 59,521 shares of restricted stock that remained subject to vesting.</w:t>
      </w:r>
    </w:p>
    <w:p>
      <w:pPr>
        <w:spacing w:after="0" w:line="200" w:lineRule="exact"/>
        <w:rPr>
          <w:sz w:val="20"/>
          <w:szCs w:val="20"/>
          <w:color w:val="auto"/>
        </w:rPr>
      </w:pPr>
    </w:p>
    <w:p>
      <w:pPr>
        <w:spacing w:after="0" w:line="260"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62" w:name="page63"/>
    <w:bookmarkEnd w:id="62"/>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Telos Shared Savings Plan</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sponsor a defined contribution employee savings plan (the “Plan”) under which substantially all full-time employees are eligible to participate. As of December 31, 2020, the Plan held 2,391,552 shares of Telos common stock. We match one-half of employee contributions to the Plan up to a maximum of 2% of such employee’s eligible annual base salary. Participant contributions vest immediately, and Company contributions vest at the rate of 20% each year, with full vesting occurring after completion of five years of service. Our total contributions to the Plan for 2020, 2019, and 2018 were $998,000, $861,000, and $721,000, respectively.</w:t>
      </w:r>
    </w:p>
    <w:p>
      <w:pPr>
        <w:spacing w:after="0" w:line="215"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Additionally, Telos ID sponsors a defined contribution savings plan (the “Telos ID Plan”) under which substantially all full-time employees are eligible to participate. Telos ID matches one-half of employee contributions to the Telos ID Plan up to a maximum of 2% of such employee’s eligible annual base salary. The total 2020, 2019, and 2018 Telos ID contributions to this plan were $179,000, $151,000, and $125,000, respectively.</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25" w:right="679" w:bottom="1440" w:gutter="0" w:footer="0" w:header="0"/>
        </w:sectPr>
      </w:pPr>
    </w:p>
    <w:bookmarkStart w:id="63" w:name="page64"/>
    <w:bookmarkEnd w:id="63"/>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(benefit) for income taxes attributable to income from operations includes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920" w:type="dxa"/>
            <w:vAlign w:val="bottom"/>
            <w:gridSpan w:val="9"/>
          </w:tcPr>
          <w:p>
            <w:pPr>
              <w:jc w:val="right"/>
              <w:ind w:right="680"/>
              <w:spacing w:after="0"/>
              <w:rPr>
                <w:sz w:val="20"/>
                <w:szCs w:val="20"/>
                <w:color w:val="auto"/>
              </w:rPr>
            </w:pPr>
            <w:r>
              <w:rPr>
                <w:rFonts w:ascii="Arial" w:cs="Arial" w:eastAsia="Arial" w:hAnsi="Arial"/>
                <w:sz w:val="18"/>
                <w:szCs w:val="18"/>
                <w:b w:val="1"/>
                <w:bCs w:val="1"/>
                <w:color w:val="auto"/>
              </w:rPr>
              <w:t>For the Years Ended December 31,</w:t>
            </w:r>
          </w:p>
        </w:tc>
      </w:tr>
      <w:tr>
        <w:trPr>
          <w:trHeight w:val="210"/>
        </w:trPr>
        <w:tc>
          <w:tcPr>
            <w:tcW w:w="73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7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(benefit) provision</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280"/>
              <w:spacing w:after="0"/>
              <w:rPr>
                <w:sz w:val="20"/>
                <w:szCs w:val="20"/>
                <w:color w:val="auto"/>
              </w:rPr>
            </w:pPr>
            <w:r>
              <w:rPr>
                <w:rFonts w:ascii="Arial" w:cs="Arial" w:eastAsia="Arial" w:hAnsi="Arial"/>
                <w:sz w:val="18"/>
                <w:szCs w:val="18"/>
                <w:color w:val="auto"/>
              </w:rPr>
              <w:t>Federal</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7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0"/>
        </w:trPr>
        <w:tc>
          <w:tcPr>
            <w:tcW w:w="73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20" w:type="dxa"/>
            <w:vAlign w:val="bottom"/>
          </w:tcPr>
          <w:p>
            <w:pPr>
              <w:ind w:left="600"/>
              <w:spacing w:after="0"/>
              <w:rPr>
                <w:sz w:val="20"/>
                <w:szCs w:val="20"/>
                <w:color w:val="auto"/>
              </w:rPr>
            </w:pPr>
            <w:r>
              <w:rPr>
                <w:rFonts w:ascii="Arial" w:cs="Arial" w:eastAsia="Arial" w:hAnsi="Arial"/>
                <w:sz w:val="18"/>
                <w:szCs w:val="18"/>
                <w:color w:val="auto"/>
              </w:rPr>
              <w:t>Total current</w:t>
            </w:r>
          </w:p>
        </w:tc>
        <w:tc>
          <w:tcPr>
            <w:tcW w:w="8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09"/>
        </w:trPr>
        <w:tc>
          <w:tcPr>
            <w:tcW w:w="73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20"/>
              <w:spacing w:after="0"/>
              <w:rPr>
                <w:sz w:val="20"/>
                <w:szCs w:val="20"/>
                <w:color w:val="auto"/>
              </w:rPr>
            </w:pPr>
            <w:r>
              <w:rPr>
                <w:rFonts w:ascii="Arial" w:cs="Arial" w:eastAsia="Arial" w:hAnsi="Arial"/>
                <w:sz w:val="18"/>
                <w:szCs w:val="18"/>
                <w:color w:val="auto"/>
              </w:rPr>
              <w:t>Deferred provision (benefit)</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7320" w:type="dxa"/>
            <w:vAlign w:val="bottom"/>
          </w:tcPr>
          <w:p>
            <w:pPr>
              <w:ind w:left="280"/>
              <w:spacing w:after="0"/>
              <w:rPr>
                <w:sz w:val="20"/>
                <w:szCs w:val="20"/>
                <w:color w:val="auto"/>
              </w:rPr>
            </w:pPr>
            <w:r>
              <w:rPr>
                <w:rFonts w:ascii="Arial" w:cs="Arial" w:eastAsia="Arial" w:hAnsi="Arial"/>
                <w:sz w:val="18"/>
                <w:szCs w:val="18"/>
                <w:color w:val="auto"/>
              </w:rPr>
              <w:t>State</w:t>
            </w:r>
          </w:p>
        </w:tc>
        <w:tc>
          <w:tcPr>
            <w:tcW w:w="8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09"/>
        </w:trPr>
        <w:tc>
          <w:tcPr>
            <w:tcW w:w="7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deferred</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320" w:type="dxa"/>
            <w:vAlign w:val="bottom"/>
          </w:tcPr>
          <w:p>
            <w:pPr>
              <w:ind w:left="600"/>
              <w:spacing w:after="0"/>
              <w:rPr>
                <w:sz w:val="20"/>
                <w:szCs w:val="20"/>
                <w:color w:val="auto"/>
              </w:rPr>
            </w:pPr>
            <w:r>
              <w:rPr>
                <w:rFonts w:ascii="Arial" w:cs="Arial" w:eastAsia="Arial" w:hAnsi="Arial"/>
                <w:sz w:val="18"/>
                <w:szCs w:val="18"/>
                <w:color w:val="auto"/>
              </w:rPr>
              <w:t>Total (benefit) provision</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0"/>
        </w:trPr>
        <w:tc>
          <w:tcPr>
            <w:tcW w:w="7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provision for income taxes related to operations varies from the amount determined by applying the federal income tax statutory rate to the income or loss before income taxes. The reconciliation of these differences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080" w:type="dxa"/>
            <w:vAlign w:val="bottom"/>
            <w:gridSpan w:val="7"/>
          </w:tcPr>
          <w:p>
            <w:pPr>
              <w:jc w:val="right"/>
              <w:ind w:right="780"/>
              <w:spacing w:after="0"/>
              <w:rPr>
                <w:sz w:val="20"/>
                <w:szCs w:val="20"/>
                <w:color w:val="auto"/>
              </w:rPr>
            </w:pPr>
            <w:r>
              <w:rPr>
                <w:rFonts w:ascii="Arial" w:cs="Arial" w:eastAsia="Arial" w:hAnsi="Arial"/>
                <w:sz w:val="18"/>
                <w:szCs w:val="18"/>
                <w:b w:val="1"/>
                <w:bCs w:val="1"/>
                <w:color w:val="auto"/>
              </w:rPr>
              <w:t>For the Years Ended December 31,</w:t>
            </w:r>
          </w:p>
        </w:tc>
      </w:tr>
      <w:tr>
        <w:trPr>
          <w:trHeight w:val="209"/>
        </w:trPr>
        <w:tc>
          <w:tcPr>
            <w:tcW w:w="4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r>
      <w:tr>
        <w:trPr>
          <w:trHeight w:val="210"/>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Computed expected income tax provision</w:t>
            </w:r>
          </w:p>
        </w:tc>
        <w:tc>
          <w:tcPr>
            <w:tcW w:w="24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State income taxes, net of federal income tax benefit</w:t>
            </w:r>
          </w:p>
        </w:tc>
        <w:tc>
          <w:tcPr>
            <w:tcW w:w="35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valuation allowance for deferred tax assets</w:t>
            </w:r>
          </w:p>
        </w:tc>
        <w:tc>
          <w:tcPr>
            <w:tcW w:w="38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17.0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Cumulative deferred adjustments</w:t>
            </w:r>
          </w:p>
        </w:tc>
        <w:tc>
          <w:tcPr>
            <w:tcW w:w="352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to return adjustments</w:t>
            </w:r>
          </w:p>
        </w:tc>
        <w:tc>
          <w:tcPr>
            <w:tcW w:w="3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Other permanent differences</w:t>
            </w:r>
          </w:p>
        </w:tc>
        <w:tc>
          <w:tcPr>
            <w:tcW w:w="35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 and accretion on preferred stock</w:t>
            </w:r>
          </w:p>
        </w:tc>
        <w:tc>
          <w:tcPr>
            <w:tcW w:w="38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w:t>
            </w: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Gain on redemption of preferred stock</w:t>
            </w:r>
          </w:p>
        </w:tc>
        <w:tc>
          <w:tcPr>
            <w:tcW w:w="3840" w:type="dxa"/>
            <w:vAlign w:val="bottom"/>
            <w:gridSpan w:val="4"/>
          </w:tcPr>
          <w:p>
            <w:pPr>
              <w:jc w:val="right"/>
              <w:ind w:right="260"/>
              <w:spacing w:after="0"/>
              <w:rPr>
                <w:sz w:val="20"/>
                <w:szCs w:val="20"/>
                <w:color w:val="auto"/>
              </w:rPr>
            </w:pPr>
            <w:r>
              <w:rPr>
                <w:rFonts w:ascii="Arial" w:cs="Arial" w:eastAsia="Arial" w:hAnsi="Arial"/>
                <w:sz w:val="18"/>
                <w:szCs w:val="18"/>
                <w:color w:val="auto"/>
              </w:rPr>
              <w:t>(43.3)</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Section 162(m) limitation - covered employees</w:t>
            </w:r>
          </w:p>
        </w:tc>
        <w:tc>
          <w:tcPr>
            <w:tcW w:w="38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14.6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Capitalization of IPO transaction costs</w:t>
            </w:r>
          </w:p>
        </w:tc>
        <w:tc>
          <w:tcPr>
            <w:tcW w:w="352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 48 liability</w:t>
            </w:r>
          </w:p>
        </w:tc>
        <w:tc>
          <w:tcPr>
            <w:tcW w:w="3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R&amp;D credit</w:t>
            </w:r>
          </w:p>
        </w:tc>
        <w:tc>
          <w:tcPr>
            <w:tcW w:w="3840" w:type="dxa"/>
            <w:vAlign w:val="bottom"/>
            <w:gridSpan w:val="4"/>
          </w:tcPr>
          <w:p>
            <w:pPr>
              <w:jc w:val="right"/>
              <w:ind w:right="260"/>
              <w:spacing w:after="0"/>
              <w:rPr>
                <w:sz w:val="20"/>
                <w:szCs w:val="20"/>
                <w:color w:val="auto"/>
              </w:rPr>
            </w:pPr>
            <w:r>
              <w:rPr>
                <w:rFonts w:ascii="Arial" w:cs="Arial" w:eastAsia="Arial" w:hAnsi="Arial"/>
                <w:sz w:val="18"/>
                <w:szCs w:val="18"/>
                <w:color w:val="auto"/>
              </w:rPr>
              <w:t>(12.4)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w:t>
            </w:r>
          </w:p>
        </w:tc>
        <w:tc>
          <w:tcPr>
            <w:tcW w:w="38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(15.9)</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r>
      <w:tr>
        <w:trPr>
          <w:trHeight w:val="216"/>
        </w:trPr>
        <w:tc>
          <w:tcPr>
            <w:tcW w:w="4760" w:type="dxa"/>
            <w:vAlign w:val="bottom"/>
          </w:tcPr>
          <w:p>
            <w:pPr>
              <w:ind w:left="120"/>
              <w:spacing w:after="0"/>
              <w:rPr>
                <w:sz w:val="20"/>
                <w:szCs w:val="20"/>
                <w:color w:val="auto"/>
              </w:rPr>
            </w:pPr>
            <w:r>
              <w:rPr>
                <w:rFonts w:ascii="Arial" w:cs="Arial" w:eastAsia="Arial" w:hAnsi="Arial"/>
                <w:sz w:val="18"/>
                <w:szCs w:val="18"/>
                <w:color w:val="auto"/>
              </w:rPr>
              <w:t>Impact of Tax Act</w:t>
            </w:r>
          </w:p>
        </w:tc>
        <w:tc>
          <w:tcPr>
            <w:tcW w:w="24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r>
      <w:tr>
        <w:trPr>
          <w:trHeight w:val="20"/>
        </w:trPr>
        <w:tc>
          <w:tcPr>
            <w:tcW w:w="4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76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576"/>
        </w:trPr>
        <w:tc>
          <w:tcPr>
            <w:tcW w:w="4760" w:type="dxa"/>
            <w:vAlign w:val="bottom"/>
            <w:tcBorders>
              <w:top w:val="single" w:sz="8" w:color="CCEEFF"/>
            </w:tcBorders>
          </w:tcPr>
          <w:p>
            <w:pPr>
              <w:spacing w:after="0"/>
              <w:rPr>
                <w:sz w:val="24"/>
                <w:szCs w:val="24"/>
                <w:color w:val="auto"/>
              </w:rPr>
            </w:pPr>
          </w:p>
        </w:tc>
        <w:tc>
          <w:tcPr>
            <w:tcW w:w="2400" w:type="dxa"/>
            <w:vAlign w:val="bottom"/>
            <w:tcBorders>
              <w:top w:val="single" w:sz="8" w:color="CCEEFF"/>
            </w:tcBorders>
          </w:tcPr>
          <w:p>
            <w:pPr>
              <w:jc w:val="right"/>
              <w:ind w:right="1371"/>
              <w:spacing w:after="0"/>
              <w:rPr>
                <w:sz w:val="20"/>
                <w:szCs w:val="20"/>
                <w:color w:val="auto"/>
              </w:rPr>
            </w:pPr>
            <w:r>
              <w:rPr>
                <w:rFonts w:ascii="Arial" w:cs="Arial" w:eastAsia="Arial" w:hAnsi="Arial"/>
                <w:sz w:val="14"/>
                <w:szCs w:val="14"/>
                <w:color w:val="auto"/>
              </w:rPr>
              <w:t>64</w:t>
            </w:r>
          </w:p>
        </w:tc>
        <w:tc>
          <w:tcPr>
            <w:tcW w:w="11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6"/>
        </w:trPr>
        <w:tc>
          <w:tcPr>
            <w:tcW w:w="476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 are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598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Accounts receivable, principally due to allowance for doubtful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Allowance for inventory obsolescence and amortization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not currently deductible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Section 163(j) interest limitation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Net operating loss carryforwards - federal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carryforwards - state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Federal tax credit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gross deferred tax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56,870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Less valuation allowance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(52,198)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(7,206)</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tax assets, net of valuation allowance</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and depreciation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Unbilled accounts receivable, deferred for tax purposes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(853)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basis adjustment and amortization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Telos ID basis difference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tax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340"/>
              <w:spacing w:after="0"/>
              <w:rPr>
                <w:sz w:val="20"/>
                <w:szCs w:val="20"/>
                <w:color w:val="auto"/>
              </w:rPr>
            </w:pPr>
            <w:r>
              <w:rPr>
                <w:rFonts w:ascii="Arial" w:cs="Arial" w:eastAsia="Arial" w:hAnsi="Arial"/>
                <w:sz w:val="18"/>
                <w:szCs w:val="18"/>
                <w:color w:val="auto"/>
                <w:w w:val="96"/>
              </w:rPr>
              <w:t>The components of the valuation allowance are as follows (in thousands):</w:t>
            </w: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Balance</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Beginning of</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Balance End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Period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Additions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Recoveries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of Period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2020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44,992</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52,198</w:t>
            </w: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December 31, 2019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6,652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554</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7,206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2018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In March 2020, the Coronavirus Aid, Relief, and Economic Security Act (“CARES Act”) was enacted. The CARES Act, among other things, includes certain changes to U.S. tax law that impact the Company, including deferment of employer social security payments, modifications to interest deduction limitation rules, a technical correction to tax depreciation methods for certain qualified improvement property, and alternative minimum tax credit refund.</w:t>
      </w:r>
    </w:p>
    <w:p>
      <w:pPr>
        <w:spacing w:after="0" w:line="21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Beginning January 1, 2018, we are subject to several provisions of the Tax Act including computations under Section 162(m) executive compensation limitation and Section 163(j) interest limitation rules and we have considered the impact of each of these provisions as well as those under the CARES Act in our consolidated financial statements for the years ended December 31, 2020 and 2019.</w:t>
      </w:r>
    </w:p>
    <w:p>
      <w:pPr>
        <w:spacing w:after="0" w:line="21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are required to establish a valuation allowance for deferred tax assets if, based on the weight of available evidence, it is more likely than not that some portion or all of the deferred tax assets will not be realized. Based on available evidence, realization of deferred tax assets is dependent upon the generation of future taxable income. We considered projected future taxable income, tax planning strategies, and reversal of taxable temporary differences in making this assessment. As such, we have determined that a full valuation allowance is required as of December 31, 2020 and 2019. As a result of a full valuation allowance against our deferred tax assets and liabilities, a deferred tax liability related to goodwill remained on our consolidated balance sheets at December 31, 2020 and 2019.</w:t>
      </w:r>
    </w:p>
    <w:p>
      <w:pPr>
        <w:spacing w:after="0" w:line="219"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We recorded deferred tax assets and liabilities related to the purchase of an additional 50% interest in the partnership Telos ID, including a deferred tax asset of $44.9 million for tax-deductible goodwill generated in the transaction. We also recorded a corresponding valuation allowance against the additional deferred taxes.</w:t>
      </w:r>
    </w:p>
    <w:p>
      <w:pPr>
        <w:sectPr>
          <w:pgSz w:w="11900" w:h="16838" w:orient="portrait"/>
          <w:cols w:equalWidth="0" w:num="1">
            <w:col w:w="11240"/>
          </w:cols>
          <w:pgMar w:left="320" w:top="125"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ind w:right="260" w:firstLine="324"/>
        <w:spacing w:after="0" w:line="272" w:lineRule="auto"/>
        <w:rPr>
          <w:sz w:val="20"/>
          <w:szCs w:val="20"/>
          <w:color w:val="auto"/>
        </w:rPr>
      </w:pPr>
      <w:r>
        <w:rPr>
          <w:rFonts w:ascii="Arial" w:cs="Arial" w:eastAsia="Arial" w:hAnsi="Arial"/>
          <w:sz w:val="17"/>
          <w:szCs w:val="17"/>
          <w:color w:val="auto"/>
        </w:rPr>
        <w:t>At December 31, 2020, for federal income tax purposes there was approximately a $18.2 million net operating loss available to be carried forward to offset future taxable income. Approximately $10.6 million of these net operating loss carryforwards expire between 2035 and 2037, the remaining will be carried forward indefinitely. As of December 31, 2020, there was approximately $2.5 million of research and development credit carryover which begins to expire in 2033. Certain tax attributes of the Company, including net operating losses and credits, would be subject to a limitation should an ownership change as defined under Section 382 of the Internal Revenue Code of 1986, as amended, occur. The limitations resulting from a change in ownership could affect the Company’s ability to utilize its tax attributes. A study was completed in 2020 which confirmed that no limitation applies to the Company's tax attributes as of December 31, 2020.</w:t>
      </w:r>
    </w:p>
    <w:p>
      <w:pPr>
        <w:spacing w:after="0" w:line="204"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Under the provisions of ASC 740, we determined that there were approximately $763,000, $714,000, and $649,000 of unrecognized tax benefits as of December 31, 2020, 2019, and 2018, respectively. Included in the balance of unrecognized tax benefits as of December 31, 2020, 2019, and 2018 were $278,000, $369,000, and $369,000, respectively, of tax benefits that, if recognized, would impact the effective tax rate. Also included in the balance of unrecognized tax benefits as of December 31, 2020, 2019, and 2018 were $485,000, $345,000, and $280,000, respectively, of tax benefits that, if recognized, would not impact the effective tax rate due to the Company’s valuation allowance. The Company had accrued interest and penalties related to the unrecognized tax benefits of $241,000 and $304,000, which were recorded in other liabilities as of December 31, 2020 and 2019, respectively.</w:t>
      </w:r>
    </w:p>
    <w:p>
      <w:pPr>
        <w:spacing w:after="0" w:line="222"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We believe that the total amounts of unrecognized tax benefits will not significantly increase or decrease within the next 12 months. The period for which tax years are open, 2017 to 2020, has not been extended beyond the applicable statute of limitations. As of December 31, 2020, the Company is not under examination by any federal or state tax jurisdiction.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09"/>
        </w:trPr>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Unrecognized tax benefits, beginning of period</w:t>
            </w:r>
          </w:p>
        </w:tc>
        <w:tc>
          <w:tcPr>
            <w:tcW w:w="27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80"/>
              <w:spacing w:after="0"/>
              <w:rPr>
                <w:sz w:val="20"/>
                <w:szCs w:val="20"/>
                <w:color w:val="auto"/>
              </w:rPr>
            </w:pPr>
            <w:r>
              <w:rPr>
                <w:rFonts w:ascii="Arial" w:cs="Arial" w:eastAsia="Arial" w:hAnsi="Arial"/>
                <w:sz w:val="18"/>
                <w:szCs w:val="18"/>
                <w:color w:val="auto"/>
              </w:rPr>
              <w:t>(Decrease) increase in prior year tax positions</w:t>
            </w:r>
          </w:p>
        </w:tc>
        <w:tc>
          <w:tcPr>
            <w:tcW w:w="2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related to current year tax positions</w:t>
            </w:r>
          </w:p>
        </w:tc>
        <w:tc>
          <w:tcPr>
            <w:tcW w:w="2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4620" w:type="dxa"/>
            <w:vAlign w:val="bottom"/>
          </w:tcPr>
          <w:p>
            <w:pPr>
              <w:ind w:left="380"/>
              <w:spacing w:after="0"/>
              <w:rPr>
                <w:sz w:val="20"/>
                <w:szCs w:val="20"/>
                <w:color w:val="auto"/>
              </w:rPr>
            </w:pPr>
            <w:r>
              <w:rPr>
                <w:rFonts w:ascii="Arial" w:cs="Arial" w:eastAsia="Arial" w:hAnsi="Arial"/>
                <w:sz w:val="18"/>
                <w:szCs w:val="18"/>
                <w:color w:val="auto"/>
              </w:rPr>
              <w:t>Decrease related to lapse of statutes</w:t>
            </w:r>
          </w:p>
        </w:tc>
        <w:tc>
          <w:tcPr>
            <w:tcW w:w="2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50"/>
        </w:trPr>
        <w:tc>
          <w:tcPr>
            <w:tcW w:w="4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Unrecognized tax benefits, end of period</w:t>
            </w:r>
          </w:p>
        </w:tc>
        <w:tc>
          <w:tcPr>
            <w:tcW w:w="27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76"/>
        </w:trPr>
        <w:tc>
          <w:tcPr>
            <w:tcW w:w="4620" w:type="dxa"/>
            <w:vAlign w:val="bottom"/>
          </w:tcPr>
          <w:p>
            <w:pPr>
              <w:spacing w:after="0"/>
              <w:rPr>
                <w:sz w:val="24"/>
                <w:szCs w:val="24"/>
                <w:color w:val="auto"/>
              </w:rPr>
            </w:pPr>
          </w:p>
        </w:tc>
        <w:tc>
          <w:tcPr>
            <w:tcW w:w="2700" w:type="dxa"/>
            <w:vAlign w:val="bottom"/>
          </w:tcPr>
          <w:p>
            <w:pPr>
              <w:jc w:val="right"/>
              <w:ind w:right="1539"/>
              <w:spacing w:after="0"/>
              <w:rPr>
                <w:sz w:val="20"/>
                <w:szCs w:val="20"/>
                <w:color w:val="auto"/>
              </w:rPr>
            </w:pPr>
            <w:r>
              <w:rPr>
                <w:rFonts w:ascii="Arial" w:cs="Arial" w:eastAsia="Arial" w:hAnsi="Arial"/>
                <w:sz w:val="14"/>
                <w:szCs w:val="14"/>
                <w:color w:val="auto"/>
              </w:rPr>
              <w:t>66</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 w:lineRule="exact"/>
        <w:rPr>
          <w:sz w:val="20"/>
          <w:szCs w:val="20"/>
          <w:color w:val="auto"/>
        </w:rPr>
      </w:pPr>
    </w:p>
    <w:p>
      <w:pPr>
        <w:ind w:right="140" w:firstLine="324"/>
        <w:spacing w:after="0" w:line="260" w:lineRule="auto"/>
        <w:rPr>
          <w:sz w:val="20"/>
          <w:szCs w:val="20"/>
          <w:color w:val="auto"/>
        </w:rPr>
      </w:pPr>
      <w:r>
        <w:rPr>
          <w:rFonts w:ascii="Arial" w:cs="Arial" w:eastAsia="Arial" w:hAnsi="Arial"/>
          <w:sz w:val="18"/>
          <w:szCs w:val="18"/>
          <w:color w:val="auto"/>
        </w:rPr>
        <w:t>We lease office space and equipment under noncancelable operating and finance leases with various expiration dates, some of which contain renewal options.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3"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account for leases in accordance with ASC Topic 842, “Leases,” which requires lessees to recognize a right-of-use (“ROU”) asset and lease liability on the consolidated balance sheets and expands disclosures about leasing arrangements for both lessees and lessors, among other items, for most lease arrangements.</w:t>
      </w:r>
    </w:p>
    <w:p>
      <w:pPr>
        <w:spacing w:after="0" w:line="217" w:lineRule="exact"/>
        <w:rPr>
          <w:sz w:val="20"/>
          <w:szCs w:val="20"/>
          <w:color w:val="auto"/>
        </w:rPr>
      </w:pPr>
    </w:p>
    <w:p>
      <w:pPr>
        <w:ind w:right="140" w:firstLine="324"/>
        <w:spacing w:after="0" w:line="268" w:lineRule="auto"/>
        <w:rPr>
          <w:sz w:val="20"/>
          <w:szCs w:val="20"/>
          <w:color w:val="auto"/>
        </w:rPr>
      </w:pPr>
      <w:r>
        <w:rPr>
          <w:rFonts w:ascii="Arial" w:cs="Arial" w:eastAsia="Arial" w:hAnsi="Arial"/>
          <w:sz w:val="17"/>
          <w:szCs w:val="17"/>
          <w:color w:val="auto"/>
        </w:rPr>
        <w:t>In accordance with the adoption of ASC 842 on January 1, 2019, we recorded operating lease ROU assets, which represent our right to use an underlying asset for the lease term, and operating lease liabilities which represent our obligation to make lease payments. Generally, we enter into operating lease agreements for facilities. The amount of operating lease liabilities due within 12 months are recorded in other current liabilities, with the remaining operating lease liabilities recorded as non-current liabilities in our consolidated balance sheets based on their contractual due dates. The operating lease ROU assets and liabilities are recognized as of the lease commencement date at the present value of the lease payments over the lease term. Most of our leases do not provide an implicit rate that can readily be determined. Therefore, we use a discount rate based on our incremental borrowing rate which was 5.75% for all operating leases. Our operating lease agreements may include options to extend the lease term or terminate it early. We have included options to extend in the operating lease ROU assets and liabilities when we are reasonably certain that we will exercise such options. The weighted average remaining lease terms for our operating leases were approximately 2.5 years and 3.5 years at December 31, 2020 and 2019, respectively. The discount rates for our operating leases were 5.75% at December 31, 2020 and 2019. Operating lease expense is recognized as rent expense on a straight-line basis over the lease term. Some of our operating leases contain lease and non-lease components, which we account for as a single component. We evaluate ROU assets for impairment consistent with our property and equipment policy disclosure included in Note 1 – Summary of Significant Accounting Policies.</w:t>
      </w:r>
    </w:p>
    <w:p>
      <w:pPr>
        <w:spacing w:after="0" w:line="21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of December 31, 2020, operating lease ROU assets were $1.5 million and operating lease liabilities were $1.6 million, of which $0.9 million were classified as noncurrent.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23"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On March 1, 1996, we entered into a 20-year capital lease for a building in Ashburn, Virginia that serves as our corporate headquarters. We had accounted for this transaction as a capital lease and had accordingly recorded assets and a corresponding liability of approximately $12.3 million. Effective November 1, 2013, this lease was terminated and we entered into a 13-year lease (the “2013 lease”) that would have expired in October 31, 2026. The 2013 lease was treated as a modification in accordance with ASC 840, “Leases”. As a result of the 2013 lease, the corresponding capital asset and liability increased by $11.7 million, resulting in a net book value of the capital asset of $13.1 million, and capital obligation of $15.5 million. The 2013 lease included an option to purchase, assign to, or designate a purchaser on June 1, 2014, which required notice of intent to exercise the option by not later than March 31, 2014.</w:t>
      </w:r>
    </w:p>
    <w:p>
      <w:pPr>
        <w:spacing w:after="0" w:line="21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March 28, 2014, we entered into a definitive agreement with an unrelated third party to assign the purchase option to that third party in return for cash consideration of $1.7 million, payable upon the closing of the purchase transaction, and certain obligations under the agreement, including entering into a new 15-year lease with the third party upon the third party’s exercise of the purchase option and purchase of the building from the prior landlord. On March 28, 2014, we provided the prior landlord notice of our assignment and exercise of the purchase option. On May 28, 2014, the third party completed the purchase transaction and the 2013 lease was terminated, with no ongoing obligations, by mutual agreement between us and the prior landlord. On the same day we entered into a new lease (the “2014 lease”) with the third party that expires on May 31, 2029. The 2014 lease was treated as a modification of the prior lease on the property in accordance with ASC 840, and determined to be a capital lease. As a result of the 2014 lease, the corresponding capital asset increased by $5.7 million, resulting in a net book value of the capital asset of $18.3 million and the liability increased by $6.7 million, resulting in a capital obligation of $22.0 million. The weighted average remaining lease terms for finance leases were approximately 8.3 years and 9.3 years at December 31, 2020 and 2019, respectively. The discount rates for our finance leases were 5.04% at December 31, 2020 and 2019. In accordance with the 2014 Lease, the basic rent increases by a fixed 2.5% escalation annually.</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rFonts w:ascii="Arial" w:cs="Arial" w:eastAsia="Arial" w:hAnsi="Arial"/>
                <w:sz w:val="18"/>
                <w:szCs w:val="18"/>
                <w:i w:val="1"/>
                <w:iCs w:val="1"/>
                <w:color w:val="auto"/>
                <w:w w:val="88"/>
              </w:rPr>
            </w:pPr>
            <w:hyperlink w:anchor="page2">
              <w:r>
                <w:rPr>
                  <w:rFonts w:ascii="Arial" w:cs="Arial" w:eastAsia="Arial" w:hAnsi="Arial"/>
                  <w:sz w:val="18"/>
                  <w:szCs w:val="18"/>
                  <w:i w:val="1"/>
                  <w:iCs w:val="1"/>
                  <w:color w:val="auto"/>
                  <w:w w:val="88"/>
                </w:rPr>
                <w:t>Table of Contents</w:t>
              </w:r>
            </w:hyperlink>
          </w:p>
        </w:tc>
        <w:tc>
          <w:tcPr>
            <w:tcW w:w="40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Future minimum lease commitments at December 31, 2020 were as follows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Operating</w:t>
            </w:r>
          </w:p>
        </w:tc>
        <w:tc>
          <w:tcPr>
            <w:tcW w:w="18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Finance</w:t>
            </w:r>
          </w:p>
        </w:tc>
      </w:tr>
      <w:tr>
        <w:trPr>
          <w:trHeight w:val="248"/>
        </w:trPr>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Leases</w:t>
            </w:r>
          </w:p>
        </w:tc>
        <w:tc>
          <w:tcPr>
            <w:tcW w:w="18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Leases</w:t>
            </w:r>
          </w:p>
        </w:tc>
      </w:tr>
      <w:tr>
        <w:trPr>
          <w:trHeight w:val="210"/>
        </w:trPr>
        <w:tc>
          <w:tcPr>
            <w:tcW w:w="1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2021</w:t>
            </w:r>
          </w:p>
        </w:tc>
        <w:tc>
          <w:tcPr>
            <w:tcW w:w="4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ind w:left="24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2,149</w:t>
            </w:r>
          </w:p>
        </w:tc>
      </w:tr>
      <w:tr>
        <w:trPr>
          <w:trHeight w:val="216"/>
        </w:trPr>
        <w:tc>
          <w:tcPr>
            <w:tcW w:w="1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2,202</w:t>
            </w:r>
          </w:p>
        </w:tc>
      </w:tr>
      <w:tr>
        <w:trPr>
          <w:trHeight w:val="216"/>
        </w:trPr>
        <w:tc>
          <w:tcPr>
            <w:tcW w:w="1280" w:type="dxa"/>
            <w:vAlign w:val="bottom"/>
          </w:tcPr>
          <w:p>
            <w:pPr>
              <w:ind w:left="24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2,258</w:t>
            </w:r>
          </w:p>
        </w:tc>
      </w:tr>
      <w:tr>
        <w:trPr>
          <w:trHeight w:val="216"/>
        </w:trPr>
        <w:tc>
          <w:tcPr>
            <w:tcW w:w="1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w:t>
            </w:r>
          </w:p>
        </w:tc>
      </w:tr>
      <w:tr>
        <w:trPr>
          <w:trHeight w:val="216"/>
        </w:trPr>
        <w:tc>
          <w:tcPr>
            <w:tcW w:w="1680" w:type="dxa"/>
            <w:vAlign w:val="bottom"/>
            <w:gridSpan w:val="2"/>
          </w:tcPr>
          <w:p>
            <w:pPr>
              <w:ind w:left="240"/>
              <w:spacing w:after="0"/>
              <w:rPr>
                <w:sz w:val="20"/>
                <w:szCs w:val="20"/>
                <w:color w:val="auto"/>
              </w:rPr>
            </w:pPr>
            <w:r>
              <w:rPr>
                <w:rFonts w:ascii="Arial" w:cs="Arial" w:eastAsia="Arial" w:hAnsi="Arial"/>
                <w:sz w:val="18"/>
                <w:szCs w:val="18"/>
                <w:color w:val="auto"/>
              </w:rPr>
              <w:t>After 2025</w:t>
            </w:r>
          </w:p>
        </w:tc>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8,344</w:t>
            </w:r>
          </w:p>
        </w:tc>
      </w:tr>
      <w:tr>
        <w:trPr>
          <w:trHeight w:val="210"/>
        </w:trPr>
        <w:tc>
          <w:tcPr>
            <w:tcW w:w="8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 minimum lease payments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240"/>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(3,724)</w:t>
            </w:r>
          </w:p>
        </w:tc>
      </w:tr>
      <w:tr>
        <w:trPr>
          <w:trHeight w:val="209"/>
        </w:trPr>
        <w:tc>
          <w:tcPr>
            <w:tcW w:w="8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Net present value of minimum lease payments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15,640</w:t>
            </w:r>
          </w:p>
        </w:tc>
        <w:tc>
          <w:tcPr>
            <w:tcW w:w="100" w:type="dxa"/>
            <w:vAlign w:val="bottom"/>
            <w:shd w:val="clear" w:color="auto" w:fill="CCEEFF"/>
          </w:tcPr>
          <w:p>
            <w:pPr>
              <w:spacing w:after="0"/>
              <w:rPr>
                <w:sz w:val="18"/>
                <w:szCs w:val="18"/>
                <w:color w:val="auto"/>
              </w:rPr>
            </w:pPr>
          </w:p>
        </w:tc>
      </w:tr>
      <w:tr>
        <w:trPr>
          <w:trHeight w:val="216"/>
        </w:trPr>
        <w:tc>
          <w:tcPr>
            <w:tcW w:w="1680" w:type="dxa"/>
            <w:vAlign w:val="bottom"/>
            <w:gridSpan w:val="2"/>
          </w:tcPr>
          <w:p>
            <w:pPr>
              <w:ind w:left="240"/>
              <w:spacing w:after="0"/>
              <w:rPr>
                <w:sz w:val="20"/>
                <w:szCs w:val="20"/>
                <w:color w:val="auto"/>
              </w:rPr>
            </w:pPr>
            <w:r>
              <w:rPr>
                <w:rFonts w:ascii="Arial" w:cs="Arial" w:eastAsia="Arial" w:hAnsi="Arial"/>
                <w:sz w:val="18"/>
                <w:szCs w:val="18"/>
                <w:color w:val="auto"/>
                <w:w w:val="89"/>
              </w:rPr>
              <w:t>Less current portion</w:t>
            </w:r>
          </w:p>
        </w:tc>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(677)</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(1,339)</w:t>
            </w:r>
          </w:p>
        </w:tc>
      </w:tr>
      <w:tr>
        <w:trPr>
          <w:trHeight w:val="249"/>
        </w:trPr>
        <w:tc>
          <w:tcPr>
            <w:tcW w:w="86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Long-term lease obligations at December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40"/>
        </w:trPr>
        <w:tc>
          <w:tcPr>
            <w:tcW w:w="8680" w:type="dxa"/>
            <w:vAlign w:val="bottom"/>
            <w:gridSpan w:val="3"/>
          </w:tcPr>
          <w:p>
            <w:pPr>
              <w:ind w:left="660"/>
              <w:spacing w:after="0"/>
              <w:rPr>
                <w:sz w:val="20"/>
                <w:szCs w:val="20"/>
                <w:color w:val="auto"/>
              </w:rPr>
            </w:pPr>
            <w:r>
              <w:rPr>
                <w:rFonts w:ascii="Arial" w:cs="Arial" w:eastAsia="Arial" w:hAnsi="Arial"/>
                <w:sz w:val="18"/>
                <w:szCs w:val="18"/>
                <w:color w:val="auto"/>
              </w:rPr>
              <w:t>The components of lease expense were as follows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02"/>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5"/>
              </w:rPr>
              <w:t>Year Ended December 31,</w:t>
            </w:r>
          </w:p>
        </w:tc>
      </w:tr>
      <w:tr>
        <w:trPr>
          <w:trHeight w:val="209"/>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7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Short-term lease cost (1)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7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Amortization of finance lease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1,221</w:t>
            </w:r>
          </w:p>
        </w:tc>
      </w:tr>
      <w:tr>
        <w:trPr>
          <w:trHeight w:val="216"/>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Interest on finance lease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680" w:type="dxa"/>
            <w:vAlign w:val="bottom"/>
            <w:gridSpan w:val="3"/>
          </w:tcPr>
          <w:p>
            <w:pPr>
              <w:spacing w:after="0"/>
              <w:rPr>
                <w:sz w:val="20"/>
                <w:szCs w:val="20"/>
                <w:color w:val="auto"/>
              </w:rPr>
            </w:pPr>
            <w:r>
              <w:rPr>
                <w:rFonts w:ascii="Arial" w:cs="Arial" w:eastAsia="Arial" w:hAnsi="Arial"/>
                <w:sz w:val="18"/>
                <w:szCs w:val="18"/>
                <w:color w:val="auto"/>
              </w:rPr>
              <w:t>Total finance lease cost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2,102</w:t>
            </w:r>
          </w:p>
        </w:tc>
      </w:tr>
      <w:tr>
        <w:trPr>
          <w:trHeight w:val="250"/>
        </w:trPr>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7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1"/>
        </w:trPr>
        <w:tc>
          <w:tcPr>
            <w:tcW w:w="1280" w:type="dxa"/>
            <w:vAlign w:val="bottom"/>
          </w:tcPr>
          <w:p>
            <w:pPr>
              <w:ind w:left="8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Leases that have terms of 12 months or less.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5"/>
        </w:trPr>
        <w:tc>
          <w:tcPr>
            <w:tcW w:w="8680" w:type="dxa"/>
            <w:vAlign w:val="bottom"/>
            <w:gridSpan w:val="3"/>
          </w:tcPr>
          <w:p>
            <w:pPr>
              <w:ind w:left="660"/>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5"/>
              </w:rPr>
              <w:t>Year Ended December 31,</w:t>
            </w:r>
          </w:p>
        </w:tc>
      </w:tr>
      <w:tr>
        <w:trPr>
          <w:trHeight w:val="210"/>
        </w:trPr>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220"/>
              <w:spacing w:after="0"/>
              <w:rPr>
                <w:sz w:val="20"/>
                <w:szCs w:val="20"/>
                <w:color w:val="auto"/>
              </w:rPr>
            </w:pPr>
            <w:r>
              <w:rPr>
                <w:rFonts w:ascii="Arial" w:cs="Arial" w:eastAsia="Arial" w:hAnsi="Arial"/>
                <w:sz w:val="18"/>
                <w:szCs w:val="18"/>
                <w:color w:val="auto"/>
              </w:rPr>
              <w:t>Cash flows from operating activities - operating leases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r>
      <w:tr>
        <w:trPr>
          <w:trHeight w:val="216"/>
        </w:trPr>
        <w:tc>
          <w:tcPr>
            <w:tcW w:w="8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Cash flows from operating activities - finance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r>
      <w:tr>
        <w:trPr>
          <w:trHeight w:val="216"/>
        </w:trPr>
        <w:tc>
          <w:tcPr>
            <w:tcW w:w="8680" w:type="dxa"/>
            <w:vAlign w:val="bottom"/>
            <w:gridSpan w:val="3"/>
          </w:tcPr>
          <w:p>
            <w:pPr>
              <w:ind w:left="220"/>
              <w:spacing w:after="0"/>
              <w:rPr>
                <w:sz w:val="20"/>
                <w:szCs w:val="20"/>
                <w:color w:val="auto"/>
              </w:rPr>
            </w:pPr>
            <w:r>
              <w:rPr>
                <w:rFonts w:ascii="Arial" w:cs="Arial" w:eastAsia="Arial" w:hAnsi="Arial"/>
                <w:sz w:val="18"/>
                <w:szCs w:val="18"/>
                <w:color w:val="auto"/>
              </w:rPr>
              <w:t>Cash flows from financing activities - finance leases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ROU assets obtained in exchange for operating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charged to operations totaled $1.1 million, $1.2 million, and $1.6 million for 2020, 2019, and 2018, respectively.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Warranties</w:t>
      </w:r>
    </w:p>
    <w:p>
      <w:pPr>
        <w:spacing w:after="0" w:line="23" w:lineRule="exact"/>
        <w:rPr>
          <w:sz w:val="20"/>
          <w:szCs w:val="20"/>
          <w:color w:val="auto"/>
        </w:rPr>
      </w:pPr>
    </w:p>
    <w:p>
      <w:pPr>
        <w:ind w:right="300" w:firstLine="324"/>
        <w:spacing w:after="0" w:line="292" w:lineRule="auto"/>
        <w:rPr>
          <w:sz w:val="20"/>
          <w:szCs w:val="20"/>
          <w:color w:val="auto"/>
        </w:rPr>
      </w:pPr>
      <w:r>
        <w:rPr>
          <w:rFonts w:ascii="Arial" w:cs="Arial" w:eastAsia="Arial" w:hAnsi="Arial"/>
          <w:sz w:val="16"/>
          <w:szCs w:val="16"/>
          <w:color w:val="auto"/>
        </w:rPr>
        <w:t>We provide product warranties for products sold through certain U.S. Government contract vehicles. We accrue a warranty liability at the time that we recognize revenue for the estimated costs that may be incurred in connection with providing warranty coverage. Warranties are valued using historical warranty usage trends; however, if actual product failure rates or service delivery costs differ from estimates, revisions to the estimated warranty liability may be required. Accrued warranties were $30,000 as of December 31, 2020 and 2019, and are reported as other current liabilities in the consolidated balance sheets. There were no activities in accrued warranties for years ended December 31, 2020, 2019, and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Certain Relationships and Related Transactions</w:t>
      </w:r>
    </w:p>
    <w:p>
      <w:pPr>
        <w:spacing w:after="0" w:line="25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Information concerning certain relationships and related party transactions between us and certain of our current shareholders and officers is set forth below.</w:t>
      </w:r>
    </w:p>
    <w:p>
      <w:pPr>
        <w:spacing w:after="0" w:line="197"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The brother of our Chairman and CEO, Emmett J. Wood, has been an employee of ours since 1996. The amounts paid to this individual as compensation for 2020, 2019, and 2018 were $1,238,000, $529,000, and $552,000, respectively. Additionally, Mr. Wood owned 682,502 shares of the Company’s common stock as of December 31, 2020 and 2019.</w:t>
      </w:r>
    </w:p>
    <w:p>
      <w:pPr>
        <w:spacing w:after="0" w:line="21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March 31, 2015, the Company entered into the Porter Notes. Mr. Porter and Toxford Corporation, of which Mr. Porter is the sole shareholder, owned 35.0% of our Class A Common Stock. Under the terms of the Porter Notes, Porter lent the Company $2.5 million on or about March 31, 2015. According to the terms of the Porter Notes, the outstanding principal sum bore interest at the fixed rate of twelve percent (12%) per annum which would be payable in arrears in cash on the 20th day of each May, August, November and February, with the first interest payment date due on August 20, 2015. The Porter Notes did not call for amortization payments and were unsecured. The Porter Notes, in whole or in part, may be repaid at any time without premium or penalty. The unpaid principal, together with interest, was originally due and payable in full on July 1, 2017.</w:t>
      </w:r>
    </w:p>
    <w:p>
      <w:pPr>
        <w:spacing w:after="0" w:line="20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On April 18, 2017, we amended and restated the Porter Notes to reduce the interest rate from twelve percent (12%) to six percent (6%) per annum, to be accrued, and extended the maturity date from July 1, 2017 to July 25, 2022. Telos also entered into Intercreditor Agreements with Porter and EnCap, in which the Porter Notes were fully subordinated to the Credit Agreement and any subsequent senior lenders (including Action Capital), and payments under the Porter Notes were permitted only if certain conditions were met. All other terms remained in full force and effect. We incurred interest expense in the amount of $319,000, $330,000, and $308,000 for the years ended December 31, 2020, 2019, and 2018, respectively, on the Porter Notes.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November 23, 2020, upon the closing of the IPO, the Porter Notes were paid in full.</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9" w:name="page70"/>
    <w:bookmarkEnd w:id="69"/>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Summary of Selected Quarterly Financial Data (Unaudited)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selected quarterly financial data for the previous two fiscal years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8"/>
                <w:szCs w:val="18"/>
                <w:b w:val="1"/>
                <w:bCs w:val="1"/>
                <w:color w:val="auto"/>
              </w:rPr>
              <w:t>Quarters Ended</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March 31</w:t>
            </w: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June 30</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Sept. 30</w:t>
            </w:r>
          </w:p>
        </w:tc>
        <w:tc>
          <w:tcPr>
            <w:tcW w:w="18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Dec.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38,980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44,887</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12,242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17,573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16,562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16,043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income before income taxes and non-controlling interest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6"/>
        </w:trPr>
        <w:tc>
          <w:tcPr>
            <w:tcW w:w="5980" w:type="dxa"/>
            <w:vAlign w:val="bottom"/>
          </w:tcPr>
          <w:p>
            <w:pPr>
              <w:ind w:left="320"/>
              <w:spacing w:after="0"/>
              <w:rPr>
                <w:sz w:val="20"/>
                <w:szCs w:val="20"/>
                <w:color w:val="auto"/>
              </w:rPr>
            </w:pPr>
            <w:r>
              <w:rPr>
                <w:rFonts w:ascii="Arial" w:cs="Arial" w:eastAsia="Arial" w:hAnsi="Arial"/>
                <w:sz w:val="18"/>
                <w:szCs w:val="18"/>
                <w:color w:val="auto"/>
              </w:rPr>
              <w:t>Net (loss) income attributable to Telos Corporation (1)(2)</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(2,244)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Weighted-average common shares outstanding, basic</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38,073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38,583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39,002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50,383</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Weighted-average common shares outstanding, diluted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38,073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39,927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39,002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51,288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 net (loss) earnings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Diluted net (loss) earnings per share</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31,166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46,473</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8,976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10,015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16,313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17,040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income before income taxes and non-controlling interest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Net (loss) income attributable to Telos Corporation (1)(3)</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(3,413)</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(1,741)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2,233</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Weighted-average common shares outstanding, basic</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37,116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37,642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38,073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38,073</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Weighted-average common shares outstanding, diluted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37,116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37,642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39,931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38,073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 net (loss) earnings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5980" w:type="dxa"/>
            <w:vAlign w:val="bottom"/>
          </w:tcPr>
          <w:p>
            <w:pPr>
              <w:ind w:left="280"/>
              <w:spacing w:after="0"/>
              <w:rPr>
                <w:sz w:val="20"/>
                <w:szCs w:val="20"/>
                <w:color w:val="auto"/>
              </w:rPr>
            </w:pPr>
            <w:r>
              <w:rPr>
                <w:rFonts w:ascii="Arial" w:cs="Arial" w:eastAsia="Arial" w:hAnsi="Arial"/>
                <w:sz w:val="18"/>
                <w:szCs w:val="18"/>
                <w:color w:val="auto"/>
              </w:rPr>
              <w:t>Diluted net (loss) earnings per share</w:t>
            </w:r>
          </w:p>
        </w:tc>
        <w:tc>
          <w:tcPr>
            <w:tcW w:w="1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right="440" w:hanging="332"/>
        <w:spacing w:after="0" w:line="258"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net income are the result of several factors, including seasonality of the government year-end buying season, as well as the nature and timing of other deliverables.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income for the second quarter of 2020 is attributable to a change in the mix and timing of Telos ID deliverables.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income for the third quarter of 2019 is attributable to $2.6 million in proprietary software sales which carry lower cost of sales.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Contingencies, and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Condition and Liquidity</w:t>
      </w:r>
    </w:p>
    <w:p>
      <w:pPr>
        <w:spacing w:after="0" w:line="23" w:lineRule="exact"/>
        <w:rPr>
          <w:sz w:val="20"/>
          <w:szCs w:val="20"/>
          <w:color w:val="auto"/>
        </w:rPr>
      </w:pPr>
    </w:p>
    <w:p>
      <w:pPr>
        <w:ind w:right="240" w:firstLine="324"/>
        <w:spacing w:after="0" w:line="268" w:lineRule="auto"/>
        <w:rPr>
          <w:sz w:val="20"/>
          <w:szCs w:val="20"/>
          <w:color w:val="auto"/>
        </w:rPr>
      </w:pPr>
      <w:r>
        <w:rPr>
          <w:rFonts w:ascii="Arial" w:cs="Arial" w:eastAsia="Arial" w:hAnsi="Arial"/>
          <w:sz w:val="17"/>
          <w:szCs w:val="17"/>
          <w:color w:val="auto"/>
        </w:rPr>
        <w:t>While a variety of factors related to sources and uses of cash, such as timeliness of accounts receivable collections, vendor credit terms, or significant collateral requirements, ultimately impact our liquidity, such factors may or may not have a direct impact on our liquidity, based on how the transactions associated with such circumstances impact our availability under our credit arrangements. For example, a contractual requirement to post collateral for a duration of several months, depending on the materiality of the amount, could have an immediate negative effect on our liquidity, as such a circumstance would utilize cash resources without a near-term cash inflow back to us. Likewise, the release of such collateral could have a corresponding positive effect on our liquidity, as it would represent an addition to our cash resources without any corresponding near-term cash outflow. Similarly, a slow-down of payments from a customer, group of customers or government payment office would not have an immediate and direct effect on our availability unless the slowdown was material in amount and over an extended period of time. Any of these examples would have an impact on our cash resources, our financing arrangements, and therefore our liquidity.</w:t>
      </w:r>
    </w:p>
    <w:p>
      <w:pPr>
        <w:spacing w:after="0" w:line="208" w:lineRule="exact"/>
        <w:rPr>
          <w:sz w:val="20"/>
          <w:szCs w:val="20"/>
          <w:color w:val="auto"/>
        </w:rPr>
      </w:pPr>
    </w:p>
    <w:p>
      <w:pPr>
        <w:ind w:right="180" w:firstLine="324"/>
        <w:spacing w:after="0" w:line="289" w:lineRule="auto"/>
        <w:rPr>
          <w:sz w:val="20"/>
          <w:szCs w:val="20"/>
          <w:color w:val="auto"/>
        </w:rPr>
      </w:pPr>
      <w:r>
        <w:rPr>
          <w:rFonts w:ascii="Arial" w:cs="Arial" w:eastAsia="Arial" w:hAnsi="Arial"/>
          <w:sz w:val="16"/>
          <w:szCs w:val="16"/>
          <w:color w:val="auto"/>
        </w:rPr>
        <w:t>Upon the closing of our initial public offering, we issued 17.2 million shares of our common stock at a price of $17.00 per share, generating net proceeds of approximately $272.8 million. We used approximately $108.9 million of the net proceeds in connection with the ERPS Conversion (see Note 7 – Exchangeable Redeemable Preferred Stock Conversion), $30.0 million to fund our acquisition of the outstanding Class B Units of Telos ID (see Note 2 – Purchase of Telos ID/Non-controlling Interests), $21.0 million to repay our outstanding senior term loan and subordinated debt (see Note 6 – Debt Obligations). We intend to use the remaining net proceeds for general corporate purposes. We also may use a portion of the net proceeds to acquire complementary businesses, products, services, or technologies. However, we do not have agreements, commitments, or plans for any specific acquisitions at this time. The amounts and timing of our actual use of the net proceeds will vary depending on numerous factors. Proceeds held by us is invested in short-term investments until needed for the uses described above. We currently anticipate that we will retain all available funds for use in the operation and expansion of our business, and we do not anticipate paying any cash dividends on our common stock in the foreseeable future.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working capital was $105.2 million and $2.9 million as of December 31, 2020 and 2019, respectively.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Hamot et al. v. Telos Corporation</w:t>
      </w:r>
    </w:p>
    <w:p>
      <w:pPr>
        <w:spacing w:after="0" w:line="252"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As previously reported, beginning on August 2, 2007, Messrs. Seth W. Hamot (“Hamot”) and Andrew R. Siegel (“Siegel”), principals of Costa Brava Partnership III, L.P. (“Costa Brava”), were involved in litigation against the Company as Plaintiffs and Counter-defendants in the Circuit Court for Baltimore City, Maryland (the “Circuit Court”). Mr. Siegel was a Class D Director of the Company and Mr. Hamot was a Class D Director of the Company until his resignation on March 9, 2018. The Plaintiffs initially alleged that certain documents and records had not been provided to them promptly and were necessary to fulfill their duties as directors of the Company. Subsequently, Hamot and Siegel further alleged that the Company had failed to follow certain provisions concerning the noticing of Board committee meetings and the recording of Board meeting minutes and, additionally, that Mr. John Wood’s service as both CEO and Chairman of the Board was improper and impermissible under the Company’s Bylaws. On April 23, 2008, the Company filed a counterclaim against Hamot and Siegel for money damages and preliminary and injunctive relief based upon Hamot and Siegel’s interference with, and improper influence of, the Company’s independent auditors regarding, among other things, a specific accounting treatment. On June 27, 2008, the Circuit Court granted the Company’s motion for preliminary injunction and enjoined Hamot and Siegel from contacting the Company’s auditors until the completion of the Company’s Form 10-K for the preceding year, which injunction later expired by its own terms. As previously disclosed, trial on Hamot and Siegel’s claims and the Company’s counterclaims took place in July through September 2013, and the Court subsequently issued decisions on the various claims by way of memorandum opinions and orders dated September 11, 2017. Among other rulings, the Court found Hamot and Siegel liable for the intentional tort of tortious interference with the Company’s contractual relationship with one of its auditors and entered a monetary judgment in favor of the Company and against Hamot and Siegel for approximately $278,000. The Company’s subsequent appeal of the amount of damages awarded to it for Hamot and Siegel’s intentional interference was ultimately dismissed by way of the Mandate issued by the Court of Appeals of Maryland on October 11, 2019.</w:t>
      </w:r>
    </w:p>
    <w:p>
      <w:pPr>
        <w:spacing w:after="0" w:line="218"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Hamot (and later, his Estate) and Siegel on multiple occasions during this litigation have sought to be indemnified or to be awarded advancement of various attorney’s fees and expenses incurred by them in this litigation. On October 20, 2020, Hamot’s Estate and Siegel (together the “Plaintiffs”) filed their latest Motion for Indemnification of Legal Fees and Expenses against the Company in the Circuit Court for Baltimore City and a Request for a Hearing. The Motion demands that the Company indemnify the Plaintiffs for legal fees and expenses incurred in the sum of $2,540,000. The Company filed an Opposition to the Motion on November 4, 2020. On January 28, 2021, Plaintiffs filed a Motion for Leave to File Amended Motion for Indemnification of Legal Fees and Expenses, which the Company opposed, and which was granted by the Court on February 23, 2021, and briefing of the Amended Motion for Indemnification of Legal Fees and Expenses (“Amended Motion”) continues. A hearing is scheduled before the Court on Plaintiffs’ Amended Motion for Indemnification of Legal Fees and Expenses for May 18, 2021. The Company denies that it has any liability for indemnification to the Plaintiffs and intends to vigorously defend the matter through its opposition to the Amended Motion and further proceedings.</w:t>
      </w:r>
    </w:p>
    <w:p>
      <w:pPr>
        <w:spacing w:after="0" w:line="19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At this stage of the litigation, it is impossible to reasonably determine the degree of probability related to the Company’s success in relation to this claim by Hamot’s Estate and Siegel for indemnification for certain attorney’s fees and expenses incurred in this litigation. The Company intends to vigorously defend the matter.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Litigation</w:t>
      </w:r>
    </w:p>
    <w:p>
      <w:pPr>
        <w:spacing w:after="0" w:line="252"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In addition, the Company is a party to litigation arising in the ordinary course of business. In the opinion of management, while the results of such litigation cannot be predicted with any reasonable degree of certainty, the final outcome of such known matters will not, based upon all available information, have a material adverse effect on the Company's condensed consolidated financial position, results of operations or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52"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On January 25, 2021, we filed Form S-8 to register a total of 7,459,913 shares of common stock, par value $0.001 per share, to be issued under the terms and conditions of the 2016 Omnibus Long-Term Incentive Plan approved by the stockholders at a meeting held on October 26, 2020.</w:t>
      </w: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71" w:name="page72"/>
    <w:bookmarkEnd w:id="71"/>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the Effectiveness of Controls</w:t>
      </w:r>
    </w:p>
    <w:p>
      <w:pPr>
        <w:spacing w:after="0" w:line="23"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color w:val="auto"/>
        </w:rPr>
        <w:t>Our management, including the Chief Executive Officer and Chief Financial Officer, believes that our disclosure controls and procedures and internal control over financial reporting are effective at the reasonable assurance level. However, management does not expect that such disclosure controls and procedures or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As of December 31, 2020, an evaluation of the effectiveness of our disclosure controls and procedures (as defined in Rule 13a-15(e) and 15d-15(e) promulgated under the Exchange Act), was performed under the supervision and with the participation of our management, including the Chief Executive Officer and Chief Financial Officer. Based on that evaluation, our Chief Executive Officer and Chief Financial Officer have concluded that our disclosure controls and procedures are effective to ensure that information required to be disclosed by the Company in its reports that it files or submits under the Exchange Act is recorded, processed, summarized and reported within the time periods specified in the Securities and Exchange Commission rules and forms, and that information required to be disclosed by the Company in the reports the Company files or submits under the Exchange Act is accumulated and communicated to our management, including our Chief Executive Officer and Chief Financial Officer, as appropriate to allow timely decisions regarding required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 w:lineRule="exact"/>
        <w:rPr>
          <w:sz w:val="20"/>
          <w:szCs w:val="20"/>
          <w:color w:val="auto"/>
        </w:rPr>
      </w:pPr>
    </w:p>
    <w:p>
      <w:pPr>
        <w:ind w:right="20" w:firstLine="324"/>
        <w:spacing w:after="0" w:line="260" w:lineRule="auto"/>
        <w:rPr>
          <w:sz w:val="20"/>
          <w:szCs w:val="20"/>
          <w:color w:val="auto"/>
        </w:rPr>
      </w:pPr>
      <w:r>
        <w:rPr>
          <w:rFonts w:ascii="Arial" w:cs="Arial" w:eastAsia="Arial" w:hAnsi="Arial"/>
          <w:sz w:val="18"/>
          <w:szCs w:val="18"/>
          <w:color w:val="auto"/>
        </w:rPr>
        <w:t>There has been no change in our internal control over financial reporting during the year ended December 31, 2020 that has materially affected, or is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On March 23, 2021, the Board approved the Third Amended and Restated Bylaws of the Company. The only change was to Article III, Section 11, which transfers the responsibility of determining director compensation from the Audit Committee to the Compensation Committee. The Compensation Committee is already responsible for reviewing and determining the compensation of the officers and the consolidation of the responsibility for compensation of both officers and directors in the Compensation Committee was done for reasons of efficiency and coordination.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72" w:name="page73"/>
    <w:bookmarkEnd w:id="72"/>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Certain information required by Part III is omitted from this Annual Report on Form 10-K since we intend to file our definitive proxy statement for our 2021 annual meeting of stockholders, or the Proxy Statement, pursuant to Regulation 14A of the Securities Exchange Act of 1934, as amended, not later than 120 days after the end of the fiscal year covered by this Annual Report on Form 10-K, and certain information to be included in the Proxy Statement is incorporated herein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 w:lineRule="exact"/>
        <w:rPr>
          <w:sz w:val="20"/>
          <w:szCs w:val="20"/>
          <w:color w:val="auto"/>
        </w:rPr>
      </w:pPr>
    </w:p>
    <w:p>
      <w:pPr>
        <w:ind w:right="300" w:firstLine="324"/>
        <w:spacing w:after="0" w:line="290" w:lineRule="auto"/>
        <w:rPr>
          <w:sz w:val="20"/>
          <w:szCs w:val="20"/>
          <w:color w:val="auto"/>
        </w:rPr>
      </w:pPr>
      <w:r>
        <w:rPr>
          <w:rFonts w:ascii="Arial" w:cs="Arial" w:eastAsia="Arial" w:hAnsi="Arial"/>
          <w:sz w:val="16"/>
          <w:szCs w:val="16"/>
          <w:color w:val="auto"/>
        </w:rPr>
        <w:t>Information required by this item regarding executive officers, directors and nominees for directors, including information with respect to our audit committee and audit committee financial expert, and the compliance of certain reporting persons with Section 16(a) of the Securities Exchange Act of 1934, as amended, will be included under Election of Directors, Biographical Information Concerning the Company’s Executive Officers, Section 16(a) Beneficial Ownership Reporting Compliance, Corporate Governance, Independence of Directors, Board of Directors Nomination Process, Role in Risk Oversight, Meetings of the Board of Directors and Committees of the Board of Directors, as well as Audit Committee, Management Development and Compensation Committee, and Nominating and Corporate Governance Committee, in the Proxy Statement and is incorporated herein by reference.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67"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under Compensation of Executive Officers and Directors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67"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under Security Ownership of Certain Beneficial Owners and Management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67" w:lineRule="exact"/>
        <w:rPr>
          <w:sz w:val="20"/>
          <w:szCs w:val="20"/>
          <w:color w:val="auto"/>
        </w:rPr>
      </w:pPr>
    </w:p>
    <w:p>
      <w:pPr>
        <w:ind w:right="1020" w:firstLine="324"/>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under Certain Relationships and Related Transactions, and Independence of Directors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67"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under Independent Registered Public Accounting Firm and is incorporated herein by reference.</w:t>
      </w:r>
    </w:p>
    <w:p>
      <w:pPr>
        <w:spacing w:after="0" w:line="19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6" w:lineRule="exact"/>
        <w:rPr>
          <w:sz w:val="20"/>
          <w:szCs w:val="20"/>
          <w:color w:val="auto"/>
        </w:rPr>
      </w:pPr>
    </w:p>
    <w:p>
      <w:pPr>
        <w:ind w:left="700" w:hanging="368"/>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listed in the Index to Financial Statements and Supplementary Data on page 40.</w:t>
      </w:r>
    </w:p>
    <w:p>
      <w:pPr>
        <w:spacing w:after="0" w:line="252" w:lineRule="exact"/>
        <w:rPr>
          <w:sz w:val="20"/>
          <w:szCs w:val="20"/>
          <w:color w:val="auto"/>
        </w:rPr>
      </w:pPr>
    </w:p>
    <w:p>
      <w:pPr>
        <w:ind w:left="700" w:hanging="368"/>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52"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All schedules are omitted as the required information is not applicable or the information is presented in the consolidated financial statements or related notes.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28" w:lineRule="exact"/>
        <w:rPr>
          <w:sz w:val="20"/>
          <w:szCs w:val="20"/>
          <w:color w:val="auto"/>
        </w:rPr>
      </w:pPr>
    </w:p>
    <w:p>
      <w:pPr>
        <w:ind w:left="700" w:hanging="368"/>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Exhibit Number</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160" w:type="dxa"/>
            <w:vAlign w:val="bottom"/>
            <w:gridSpan w:val="20"/>
          </w:tcPr>
          <w:p>
            <w:pPr>
              <w:spacing w:after="0"/>
              <w:rPr>
                <w:sz w:val="20"/>
                <w:szCs w:val="20"/>
                <w:color w:val="auto"/>
              </w:rPr>
            </w:pPr>
            <w:r>
              <w:rPr>
                <w:rFonts w:ascii="Arial" w:cs="Arial" w:eastAsia="Arial" w:hAnsi="Arial"/>
                <w:sz w:val="18"/>
                <w:szCs w:val="18"/>
                <w:color w:val="auto"/>
              </w:rPr>
              <w:t>Description</w:t>
            </w:r>
          </w:p>
        </w:tc>
      </w:tr>
      <w:tr>
        <w:trPr>
          <w:trHeight w:val="20"/>
        </w:trPr>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420" w:type="dxa"/>
            <w:vAlign w:val="bottom"/>
          </w:tcPr>
          <w:p>
            <w:pPr>
              <w:spacing w:after="0"/>
              <w:rPr>
                <w:sz w:val="17"/>
                <w:szCs w:val="17"/>
                <w:color w:val="auto"/>
              </w:rPr>
            </w:pPr>
          </w:p>
        </w:tc>
        <w:tc>
          <w:tcPr>
            <w:tcW w:w="9520" w:type="dxa"/>
            <w:vAlign w:val="bottom"/>
            <w:gridSpan w:val="23"/>
          </w:tcPr>
          <w:p>
            <w:pPr>
              <w:spacing w:after="0" w:line="196" w:lineRule="exact"/>
              <w:rPr>
                <w:rFonts w:ascii="Arial" w:cs="Arial" w:eastAsia="Arial" w:hAnsi="Arial"/>
                <w:sz w:val="18"/>
                <w:szCs w:val="18"/>
                <w:color w:val="0000EE"/>
                <w:w w:val="95"/>
              </w:rPr>
            </w:pPr>
            <w:hyperlink r:id="rId77">
              <w:r>
                <w:rPr>
                  <w:rFonts w:ascii="Arial" w:cs="Arial" w:eastAsia="Arial" w:hAnsi="Arial"/>
                  <w:sz w:val="18"/>
                  <w:szCs w:val="18"/>
                  <w:color w:val="0000EE"/>
                  <w:w w:val="95"/>
                </w:rPr>
                <w:t xml:space="preserve">Articles of Amendment of Telos Corporation dated November 12, 2020 </w:t>
              </w:r>
            </w:hyperlink>
            <w:r>
              <w:rPr>
                <w:rFonts w:ascii="Arial" w:cs="Arial" w:eastAsia="Arial" w:hAnsi="Arial"/>
                <w:sz w:val="18"/>
                <w:szCs w:val="18"/>
                <w:color w:val="000000"/>
                <w:w w:val="95"/>
              </w:rPr>
              <w:t>(Incorporated</w:t>
            </w:r>
            <w:r>
              <w:rPr>
                <w:rFonts w:ascii="Arial" w:cs="Arial" w:eastAsia="Arial" w:hAnsi="Arial"/>
                <w:sz w:val="18"/>
                <w:szCs w:val="18"/>
                <w:color w:val="0000EE"/>
                <w:w w:val="95"/>
              </w:rPr>
              <w:t xml:space="preserve"> </w:t>
            </w:r>
            <w:r>
              <w:rPr>
                <w:rFonts w:ascii="Arial" w:cs="Arial" w:eastAsia="Arial" w:hAnsi="Arial"/>
                <w:sz w:val="18"/>
                <w:szCs w:val="18"/>
                <w:color w:val="000000"/>
                <w:w w:val="95"/>
              </w:rPr>
              <w:t>by reference to Exhibit 3.1 filed with the</w:t>
            </w:r>
          </w:p>
        </w:tc>
      </w:tr>
      <w:tr>
        <w:trPr>
          <w:trHeight w:val="20"/>
        </w:trPr>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20" w:type="dxa"/>
            <w:vAlign w:val="bottom"/>
            <w:gridSpan w:val="23"/>
          </w:tcPr>
          <w:p>
            <w:pPr>
              <w:spacing w:after="0"/>
              <w:rPr>
                <w:sz w:val="20"/>
                <w:szCs w:val="20"/>
                <w:color w:val="auto"/>
              </w:rPr>
            </w:pPr>
            <w:r>
              <w:rPr>
                <w:rFonts w:ascii="Arial" w:cs="Arial" w:eastAsia="Arial" w:hAnsi="Arial"/>
                <w:sz w:val="18"/>
                <w:szCs w:val="18"/>
                <w:color w:val="auto"/>
              </w:rPr>
              <w:t>Company’s Current Report on Form 8-K report on November 16, 2020)</w:t>
            </w:r>
          </w:p>
        </w:tc>
      </w:tr>
      <w:tr>
        <w:trPr>
          <w:trHeight w:val="190"/>
        </w:trPr>
        <w:tc>
          <w:tcPr>
            <w:tcW w:w="1300" w:type="dxa"/>
            <w:vAlign w:val="bottom"/>
            <w:gridSpan w:val="2"/>
          </w:tcPr>
          <w:p>
            <w:pPr>
              <w:jc w:val="right"/>
              <w:ind w:right="330"/>
              <w:spacing w:after="0" w:line="190" w:lineRule="exact"/>
              <w:rPr>
                <w:sz w:val="20"/>
                <w:szCs w:val="20"/>
                <w:color w:val="auto"/>
              </w:rPr>
            </w:pPr>
            <w:r>
              <w:rPr>
                <w:rFonts w:ascii="Arial" w:cs="Arial" w:eastAsia="Arial" w:hAnsi="Arial"/>
                <w:sz w:val="18"/>
                <w:szCs w:val="18"/>
                <w:color w:val="auto"/>
              </w:rPr>
              <w:t>3.2+</w:t>
            </w:r>
          </w:p>
        </w:tc>
        <w:tc>
          <w:tcPr>
            <w:tcW w:w="420" w:type="dxa"/>
            <w:vAlign w:val="bottom"/>
          </w:tcPr>
          <w:p>
            <w:pPr>
              <w:spacing w:after="0"/>
              <w:rPr>
                <w:sz w:val="16"/>
                <w:szCs w:val="16"/>
                <w:color w:val="auto"/>
              </w:rPr>
            </w:pPr>
          </w:p>
        </w:tc>
        <w:tc>
          <w:tcPr>
            <w:tcW w:w="6540" w:type="dxa"/>
            <w:vAlign w:val="bottom"/>
            <w:tcBorders>
              <w:bottom w:val="single" w:sz="8" w:color="0000EE"/>
            </w:tcBorders>
            <w:gridSpan w:val="8"/>
          </w:tcPr>
          <w:p>
            <w:pPr>
              <w:spacing w:after="0" w:line="190"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Third Amended and Restated Bylaws of Telos Corporation, effective as of March 23, 2021</w:t>
              </w:r>
            </w:hyperlink>
          </w:p>
        </w:tc>
        <w:tc>
          <w:tcPr>
            <w:tcW w:w="2980" w:type="dxa"/>
            <w:vAlign w:val="bottom"/>
            <w:gridSpan w:val="15"/>
          </w:tcPr>
          <w:p>
            <w:pPr>
              <w:spacing w:after="0"/>
              <w:rPr>
                <w:sz w:val="16"/>
                <w:szCs w:val="16"/>
                <w:color w:val="auto"/>
              </w:rPr>
            </w:pPr>
          </w:p>
        </w:tc>
      </w:tr>
      <w:tr>
        <w:trPr>
          <w:trHeight w:val="196"/>
        </w:trPr>
        <w:tc>
          <w:tcPr>
            <w:tcW w:w="13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87"/>
              </w:rPr>
              <w:t>4.1</w:t>
            </w:r>
          </w:p>
        </w:tc>
        <w:tc>
          <w:tcPr>
            <w:tcW w:w="420" w:type="dxa"/>
            <w:vAlign w:val="bottom"/>
          </w:tcPr>
          <w:p>
            <w:pPr>
              <w:spacing w:after="0"/>
              <w:rPr>
                <w:sz w:val="17"/>
                <w:szCs w:val="17"/>
                <w:color w:val="auto"/>
              </w:rPr>
            </w:pPr>
          </w:p>
        </w:tc>
        <w:tc>
          <w:tcPr>
            <w:tcW w:w="9520" w:type="dxa"/>
            <w:vAlign w:val="bottom"/>
            <w:gridSpan w:val="23"/>
          </w:tcPr>
          <w:p>
            <w:pPr>
              <w:spacing w:after="0" w:line="196" w:lineRule="exact"/>
              <w:rPr>
                <w:rFonts w:ascii="Arial" w:cs="Arial" w:eastAsia="Arial" w:hAnsi="Arial"/>
                <w:sz w:val="18"/>
                <w:szCs w:val="18"/>
                <w:color w:val="0000EE"/>
                <w:w w:val="95"/>
              </w:rPr>
            </w:pPr>
            <w:hyperlink r:id="rId78">
              <w:r>
                <w:rPr>
                  <w:rFonts w:ascii="Arial" w:cs="Arial" w:eastAsia="Arial" w:hAnsi="Arial"/>
                  <w:sz w:val="18"/>
                  <w:szCs w:val="18"/>
                  <w:color w:val="0000EE"/>
                  <w:w w:val="95"/>
                </w:rPr>
                <w:t>Credit Agreement, dated January 25, 2017, among Telos Corporation, Xacta Corporation, ubIQuity.com, Inc., Teloworks, Inc.,</w:t>
              </w:r>
            </w:hyperlink>
          </w:p>
        </w:tc>
      </w:tr>
      <w:tr>
        <w:trPr>
          <w:trHeight w:val="196"/>
        </w:trPr>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100" w:type="dxa"/>
            <w:vAlign w:val="bottom"/>
            <w:tcBorders>
              <w:top w:val="single" w:sz="8" w:color="0000EE"/>
            </w:tcBorders>
            <w:gridSpan w:val="19"/>
          </w:tcPr>
          <w:p>
            <w:pPr>
              <w:spacing w:after="0" w:line="196" w:lineRule="exact"/>
              <w:rPr>
                <w:rFonts w:ascii="Arial" w:cs="Arial" w:eastAsia="Arial" w:hAnsi="Arial"/>
                <w:sz w:val="18"/>
                <w:szCs w:val="18"/>
                <w:color w:val="0000EE"/>
                <w:w w:val="93"/>
              </w:rPr>
            </w:pPr>
            <w:hyperlink r:id="rId78">
              <w:r>
                <w:rPr>
                  <w:rFonts w:ascii="Arial" w:cs="Arial" w:eastAsia="Arial" w:hAnsi="Arial"/>
                  <w:sz w:val="18"/>
                  <w:szCs w:val="18"/>
                  <w:color w:val="0000EE"/>
                  <w:w w:val="93"/>
                </w:rPr>
                <w:t xml:space="preserve">Enlightenment Capital Solutions Fund II, L.P., and the lenders party thereto </w:t>
              </w:r>
              <w:r>
                <w:rPr>
                  <w:rFonts w:ascii="Arial" w:cs="Arial" w:eastAsia="Arial" w:hAnsi="Arial"/>
                  <w:sz w:val="18"/>
                  <w:szCs w:val="18"/>
                  <w:color w:val="000000"/>
                  <w:w w:val="93"/>
                </w:rPr>
                <w:t>(Incorporated by reference to Exhibit 4.1 to the</w:t>
              </w:r>
            </w:hyperlink>
          </w:p>
        </w:tc>
        <w:tc>
          <w:tcPr>
            <w:tcW w:w="420" w:type="dxa"/>
            <w:vAlign w:val="bottom"/>
            <w:gridSpan w:val="4"/>
          </w:tcPr>
          <w:p>
            <w:pPr>
              <w:spacing w:after="0"/>
              <w:rPr>
                <w:sz w:val="17"/>
                <w:szCs w:val="17"/>
                <w:color w:val="auto"/>
              </w:rPr>
            </w:pPr>
          </w:p>
        </w:tc>
      </w:tr>
      <w:tr>
        <w:trPr>
          <w:trHeight w:val="222"/>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Company’s Form 8-K filed on January 31, 2017)</w:t>
            </w:r>
          </w:p>
        </w:tc>
        <w:tc>
          <w:tcPr>
            <w:tcW w:w="4080" w:type="dxa"/>
            <w:vAlign w:val="bottom"/>
            <w:gridSpan w:val="17"/>
          </w:tcPr>
          <w:p>
            <w:pPr>
              <w:spacing w:after="0"/>
              <w:rPr>
                <w:sz w:val="19"/>
                <w:szCs w:val="19"/>
                <w:color w:val="auto"/>
              </w:rPr>
            </w:pPr>
          </w:p>
        </w:tc>
      </w:tr>
      <w:tr>
        <w:trPr>
          <w:trHeight w:val="190"/>
        </w:trPr>
        <w:tc>
          <w:tcPr>
            <w:tcW w:w="1300" w:type="dxa"/>
            <w:vAlign w:val="bottom"/>
            <w:gridSpan w:val="2"/>
          </w:tcPr>
          <w:p>
            <w:pPr>
              <w:jc w:val="center"/>
              <w:ind w:left="30"/>
              <w:spacing w:after="0" w:line="190" w:lineRule="exact"/>
              <w:rPr>
                <w:sz w:val="20"/>
                <w:szCs w:val="20"/>
                <w:color w:val="auto"/>
              </w:rPr>
            </w:pPr>
            <w:r>
              <w:rPr>
                <w:rFonts w:ascii="Arial" w:cs="Arial" w:eastAsia="Arial" w:hAnsi="Arial"/>
                <w:sz w:val="18"/>
                <w:szCs w:val="18"/>
                <w:color w:val="auto"/>
                <w:w w:val="87"/>
              </w:rPr>
              <w:t>4.2</w:t>
            </w:r>
          </w:p>
        </w:tc>
        <w:tc>
          <w:tcPr>
            <w:tcW w:w="420" w:type="dxa"/>
            <w:vAlign w:val="bottom"/>
          </w:tcPr>
          <w:p>
            <w:pPr>
              <w:spacing w:after="0"/>
              <w:rPr>
                <w:sz w:val="16"/>
                <w:szCs w:val="16"/>
                <w:color w:val="auto"/>
              </w:rPr>
            </w:pPr>
          </w:p>
        </w:tc>
        <w:tc>
          <w:tcPr>
            <w:tcW w:w="9520" w:type="dxa"/>
            <w:vAlign w:val="bottom"/>
            <w:gridSpan w:val="23"/>
          </w:tcPr>
          <w:p>
            <w:pPr>
              <w:spacing w:after="0" w:line="190" w:lineRule="exact"/>
              <w:rPr>
                <w:rFonts w:ascii="Arial" w:cs="Arial" w:eastAsia="Arial" w:hAnsi="Arial"/>
                <w:sz w:val="18"/>
                <w:szCs w:val="18"/>
                <w:color w:val="0000EE"/>
              </w:rPr>
            </w:pPr>
            <w:hyperlink r:id="rId79">
              <w:r>
                <w:rPr>
                  <w:rFonts w:ascii="Arial" w:cs="Arial" w:eastAsia="Arial" w:hAnsi="Arial"/>
                  <w:sz w:val="18"/>
                  <w:szCs w:val="18"/>
                  <w:color w:val="0000EE"/>
                </w:rPr>
                <w:t>First Amendment to Credit Agreement, effective as of February 23, 2017, among Telos Corporation, Xacta Corporation,</w:t>
              </w:r>
            </w:hyperlink>
          </w:p>
        </w:tc>
      </w:tr>
      <w:tr>
        <w:trPr>
          <w:trHeight w:val="20"/>
        </w:trPr>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20" w:type="dxa"/>
            <w:vAlign w:val="bottom"/>
            <w:gridSpan w:val="23"/>
          </w:tcPr>
          <w:p>
            <w:pPr>
              <w:spacing w:after="0" w:line="196" w:lineRule="exact"/>
              <w:rPr>
                <w:rFonts w:ascii="Arial" w:cs="Arial" w:eastAsia="Arial" w:hAnsi="Arial"/>
                <w:sz w:val="18"/>
                <w:szCs w:val="18"/>
                <w:color w:val="0000EE"/>
                <w:w w:val="93"/>
              </w:rPr>
            </w:pPr>
            <w:hyperlink r:id="rId79">
              <w:r>
                <w:rPr>
                  <w:rFonts w:ascii="Arial" w:cs="Arial" w:eastAsia="Arial" w:hAnsi="Arial"/>
                  <w:sz w:val="18"/>
                  <w:szCs w:val="18"/>
                  <w:color w:val="0000EE"/>
                  <w:w w:val="93"/>
                </w:rPr>
                <w:t xml:space="preserve">ubIQuity.com, Inc., Teloworks, Inc., Enlightenment Capital Solutions Fund II, L.P., and the lenders party thereto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w:t>
            </w:r>
          </w:p>
        </w:tc>
      </w:tr>
      <w:tr>
        <w:trPr>
          <w:trHeight w:val="222"/>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10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w w:val="95"/>
              </w:rPr>
              <w:t>reference to Exhibit 4.2 filed with the Company’s Form 10-K report for the year ended December 31, 2016)</w:t>
            </w:r>
          </w:p>
        </w:tc>
        <w:tc>
          <w:tcPr>
            <w:tcW w:w="1420" w:type="dxa"/>
            <w:vAlign w:val="bottom"/>
            <w:gridSpan w:val="12"/>
          </w:tcPr>
          <w:p>
            <w:pPr>
              <w:spacing w:after="0"/>
              <w:rPr>
                <w:sz w:val="19"/>
                <w:szCs w:val="19"/>
                <w:color w:val="auto"/>
              </w:rPr>
            </w:pPr>
          </w:p>
        </w:tc>
      </w:tr>
      <w:tr>
        <w:trPr>
          <w:trHeight w:val="190"/>
        </w:trPr>
        <w:tc>
          <w:tcPr>
            <w:tcW w:w="1300" w:type="dxa"/>
            <w:vAlign w:val="bottom"/>
            <w:gridSpan w:val="2"/>
          </w:tcPr>
          <w:p>
            <w:pPr>
              <w:jc w:val="center"/>
              <w:ind w:left="30"/>
              <w:spacing w:after="0" w:line="190" w:lineRule="exact"/>
              <w:rPr>
                <w:sz w:val="20"/>
                <w:szCs w:val="20"/>
                <w:color w:val="auto"/>
              </w:rPr>
            </w:pPr>
            <w:r>
              <w:rPr>
                <w:rFonts w:ascii="Arial" w:cs="Arial" w:eastAsia="Arial" w:hAnsi="Arial"/>
                <w:sz w:val="18"/>
                <w:szCs w:val="18"/>
                <w:color w:val="auto"/>
                <w:w w:val="87"/>
              </w:rPr>
              <w:t>4.3</w:t>
            </w:r>
          </w:p>
        </w:tc>
        <w:tc>
          <w:tcPr>
            <w:tcW w:w="420" w:type="dxa"/>
            <w:vAlign w:val="bottom"/>
          </w:tcPr>
          <w:p>
            <w:pPr>
              <w:spacing w:after="0"/>
              <w:rPr>
                <w:sz w:val="16"/>
                <w:szCs w:val="16"/>
                <w:color w:val="auto"/>
              </w:rPr>
            </w:pPr>
          </w:p>
        </w:tc>
        <w:tc>
          <w:tcPr>
            <w:tcW w:w="9420" w:type="dxa"/>
            <w:vAlign w:val="bottom"/>
            <w:tcBorders>
              <w:bottom w:val="single" w:sz="8" w:color="0000EE"/>
            </w:tcBorders>
            <w:gridSpan w:val="21"/>
          </w:tcPr>
          <w:p>
            <w:pPr>
              <w:spacing w:after="0" w:line="190"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Second Amendment to Credit Agreement, dated April 18, 2017, among Telos Corporation, Xacta Corporation, ubIQuity.com, Inc.,</w:t>
              </w:r>
            </w:hyperlink>
          </w:p>
        </w:tc>
        <w:tc>
          <w:tcPr>
            <w:tcW w:w="100" w:type="dxa"/>
            <w:vAlign w:val="bottom"/>
            <w:gridSpan w:val="2"/>
          </w:tcPr>
          <w:p>
            <w:pPr>
              <w:spacing w:after="0"/>
              <w:rPr>
                <w:sz w:val="16"/>
                <w:szCs w:val="16"/>
                <w:color w:val="auto"/>
              </w:rPr>
            </w:pPr>
          </w:p>
        </w:tc>
      </w:tr>
      <w:tr>
        <w:trPr>
          <w:trHeight w:val="196"/>
        </w:trPr>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20" w:type="dxa"/>
            <w:vAlign w:val="bottom"/>
            <w:gridSpan w:val="23"/>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 xml:space="preserve">Teloworks, Inc., Enlightenment Capital Solutions Fund II, L.P., and the lenders party thereto </w:t>
              </w:r>
              <w:r>
                <w:rPr>
                  <w:rFonts w:ascii="Arial" w:cs="Arial" w:eastAsia="Arial" w:hAnsi="Arial"/>
                  <w:sz w:val="18"/>
                  <w:szCs w:val="18"/>
                  <w:color w:val="000000"/>
                  <w:w w:val="92"/>
                </w:rPr>
                <w:t>(Incorporated by reference to Exhibit</w:t>
              </w:r>
            </w:hyperlink>
          </w:p>
        </w:tc>
      </w:tr>
      <w:tr>
        <w:trPr>
          <w:trHeight w:val="222"/>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6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4.1 filed with the Company’s Current Report on Form 8-K on April 24, 2017)</w:t>
            </w:r>
          </w:p>
        </w:tc>
        <w:tc>
          <w:tcPr>
            <w:tcW w:w="2860" w:type="dxa"/>
            <w:vAlign w:val="bottom"/>
            <w:gridSpan w:val="14"/>
          </w:tcPr>
          <w:p>
            <w:pPr>
              <w:spacing w:after="0"/>
              <w:rPr>
                <w:sz w:val="19"/>
                <w:szCs w:val="19"/>
                <w:color w:val="auto"/>
              </w:rPr>
            </w:pPr>
          </w:p>
        </w:tc>
      </w:tr>
      <w:tr>
        <w:trPr>
          <w:trHeight w:val="190"/>
        </w:trPr>
        <w:tc>
          <w:tcPr>
            <w:tcW w:w="1300" w:type="dxa"/>
            <w:vAlign w:val="bottom"/>
            <w:gridSpan w:val="2"/>
          </w:tcPr>
          <w:p>
            <w:pPr>
              <w:jc w:val="center"/>
              <w:ind w:left="30"/>
              <w:spacing w:after="0" w:line="190" w:lineRule="exact"/>
              <w:rPr>
                <w:sz w:val="20"/>
                <w:szCs w:val="20"/>
                <w:color w:val="auto"/>
              </w:rPr>
            </w:pPr>
            <w:r>
              <w:rPr>
                <w:rFonts w:ascii="Arial" w:cs="Arial" w:eastAsia="Arial" w:hAnsi="Arial"/>
                <w:sz w:val="18"/>
                <w:szCs w:val="18"/>
                <w:color w:val="auto"/>
                <w:w w:val="87"/>
              </w:rPr>
              <w:t>4.4</w:t>
            </w:r>
          </w:p>
        </w:tc>
        <w:tc>
          <w:tcPr>
            <w:tcW w:w="420" w:type="dxa"/>
            <w:vAlign w:val="bottom"/>
          </w:tcPr>
          <w:p>
            <w:pPr>
              <w:spacing w:after="0"/>
              <w:rPr>
                <w:sz w:val="16"/>
                <w:szCs w:val="16"/>
                <w:color w:val="auto"/>
              </w:rPr>
            </w:pPr>
          </w:p>
        </w:tc>
        <w:tc>
          <w:tcPr>
            <w:tcW w:w="9520" w:type="dxa"/>
            <w:vAlign w:val="bottom"/>
            <w:gridSpan w:val="23"/>
          </w:tcPr>
          <w:p>
            <w:pPr>
              <w:spacing w:after="0" w:line="190" w:lineRule="exact"/>
              <w:rPr>
                <w:rFonts w:ascii="Arial" w:cs="Arial" w:eastAsia="Arial" w:hAnsi="Arial"/>
                <w:sz w:val="18"/>
                <w:szCs w:val="18"/>
                <w:color w:val="0000EE"/>
                <w:w w:val="95"/>
              </w:rPr>
            </w:pPr>
            <w:hyperlink r:id="rId81">
              <w:r>
                <w:rPr>
                  <w:rFonts w:ascii="Arial" w:cs="Arial" w:eastAsia="Arial" w:hAnsi="Arial"/>
                  <w:sz w:val="18"/>
                  <w:szCs w:val="18"/>
                  <w:color w:val="0000EE"/>
                  <w:w w:val="95"/>
                </w:rPr>
                <w:t>Subordination and Intercreditor Agreement, dated April 18, 2017, among JP Charitable Foundation, Telos Corporation, Xacta</w:t>
              </w:r>
            </w:hyperlink>
          </w:p>
        </w:tc>
      </w:tr>
      <w:tr>
        <w:trPr>
          <w:trHeight w:val="20"/>
        </w:trPr>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20" w:type="dxa"/>
            <w:vAlign w:val="bottom"/>
            <w:gridSpan w:val="23"/>
          </w:tcPr>
          <w:p>
            <w:pPr>
              <w:spacing w:after="0" w:line="196" w:lineRule="exact"/>
              <w:rPr>
                <w:rFonts w:ascii="Arial" w:cs="Arial" w:eastAsia="Arial" w:hAnsi="Arial"/>
                <w:sz w:val="18"/>
                <w:szCs w:val="18"/>
                <w:color w:val="0000EE"/>
                <w:w w:val="93"/>
              </w:rPr>
            </w:pPr>
            <w:hyperlink r:id="rId81">
              <w:r>
                <w:rPr>
                  <w:rFonts w:ascii="Arial" w:cs="Arial" w:eastAsia="Arial" w:hAnsi="Arial"/>
                  <w:sz w:val="18"/>
                  <w:szCs w:val="18"/>
                  <w:color w:val="0000EE"/>
                  <w:w w:val="93"/>
                </w:rPr>
                <w:t xml:space="preserve">Corporation, ubIQuity.com, Inc., Teloworks, Inc., and Enlightenment Capital Solutions Fund II, L.P. </w:t>
              </w:r>
              <w:r>
                <w:rPr>
                  <w:rFonts w:ascii="Arial" w:cs="Arial" w:eastAsia="Arial" w:hAnsi="Arial"/>
                  <w:sz w:val="18"/>
                  <w:szCs w:val="18"/>
                  <w:color w:val="000000"/>
                  <w:w w:val="93"/>
                </w:rPr>
                <w:t xml:space="preserve">(Incorporated by reference </w:t>
              </w:r>
            </w:hyperlink>
            <w:r>
              <w:rPr>
                <w:rFonts w:ascii="Arial" w:cs="Arial" w:eastAsia="Arial" w:hAnsi="Arial"/>
                <w:sz w:val="18"/>
                <w:szCs w:val="18"/>
                <w:color w:val="0000EE"/>
                <w:w w:val="93"/>
              </w:rPr>
              <w:t>to</w:t>
            </w:r>
          </w:p>
        </w:tc>
      </w:tr>
      <w:tr>
        <w:trPr>
          <w:trHeight w:val="222"/>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2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Exhibit 4.2 filed with the Company’s Current Report on Form 8-K on April 24, 2017)</w:t>
            </w:r>
          </w:p>
        </w:tc>
        <w:tc>
          <w:tcPr>
            <w:tcW w:w="2300" w:type="dxa"/>
            <w:vAlign w:val="bottom"/>
            <w:gridSpan w:val="13"/>
          </w:tcPr>
          <w:p>
            <w:pPr>
              <w:spacing w:after="0"/>
              <w:rPr>
                <w:sz w:val="19"/>
                <w:szCs w:val="19"/>
                <w:color w:val="auto"/>
              </w:rPr>
            </w:pPr>
          </w:p>
        </w:tc>
      </w:tr>
      <w:tr>
        <w:trPr>
          <w:trHeight w:val="190"/>
        </w:trPr>
        <w:tc>
          <w:tcPr>
            <w:tcW w:w="1300" w:type="dxa"/>
            <w:vAlign w:val="bottom"/>
            <w:gridSpan w:val="2"/>
          </w:tcPr>
          <w:p>
            <w:pPr>
              <w:jc w:val="center"/>
              <w:ind w:left="30"/>
              <w:spacing w:after="0" w:line="190" w:lineRule="exact"/>
              <w:rPr>
                <w:sz w:val="20"/>
                <w:szCs w:val="20"/>
                <w:color w:val="auto"/>
              </w:rPr>
            </w:pPr>
            <w:r>
              <w:rPr>
                <w:rFonts w:ascii="Arial" w:cs="Arial" w:eastAsia="Arial" w:hAnsi="Arial"/>
                <w:sz w:val="18"/>
                <w:szCs w:val="18"/>
                <w:color w:val="auto"/>
                <w:w w:val="87"/>
              </w:rPr>
              <w:t>4.5</w:t>
            </w:r>
          </w:p>
        </w:tc>
        <w:tc>
          <w:tcPr>
            <w:tcW w:w="420" w:type="dxa"/>
            <w:vAlign w:val="bottom"/>
          </w:tcPr>
          <w:p>
            <w:pPr>
              <w:spacing w:after="0"/>
              <w:rPr>
                <w:sz w:val="16"/>
                <w:szCs w:val="16"/>
                <w:color w:val="auto"/>
              </w:rPr>
            </w:pPr>
          </w:p>
        </w:tc>
        <w:tc>
          <w:tcPr>
            <w:tcW w:w="9520" w:type="dxa"/>
            <w:vAlign w:val="bottom"/>
            <w:gridSpan w:val="23"/>
          </w:tcPr>
          <w:p>
            <w:pPr>
              <w:spacing w:after="0" w:line="190"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Subordination and Intercreditor Agreement, dated April 18, 2017, among Porter Foundation Switzerland, Telos Corporation, Xacta</w:t>
              </w:r>
            </w:hyperlink>
          </w:p>
        </w:tc>
      </w:tr>
      <w:tr>
        <w:trPr>
          <w:trHeight w:val="196"/>
        </w:trPr>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20" w:type="dxa"/>
            <w:vAlign w:val="bottom"/>
            <w:tcBorders>
              <w:top w:val="single" w:sz="8" w:color="0000EE"/>
            </w:tcBorders>
            <w:gridSpan w:val="21"/>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 xml:space="preserve">Corporation, ubIQuity.com, Inc., Teloworks, Inc., and Enlightenment Capital Solutions Fund II, L.P. </w:t>
              </w:r>
              <w:r>
                <w:rPr>
                  <w:rFonts w:ascii="Arial" w:cs="Arial" w:eastAsia="Arial" w:hAnsi="Arial"/>
                  <w:sz w:val="18"/>
                  <w:szCs w:val="18"/>
                  <w:color w:val="000000"/>
                  <w:w w:val="92"/>
                </w:rPr>
                <w:t>(Incorporated by reference to</w:t>
              </w:r>
            </w:hyperlink>
          </w:p>
        </w:tc>
        <w:tc>
          <w:tcPr>
            <w:tcW w:w="100" w:type="dxa"/>
            <w:vAlign w:val="bottom"/>
            <w:gridSpan w:val="2"/>
          </w:tcPr>
          <w:p>
            <w:pPr>
              <w:spacing w:after="0"/>
              <w:rPr>
                <w:sz w:val="17"/>
                <w:szCs w:val="17"/>
                <w:color w:val="auto"/>
              </w:rPr>
            </w:pPr>
          </w:p>
        </w:tc>
      </w:tr>
      <w:tr>
        <w:trPr>
          <w:trHeight w:val="222"/>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2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Exhibit 4.3 filed with the Company’s Current Report on Form 8-K on April 24, 2017)</w:t>
            </w:r>
          </w:p>
        </w:tc>
        <w:tc>
          <w:tcPr>
            <w:tcW w:w="2300" w:type="dxa"/>
            <w:vAlign w:val="bottom"/>
            <w:gridSpan w:val="13"/>
          </w:tcPr>
          <w:p>
            <w:pPr>
              <w:spacing w:after="0"/>
              <w:rPr>
                <w:sz w:val="19"/>
                <w:szCs w:val="19"/>
                <w:color w:val="auto"/>
              </w:rPr>
            </w:pPr>
          </w:p>
        </w:tc>
      </w:tr>
      <w:tr>
        <w:trPr>
          <w:trHeight w:val="190"/>
        </w:trPr>
        <w:tc>
          <w:tcPr>
            <w:tcW w:w="1300" w:type="dxa"/>
            <w:vAlign w:val="bottom"/>
            <w:gridSpan w:val="2"/>
          </w:tcPr>
          <w:p>
            <w:pPr>
              <w:jc w:val="center"/>
              <w:ind w:left="30"/>
              <w:spacing w:after="0" w:line="190" w:lineRule="exact"/>
              <w:rPr>
                <w:sz w:val="20"/>
                <w:szCs w:val="20"/>
                <w:color w:val="auto"/>
              </w:rPr>
            </w:pPr>
            <w:r>
              <w:rPr>
                <w:rFonts w:ascii="Arial" w:cs="Arial" w:eastAsia="Arial" w:hAnsi="Arial"/>
                <w:sz w:val="18"/>
                <w:szCs w:val="18"/>
                <w:color w:val="auto"/>
                <w:w w:val="87"/>
              </w:rPr>
              <w:t>4.6</w:t>
            </w:r>
          </w:p>
        </w:tc>
        <w:tc>
          <w:tcPr>
            <w:tcW w:w="420" w:type="dxa"/>
            <w:vAlign w:val="bottom"/>
          </w:tcPr>
          <w:p>
            <w:pPr>
              <w:spacing w:after="0"/>
              <w:rPr>
                <w:sz w:val="16"/>
                <w:szCs w:val="16"/>
                <w:color w:val="auto"/>
              </w:rPr>
            </w:pPr>
          </w:p>
        </w:tc>
        <w:tc>
          <w:tcPr>
            <w:tcW w:w="9520" w:type="dxa"/>
            <w:vAlign w:val="bottom"/>
            <w:gridSpan w:val="23"/>
          </w:tcPr>
          <w:p>
            <w:pPr>
              <w:spacing w:after="0" w:line="190"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First Amendment to Subordinated Loan Agreement, dated April 18, 2017, between Telos Corporation and JP Charitable Foundation</w:t>
              </w:r>
            </w:hyperlink>
          </w:p>
        </w:tc>
      </w:tr>
      <w:tr>
        <w:trPr>
          <w:trHeight w:val="222"/>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00" w:type="dxa"/>
            <w:vAlign w:val="bottom"/>
            <w:tcBorders>
              <w:top w:val="single" w:sz="8" w:color="0000EE"/>
            </w:tcBorders>
            <w:gridSpan w:val="22"/>
          </w:tcPr>
          <w:p>
            <w:pPr>
              <w:spacing w:after="0"/>
              <w:rPr>
                <w:sz w:val="20"/>
                <w:szCs w:val="20"/>
                <w:color w:val="auto"/>
              </w:rPr>
            </w:pPr>
            <w:r>
              <w:rPr>
                <w:rFonts w:ascii="Arial" w:cs="Arial" w:eastAsia="Arial" w:hAnsi="Arial"/>
                <w:sz w:val="18"/>
                <w:szCs w:val="18"/>
                <w:color w:val="auto"/>
              </w:rPr>
              <w:t>(Incorporated by reference to Exhibit 4.4 filed with the Company’s Current Report on Form 8-K on April 24, 2017)</w:t>
            </w:r>
          </w:p>
        </w:tc>
        <w:tc>
          <w:tcPr>
            <w:tcW w:w="20" w:type="dxa"/>
            <w:vAlign w:val="bottom"/>
          </w:tcPr>
          <w:p>
            <w:pPr>
              <w:spacing w:after="0"/>
              <w:rPr>
                <w:sz w:val="19"/>
                <w:szCs w:val="19"/>
                <w:color w:val="auto"/>
              </w:rPr>
            </w:pPr>
          </w:p>
        </w:tc>
      </w:tr>
      <w:tr>
        <w:trPr>
          <w:trHeight w:val="190"/>
        </w:trPr>
        <w:tc>
          <w:tcPr>
            <w:tcW w:w="1300" w:type="dxa"/>
            <w:vAlign w:val="bottom"/>
            <w:gridSpan w:val="2"/>
          </w:tcPr>
          <w:p>
            <w:pPr>
              <w:jc w:val="center"/>
              <w:ind w:left="30"/>
              <w:spacing w:after="0" w:line="190" w:lineRule="exact"/>
              <w:rPr>
                <w:sz w:val="20"/>
                <w:szCs w:val="20"/>
                <w:color w:val="auto"/>
              </w:rPr>
            </w:pPr>
            <w:r>
              <w:rPr>
                <w:rFonts w:ascii="Arial" w:cs="Arial" w:eastAsia="Arial" w:hAnsi="Arial"/>
                <w:sz w:val="18"/>
                <w:szCs w:val="18"/>
                <w:color w:val="auto"/>
                <w:w w:val="87"/>
              </w:rPr>
              <w:t>4.7</w:t>
            </w:r>
          </w:p>
        </w:tc>
        <w:tc>
          <w:tcPr>
            <w:tcW w:w="420" w:type="dxa"/>
            <w:vAlign w:val="bottom"/>
          </w:tcPr>
          <w:p>
            <w:pPr>
              <w:spacing w:after="0"/>
              <w:rPr>
                <w:sz w:val="16"/>
                <w:szCs w:val="16"/>
                <w:color w:val="auto"/>
              </w:rPr>
            </w:pPr>
          </w:p>
        </w:tc>
        <w:tc>
          <w:tcPr>
            <w:tcW w:w="9520" w:type="dxa"/>
            <w:vAlign w:val="bottom"/>
            <w:gridSpan w:val="23"/>
          </w:tcPr>
          <w:p>
            <w:pPr>
              <w:spacing w:after="0" w:line="190" w:lineRule="exact"/>
              <w:rPr>
                <w:rFonts w:ascii="Arial" w:cs="Arial" w:eastAsia="Arial" w:hAnsi="Arial"/>
                <w:sz w:val="18"/>
                <w:szCs w:val="18"/>
                <w:color w:val="0000EE"/>
                <w:w w:val="96"/>
              </w:rPr>
            </w:pPr>
            <w:hyperlink r:id="rId84">
              <w:r>
                <w:rPr>
                  <w:rFonts w:ascii="Arial" w:cs="Arial" w:eastAsia="Arial" w:hAnsi="Arial"/>
                  <w:sz w:val="18"/>
                  <w:szCs w:val="18"/>
                  <w:color w:val="0000EE"/>
                  <w:w w:val="96"/>
                </w:rPr>
                <w:t>First Amendment to Subordinated Loan Agreement, dated April 18, 2017, between Telos Corporation and Porter Foundation</w:t>
              </w:r>
            </w:hyperlink>
          </w:p>
        </w:tc>
      </w:tr>
      <w:tr>
        <w:trPr>
          <w:trHeight w:val="20"/>
        </w:trPr>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20" w:type="dxa"/>
            <w:vAlign w:val="bottom"/>
            <w:gridSpan w:val="23"/>
          </w:tcPr>
          <w:p>
            <w:pPr>
              <w:spacing w:after="0" w:line="196" w:lineRule="exact"/>
              <w:rPr>
                <w:rFonts w:ascii="Arial" w:cs="Arial" w:eastAsia="Arial" w:hAnsi="Arial"/>
                <w:sz w:val="18"/>
                <w:szCs w:val="18"/>
                <w:color w:val="0000EE"/>
                <w:w w:val="95"/>
              </w:rPr>
            </w:pPr>
            <w:hyperlink r:id="rId84">
              <w:r>
                <w:rPr>
                  <w:rFonts w:ascii="Arial" w:cs="Arial" w:eastAsia="Arial" w:hAnsi="Arial"/>
                  <w:sz w:val="18"/>
                  <w:szCs w:val="18"/>
                  <w:color w:val="0000EE"/>
                  <w:w w:val="95"/>
                </w:rPr>
                <w:t xml:space="preserve">Switzerland </w:t>
              </w:r>
              <w:r>
                <w:rPr>
                  <w:rFonts w:ascii="Arial" w:cs="Arial" w:eastAsia="Arial" w:hAnsi="Arial"/>
                  <w:sz w:val="18"/>
                  <w:szCs w:val="18"/>
                  <w:color w:val="000000"/>
                  <w:w w:val="95"/>
                </w:rPr>
                <w:t xml:space="preserve">(Incorporated by reference to Exhibit 4.5 filed with the Company’s Current Report on Form 8-K on April 24, </w:t>
              </w:r>
            </w:hyperlink>
            <w:r>
              <w:rPr>
                <w:rFonts w:ascii="Arial" w:cs="Arial" w:eastAsia="Arial" w:hAnsi="Arial"/>
                <w:sz w:val="18"/>
                <w:szCs w:val="18"/>
                <w:color w:val="0000EE"/>
                <w:w w:val="95"/>
              </w:rPr>
              <w:t>2017)</w:t>
            </w:r>
          </w:p>
        </w:tc>
      </w:tr>
      <w:tr>
        <w:trPr>
          <w:trHeight w:val="20"/>
        </w:trPr>
        <w:tc>
          <w:tcPr>
            <w:tcW w:w="1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13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87"/>
              </w:rPr>
              <w:t>4.8</w:t>
            </w:r>
          </w:p>
        </w:tc>
        <w:tc>
          <w:tcPr>
            <w:tcW w:w="420" w:type="dxa"/>
            <w:vAlign w:val="bottom"/>
          </w:tcPr>
          <w:p>
            <w:pPr>
              <w:spacing w:after="0"/>
              <w:rPr>
                <w:sz w:val="17"/>
                <w:szCs w:val="17"/>
                <w:color w:val="auto"/>
              </w:rPr>
            </w:pPr>
          </w:p>
        </w:tc>
        <w:tc>
          <w:tcPr>
            <w:tcW w:w="9520" w:type="dxa"/>
            <w:vAlign w:val="bottom"/>
            <w:gridSpan w:val="23"/>
          </w:tcPr>
          <w:p>
            <w:pPr>
              <w:spacing w:after="0" w:line="196" w:lineRule="exact"/>
              <w:rPr>
                <w:rFonts w:ascii="Arial" w:cs="Arial" w:eastAsia="Arial" w:hAnsi="Arial"/>
                <w:sz w:val="18"/>
                <w:szCs w:val="18"/>
                <w:color w:val="0000EE"/>
                <w:w w:val="96"/>
              </w:rPr>
            </w:pPr>
            <w:hyperlink r:id="rId85">
              <w:r>
                <w:rPr>
                  <w:rFonts w:ascii="Arial" w:cs="Arial" w:eastAsia="Arial" w:hAnsi="Arial"/>
                  <w:sz w:val="18"/>
                  <w:szCs w:val="18"/>
                  <w:color w:val="0000EE"/>
                  <w:w w:val="96"/>
                </w:rPr>
                <w:t>Amended and Restated Subordinated Promissory Note, dated April 18, 2017, by Telos Corporation in favor of JP Charitable</w:t>
              </w:r>
            </w:hyperlink>
          </w:p>
        </w:tc>
      </w:tr>
      <w:tr>
        <w:trPr>
          <w:trHeight w:val="20"/>
        </w:trPr>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20" w:type="dxa"/>
            <w:vAlign w:val="bottom"/>
            <w:gridSpan w:val="23"/>
          </w:tcPr>
          <w:p>
            <w:pPr>
              <w:spacing w:after="0" w:line="196" w:lineRule="exact"/>
              <w:rPr>
                <w:rFonts w:ascii="Arial" w:cs="Arial" w:eastAsia="Arial" w:hAnsi="Arial"/>
                <w:sz w:val="18"/>
                <w:szCs w:val="18"/>
                <w:color w:val="0000EE"/>
                <w:w w:val="95"/>
              </w:rPr>
            </w:pPr>
            <w:hyperlink r:id="rId85">
              <w:r>
                <w:rPr>
                  <w:rFonts w:ascii="Arial" w:cs="Arial" w:eastAsia="Arial" w:hAnsi="Arial"/>
                  <w:sz w:val="18"/>
                  <w:szCs w:val="18"/>
                  <w:color w:val="0000EE"/>
                  <w:w w:val="95"/>
                </w:rPr>
                <w:t xml:space="preserve">Foundation </w:t>
              </w:r>
              <w:r>
                <w:rPr>
                  <w:rFonts w:ascii="Arial" w:cs="Arial" w:eastAsia="Arial" w:hAnsi="Arial"/>
                  <w:sz w:val="18"/>
                  <w:szCs w:val="18"/>
                  <w:color w:val="000000"/>
                  <w:w w:val="95"/>
                </w:rPr>
                <w:t xml:space="preserve">(Incorporated by reference to Exhibit 4.6 filed with the Company’s Current Report on Form 8-K on April 24, </w:t>
              </w:r>
            </w:hyperlink>
            <w:r>
              <w:rPr>
                <w:rFonts w:ascii="Arial" w:cs="Arial" w:eastAsia="Arial" w:hAnsi="Arial"/>
                <w:sz w:val="18"/>
                <w:szCs w:val="18"/>
                <w:color w:val="0000EE"/>
                <w:w w:val="95"/>
              </w:rPr>
              <w:t>2017)</w:t>
            </w:r>
          </w:p>
        </w:tc>
      </w:tr>
      <w:tr>
        <w:trPr>
          <w:trHeight w:val="20"/>
        </w:trPr>
        <w:tc>
          <w:tcPr>
            <w:tcW w:w="1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13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87"/>
              </w:rPr>
              <w:t>4.9</w:t>
            </w:r>
          </w:p>
        </w:tc>
        <w:tc>
          <w:tcPr>
            <w:tcW w:w="420" w:type="dxa"/>
            <w:vAlign w:val="bottom"/>
          </w:tcPr>
          <w:p>
            <w:pPr>
              <w:spacing w:after="0"/>
              <w:rPr>
                <w:sz w:val="17"/>
                <w:szCs w:val="17"/>
                <w:color w:val="auto"/>
              </w:rPr>
            </w:pPr>
          </w:p>
        </w:tc>
        <w:tc>
          <w:tcPr>
            <w:tcW w:w="9520" w:type="dxa"/>
            <w:vAlign w:val="bottom"/>
            <w:gridSpan w:val="23"/>
          </w:tcPr>
          <w:p>
            <w:pPr>
              <w:spacing w:after="0" w:line="196" w:lineRule="exact"/>
              <w:rPr>
                <w:rFonts w:ascii="Arial" w:cs="Arial" w:eastAsia="Arial" w:hAnsi="Arial"/>
                <w:sz w:val="18"/>
                <w:szCs w:val="18"/>
                <w:color w:val="0000EE"/>
                <w:w w:val="93"/>
              </w:rPr>
            </w:pPr>
            <w:hyperlink r:id="rId86">
              <w:r>
                <w:rPr>
                  <w:rFonts w:ascii="Arial" w:cs="Arial" w:eastAsia="Arial" w:hAnsi="Arial"/>
                  <w:sz w:val="18"/>
                  <w:szCs w:val="18"/>
                  <w:color w:val="0000EE"/>
                  <w:w w:val="93"/>
                </w:rPr>
                <w:t>Amended and Restated Subordinated Promissory Note, dated April 18, 2017, by Telos Corporation in favor of Porter Foundation</w:t>
              </w:r>
            </w:hyperlink>
          </w:p>
        </w:tc>
      </w:tr>
      <w:tr>
        <w:trPr>
          <w:trHeight w:val="196"/>
        </w:trPr>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tcBorders>
              <w:top w:val="single" w:sz="8" w:color="0000EE"/>
            </w:tcBorders>
            <w:gridSpan w:val="20"/>
          </w:tcPr>
          <w:p>
            <w:pPr>
              <w:spacing w:after="0" w:line="196" w:lineRule="exact"/>
              <w:rPr>
                <w:rFonts w:ascii="Arial" w:cs="Arial" w:eastAsia="Arial" w:hAnsi="Arial"/>
                <w:sz w:val="18"/>
                <w:szCs w:val="18"/>
                <w:color w:val="0000EE"/>
                <w:w w:val="93"/>
              </w:rPr>
            </w:pPr>
            <w:hyperlink r:id="rId86">
              <w:r>
                <w:rPr>
                  <w:rFonts w:ascii="Arial" w:cs="Arial" w:eastAsia="Arial" w:hAnsi="Arial"/>
                  <w:sz w:val="18"/>
                  <w:szCs w:val="18"/>
                  <w:color w:val="0000EE"/>
                  <w:w w:val="93"/>
                </w:rPr>
                <w:t xml:space="preserve">Switzerland </w:t>
              </w:r>
              <w:r>
                <w:rPr>
                  <w:rFonts w:ascii="Arial" w:cs="Arial" w:eastAsia="Arial" w:hAnsi="Arial"/>
                  <w:sz w:val="18"/>
                  <w:szCs w:val="18"/>
                  <w:color w:val="000000"/>
                  <w:w w:val="93"/>
                </w:rPr>
                <w:t>(Incorporated by reference to Exhibit 4.7 filed with the Company’s Current Report on Form 8-K on April 24, 2017)</w:t>
              </w:r>
            </w:hyperlink>
          </w:p>
        </w:tc>
        <w:tc>
          <w:tcPr>
            <w:tcW w:w="240" w:type="dxa"/>
            <w:vAlign w:val="bottom"/>
            <w:gridSpan w:val="3"/>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r>
      <w:tr>
        <w:trPr>
          <w:trHeight w:val="196"/>
        </w:trPr>
        <w:tc>
          <w:tcPr>
            <w:tcW w:w="13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85"/>
              </w:rPr>
              <w:t>4.10</w:t>
            </w:r>
          </w:p>
        </w:tc>
        <w:tc>
          <w:tcPr>
            <w:tcW w:w="420" w:type="dxa"/>
            <w:vAlign w:val="bottom"/>
          </w:tcPr>
          <w:p>
            <w:pPr>
              <w:spacing w:after="0"/>
              <w:rPr>
                <w:sz w:val="17"/>
                <w:szCs w:val="17"/>
                <w:color w:val="auto"/>
              </w:rPr>
            </w:pPr>
          </w:p>
        </w:tc>
        <w:tc>
          <w:tcPr>
            <w:tcW w:w="9520" w:type="dxa"/>
            <w:vAlign w:val="bottom"/>
            <w:gridSpan w:val="23"/>
          </w:tcPr>
          <w:p>
            <w:pPr>
              <w:spacing w:after="0" w:line="196" w:lineRule="exact"/>
              <w:rPr>
                <w:rFonts w:ascii="Arial" w:cs="Arial" w:eastAsia="Arial" w:hAnsi="Arial"/>
                <w:sz w:val="18"/>
                <w:szCs w:val="18"/>
                <w:color w:val="0000EE"/>
                <w:w w:val="98"/>
              </w:rPr>
            </w:pPr>
            <w:hyperlink r:id="rId87">
              <w:r>
                <w:rPr>
                  <w:rFonts w:ascii="Arial" w:cs="Arial" w:eastAsia="Arial" w:hAnsi="Arial"/>
                  <w:sz w:val="18"/>
                  <w:szCs w:val="18"/>
                  <w:color w:val="0000EE"/>
                  <w:w w:val="98"/>
                </w:rPr>
                <w:t>Third Amendment to Credit Agreement and Waiver, dated March 30, 2018, among Telos Corporation, Xacta Corporation,</w:t>
              </w:r>
            </w:hyperlink>
          </w:p>
        </w:tc>
      </w:tr>
      <w:tr>
        <w:trPr>
          <w:trHeight w:val="20"/>
        </w:trPr>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20" w:type="dxa"/>
            <w:vAlign w:val="bottom"/>
            <w:gridSpan w:val="23"/>
          </w:tcPr>
          <w:p>
            <w:pPr>
              <w:spacing w:after="0" w:line="196" w:lineRule="exact"/>
              <w:rPr>
                <w:rFonts w:ascii="Arial" w:cs="Arial" w:eastAsia="Arial" w:hAnsi="Arial"/>
                <w:sz w:val="18"/>
                <w:szCs w:val="18"/>
                <w:color w:val="0000EE"/>
                <w:w w:val="93"/>
              </w:rPr>
            </w:pPr>
            <w:hyperlink r:id="rId87">
              <w:r>
                <w:rPr>
                  <w:rFonts w:ascii="Arial" w:cs="Arial" w:eastAsia="Arial" w:hAnsi="Arial"/>
                  <w:sz w:val="18"/>
                  <w:szCs w:val="18"/>
                  <w:color w:val="0000EE"/>
                  <w:w w:val="93"/>
                </w:rPr>
                <w:t xml:space="preserve">ubIQuity.com, Inc., Teloworks, Inc., Enlightenment Capital Solutions Fund II, L.P., and the lenders party thereto </w:t>
              </w:r>
              <w:r>
                <w:rPr>
                  <w:rFonts w:ascii="Arial" w:cs="Arial" w:eastAsia="Arial" w:hAnsi="Arial"/>
                  <w:sz w:val="18"/>
                  <w:szCs w:val="18"/>
                  <w:color w:val="000000"/>
                  <w:w w:val="93"/>
                </w:rPr>
                <w:t xml:space="preserve">(Incorporated </w:t>
              </w:r>
            </w:hyperlink>
            <w:r>
              <w:rPr>
                <w:rFonts w:ascii="Arial" w:cs="Arial" w:eastAsia="Arial" w:hAnsi="Arial"/>
                <w:sz w:val="18"/>
                <w:szCs w:val="18"/>
                <w:color w:val="0000EE"/>
                <w:w w:val="93"/>
              </w:rPr>
              <w:t>by</w:t>
            </w:r>
          </w:p>
        </w:tc>
      </w:tr>
      <w:tr>
        <w:trPr>
          <w:trHeight w:val="222"/>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10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w w:val="94"/>
              </w:rPr>
              <w:t>reference to Exhibit 4.10 filed with the Company’s Form 10-K report for the year ended December 31, 2017)</w:t>
            </w:r>
          </w:p>
        </w:tc>
        <w:tc>
          <w:tcPr>
            <w:tcW w:w="1420" w:type="dxa"/>
            <w:vAlign w:val="bottom"/>
            <w:gridSpan w:val="12"/>
          </w:tcPr>
          <w:p>
            <w:pPr>
              <w:spacing w:after="0"/>
              <w:rPr>
                <w:sz w:val="19"/>
                <w:szCs w:val="19"/>
                <w:color w:val="auto"/>
              </w:rPr>
            </w:pPr>
          </w:p>
        </w:tc>
      </w:tr>
      <w:tr>
        <w:trPr>
          <w:trHeight w:val="190"/>
        </w:trPr>
        <w:tc>
          <w:tcPr>
            <w:tcW w:w="1300" w:type="dxa"/>
            <w:vAlign w:val="bottom"/>
            <w:gridSpan w:val="2"/>
          </w:tcPr>
          <w:p>
            <w:pPr>
              <w:jc w:val="center"/>
              <w:ind w:left="30"/>
              <w:spacing w:after="0" w:line="190" w:lineRule="exact"/>
              <w:rPr>
                <w:sz w:val="20"/>
                <w:szCs w:val="20"/>
                <w:color w:val="auto"/>
              </w:rPr>
            </w:pPr>
            <w:r>
              <w:rPr>
                <w:rFonts w:ascii="Arial" w:cs="Arial" w:eastAsia="Arial" w:hAnsi="Arial"/>
                <w:sz w:val="18"/>
                <w:szCs w:val="18"/>
                <w:color w:val="auto"/>
                <w:w w:val="85"/>
              </w:rPr>
              <w:t>4.11</w:t>
            </w:r>
          </w:p>
        </w:tc>
        <w:tc>
          <w:tcPr>
            <w:tcW w:w="420" w:type="dxa"/>
            <w:vAlign w:val="bottom"/>
          </w:tcPr>
          <w:p>
            <w:pPr>
              <w:spacing w:after="0"/>
              <w:rPr>
                <w:sz w:val="16"/>
                <w:szCs w:val="16"/>
                <w:color w:val="auto"/>
              </w:rPr>
            </w:pPr>
          </w:p>
        </w:tc>
        <w:tc>
          <w:tcPr>
            <w:tcW w:w="9520" w:type="dxa"/>
            <w:vAlign w:val="bottom"/>
            <w:gridSpan w:val="23"/>
          </w:tcPr>
          <w:p>
            <w:pPr>
              <w:spacing w:after="0" w:line="190" w:lineRule="exact"/>
              <w:rPr>
                <w:rFonts w:ascii="Arial" w:cs="Arial" w:eastAsia="Arial" w:hAnsi="Arial"/>
                <w:sz w:val="18"/>
                <w:szCs w:val="18"/>
                <w:color w:val="0000EE"/>
              </w:rPr>
            </w:pPr>
            <w:hyperlink r:id="rId88">
              <w:r>
                <w:rPr>
                  <w:rFonts w:ascii="Arial" w:cs="Arial" w:eastAsia="Arial" w:hAnsi="Arial"/>
                  <w:sz w:val="18"/>
                  <w:szCs w:val="18"/>
                  <w:color w:val="0000EE"/>
                </w:rPr>
                <w:t>Fourth Amendment to Credit Agreement and Waiver; First Amendment to Fee Letter between Telos Corporation and</w:t>
              </w:r>
            </w:hyperlink>
          </w:p>
        </w:tc>
      </w:tr>
      <w:tr>
        <w:trPr>
          <w:trHeight w:val="20"/>
        </w:trPr>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20" w:type="dxa"/>
            <w:vAlign w:val="bottom"/>
            <w:gridSpan w:val="23"/>
          </w:tcPr>
          <w:p>
            <w:pPr>
              <w:spacing w:after="0" w:line="196" w:lineRule="exact"/>
              <w:rPr>
                <w:rFonts w:ascii="Arial" w:cs="Arial" w:eastAsia="Arial" w:hAnsi="Arial"/>
                <w:sz w:val="18"/>
                <w:szCs w:val="18"/>
                <w:color w:val="0000EE"/>
                <w:w w:val="98"/>
              </w:rPr>
            </w:pPr>
            <w:hyperlink r:id="rId88">
              <w:r>
                <w:rPr>
                  <w:rFonts w:ascii="Arial" w:cs="Arial" w:eastAsia="Arial" w:hAnsi="Arial"/>
                  <w:sz w:val="18"/>
                  <w:szCs w:val="18"/>
                  <w:color w:val="0000EE"/>
                  <w:w w:val="98"/>
                </w:rPr>
                <w:t xml:space="preserve">Enlightenment Capital Solutions Fund II, L.P. dated July 19, 2019 </w:t>
              </w:r>
              <w:r>
                <w:rPr>
                  <w:rFonts w:ascii="Arial" w:cs="Arial" w:eastAsia="Arial" w:hAnsi="Arial"/>
                  <w:sz w:val="18"/>
                  <w:szCs w:val="18"/>
                  <w:color w:val="000000"/>
                  <w:w w:val="98"/>
                </w:rPr>
                <w:t xml:space="preserve">(Incorporated by reference to Exhibit 99.1 filed </w:t>
              </w:r>
            </w:hyperlink>
            <w:r>
              <w:rPr>
                <w:rFonts w:ascii="Arial" w:cs="Arial" w:eastAsia="Arial" w:hAnsi="Arial"/>
                <w:sz w:val="18"/>
                <w:szCs w:val="18"/>
                <w:color w:val="0000EE"/>
                <w:w w:val="98"/>
              </w:rPr>
              <w:t xml:space="preserve">with </w:t>
            </w:r>
            <w:r>
              <w:rPr>
                <w:rFonts w:ascii="Arial" w:cs="Arial" w:eastAsia="Arial" w:hAnsi="Arial"/>
                <w:sz w:val="18"/>
                <w:szCs w:val="18"/>
                <w:color w:val="000000"/>
                <w:w w:val="98"/>
              </w:rPr>
              <w:t>the</w:t>
            </w:r>
          </w:p>
        </w:tc>
      </w:tr>
      <w:tr>
        <w:trPr>
          <w:trHeight w:val="222"/>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7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Company’s Current Report on Form 8-K on July 23, 2019)</w:t>
            </w:r>
          </w:p>
        </w:tc>
        <w:tc>
          <w:tcPr>
            <w:tcW w:w="4760" w:type="dxa"/>
            <w:vAlign w:val="bottom"/>
            <w:gridSpan w:val="19"/>
          </w:tcPr>
          <w:p>
            <w:pPr>
              <w:spacing w:after="0"/>
              <w:rPr>
                <w:sz w:val="19"/>
                <w:szCs w:val="19"/>
                <w:color w:val="auto"/>
              </w:rPr>
            </w:pPr>
          </w:p>
        </w:tc>
      </w:tr>
      <w:tr>
        <w:trPr>
          <w:trHeight w:val="190"/>
        </w:trPr>
        <w:tc>
          <w:tcPr>
            <w:tcW w:w="1300" w:type="dxa"/>
            <w:vAlign w:val="bottom"/>
            <w:gridSpan w:val="2"/>
          </w:tcPr>
          <w:p>
            <w:pPr>
              <w:jc w:val="center"/>
              <w:ind w:left="30"/>
              <w:spacing w:after="0" w:line="190" w:lineRule="exact"/>
              <w:rPr>
                <w:sz w:val="20"/>
                <w:szCs w:val="20"/>
                <w:color w:val="auto"/>
              </w:rPr>
            </w:pPr>
            <w:r>
              <w:rPr>
                <w:rFonts w:ascii="Arial" w:cs="Arial" w:eastAsia="Arial" w:hAnsi="Arial"/>
                <w:sz w:val="18"/>
                <w:szCs w:val="18"/>
                <w:color w:val="auto"/>
                <w:w w:val="85"/>
              </w:rPr>
              <w:t>4.12</w:t>
            </w:r>
          </w:p>
        </w:tc>
        <w:tc>
          <w:tcPr>
            <w:tcW w:w="420" w:type="dxa"/>
            <w:vAlign w:val="bottom"/>
          </w:tcPr>
          <w:p>
            <w:pPr>
              <w:spacing w:after="0"/>
              <w:rPr>
                <w:sz w:val="16"/>
                <w:szCs w:val="16"/>
                <w:color w:val="auto"/>
              </w:rPr>
            </w:pPr>
          </w:p>
        </w:tc>
        <w:tc>
          <w:tcPr>
            <w:tcW w:w="9520" w:type="dxa"/>
            <w:vAlign w:val="bottom"/>
            <w:gridSpan w:val="23"/>
          </w:tcPr>
          <w:p>
            <w:pPr>
              <w:spacing w:after="0" w:line="190" w:lineRule="exact"/>
              <w:rPr>
                <w:rFonts w:ascii="Arial" w:cs="Arial" w:eastAsia="Arial" w:hAnsi="Arial"/>
                <w:sz w:val="18"/>
                <w:szCs w:val="18"/>
                <w:color w:val="0000EE"/>
                <w:w w:val="96"/>
              </w:rPr>
            </w:pPr>
            <w:hyperlink r:id="rId89">
              <w:r>
                <w:rPr>
                  <w:rFonts w:ascii="Arial" w:cs="Arial" w:eastAsia="Arial" w:hAnsi="Arial"/>
                  <w:sz w:val="18"/>
                  <w:szCs w:val="18"/>
                  <w:color w:val="0000EE"/>
                  <w:w w:val="96"/>
                </w:rPr>
                <w:t>Fifth Amendment to Credit Agreement and Second Amendment to Fee Letter between Telos Corporation and Enlightenment</w:t>
              </w:r>
            </w:hyperlink>
          </w:p>
        </w:tc>
      </w:tr>
      <w:tr>
        <w:trPr>
          <w:trHeight w:val="20"/>
        </w:trPr>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6"/>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20" w:type="dxa"/>
            <w:vAlign w:val="bottom"/>
            <w:gridSpan w:val="23"/>
          </w:tcPr>
          <w:p>
            <w:pPr>
              <w:spacing w:after="0" w:line="196" w:lineRule="exact"/>
              <w:rPr>
                <w:rFonts w:ascii="Arial" w:cs="Arial" w:eastAsia="Arial" w:hAnsi="Arial"/>
                <w:sz w:val="18"/>
                <w:szCs w:val="18"/>
                <w:color w:val="0000EE"/>
                <w:w w:val="93"/>
              </w:rPr>
            </w:pPr>
            <w:hyperlink r:id="rId89">
              <w:r>
                <w:rPr>
                  <w:rFonts w:ascii="Arial" w:cs="Arial" w:eastAsia="Arial" w:hAnsi="Arial"/>
                  <w:sz w:val="18"/>
                  <w:szCs w:val="18"/>
                  <w:color w:val="0000EE"/>
                  <w:w w:val="93"/>
                </w:rPr>
                <w:t xml:space="preserve">Capital Solutions Fund II, L.P. dated March 26, 2020 </w:t>
              </w:r>
              <w:r>
                <w:rPr>
                  <w:rFonts w:ascii="Arial" w:cs="Arial" w:eastAsia="Arial" w:hAnsi="Arial"/>
                  <w:sz w:val="18"/>
                  <w:szCs w:val="18"/>
                  <w:color w:val="000000"/>
                  <w:w w:val="93"/>
                </w:rPr>
                <w:t xml:space="preserve">(Incorporated by reference to Exhibit 99.1 filed with the Company’s </w:t>
              </w:r>
            </w:hyperlink>
            <w:r>
              <w:rPr>
                <w:rFonts w:ascii="Arial" w:cs="Arial" w:eastAsia="Arial" w:hAnsi="Arial"/>
                <w:sz w:val="18"/>
                <w:szCs w:val="18"/>
                <w:color w:val="0000EE"/>
                <w:w w:val="93"/>
              </w:rPr>
              <w:t>Current</w:t>
            </w:r>
          </w:p>
        </w:tc>
      </w:tr>
      <w:tr>
        <w:trPr>
          <w:trHeight w:val="222"/>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Report on Form 8-K on March 30, 2020)</w:t>
            </w:r>
          </w:p>
        </w:tc>
        <w:tc>
          <w:tcPr>
            <w:tcW w:w="5700" w:type="dxa"/>
            <w:vAlign w:val="bottom"/>
            <w:gridSpan w:val="21"/>
          </w:tcPr>
          <w:p>
            <w:pPr>
              <w:spacing w:after="0"/>
              <w:rPr>
                <w:sz w:val="19"/>
                <w:szCs w:val="19"/>
                <w:color w:val="auto"/>
              </w:rPr>
            </w:pPr>
          </w:p>
        </w:tc>
      </w:tr>
      <w:tr>
        <w:trPr>
          <w:trHeight w:val="190"/>
        </w:trPr>
        <w:tc>
          <w:tcPr>
            <w:tcW w:w="1300" w:type="dxa"/>
            <w:vAlign w:val="bottom"/>
            <w:gridSpan w:val="2"/>
          </w:tcPr>
          <w:p>
            <w:pPr>
              <w:jc w:val="center"/>
              <w:ind w:left="30"/>
              <w:spacing w:after="0" w:line="190" w:lineRule="exact"/>
              <w:rPr>
                <w:sz w:val="20"/>
                <w:szCs w:val="20"/>
                <w:color w:val="auto"/>
              </w:rPr>
            </w:pPr>
            <w:r>
              <w:rPr>
                <w:rFonts w:ascii="Arial" w:cs="Arial" w:eastAsia="Arial" w:hAnsi="Arial"/>
                <w:sz w:val="18"/>
                <w:szCs w:val="18"/>
                <w:color w:val="auto"/>
                <w:w w:val="99"/>
              </w:rPr>
              <w:t>10.1*</w:t>
            </w:r>
          </w:p>
        </w:tc>
        <w:tc>
          <w:tcPr>
            <w:tcW w:w="420" w:type="dxa"/>
            <w:vAlign w:val="bottom"/>
          </w:tcPr>
          <w:p>
            <w:pPr>
              <w:spacing w:after="0"/>
              <w:rPr>
                <w:sz w:val="16"/>
                <w:szCs w:val="16"/>
                <w:color w:val="auto"/>
              </w:rPr>
            </w:pPr>
          </w:p>
        </w:tc>
        <w:tc>
          <w:tcPr>
            <w:tcW w:w="9520" w:type="dxa"/>
            <w:vAlign w:val="bottom"/>
            <w:gridSpan w:val="23"/>
          </w:tcPr>
          <w:p>
            <w:pPr>
              <w:spacing w:after="0" w:line="190"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 xml:space="preserve">Telos Corporation 2008 Omnibus Long-Term Incentive Plan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10.21 filed with the Company’s</w:t>
            </w:r>
          </w:p>
        </w:tc>
      </w:tr>
      <w:tr>
        <w:trPr>
          <w:trHeight w:val="222"/>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4"/>
              </w:rPr>
              <w:t>Form 10-K report for the year ended December 31, 2007)</w:t>
            </w:r>
          </w:p>
        </w:tc>
        <w:tc>
          <w:tcPr>
            <w:tcW w:w="5160" w:type="dxa"/>
            <w:vAlign w:val="bottom"/>
            <w:gridSpan w:val="20"/>
          </w:tcPr>
          <w:p>
            <w:pPr>
              <w:spacing w:after="0"/>
              <w:rPr>
                <w:sz w:val="19"/>
                <w:szCs w:val="19"/>
                <w:color w:val="auto"/>
              </w:rPr>
            </w:pPr>
          </w:p>
        </w:tc>
      </w:tr>
      <w:tr>
        <w:trPr>
          <w:trHeight w:val="190"/>
        </w:trPr>
        <w:tc>
          <w:tcPr>
            <w:tcW w:w="1300" w:type="dxa"/>
            <w:vAlign w:val="bottom"/>
            <w:gridSpan w:val="2"/>
          </w:tcPr>
          <w:p>
            <w:pPr>
              <w:jc w:val="center"/>
              <w:ind w:left="30"/>
              <w:spacing w:after="0" w:line="190" w:lineRule="exact"/>
              <w:rPr>
                <w:sz w:val="20"/>
                <w:szCs w:val="20"/>
                <w:color w:val="auto"/>
              </w:rPr>
            </w:pPr>
            <w:r>
              <w:rPr>
                <w:rFonts w:ascii="Arial" w:cs="Arial" w:eastAsia="Arial" w:hAnsi="Arial"/>
                <w:sz w:val="18"/>
                <w:szCs w:val="18"/>
                <w:color w:val="auto"/>
                <w:w w:val="99"/>
              </w:rPr>
              <w:t>10.2*</w:t>
            </w:r>
          </w:p>
        </w:tc>
        <w:tc>
          <w:tcPr>
            <w:tcW w:w="420" w:type="dxa"/>
            <w:vAlign w:val="bottom"/>
          </w:tcPr>
          <w:p>
            <w:pPr>
              <w:spacing w:after="0"/>
              <w:rPr>
                <w:sz w:val="16"/>
                <w:szCs w:val="16"/>
                <w:color w:val="auto"/>
              </w:rPr>
            </w:pPr>
          </w:p>
        </w:tc>
        <w:tc>
          <w:tcPr>
            <w:tcW w:w="8520" w:type="dxa"/>
            <w:vAlign w:val="bottom"/>
            <w:tcBorders>
              <w:bottom w:val="single" w:sz="8" w:color="0000EE"/>
            </w:tcBorders>
            <w:gridSpan w:val="13"/>
          </w:tcPr>
          <w:p>
            <w:pPr>
              <w:spacing w:after="0" w:line="190"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Second Amended Employment Agreement, dated as of November 12, 2012, between the Company and John B. Wood</w:t>
              </w:r>
            </w:hyperlink>
          </w:p>
        </w:tc>
        <w:tc>
          <w:tcPr>
            <w:tcW w:w="1000" w:type="dxa"/>
            <w:vAlign w:val="bottom"/>
            <w:gridSpan w:val="10"/>
          </w:tcPr>
          <w:p>
            <w:pPr>
              <w:spacing w:after="0"/>
              <w:rPr>
                <w:sz w:val="16"/>
                <w:szCs w:val="16"/>
                <w:color w:val="auto"/>
              </w:rPr>
            </w:pPr>
          </w:p>
        </w:tc>
      </w:tr>
      <w:tr>
        <w:trPr>
          <w:trHeight w:val="222"/>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20" w:type="dxa"/>
            <w:vAlign w:val="bottom"/>
            <w:gridSpan w:val="23"/>
          </w:tcPr>
          <w:p>
            <w:pPr>
              <w:spacing w:after="0"/>
              <w:rPr>
                <w:sz w:val="20"/>
                <w:szCs w:val="20"/>
                <w:color w:val="auto"/>
              </w:rPr>
            </w:pPr>
            <w:r>
              <w:rPr>
                <w:rFonts w:ascii="Arial" w:cs="Arial" w:eastAsia="Arial" w:hAnsi="Arial"/>
                <w:sz w:val="18"/>
                <w:szCs w:val="18"/>
                <w:color w:val="auto"/>
                <w:w w:val="92"/>
              </w:rPr>
              <w:t>(Incorporated by reference to Exhibit 10.1 filed with the Company’s Form 10-Q report for the quarter ended September 30, 2012)</w:t>
            </w:r>
          </w:p>
        </w:tc>
      </w:tr>
      <w:tr>
        <w:trPr>
          <w:trHeight w:val="190"/>
        </w:trPr>
        <w:tc>
          <w:tcPr>
            <w:tcW w:w="1300" w:type="dxa"/>
            <w:vAlign w:val="bottom"/>
            <w:gridSpan w:val="2"/>
          </w:tcPr>
          <w:p>
            <w:pPr>
              <w:jc w:val="center"/>
              <w:ind w:left="30"/>
              <w:spacing w:after="0" w:line="190" w:lineRule="exact"/>
              <w:rPr>
                <w:sz w:val="20"/>
                <w:szCs w:val="20"/>
                <w:color w:val="auto"/>
              </w:rPr>
            </w:pPr>
            <w:r>
              <w:rPr>
                <w:rFonts w:ascii="Arial" w:cs="Arial" w:eastAsia="Arial" w:hAnsi="Arial"/>
                <w:sz w:val="18"/>
                <w:szCs w:val="18"/>
                <w:color w:val="auto"/>
                <w:w w:val="99"/>
              </w:rPr>
              <w:t>10.3*</w:t>
            </w:r>
          </w:p>
        </w:tc>
        <w:tc>
          <w:tcPr>
            <w:tcW w:w="420" w:type="dxa"/>
            <w:vAlign w:val="bottom"/>
          </w:tcPr>
          <w:p>
            <w:pPr>
              <w:spacing w:after="0"/>
              <w:rPr>
                <w:sz w:val="16"/>
                <w:szCs w:val="16"/>
                <w:color w:val="auto"/>
              </w:rPr>
            </w:pPr>
          </w:p>
        </w:tc>
        <w:tc>
          <w:tcPr>
            <w:tcW w:w="9520" w:type="dxa"/>
            <w:vAlign w:val="bottom"/>
            <w:gridSpan w:val="23"/>
          </w:tcPr>
          <w:p>
            <w:pPr>
              <w:spacing w:after="0" w:line="190" w:lineRule="exact"/>
              <w:rPr>
                <w:rFonts w:ascii="Arial" w:cs="Arial" w:eastAsia="Arial" w:hAnsi="Arial"/>
                <w:sz w:val="18"/>
                <w:szCs w:val="18"/>
                <w:color w:val="0000EE"/>
                <w:w w:val="96"/>
              </w:rPr>
            </w:pPr>
            <w:hyperlink r:id="rId92">
              <w:r>
                <w:rPr>
                  <w:rFonts w:ascii="Arial" w:cs="Arial" w:eastAsia="Arial" w:hAnsi="Arial"/>
                  <w:sz w:val="18"/>
                  <w:szCs w:val="18"/>
                  <w:color w:val="0000EE"/>
                  <w:w w:val="96"/>
                </w:rPr>
                <w:t>Second Amended Employment Agreement, dated as of November 12, 2012, between the Company and Edward L. Williams</w:t>
              </w:r>
            </w:hyperlink>
          </w:p>
        </w:tc>
      </w:tr>
      <w:tr>
        <w:trPr>
          <w:trHeight w:val="20"/>
        </w:trPr>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60" w:type="dxa"/>
            <w:vAlign w:val="bottom"/>
            <w:tcBorders>
              <w:right w:val="single" w:sz="8" w:color="0000EE"/>
            </w:tcBorders>
            <w:gridSpan w:val="3"/>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2320" w:type="dxa"/>
            <w:vAlign w:val="bottom"/>
            <w:gridSpan w:val="8"/>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r>
      <w:tr>
        <w:trPr>
          <w:trHeight w:val="222"/>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20" w:type="dxa"/>
            <w:vAlign w:val="bottom"/>
            <w:gridSpan w:val="23"/>
          </w:tcPr>
          <w:p>
            <w:pPr>
              <w:spacing w:after="0"/>
              <w:rPr>
                <w:sz w:val="20"/>
                <w:szCs w:val="20"/>
                <w:color w:val="auto"/>
              </w:rPr>
            </w:pPr>
            <w:r>
              <w:rPr>
                <w:rFonts w:ascii="Arial" w:cs="Arial" w:eastAsia="Arial" w:hAnsi="Arial"/>
                <w:sz w:val="18"/>
                <w:szCs w:val="18"/>
                <w:color w:val="auto"/>
                <w:w w:val="92"/>
              </w:rPr>
              <w:t>(Incorporated by reference to Exhibit 10.2 filed with the Company’s Form 10-Q report for the quarter ended September 30, 2012)</w:t>
            </w:r>
          </w:p>
        </w:tc>
      </w:tr>
      <w:tr>
        <w:trPr>
          <w:trHeight w:val="190"/>
        </w:trPr>
        <w:tc>
          <w:tcPr>
            <w:tcW w:w="1300" w:type="dxa"/>
            <w:vAlign w:val="bottom"/>
            <w:gridSpan w:val="2"/>
          </w:tcPr>
          <w:p>
            <w:pPr>
              <w:jc w:val="center"/>
              <w:ind w:left="30"/>
              <w:spacing w:after="0" w:line="190" w:lineRule="exact"/>
              <w:rPr>
                <w:sz w:val="20"/>
                <w:szCs w:val="20"/>
                <w:color w:val="auto"/>
              </w:rPr>
            </w:pPr>
            <w:r>
              <w:rPr>
                <w:rFonts w:ascii="Arial" w:cs="Arial" w:eastAsia="Arial" w:hAnsi="Arial"/>
                <w:sz w:val="18"/>
                <w:szCs w:val="18"/>
                <w:color w:val="auto"/>
                <w:w w:val="99"/>
              </w:rPr>
              <w:t>10.4*</w:t>
            </w:r>
          </w:p>
        </w:tc>
        <w:tc>
          <w:tcPr>
            <w:tcW w:w="420" w:type="dxa"/>
            <w:vAlign w:val="bottom"/>
          </w:tcPr>
          <w:p>
            <w:pPr>
              <w:spacing w:after="0"/>
              <w:rPr>
                <w:sz w:val="16"/>
                <w:szCs w:val="16"/>
                <w:color w:val="auto"/>
              </w:rPr>
            </w:pPr>
          </w:p>
        </w:tc>
        <w:tc>
          <w:tcPr>
            <w:tcW w:w="8940" w:type="dxa"/>
            <w:vAlign w:val="bottom"/>
            <w:tcBorders>
              <w:bottom w:val="single" w:sz="8" w:color="0000EE"/>
            </w:tcBorders>
            <w:gridSpan w:val="17"/>
          </w:tcPr>
          <w:p>
            <w:pPr>
              <w:spacing w:after="0" w:line="190"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Second Amended Employment Agreement, dated as of November 12, 2012, between the Company and Michele Nakazawa</w:t>
              </w:r>
            </w:hyperlink>
          </w:p>
        </w:tc>
        <w:tc>
          <w:tcPr>
            <w:tcW w:w="580" w:type="dxa"/>
            <w:vAlign w:val="bottom"/>
            <w:gridSpan w:val="6"/>
          </w:tcPr>
          <w:p>
            <w:pPr>
              <w:spacing w:after="0"/>
              <w:rPr>
                <w:sz w:val="16"/>
                <w:szCs w:val="16"/>
                <w:color w:val="auto"/>
              </w:rPr>
            </w:pPr>
          </w:p>
        </w:tc>
      </w:tr>
      <w:tr>
        <w:trPr>
          <w:trHeight w:val="222"/>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20" w:type="dxa"/>
            <w:vAlign w:val="bottom"/>
            <w:gridSpan w:val="23"/>
          </w:tcPr>
          <w:p>
            <w:pPr>
              <w:spacing w:after="0"/>
              <w:rPr>
                <w:sz w:val="20"/>
                <w:szCs w:val="20"/>
                <w:color w:val="auto"/>
              </w:rPr>
            </w:pPr>
            <w:r>
              <w:rPr>
                <w:rFonts w:ascii="Arial" w:cs="Arial" w:eastAsia="Arial" w:hAnsi="Arial"/>
                <w:sz w:val="18"/>
                <w:szCs w:val="18"/>
                <w:color w:val="auto"/>
                <w:w w:val="92"/>
              </w:rPr>
              <w:t>(Incorporated by reference to Exhibit 10.3 filed with the Company’s Form 10-Q report for the quarter ended September 30, 2012)</w:t>
            </w:r>
          </w:p>
        </w:tc>
      </w:tr>
      <w:tr>
        <w:trPr>
          <w:trHeight w:val="190"/>
        </w:trPr>
        <w:tc>
          <w:tcPr>
            <w:tcW w:w="1300" w:type="dxa"/>
            <w:vAlign w:val="bottom"/>
            <w:gridSpan w:val="2"/>
          </w:tcPr>
          <w:p>
            <w:pPr>
              <w:jc w:val="center"/>
              <w:ind w:left="30"/>
              <w:spacing w:after="0" w:line="190" w:lineRule="exact"/>
              <w:rPr>
                <w:sz w:val="20"/>
                <w:szCs w:val="20"/>
                <w:color w:val="auto"/>
              </w:rPr>
            </w:pPr>
            <w:r>
              <w:rPr>
                <w:rFonts w:ascii="Arial" w:cs="Arial" w:eastAsia="Arial" w:hAnsi="Arial"/>
                <w:sz w:val="18"/>
                <w:szCs w:val="18"/>
                <w:color w:val="auto"/>
                <w:w w:val="99"/>
              </w:rPr>
              <w:t>10.5*</w:t>
            </w:r>
          </w:p>
        </w:tc>
        <w:tc>
          <w:tcPr>
            <w:tcW w:w="420" w:type="dxa"/>
            <w:vAlign w:val="bottom"/>
          </w:tcPr>
          <w:p>
            <w:pPr>
              <w:spacing w:after="0"/>
              <w:rPr>
                <w:sz w:val="16"/>
                <w:szCs w:val="16"/>
                <w:color w:val="auto"/>
              </w:rPr>
            </w:pPr>
          </w:p>
        </w:tc>
        <w:tc>
          <w:tcPr>
            <w:tcW w:w="9520" w:type="dxa"/>
            <w:vAlign w:val="bottom"/>
            <w:gridSpan w:val="23"/>
          </w:tcPr>
          <w:p>
            <w:pPr>
              <w:spacing w:after="0" w:line="190" w:lineRule="exact"/>
              <w:rPr>
                <w:rFonts w:ascii="Arial" w:cs="Arial" w:eastAsia="Arial" w:hAnsi="Arial"/>
                <w:sz w:val="18"/>
                <w:szCs w:val="18"/>
                <w:color w:val="0000EE"/>
                <w:w w:val="99"/>
              </w:rPr>
            </w:pPr>
            <w:hyperlink r:id="rId94">
              <w:r>
                <w:rPr>
                  <w:rFonts w:ascii="Arial" w:cs="Arial" w:eastAsia="Arial" w:hAnsi="Arial"/>
                  <w:sz w:val="18"/>
                  <w:szCs w:val="18"/>
                  <w:color w:val="0000EE"/>
                  <w:w w:val="99"/>
                </w:rPr>
                <w:t>Amendment to Employment Agreement, dated as of November 12, 2012, between the Company and Brendan D. Malloy</w:t>
              </w:r>
            </w:hyperlink>
          </w:p>
        </w:tc>
      </w:tr>
      <w:tr>
        <w:trPr>
          <w:trHeight w:val="20"/>
        </w:trPr>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60" w:type="dxa"/>
            <w:vAlign w:val="bottom"/>
            <w:tcBorders>
              <w:right w:val="single" w:sz="8" w:color="0000EE"/>
            </w:tcBorders>
            <w:gridSpan w:val="3"/>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2320" w:type="dxa"/>
            <w:vAlign w:val="bottom"/>
            <w:gridSpan w:val="8"/>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r>
      <w:tr>
        <w:trPr>
          <w:trHeight w:val="222"/>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20" w:type="dxa"/>
            <w:vAlign w:val="bottom"/>
            <w:gridSpan w:val="23"/>
          </w:tcPr>
          <w:p>
            <w:pPr>
              <w:spacing w:after="0"/>
              <w:rPr>
                <w:sz w:val="20"/>
                <w:szCs w:val="20"/>
                <w:color w:val="auto"/>
              </w:rPr>
            </w:pPr>
            <w:r>
              <w:rPr>
                <w:rFonts w:ascii="Arial" w:cs="Arial" w:eastAsia="Arial" w:hAnsi="Arial"/>
                <w:sz w:val="18"/>
                <w:szCs w:val="18"/>
                <w:color w:val="auto"/>
                <w:w w:val="92"/>
              </w:rPr>
              <w:t>(Incorporated by reference to Exhibit 10.4 filed with the Company’s Form 10-Q report for the quarter ended September 30, 2012)</w:t>
            </w:r>
          </w:p>
        </w:tc>
      </w:tr>
      <w:tr>
        <w:trPr>
          <w:trHeight w:val="190"/>
        </w:trPr>
        <w:tc>
          <w:tcPr>
            <w:tcW w:w="1300" w:type="dxa"/>
            <w:vAlign w:val="bottom"/>
            <w:gridSpan w:val="2"/>
          </w:tcPr>
          <w:p>
            <w:pPr>
              <w:jc w:val="center"/>
              <w:ind w:left="30"/>
              <w:spacing w:after="0" w:line="190" w:lineRule="exact"/>
              <w:rPr>
                <w:sz w:val="20"/>
                <w:szCs w:val="20"/>
                <w:color w:val="auto"/>
              </w:rPr>
            </w:pPr>
            <w:r>
              <w:rPr>
                <w:rFonts w:ascii="Arial" w:cs="Arial" w:eastAsia="Arial" w:hAnsi="Arial"/>
                <w:sz w:val="18"/>
                <w:szCs w:val="18"/>
                <w:color w:val="auto"/>
                <w:w w:val="99"/>
              </w:rPr>
              <w:t>10.6*</w:t>
            </w:r>
          </w:p>
        </w:tc>
        <w:tc>
          <w:tcPr>
            <w:tcW w:w="420" w:type="dxa"/>
            <w:vAlign w:val="bottom"/>
          </w:tcPr>
          <w:p>
            <w:pPr>
              <w:spacing w:after="0"/>
              <w:rPr>
                <w:sz w:val="16"/>
                <w:szCs w:val="16"/>
                <w:color w:val="auto"/>
              </w:rPr>
            </w:pPr>
          </w:p>
        </w:tc>
        <w:tc>
          <w:tcPr>
            <w:tcW w:w="9520" w:type="dxa"/>
            <w:vAlign w:val="bottom"/>
            <w:gridSpan w:val="23"/>
          </w:tcPr>
          <w:p>
            <w:pPr>
              <w:spacing w:after="0" w:line="190"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 xml:space="preserve">Form of Employment Agreement between the Company and six of its executive officers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10.5</w:t>
            </w:r>
          </w:p>
        </w:tc>
      </w:tr>
      <w:tr>
        <w:trPr>
          <w:trHeight w:val="222"/>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w w:val="92"/>
              </w:rPr>
              <w:t>filed with the Company’s Form 10-Q report for the quarter ended September 30, 2012)</w:t>
            </w:r>
          </w:p>
        </w:tc>
        <w:tc>
          <w:tcPr>
            <w:tcW w:w="3160" w:type="dxa"/>
            <w:vAlign w:val="bottom"/>
            <w:gridSpan w:val="16"/>
          </w:tcPr>
          <w:p>
            <w:pPr>
              <w:spacing w:after="0"/>
              <w:rPr>
                <w:sz w:val="19"/>
                <w:szCs w:val="19"/>
                <w:color w:val="auto"/>
              </w:rPr>
            </w:pPr>
          </w:p>
        </w:tc>
      </w:tr>
      <w:tr>
        <w:trPr>
          <w:trHeight w:val="190"/>
        </w:trPr>
        <w:tc>
          <w:tcPr>
            <w:tcW w:w="1300" w:type="dxa"/>
            <w:vAlign w:val="bottom"/>
            <w:gridSpan w:val="2"/>
          </w:tcPr>
          <w:p>
            <w:pPr>
              <w:jc w:val="center"/>
              <w:ind w:left="30"/>
              <w:spacing w:after="0" w:line="190" w:lineRule="exact"/>
              <w:rPr>
                <w:sz w:val="20"/>
                <w:szCs w:val="20"/>
                <w:color w:val="auto"/>
              </w:rPr>
            </w:pPr>
            <w:r>
              <w:rPr>
                <w:rFonts w:ascii="Arial" w:cs="Arial" w:eastAsia="Arial" w:hAnsi="Arial"/>
                <w:sz w:val="18"/>
                <w:szCs w:val="18"/>
                <w:color w:val="auto"/>
                <w:w w:val="99"/>
              </w:rPr>
              <w:t>10.7*</w:t>
            </w:r>
          </w:p>
        </w:tc>
        <w:tc>
          <w:tcPr>
            <w:tcW w:w="420" w:type="dxa"/>
            <w:vAlign w:val="bottom"/>
          </w:tcPr>
          <w:p>
            <w:pPr>
              <w:spacing w:after="0"/>
              <w:rPr>
                <w:sz w:val="16"/>
                <w:szCs w:val="16"/>
                <w:color w:val="auto"/>
              </w:rPr>
            </w:pPr>
          </w:p>
        </w:tc>
        <w:tc>
          <w:tcPr>
            <w:tcW w:w="9520" w:type="dxa"/>
            <w:vAlign w:val="bottom"/>
            <w:gridSpan w:val="23"/>
          </w:tcPr>
          <w:p>
            <w:pPr>
              <w:spacing w:after="0" w:line="190" w:lineRule="exact"/>
              <w:rPr>
                <w:rFonts w:ascii="Arial" w:cs="Arial" w:eastAsia="Arial" w:hAnsi="Arial"/>
                <w:sz w:val="18"/>
                <w:szCs w:val="18"/>
                <w:color w:val="0000EE"/>
                <w:w w:val="94"/>
              </w:rPr>
            </w:pPr>
            <w:hyperlink r:id="rId96">
              <w:r>
                <w:rPr>
                  <w:rFonts w:ascii="Arial" w:cs="Arial" w:eastAsia="Arial" w:hAnsi="Arial"/>
                  <w:sz w:val="18"/>
                  <w:szCs w:val="18"/>
                  <w:color w:val="0000EE"/>
                  <w:w w:val="94"/>
                </w:rPr>
                <w:t xml:space="preserve">Telos Corporation 2013 Omnibus Long-Term Incentive Plan </w:t>
              </w:r>
            </w:hyperlink>
            <w:r>
              <w:rPr>
                <w:rFonts w:ascii="Arial" w:cs="Arial" w:eastAsia="Arial" w:hAnsi="Arial"/>
                <w:sz w:val="18"/>
                <w:szCs w:val="18"/>
                <w:color w:val="000000"/>
                <w:w w:val="94"/>
              </w:rPr>
              <w:t>(Incorporated</w:t>
            </w:r>
            <w:r>
              <w:rPr>
                <w:rFonts w:ascii="Arial" w:cs="Arial" w:eastAsia="Arial" w:hAnsi="Arial"/>
                <w:sz w:val="18"/>
                <w:szCs w:val="18"/>
                <w:color w:val="0000EE"/>
                <w:w w:val="94"/>
              </w:rPr>
              <w:t xml:space="preserve"> </w:t>
            </w:r>
            <w:r>
              <w:rPr>
                <w:rFonts w:ascii="Arial" w:cs="Arial" w:eastAsia="Arial" w:hAnsi="Arial"/>
                <w:sz w:val="18"/>
                <w:szCs w:val="18"/>
                <w:color w:val="000000"/>
                <w:w w:val="94"/>
              </w:rPr>
              <w:t>by reference to Appendix A filed with the Company’s</w:t>
            </w:r>
          </w:p>
        </w:tc>
      </w:tr>
      <w:tr>
        <w:trPr>
          <w:trHeight w:val="20"/>
        </w:trPr>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60" w:type="dxa"/>
            <w:vAlign w:val="bottom"/>
            <w:tcBorders>
              <w:right w:val="single" w:sz="8" w:color="0000EE"/>
            </w:tcBorders>
            <w:gridSpan w:val="3"/>
            <w:shd w:val="clear" w:color="auto" w:fill="0000EE"/>
          </w:tcPr>
          <w:p>
            <w:pPr>
              <w:spacing w:after="0" w:line="20" w:lineRule="exact"/>
              <w:rPr>
                <w:sz w:val="1"/>
                <w:szCs w:val="1"/>
                <w:color w:val="auto"/>
              </w:rPr>
            </w:pPr>
          </w:p>
        </w:tc>
        <w:tc>
          <w:tcPr>
            <w:tcW w:w="5160" w:type="dxa"/>
            <w:vAlign w:val="bottom"/>
            <w:gridSpan w:val="20"/>
          </w:tcPr>
          <w:p>
            <w:pPr>
              <w:spacing w:after="0" w:line="20" w:lineRule="exact"/>
              <w:rPr>
                <w:sz w:val="1"/>
                <w:szCs w:val="1"/>
                <w:color w:val="auto"/>
              </w:rPr>
            </w:pPr>
          </w:p>
        </w:tc>
      </w:tr>
      <w:tr>
        <w:trPr>
          <w:trHeight w:val="236"/>
        </w:trPr>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520" w:type="dxa"/>
            <w:vAlign w:val="bottom"/>
            <w:gridSpan w:val="23"/>
          </w:tcPr>
          <w:p>
            <w:pPr>
              <w:spacing w:after="0"/>
              <w:rPr>
                <w:sz w:val="20"/>
                <w:szCs w:val="20"/>
                <w:color w:val="auto"/>
              </w:rPr>
            </w:pPr>
            <w:r>
              <w:rPr>
                <w:rFonts w:ascii="Arial" w:cs="Arial" w:eastAsia="Arial" w:hAnsi="Arial"/>
                <w:sz w:val="18"/>
                <w:szCs w:val="18"/>
                <w:color w:val="auto"/>
              </w:rPr>
              <w:t>Definitive Proxy Statement on Schedule 14A on April 16, 2013)</w:t>
            </w:r>
          </w:p>
        </w:tc>
      </w:tr>
      <w:tr>
        <w:trPr>
          <w:trHeight w:val="839"/>
        </w:trPr>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60" w:type="dxa"/>
            <w:vAlign w:val="bottom"/>
            <w:gridSpan w:val="3"/>
          </w:tcPr>
          <w:p>
            <w:pPr>
              <w:ind w:left="3840"/>
              <w:spacing w:after="0"/>
              <w:rPr>
                <w:sz w:val="20"/>
                <w:szCs w:val="20"/>
                <w:color w:val="auto"/>
              </w:rPr>
            </w:pPr>
            <w:r>
              <w:rPr>
                <w:rFonts w:ascii="Arial" w:cs="Arial" w:eastAsia="Arial" w:hAnsi="Arial"/>
                <w:sz w:val="14"/>
                <w:szCs w:val="14"/>
                <w:color w:val="auto"/>
              </w:rPr>
              <w:t>74</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
        </w:trPr>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rFonts w:ascii="Arial" w:cs="Arial" w:eastAsia="Arial" w:hAnsi="Arial"/>
                <w:sz w:val="18"/>
                <w:szCs w:val="18"/>
                <w:i w:val="1"/>
                <w:iCs w:val="1"/>
                <w:color w:val="auto"/>
              </w:rPr>
            </w:pPr>
            <w:hyperlink w:anchor="page2">
              <w:r>
                <w:rPr>
                  <w:rFonts w:ascii="Arial" w:cs="Arial" w:eastAsia="Arial" w:hAnsi="Arial"/>
                  <w:sz w:val="18"/>
                  <w:szCs w:val="18"/>
                  <w:i w:val="1"/>
                  <w:iCs w:val="1"/>
                  <w:color w:val="auto"/>
                </w:rPr>
                <w:t>Table of Contents</w:t>
              </w:r>
            </w:hyperlink>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14"/>
        </w:trPr>
        <w:tc>
          <w:tcPr>
            <w:tcW w:w="128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w w:val="99"/>
              </w:rPr>
              <w:t>10.8*</w:t>
            </w:r>
          </w:p>
        </w:tc>
        <w:tc>
          <w:tcPr>
            <w:tcW w:w="440" w:type="dxa"/>
            <w:vAlign w:val="bottom"/>
          </w:tcPr>
          <w:p>
            <w:pPr>
              <w:spacing w:after="0"/>
              <w:rPr>
                <w:sz w:val="24"/>
                <w:szCs w:val="24"/>
                <w:color w:val="auto"/>
              </w:rPr>
            </w:pPr>
          </w:p>
        </w:tc>
        <w:tc>
          <w:tcPr>
            <w:tcW w:w="9520" w:type="dxa"/>
            <w:vAlign w:val="bottom"/>
            <w:gridSpan w:val="30"/>
          </w:tcPr>
          <w:p>
            <w:pPr>
              <w:spacing w:after="0"/>
              <w:rPr>
                <w:rFonts w:ascii="Arial" w:cs="Arial" w:eastAsia="Arial" w:hAnsi="Arial"/>
                <w:sz w:val="18"/>
                <w:szCs w:val="18"/>
                <w:color w:val="0000EE"/>
                <w:w w:val="92"/>
              </w:rPr>
            </w:pPr>
            <w:hyperlink r:id="rId97">
              <w:r>
                <w:rPr>
                  <w:rFonts w:ascii="Arial" w:cs="Arial" w:eastAsia="Arial" w:hAnsi="Arial"/>
                  <w:sz w:val="18"/>
                  <w:szCs w:val="18"/>
                  <w:color w:val="0000EE"/>
                  <w:w w:val="92"/>
                </w:rPr>
                <w:t xml:space="preserve">Form Restricted Stock Agreement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99.2 filed with the Company’s Current Report on Form 8-</w:t>
            </w: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K on May 15, 2013)</w:t>
            </w:r>
          </w:p>
        </w:tc>
        <w:tc>
          <w:tcPr>
            <w:tcW w:w="7060" w:type="dxa"/>
            <w:vAlign w:val="bottom"/>
            <w:gridSpan w:val="25"/>
          </w:tcPr>
          <w:p>
            <w:pPr>
              <w:spacing w:after="0"/>
              <w:rPr>
                <w:sz w:val="19"/>
                <w:szCs w:val="19"/>
                <w:color w:val="auto"/>
              </w:rPr>
            </w:pP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9"/>
              </w:rPr>
              <w:t>10.9*</w:t>
            </w:r>
          </w:p>
        </w:tc>
        <w:tc>
          <w:tcPr>
            <w:tcW w:w="440" w:type="dxa"/>
            <w:vAlign w:val="bottom"/>
          </w:tcPr>
          <w:p>
            <w:pPr>
              <w:spacing w:after="0"/>
              <w:rPr>
                <w:sz w:val="16"/>
                <w:szCs w:val="16"/>
                <w:color w:val="auto"/>
              </w:rPr>
            </w:pPr>
          </w:p>
        </w:tc>
        <w:tc>
          <w:tcPr>
            <w:tcW w:w="9520" w:type="dxa"/>
            <w:vAlign w:val="bottom"/>
            <w:gridSpan w:val="30"/>
          </w:tcPr>
          <w:p>
            <w:pPr>
              <w:spacing w:after="0" w:line="190"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 xml:space="preserve">Employment Agreement, dated as of January 4, 2013, between the Company and Jefferson V. Wright </w:t>
              </w:r>
            </w:hyperlink>
            <w:r>
              <w:rPr>
                <w:rFonts w:ascii="Arial" w:cs="Arial" w:eastAsia="Arial" w:hAnsi="Arial"/>
                <w:sz w:val="18"/>
                <w:szCs w:val="18"/>
                <w:color w:val="000000"/>
                <w:w w:val="90"/>
              </w:rPr>
              <w:t>(Incorporated</w:t>
            </w:r>
            <w:r>
              <w:rPr>
                <w:rFonts w:ascii="Arial" w:cs="Arial" w:eastAsia="Arial" w:hAnsi="Arial"/>
                <w:sz w:val="18"/>
                <w:szCs w:val="18"/>
                <w:color w:val="0000EE"/>
                <w:w w:val="90"/>
              </w:rPr>
              <w:t xml:space="preserve"> </w:t>
            </w:r>
            <w:r>
              <w:rPr>
                <w:rFonts w:ascii="Arial" w:cs="Arial" w:eastAsia="Arial" w:hAnsi="Arial"/>
                <w:sz w:val="18"/>
                <w:szCs w:val="18"/>
                <w:color w:val="000000"/>
                <w:w w:val="90"/>
              </w:rPr>
              <w:t>by reference to</w:t>
            </w: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8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auto"/>
                <w:w w:val="94"/>
              </w:rPr>
              <w:t>Exhibit 10.29 filed with the Company’s Form 10-K report for the year ended December 31, 2013)</w:t>
            </w:r>
          </w:p>
        </w:tc>
        <w:tc>
          <w:tcPr>
            <w:tcW w:w="2240" w:type="dxa"/>
            <w:vAlign w:val="bottom"/>
            <w:gridSpan w:val="12"/>
          </w:tcPr>
          <w:p>
            <w:pPr>
              <w:spacing w:after="0"/>
              <w:rPr>
                <w:sz w:val="19"/>
                <w:szCs w:val="19"/>
                <w:color w:val="auto"/>
              </w:rPr>
            </w:pP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3"/>
              </w:rPr>
              <w:t>10.10</w:t>
            </w:r>
          </w:p>
        </w:tc>
        <w:tc>
          <w:tcPr>
            <w:tcW w:w="440" w:type="dxa"/>
            <w:vAlign w:val="bottom"/>
          </w:tcPr>
          <w:p>
            <w:pPr>
              <w:spacing w:after="0"/>
              <w:rPr>
                <w:sz w:val="16"/>
                <w:szCs w:val="16"/>
                <w:color w:val="auto"/>
              </w:rPr>
            </w:pPr>
          </w:p>
        </w:tc>
        <w:tc>
          <w:tcPr>
            <w:tcW w:w="9520" w:type="dxa"/>
            <w:vAlign w:val="bottom"/>
            <w:gridSpan w:val="30"/>
          </w:tcPr>
          <w:p>
            <w:pPr>
              <w:spacing w:after="0" w:line="190" w:lineRule="exact"/>
              <w:rPr>
                <w:rFonts w:ascii="Arial" w:cs="Arial" w:eastAsia="Arial" w:hAnsi="Arial"/>
                <w:sz w:val="18"/>
                <w:szCs w:val="18"/>
                <w:color w:val="0000EE"/>
                <w:w w:val="93"/>
              </w:rPr>
            </w:pPr>
            <w:hyperlink r:id="rId99">
              <w:r>
                <w:rPr>
                  <w:rFonts w:ascii="Arial" w:cs="Arial" w:eastAsia="Arial" w:hAnsi="Arial"/>
                  <w:sz w:val="18"/>
                  <w:szCs w:val="18"/>
                  <w:color w:val="0000EE"/>
                  <w:w w:val="93"/>
                </w:rPr>
                <w:t>Second Amended and Restated Operating Agreement of Telos Identity Management Solutions , LLC, dated December 24, 2014</w:t>
              </w:r>
            </w:hyperlink>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0" w:type="dxa"/>
            <w:vAlign w:val="bottom"/>
            <w:tcBorders>
              <w:top w:val="single" w:sz="8" w:color="0000EE"/>
            </w:tcBorders>
            <w:gridSpan w:val="26"/>
          </w:tcPr>
          <w:p>
            <w:pPr>
              <w:spacing w:after="0"/>
              <w:rPr>
                <w:sz w:val="20"/>
                <w:szCs w:val="20"/>
                <w:color w:val="auto"/>
              </w:rPr>
            </w:pPr>
            <w:r>
              <w:rPr>
                <w:rFonts w:ascii="Arial" w:cs="Arial" w:eastAsia="Arial" w:hAnsi="Arial"/>
                <w:sz w:val="18"/>
                <w:szCs w:val="18"/>
                <w:color w:val="auto"/>
                <w:w w:val="96"/>
              </w:rPr>
              <w:t>(Incorporated by reference to Exhibit 99.2 filed with the Company’s Current Report on Form 8-K on December 31, 2014)</w:t>
            </w:r>
          </w:p>
        </w:tc>
        <w:tc>
          <w:tcPr>
            <w:tcW w:w="320" w:type="dxa"/>
            <w:vAlign w:val="bottom"/>
            <w:gridSpan w:val="4"/>
          </w:tcPr>
          <w:p>
            <w:pPr>
              <w:spacing w:after="0"/>
              <w:rPr>
                <w:sz w:val="19"/>
                <w:szCs w:val="19"/>
                <w:color w:val="auto"/>
              </w:rPr>
            </w:pP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84"/>
              </w:rPr>
              <w:t>10.11</w:t>
            </w:r>
          </w:p>
        </w:tc>
        <w:tc>
          <w:tcPr>
            <w:tcW w:w="440" w:type="dxa"/>
            <w:vAlign w:val="bottom"/>
          </w:tcPr>
          <w:p>
            <w:pPr>
              <w:spacing w:after="0"/>
              <w:rPr>
                <w:sz w:val="16"/>
                <w:szCs w:val="16"/>
                <w:color w:val="auto"/>
              </w:rPr>
            </w:pPr>
          </w:p>
        </w:tc>
        <w:tc>
          <w:tcPr>
            <w:tcW w:w="9520" w:type="dxa"/>
            <w:vAlign w:val="bottom"/>
            <w:gridSpan w:val="30"/>
          </w:tcPr>
          <w:p>
            <w:pPr>
              <w:spacing w:after="0" w:line="190"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 xml:space="preserve">Subordinated Loan Agreement between the Company and Porter Foundation Switzerland dated March 31, 2015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w:t>
            </w: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520" w:type="dxa"/>
            <w:vAlign w:val="bottom"/>
            <w:gridSpan w:val="30"/>
          </w:tcPr>
          <w:p>
            <w:pPr>
              <w:spacing w:after="0"/>
              <w:rPr>
                <w:sz w:val="20"/>
                <w:szCs w:val="20"/>
                <w:color w:val="auto"/>
              </w:rPr>
            </w:pPr>
            <w:r>
              <w:rPr>
                <w:rFonts w:ascii="Arial" w:cs="Arial" w:eastAsia="Arial" w:hAnsi="Arial"/>
                <w:sz w:val="18"/>
                <w:szCs w:val="18"/>
                <w:color w:val="auto"/>
              </w:rPr>
              <w:t>reference to Exhibit 10.37 filed with the Company’s Form 10-K/A report for the year ended December 31, 2014)</w:t>
            </w: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3"/>
              </w:rPr>
              <w:t>10.12</w:t>
            </w:r>
          </w:p>
        </w:tc>
        <w:tc>
          <w:tcPr>
            <w:tcW w:w="440" w:type="dxa"/>
            <w:vAlign w:val="bottom"/>
          </w:tcPr>
          <w:p>
            <w:pPr>
              <w:spacing w:after="0"/>
              <w:rPr>
                <w:sz w:val="16"/>
                <w:szCs w:val="16"/>
                <w:color w:val="auto"/>
              </w:rPr>
            </w:pPr>
          </w:p>
        </w:tc>
        <w:tc>
          <w:tcPr>
            <w:tcW w:w="9520" w:type="dxa"/>
            <w:vAlign w:val="bottom"/>
            <w:gridSpan w:val="30"/>
          </w:tcPr>
          <w:p>
            <w:pPr>
              <w:spacing w:after="0" w:line="190"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 xml:space="preserve">Subordinated Promissory Note between the Company and Porter Foundation Switzerland dated March 31, 2015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w:t>
            </w: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520" w:type="dxa"/>
            <w:vAlign w:val="bottom"/>
            <w:gridSpan w:val="30"/>
          </w:tcPr>
          <w:p>
            <w:pPr>
              <w:spacing w:after="0"/>
              <w:rPr>
                <w:sz w:val="20"/>
                <w:szCs w:val="20"/>
                <w:color w:val="auto"/>
              </w:rPr>
            </w:pPr>
            <w:r>
              <w:rPr>
                <w:rFonts w:ascii="Arial" w:cs="Arial" w:eastAsia="Arial" w:hAnsi="Arial"/>
                <w:sz w:val="18"/>
                <w:szCs w:val="18"/>
                <w:color w:val="auto"/>
              </w:rPr>
              <w:t>reference to Exhibit 10.38 filed with the Company’s Form 10-K/A report for the year ended December 31, 2014)</w:t>
            </w: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3"/>
              </w:rPr>
              <w:t>10.13</w:t>
            </w:r>
          </w:p>
        </w:tc>
        <w:tc>
          <w:tcPr>
            <w:tcW w:w="440" w:type="dxa"/>
            <w:vAlign w:val="bottom"/>
          </w:tcPr>
          <w:p>
            <w:pPr>
              <w:spacing w:after="0"/>
              <w:rPr>
                <w:sz w:val="16"/>
                <w:szCs w:val="16"/>
                <w:color w:val="auto"/>
              </w:rPr>
            </w:pPr>
          </w:p>
        </w:tc>
        <w:tc>
          <w:tcPr>
            <w:tcW w:w="9520" w:type="dxa"/>
            <w:vAlign w:val="bottom"/>
            <w:gridSpan w:val="30"/>
          </w:tcPr>
          <w:p>
            <w:pPr>
              <w:spacing w:after="0" w:line="190" w:lineRule="exact"/>
              <w:rPr>
                <w:rFonts w:ascii="Arial" w:cs="Arial" w:eastAsia="Arial" w:hAnsi="Arial"/>
                <w:sz w:val="18"/>
                <w:szCs w:val="18"/>
                <w:color w:val="0000EE"/>
                <w:w w:val="99"/>
              </w:rPr>
            </w:pPr>
            <w:hyperlink r:id="rId102">
              <w:r>
                <w:rPr>
                  <w:rFonts w:ascii="Arial" w:cs="Arial" w:eastAsia="Arial" w:hAnsi="Arial"/>
                  <w:sz w:val="18"/>
                  <w:szCs w:val="18"/>
                  <w:color w:val="0000EE"/>
                  <w:w w:val="99"/>
                </w:rPr>
                <w:t>Subordinated Loan Agreement between the Company and JP Charitable Foundation Switzerland dated March 31, 2015</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520" w:type="dxa"/>
            <w:vAlign w:val="bottom"/>
            <w:gridSpan w:val="30"/>
          </w:tcPr>
          <w:p>
            <w:pPr>
              <w:spacing w:after="0"/>
              <w:rPr>
                <w:sz w:val="20"/>
                <w:szCs w:val="20"/>
                <w:color w:val="auto"/>
              </w:rPr>
            </w:pPr>
            <w:r>
              <w:rPr>
                <w:rFonts w:ascii="Arial" w:cs="Arial" w:eastAsia="Arial" w:hAnsi="Arial"/>
                <w:sz w:val="18"/>
                <w:szCs w:val="18"/>
                <w:color w:val="auto"/>
                <w:w w:val="93"/>
              </w:rPr>
              <w:t>(Incorporated by reference to Exhibit 10.39 filed with the Company’s Form 10-K/A report for the year ended December 31, 2014)</w:t>
            </w: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3"/>
              </w:rPr>
              <w:t>10.14</w:t>
            </w:r>
          </w:p>
        </w:tc>
        <w:tc>
          <w:tcPr>
            <w:tcW w:w="440" w:type="dxa"/>
            <w:vAlign w:val="bottom"/>
          </w:tcPr>
          <w:p>
            <w:pPr>
              <w:spacing w:after="0"/>
              <w:rPr>
                <w:sz w:val="16"/>
                <w:szCs w:val="16"/>
                <w:color w:val="auto"/>
              </w:rPr>
            </w:pPr>
          </w:p>
        </w:tc>
        <w:tc>
          <w:tcPr>
            <w:tcW w:w="9520" w:type="dxa"/>
            <w:vAlign w:val="bottom"/>
            <w:gridSpan w:val="30"/>
          </w:tcPr>
          <w:p>
            <w:pPr>
              <w:spacing w:after="0" w:line="190" w:lineRule="exact"/>
              <w:rPr>
                <w:rFonts w:ascii="Arial" w:cs="Arial" w:eastAsia="Arial" w:hAnsi="Arial"/>
                <w:sz w:val="18"/>
                <w:szCs w:val="18"/>
                <w:color w:val="0000EE"/>
                <w:w w:val="99"/>
              </w:rPr>
            </w:pPr>
            <w:hyperlink r:id="rId103">
              <w:r>
                <w:rPr>
                  <w:rFonts w:ascii="Arial" w:cs="Arial" w:eastAsia="Arial" w:hAnsi="Arial"/>
                  <w:sz w:val="18"/>
                  <w:szCs w:val="18"/>
                  <w:color w:val="0000EE"/>
                  <w:w w:val="99"/>
                </w:rPr>
                <w:t>Subordinated Promissory Note between the Company and JP Charitable Foundation Switzerland dated March 31, 2015</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520" w:type="dxa"/>
            <w:vAlign w:val="bottom"/>
            <w:gridSpan w:val="30"/>
          </w:tcPr>
          <w:p>
            <w:pPr>
              <w:spacing w:after="0"/>
              <w:rPr>
                <w:sz w:val="20"/>
                <w:szCs w:val="20"/>
                <w:color w:val="auto"/>
              </w:rPr>
            </w:pPr>
            <w:r>
              <w:rPr>
                <w:rFonts w:ascii="Arial" w:cs="Arial" w:eastAsia="Arial" w:hAnsi="Arial"/>
                <w:sz w:val="18"/>
                <w:szCs w:val="18"/>
                <w:color w:val="auto"/>
                <w:w w:val="93"/>
              </w:rPr>
              <w:t>(Incorporated by reference to Exhibit 10.40 filed with the Company’s Form 10-K/A report for the year ended December 31, 2014)</w:t>
            </w: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3"/>
              </w:rPr>
              <w:t>10.15</w:t>
            </w:r>
          </w:p>
        </w:tc>
        <w:tc>
          <w:tcPr>
            <w:tcW w:w="440" w:type="dxa"/>
            <w:vAlign w:val="bottom"/>
          </w:tcPr>
          <w:p>
            <w:pPr>
              <w:spacing w:after="0"/>
              <w:rPr>
                <w:sz w:val="16"/>
                <w:szCs w:val="16"/>
                <w:color w:val="auto"/>
              </w:rPr>
            </w:pPr>
          </w:p>
        </w:tc>
        <w:tc>
          <w:tcPr>
            <w:tcW w:w="9060" w:type="dxa"/>
            <w:vAlign w:val="bottom"/>
            <w:tcBorders>
              <w:bottom w:val="single" w:sz="8" w:color="0000EE"/>
            </w:tcBorders>
            <w:gridSpan w:val="24"/>
          </w:tcPr>
          <w:p>
            <w:pPr>
              <w:spacing w:after="0" w:line="190"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Accounts Receivable Purchase Agreement between Telos Corporation and Republic Capital Access, LLC dated July 15, 2016</w:t>
              </w:r>
            </w:hyperlink>
          </w:p>
        </w:tc>
        <w:tc>
          <w:tcPr>
            <w:tcW w:w="460" w:type="dxa"/>
            <w:vAlign w:val="bottom"/>
            <w:gridSpan w:val="6"/>
          </w:tcPr>
          <w:p>
            <w:pPr>
              <w:spacing w:after="0"/>
              <w:rPr>
                <w:sz w:val="16"/>
                <w:szCs w:val="16"/>
                <w:color w:val="auto"/>
              </w:rPr>
            </w:pP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520" w:type="dxa"/>
            <w:vAlign w:val="bottom"/>
            <w:gridSpan w:val="30"/>
          </w:tcPr>
          <w:p>
            <w:pPr>
              <w:spacing w:after="0"/>
              <w:rPr>
                <w:sz w:val="20"/>
                <w:szCs w:val="20"/>
                <w:color w:val="auto"/>
              </w:rPr>
            </w:pPr>
            <w:r>
              <w:rPr>
                <w:rFonts w:ascii="Arial" w:cs="Arial" w:eastAsia="Arial" w:hAnsi="Arial"/>
                <w:sz w:val="18"/>
                <w:szCs w:val="18"/>
                <w:color w:val="auto"/>
              </w:rPr>
              <w:t>(Incorporated by reference to Exhibit 99.1 filed with the Company’s Current Report on Form 8-K on July 21, 2016)</w:t>
            </w: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3"/>
              </w:rPr>
              <w:t>10.16</w:t>
            </w:r>
          </w:p>
        </w:tc>
        <w:tc>
          <w:tcPr>
            <w:tcW w:w="440" w:type="dxa"/>
            <w:vAlign w:val="bottom"/>
          </w:tcPr>
          <w:p>
            <w:pPr>
              <w:spacing w:after="0"/>
              <w:rPr>
                <w:sz w:val="16"/>
                <w:szCs w:val="16"/>
                <w:color w:val="auto"/>
              </w:rPr>
            </w:pPr>
          </w:p>
        </w:tc>
        <w:tc>
          <w:tcPr>
            <w:tcW w:w="9520" w:type="dxa"/>
            <w:vAlign w:val="bottom"/>
            <w:gridSpan w:val="30"/>
          </w:tcPr>
          <w:p>
            <w:pPr>
              <w:spacing w:after="0" w:line="190"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 xml:space="preserve">Financing and Security Agreement between Telos Corporation and Action Capital Corporation, dated July 15, 2016 </w:t>
              </w:r>
            </w:hyperlink>
            <w:r>
              <w:rPr>
                <w:rFonts w:ascii="Arial" w:cs="Arial" w:eastAsia="Arial" w:hAnsi="Arial"/>
                <w:sz w:val="18"/>
                <w:szCs w:val="18"/>
                <w:color w:val="000000"/>
                <w:w w:val="92"/>
              </w:rPr>
              <w:t>(Incorporated</w:t>
            </w: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320" w:type="dxa"/>
            <w:vAlign w:val="bottom"/>
            <w:tcBorders>
              <w:top w:val="single" w:sz="8" w:color="0000EE"/>
            </w:tcBorders>
            <w:gridSpan w:val="21"/>
          </w:tcPr>
          <w:p>
            <w:pPr>
              <w:spacing w:after="0"/>
              <w:rPr>
                <w:sz w:val="20"/>
                <w:szCs w:val="20"/>
                <w:color w:val="auto"/>
              </w:rPr>
            </w:pPr>
            <w:r>
              <w:rPr>
                <w:rFonts w:ascii="Arial" w:cs="Arial" w:eastAsia="Arial" w:hAnsi="Arial"/>
                <w:sz w:val="18"/>
                <w:szCs w:val="18"/>
                <w:color w:val="auto"/>
              </w:rPr>
              <w:t>by reference to Exhibit 99.2 filed with the Company’s Current Report on Form 8-K on July 21, 2016)</w:t>
            </w:r>
          </w:p>
        </w:tc>
        <w:tc>
          <w:tcPr>
            <w:tcW w:w="1200" w:type="dxa"/>
            <w:vAlign w:val="bottom"/>
            <w:gridSpan w:val="9"/>
          </w:tcPr>
          <w:p>
            <w:pPr>
              <w:spacing w:after="0"/>
              <w:rPr>
                <w:sz w:val="19"/>
                <w:szCs w:val="19"/>
                <w:color w:val="auto"/>
              </w:rPr>
            </w:pP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5"/>
              </w:rPr>
              <w:t>10.17*</w:t>
            </w:r>
          </w:p>
        </w:tc>
        <w:tc>
          <w:tcPr>
            <w:tcW w:w="440" w:type="dxa"/>
            <w:vAlign w:val="bottom"/>
          </w:tcPr>
          <w:p>
            <w:pPr>
              <w:spacing w:after="0"/>
              <w:rPr>
                <w:sz w:val="16"/>
                <w:szCs w:val="16"/>
                <w:color w:val="auto"/>
              </w:rPr>
            </w:pPr>
          </w:p>
        </w:tc>
        <w:tc>
          <w:tcPr>
            <w:tcW w:w="9520" w:type="dxa"/>
            <w:vAlign w:val="bottom"/>
            <w:gridSpan w:val="30"/>
          </w:tcPr>
          <w:p>
            <w:pPr>
              <w:spacing w:after="0" w:line="190"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 xml:space="preserve">Telos Corporation 2016 Omnibus Long-Term Incentive Plan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 Exhibit 10.3 filed with the Company’s</w:t>
            </w: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36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w w:val="99"/>
              </w:rPr>
              <w:t>Form 10-Q report for the quarter ended June 30, 2016)</w:t>
            </w:r>
          </w:p>
        </w:tc>
        <w:tc>
          <w:tcPr>
            <w:tcW w:w="5160" w:type="dxa"/>
            <w:vAlign w:val="bottom"/>
            <w:gridSpan w:val="19"/>
          </w:tcPr>
          <w:p>
            <w:pPr>
              <w:spacing w:after="0"/>
              <w:rPr>
                <w:sz w:val="19"/>
                <w:szCs w:val="19"/>
                <w:color w:val="auto"/>
              </w:rPr>
            </w:pP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5"/>
              </w:rPr>
              <w:t>10.18*</w:t>
            </w:r>
          </w:p>
        </w:tc>
        <w:tc>
          <w:tcPr>
            <w:tcW w:w="440" w:type="dxa"/>
            <w:vAlign w:val="bottom"/>
          </w:tcPr>
          <w:p>
            <w:pPr>
              <w:spacing w:after="0"/>
              <w:rPr>
                <w:sz w:val="16"/>
                <w:szCs w:val="16"/>
                <w:color w:val="auto"/>
              </w:rPr>
            </w:pPr>
          </w:p>
        </w:tc>
        <w:tc>
          <w:tcPr>
            <w:tcW w:w="9520" w:type="dxa"/>
            <w:vAlign w:val="bottom"/>
            <w:gridSpan w:val="30"/>
          </w:tcPr>
          <w:p>
            <w:pPr>
              <w:spacing w:after="0" w:line="190" w:lineRule="exact"/>
              <w:rPr>
                <w:rFonts w:ascii="Arial" w:cs="Arial" w:eastAsia="Arial" w:hAnsi="Arial"/>
                <w:sz w:val="18"/>
                <w:szCs w:val="18"/>
                <w:color w:val="0000EE"/>
                <w:w w:val="93"/>
              </w:rPr>
            </w:pPr>
            <w:hyperlink r:id="rId107">
              <w:r>
                <w:rPr>
                  <w:rFonts w:ascii="Arial" w:cs="Arial" w:eastAsia="Arial" w:hAnsi="Arial"/>
                  <w:sz w:val="18"/>
                  <w:szCs w:val="18"/>
                  <w:color w:val="0000EE"/>
                  <w:w w:val="93"/>
                </w:rPr>
                <w:t xml:space="preserve">Notice of Grant of Restricted Stock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 Exhibit 10.4 filed with the Company’s Form 10-Q report for the</w:t>
            </w: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6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quarter ended June 30, 2016)</w:t>
            </w:r>
          </w:p>
        </w:tc>
        <w:tc>
          <w:tcPr>
            <w:tcW w:w="6960" w:type="dxa"/>
            <w:vAlign w:val="bottom"/>
            <w:gridSpan w:val="24"/>
          </w:tcPr>
          <w:p>
            <w:pPr>
              <w:spacing w:after="0"/>
              <w:rPr>
                <w:sz w:val="19"/>
                <w:szCs w:val="19"/>
                <w:color w:val="auto"/>
              </w:rPr>
            </w:pP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3"/>
              </w:rPr>
              <w:t>10.19</w:t>
            </w:r>
          </w:p>
        </w:tc>
        <w:tc>
          <w:tcPr>
            <w:tcW w:w="440" w:type="dxa"/>
            <w:vAlign w:val="bottom"/>
          </w:tcPr>
          <w:p>
            <w:pPr>
              <w:spacing w:after="0"/>
              <w:rPr>
                <w:sz w:val="16"/>
                <w:szCs w:val="16"/>
                <w:color w:val="auto"/>
              </w:rPr>
            </w:pPr>
          </w:p>
        </w:tc>
        <w:tc>
          <w:tcPr>
            <w:tcW w:w="9480" w:type="dxa"/>
            <w:vAlign w:val="bottom"/>
            <w:tcBorders>
              <w:bottom w:val="single" w:sz="8" w:color="0000EE"/>
            </w:tcBorders>
            <w:gridSpan w:val="29"/>
          </w:tcPr>
          <w:p>
            <w:pPr>
              <w:spacing w:after="0" w:line="190"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Amendment to Financing and Security Agreement Between the Company and Action Capital Corporation dated September 6, 2016</w:t>
              </w:r>
            </w:hyperlink>
          </w:p>
        </w:tc>
        <w:tc>
          <w:tcPr>
            <w:tcW w:w="40" w:type="dxa"/>
            <w:vAlign w:val="bottom"/>
          </w:tcPr>
          <w:p>
            <w:pPr>
              <w:spacing w:after="0"/>
              <w:rPr>
                <w:sz w:val="16"/>
                <w:szCs w:val="16"/>
                <w:color w:val="auto"/>
              </w:rPr>
            </w:pP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520" w:type="dxa"/>
            <w:vAlign w:val="bottom"/>
            <w:gridSpan w:val="30"/>
          </w:tcPr>
          <w:p>
            <w:pPr>
              <w:spacing w:after="0"/>
              <w:rPr>
                <w:sz w:val="20"/>
                <w:szCs w:val="20"/>
                <w:color w:val="auto"/>
              </w:rPr>
            </w:pPr>
            <w:r>
              <w:rPr>
                <w:rFonts w:ascii="Arial" w:cs="Arial" w:eastAsia="Arial" w:hAnsi="Arial"/>
                <w:sz w:val="18"/>
                <w:szCs w:val="18"/>
                <w:color w:val="auto"/>
              </w:rPr>
              <w:t>(Incorporated by reference to Exhibit 99.1 filed with the Company’s Current Report on Form 8-K on September 9, 2016)</w:t>
            </w: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5"/>
              </w:rPr>
              <w:t>10.20*</w:t>
            </w:r>
          </w:p>
        </w:tc>
        <w:tc>
          <w:tcPr>
            <w:tcW w:w="440" w:type="dxa"/>
            <w:vAlign w:val="bottom"/>
          </w:tcPr>
          <w:p>
            <w:pPr>
              <w:spacing w:after="0"/>
              <w:rPr>
                <w:sz w:val="16"/>
                <w:szCs w:val="16"/>
                <w:color w:val="auto"/>
              </w:rPr>
            </w:pPr>
          </w:p>
        </w:tc>
        <w:tc>
          <w:tcPr>
            <w:tcW w:w="9520" w:type="dxa"/>
            <w:vAlign w:val="bottom"/>
            <w:gridSpan w:val="30"/>
          </w:tcPr>
          <w:p>
            <w:pPr>
              <w:spacing w:after="0" w:line="190" w:lineRule="exact"/>
              <w:rPr>
                <w:rFonts w:ascii="Arial" w:cs="Arial" w:eastAsia="Arial" w:hAnsi="Arial"/>
                <w:sz w:val="18"/>
                <w:szCs w:val="18"/>
                <w:color w:val="0000EE"/>
                <w:w w:val="96"/>
              </w:rPr>
            </w:pPr>
            <w:hyperlink r:id="rId109">
              <w:r>
                <w:rPr>
                  <w:rFonts w:ascii="Arial" w:cs="Arial" w:eastAsia="Arial" w:hAnsi="Arial"/>
                  <w:sz w:val="18"/>
                  <w:szCs w:val="18"/>
                  <w:color w:val="0000EE"/>
                  <w:w w:val="96"/>
                </w:rPr>
                <w:t xml:space="preserve">Telos ID Sale Bonus Plan </w:t>
              </w:r>
            </w:hyperlink>
            <w:r>
              <w:rPr>
                <w:rFonts w:ascii="Arial" w:cs="Arial" w:eastAsia="Arial" w:hAnsi="Arial"/>
                <w:sz w:val="18"/>
                <w:szCs w:val="18"/>
                <w:color w:val="000000"/>
                <w:w w:val="96"/>
              </w:rPr>
              <w:t>(Incorporated</w:t>
            </w:r>
            <w:r>
              <w:rPr>
                <w:rFonts w:ascii="Arial" w:cs="Arial" w:eastAsia="Arial" w:hAnsi="Arial"/>
                <w:sz w:val="18"/>
                <w:szCs w:val="18"/>
                <w:color w:val="0000EE"/>
                <w:w w:val="96"/>
              </w:rPr>
              <w:t xml:space="preserve"> </w:t>
            </w:r>
            <w:r>
              <w:rPr>
                <w:rFonts w:ascii="Arial" w:cs="Arial" w:eastAsia="Arial" w:hAnsi="Arial"/>
                <w:sz w:val="18"/>
                <w:szCs w:val="18"/>
                <w:color w:val="000000"/>
                <w:w w:val="96"/>
              </w:rPr>
              <w:t>by reference to Exhibit 10.48 filed with the Company’s Form 10-K report for the year</w:t>
            </w: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520" w:type="dxa"/>
            <w:vAlign w:val="bottom"/>
            <w:gridSpan w:val="30"/>
          </w:tcPr>
          <w:p>
            <w:pPr>
              <w:spacing w:after="0"/>
              <w:rPr>
                <w:sz w:val="20"/>
                <w:szCs w:val="20"/>
                <w:color w:val="auto"/>
              </w:rPr>
            </w:pPr>
            <w:r>
              <w:rPr>
                <w:rFonts w:ascii="Arial" w:cs="Arial" w:eastAsia="Arial" w:hAnsi="Arial"/>
                <w:sz w:val="18"/>
                <w:szCs w:val="18"/>
                <w:color w:val="auto"/>
              </w:rPr>
              <w:t>ended December 31, 2016)</w:t>
            </w: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3"/>
              </w:rPr>
              <w:t>10.21</w:t>
            </w:r>
          </w:p>
        </w:tc>
        <w:tc>
          <w:tcPr>
            <w:tcW w:w="440" w:type="dxa"/>
            <w:vAlign w:val="bottom"/>
          </w:tcPr>
          <w:p>
            <w:pPr>
              <w:spacing w:after="0"/>
              <w:rPr>
                <w:sz w:val="16"/>
                <w:szCs w:val="16"/>
                <w:color w:val="auto"/>
              </w:rPr>
            </w:pPr>
          </w:p>
        </w:tc>
        <w:tc>
          <w:tcPr>
            <w:tcW w:w="9100" w:type="dxa"/>
            <w:vAlign w:val="bottom"/>
            <w:tcBorders>
              <w:bottom w:val="single" w:sz="8" w:color="0000EE"/>
            </w:tcBorders>
            <w:gridSpan w:val="25"/>
          </w:tcPr>
          <w:p>
            <w:pPr>
              <w:spacing w:after="0" w:line="190"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First Amendment to Accounts Receivable Purchase Agreement between Telos Corporation and Republic Capital Access, LLC</w:t>
              </w:r>
            </w:hyperlink>
          </w:p>
        </w:tc>
        <w:tc>
          <w:tcPr>
            <w:tcW w:w="420" w:type="dxa"/>
            <w:vAlign w:val="bottom"/>
            <w:gridSpan w:val="5"/>
          </w:tcPr>
          <w:p>
            <w:pPr>
              <w:spacing w:after="0"/>
              <w:rPr>
                <w:sz w:val="16"/>
                <w:szCs w:val="16"/>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0"/>
          </w:tcPr>
          <w:p>
            <w:pPr>
              <w:spacing w:after="0" w:line="196" w:lineRule="exact"/>
              <w:rPr>
                <w:rFonts w:ascii="Arial" w:cs="Arial" w:eastAsia="Arial" w:hAnsi="Arial"/>
                <w:sz w:val="18"/>
                <w:szCs w:val="18"/>
                <w:color w:val="0000EE"/>
                <w:w w:val="94"/>
              </w:rPr>
            </w:pPr>
            <w:hyperlink r:id="rId110">
              <w:r>
                <w:rPr>
                  <w:rFonts w:ascii="Arial" w:cs="Arial" w:eastAsia="Arial" w:hAnsi="Arial"/>
                  <w:sz w:val="18"/>
                  <w:szCs w:val="18"/>
                  <w:color w:val="0000EE"/>
                  <w:w w:val="94"/>
                </w:rPr>
                <w:t xml:space="preserve">dated March 2, 2018 </w:t>
              </w:r>
              <w:r>
                <w:rPr>
                  <w:rFonts w:ascii="Arial" w:cs="Arial" w:eastAsia="Arial" w:hAnsi="Arial"/>
                  <w:sz w:val="18"/>
                  <w:szCs w:val="18"/>
                  <w:color w:val="000000"/>
                  <w:w w:val="94"/>
                </w:rPr>
                <w:t>(Incorporated by reference to Exhibit 10.48 filed with the Company’s Form 10-K report for the year ended</w:t>
              </w:r>
            </w:hyperlink>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0"/>
              </w:rPr>
              <w:t>December 31, 2017)</w:t>
            </w:r>
          </w:p>
        </w:tc>
        <w:tc>
          <w:tcPr>
            <w:tcW w:w="8020" w:type="dxa"/>
            <w:vAlign w:val="bottom"/>
            <w:gridSpan w:val="28"/>
          </w:tcPr>
          <w:p>
            <w:pPr>
              <w:spacing w:after="0"/>
              <w:rPr>
                <w:sz w:val="19"/>
                <w:szCs w:val="19"/>
                <w:color w:val="auto"/>
              </w:rPr>
            </w:pP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5"/>
              </w:rPr>
              <w:t>10.22*</w:t>
            </w:r>
          </w:p>
        </w:tc>
        <w:tc>
          <w:tcPr>
            <w:tcW w:w="440" w:type="dxa"/>
            <w:vAlign w:val="bottom"/>
          </w:tcPr>
          <w:p>
            <w:pPr>
              <w:spacing w:after="0"/>
              <w:rPr>
                <w:sz w:val="16"/>
                <w:szCs w:val="16"/>
                <w:color w:val="auto"/>
              </w:rPr>
            </w:pPr>
          </w:p>
        </w:tc>
        <w:tc>
          <w:tcPr>
            <w:tcW w:w="9520" w:type="dxa"/>
            <w:vAlign w:val="bottom"/>
            <w:gridSpan w:val="30"/>
          </w:tcPr>
          <w:p>
            <w:pPr>
              <w:spacing w:after="0" w:line="190" w:lineRule="exact"/>
              <w:rPr>
                <w:rFonts w:ascii="Arial" w:cs="Arial" w:eastAsia="Arial" w:hAnsi="Arial"/>
                <w:sz w:val="18"/>
                <w:szCs w:val="18"/>
                <w:color w:val="0000EE"/>
                <w:w w:val="94"/>
              </w:rPr>
            </w:pPr>
            <w:hyperlink r:id="rId111">
              <w:r>
                <w:rPr>
                  <w:rFonts w:ascii="Arial" w:cs="Arial" w:eastAsia="Arial" w:hAnsi="Arial"/>
                  <w:sz w:val="18"/>
                  <w:szCs w:val="18"/>
                  <w:color w:val="0000EE"/>
                  <w:w w:val="94"/>
                </w:rPr>
                <w:t xml:space="preserve">Telos Corporation Senior Officer Incentive Program, Adopted as Revised March 29, 2018 </w:t>
              </w:r>
            </w:hyperlink>
            <w:r>
              <w:rPr>
                <w:rFonts w:ascii="Arial" w:cs="Arial" w:eastAsia="Arial" w:hAnsi="Arial"/>
                <w:sz w:val="18"/>
                <w:szCs w:val="18"/>
                <w:color w:val="000000"/>
                <w:w w:val="94"/>
              </w:rPr>
              <w:t>(Incorporated</w:t>
            </w:r>
            <w:r>
              <w:rPr>
                <w:rFonts w:ascii="Arial" w:cs="Arial" w:eastAsia="Arial" w:hAnsi="Arial"/>
                <w:sz w:val="18"/>
                <w:szCs w:val="18"/>
                <w:color w:val="0000EE"/>
                <w:w w:val="94"/>
              </w:rPr>
              <w:t xml:space="preserve"> </w:t>
            </w:r>
            <w:r>
              <w:rPr>
                <w:rFonts w:ascii="Arial" w:cs="Arial" w:eastAsia="Arial" w:hAnsi="Arial"/>
                <w:sz w:val="18"/>
                <w:szCs w:val="18"/>
                <w:color w:val="000000"/>
                <w:w w:val="94"/>
              </w:rPr>
              <w:t>by reference to Exhibit</w:t>
            </w: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8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auto"/>
                <w:w w:val="91"/>
              </w:rPr>
              <w:t>10.49 filed with the Company’s Form 10-K report for the year ended December 31, 2017)</w:t>
            </w:r>
          </w:p>
        </w:tc>
        <w:tc>
          <w:tcPr>
            <w:tcW w:w="3040" w:type="dxa"/>
            <w:vAlign w:val="bottom"/>
            <w:gridSpan w:val="15"/>
          </w:tcPr>
          <w:p>
            <w:pPr>
              <w:spacing w:after="0"/>
              <w:rPr>
                <w:sz w:val="19"/>
                <w:szCs w:val="19"/>
                <w:color w:val="auto"/>
              </w:rPr>
            </w:pP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3"/>
              </w:rPr>
              <w:t>10.23</w:t>
            </w:r>
          </w:p>
        </w:tc>
        <w:tc>
          <w:tcPr>
            <w:tcW w:w="440" w:type="dxa"/>
            <w:vAlign w:val="bottom"/>
          </w:tcPr>
          <w:p>
            <w:pPr>
              <w:spacing w:after="0"/>
              <w:rPr>
                <w:sz w:val="16"/>
                <w:szCs w:val="16"/>
                <w:color w:val="auto"/>
              </w:rPr>
            </w:pPr>
          </w:p>
        </w:tc>
        <w:tc>
          <w:tcPr>
            <w:tcW w:w="9520" w:type="dxa"/>
            <w:vAlign w:val="bottom"/>
            <w:gridSpan w:val="30"/>
          </w:tcPr>
          <w:p>
            <w:pPr>
              <w:spacing w:after="0" w:line="190"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Amendment to Financing and Security Agreement Between Telos Corporation and Action Capital Corporation dated August 13,</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0"/>
          </w:tcPr>
          <w:p>
            <w:pPr>
              <w:spacing w:after="0" w:line="196"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 xml:space="preserve">2018 </w:t>
              </w:r>
              <w:r>
                <w:rPr>
                  <w:rFonts w:ascii="Arial" w:cs="Arial" w:eastAsia="Arial" w:hAnsi="Arial"/>
                  <w:sz w:val="18"/>
                  <w:szCs w:val="18"/>
                  <w:color w:val="000000"/>
                  <w:w w:val="93"/>
                </w:rPr>
                <w:t>(Incorporated by reference to Exhibit 10.1 filed with the Company’s Form 10-Q report for the quarter ended June 30, 2018)</w:t>
              </w:r>
            </w:hyperlink>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28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3"/>
              </w:rPr>
              <w:t>10.24</w:t>
            </w:r>
          </w:p>
        </w:tc>
        <w:tc>
          <w:tcPr>
            <w:tcW w:w="440" w:type="dxa"/>
            <w:vAlign w:val="bottom"/>
          </w:tcPr>
          <w:p>
            <w:pPr>
              <w:spacing w:after="0"/>
              <w:rPr>
                <w:sz w:val="17"/>
                <w:szCs w:val="17"/>
                <w:color w:val="auto"/>
              </w:rPr>
            </w:pPr>
          </w:p>
        </w:tc>
        <w:tc>
          <w:tcPr>
            <w:tcW w:w="93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Second Amendment to Accounts Receivable Purchase Agreement between Telos Corporation and Republic Capital Access, LLC</w:t>
              </w:r>
            </w:hyperlink>
          </w:p>
        </w:tc>
        <w:tc>
          <w:tcPr>
            <w:tcW w:w="22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gridSpan w:val="30"/>
          </w:tcPr>
          <w:p>
            <w:pPr>
              <w:spacing w:after="0" w:line="196" w:lineRule="exact"/>
              <w:rPr>
                <w:rFonts w:ascii="Arial" w:cs="Arial" w:eastAsia="Arial" w:hAnsi="Arial"/>
                <w:sz w:val="18"/>
                <w:szCs w:val="18"/>
                <w:color w:val="0000EE"/>
                <w:w w:val="94"/>
              </w:rPr>
            </w:pPr>
            <w:hyperlink r:id="rId113">
              <w:r>
                <w:rPr>
                  <w:rFonts w:ascii="Arial" w:cs="Arial" w:eastAsia="Arial" w:hAnsi="Arial"/>
                  <w:sz w:val="18"/>
                  <w:szCs w:val="18"/>
                  <w:color w:val="0000EE"/>
                  <w:w w:val="94"/>
                </w:rPr>
                <w:t xml:space="preserve">dated November 15, 2019 </w:t>
              </w:r>
              <w:r>
                <w:rPr>
                  <w:rFonts w:ascii="Arial" w:cs="Arial" w:eastAsia="Arial" w:hAnsi="Arial"/>
                  <w:sz w:val="18"/>
                  <w:szCs w:val="18"/>
                  <w:color w:val="000000"/>
                  <w:w w:val="94"/>
                </w:rPr>
                <w:t>(Incorporated by reference to Exhibit 10.24 filed the Company’s Form 10-K report for the year ended</w:t>
              </w:r>
            </w:hyperlink>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December 31, 2019)</w:t>
            </w:r>
          </w:p>
        </w:tc>
        <w:tc>
          <w:tcPr>
            <w:tcW w:w="7640" w:type="dxa"/>
            <w:vAlign w:val="bottom"/>
            <w:gridSpan w:val="26"/>
          </w:tcPr>
          <w:p>
            <w:pPr>
              <w:spacing w:after="0"/>
              <w:rPr>
                <w:sz w:val="19"/>
                <w:szCs w:val="19"/>
                <w:color w:val="auto"/>
              </w:rPr>
            </w:pP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3"/>
              </w:rPr>
              <w:t>10.25</w:t>
            </w:r>
          </w:p>
        </w:tc>
        <w:tc>
          <w:tcPr>
            <w:tcW w:w="440" w:type="dxa"/>
            <w:vAlign w:val="bottom"/>
          </w:tcPr>
          <w:p>
            <w:pPr>
              <w:spacing w:after="0"/>
              <w:rPr>
                <w:sz w:val="16"/>
                <w:szCs w:val="16"/>
                <w:color w:val="auto"/>
              </w:rPr>
            </w:pPr>
          </w:p>
        </w:tc>
        <w:tc>
          <w:tcPr>
            <w:tcW w:w="9520" w:type="dxa"/>
            <w:vAlign w:val="bottom"/>
            <w:gridSpan w:val="30"/>
          </w:tcPr>
          <w:p>
            <w:pPr>
              <w:spacing w:after="0" w:line="190" w:lineRule="exact"/>
              <w:rPr>
                <w:rFonts w:ascii="Arial" w:cs="Arial" w:eastAsia="Arial" w:hAnsi="Arial"/>
                <w:sz w:val="18"/>
                <w:szCs w:val="18"/>
                <w:color w:val="0000EE"/>
                <w:w w:val="98"/>
              </w:rPr>
            </w:pPr>
            <w:hyperlink r:id="rId114">
              <w:r>
                <w:rPr>
                  <w:rFonts w:ascii="Arial" w:cs="Arial" w:eastAsia="Arial" w:hAnsi="Arial"/>
                  <w:sz w:val="18"/>
                  <w:szCs w:val="18"/>
                  <w:color w:val="0000EE"/>
                  <w:w w:val="98"/>
                </w:rPr>
                <w:t xml:space="preserve">Membership Interest Purchase Agreement, dated October 5, 2020 </w:t>
              </w:r>
            </w:hyperlink>
            <w:r>
              <w:rPr>
                <w:rFonts w:ascii="Arial" w:cs="Arial" w:eastAsia="Arial" w:hAnsi="Arial"/>
                <w:sz w:val="18"/>
                <w:szCs w:val="18"/>
                <w:color w:val="000000"/>
                <w:w w:val="98"/>
              </w:rPr>
              <w:t>(Incorporated</w:t>
            </w:r>
            <w:r>
              <w:rPr>
                <w:rFonts w:ascii="Arial" w:cs="Arial" w:eastAsia="Arial" w:hAnsi="Arial"/>
                <w:sz w:val="18"/>
                <w:szCs w:val="18"/>
                <w:color w:val="0000EE"/>
                <w:w w:val="98"/>
              </w:rPr>
              <w:t xml:space="preserve"> </w:t>
            </w:r>
            <w:r>
              <w:rPr>
                <w:rFonts w:ascii="Arial" w:cs="Arial" w:eastAsia="Arial" w:hAnsi="Arial"/>
                <w:sz w:val="18"/>
                <w:szCs w:val="18"/>
                <w:color w:val="000000"/>
                <w:w w:val="98"/>
              </w:rPr>
              <w:t>by reference to Exhibit 99.1 filed with the</w:t>
            </w: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6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w w:val="97"/>
              </w:rPr>
              <w:t>Company’s Current Report on Form 8-K on October 6, 2020)</w:t>
            </w:r>
          </w:p>
        </w:tc>
        <w:tc>
          <w:tcPr>
            <w:tcW w:w="4760" w:type="dxa"/>
            <w:vAlign w:val="bottom"/>
            <w:gridSpan w:val="18"/>
          </w:tcPr>
          <w:p>
            <w:pPr>
              <w:spacing w:after="0"/>
              <w:rPr>
                <w:sz w:val="19"/>
                <w:szCs w:val="19"/>
                <w:color w:val="auto"/>
              </w:rPr>
            </w:pP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3"/>
              </w:rPr>
              <w:t>10.26</w:t>
            </w:r>
          </w:p>
        </w:tc>
        <w:tc>
          <w:tcPr>
            <w:tcW w:w="440" w:type="dxa"/>
            <w:vAlign w:val="bottom"/>
          </w:tcPr>
          <w:p>
            <w:pPr>
              <w:spacing w:after="0"/>
              <w:rPr>
                <w:sz w:val="16"/>
                <w:szCs w:val="16"/>
                <w:color w:val="auto"/>
              </w:rPr>
            </w:pPr>
          </w:p>
        </w:tc>
        <w:tc>
          <w:tcPr>
            <w:tcW w:w="9520" w:type="dxa"/>
            <w:vAlign w:val="bottom"/>
            <w:gridSpan w:val="30"/>
          </w:tcPr>
          <w:p>
            <w:pPr>
              <w:spacing w:after="0" w:line="190" w:lineRule="exact"/>
              <w:rPr>
                <w:rFonts w:ascii="Arial" w:cs="Arial" w:eastAsia="Arial" w:hAnsi="Arial"/>
                <w:sz w:val="18"/>
                <w:szCs w:val="18"/>
                <w:color w:val="0000EE"/>
                <w:w w:val="97"/>
              </w:rPr>
            </w:pPr>
            <w:hyperlink r:id="rId115">
              <w:r>
                <w:rPr>
                  <w:rFonts w:ascii="Arial" w:cs="Arial" w:eastAsia="Arial" w:hAnsi="Arial"/>
                  <w:sz w:val="18"/>
                  <w:szCs w:val="18"/>
                  <w:color w:val="0000EE"/>
                  <w:w w:val="97"/>
                </w:rPr>
                <w:t xml:space="preserve">Amended Voting and Support Agreement, dated October 19, 2020 </w:t>
              </w:r>
            </w:hyperlink>
            <w:r>
              <w:rPr>
                <w:rFonts w:ascii="Arial" w:cs="Arial" w:eastAsia="Arial" w:hAnsi="Arial"/>
                <w:sz w:val="18"/>
                <w:szCs w:val="18"/>
                <w:color w:val="000000"/>
                <w:w w:val="97"/>
              </w:rPr>
              <w:t>(Incorporated</w:t>
            </w:r>
            <w:r>
              <w:rPr>
                <w:rFonts w:ascii="Arial" w:cs="Arial" w:eastAsia="Arial" w:hAnsi="Arial"/>
                <w:sz w:val="18"/>
                <w:szCs w:val="18"/>
                <w:color w:val="0000EE"/>
                <w:w w:val="97"/>
              </w:rPr>
              <w:t xml:space="preserve"> </w:t>
            </w:r>
            <w:r>
              <w:rPr>
                <w:rFonts w:ascii="Arial" w:cs="Arial" w:eastAsia="Arial" w:hAnsi="Arial"/>
                <w:sz w:val="18"/>
                <w:szCs w:val="18"/>
                <w:color w:val="000000"/>
                <w:w w:val="97"/>
              </w:rPr>
              <w:t>by reference to Exhibit 10.2 filed with the</w:t>
            </w: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20" w:type="dxa"/>
            <w:vAlign w:val="bottom"/>
            <w:gridSpan w:val="7"/>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520" w:type="dxa"/>
            <w:vAlign w:val="bottom"/>
            <w:gridSpan w:val="30"/>
          </w:tcPr>
          <w:p>
            <w:pPr>
              <w:spacing w:after="0"/>
              <w:rPr>
                <w:sz w:val="20"/>
                <w:szCs w:val="20"/>
                <w:color w:val="auto"/>
              </w:rPr>
            </w:pPr>
            <w:r>
              <w:rPr>
                <w:rFonts w:ascii="Arial" w:cs="Arial" w:eastAsia="Arial" w:hAnsi="Arial"/>
                <w:sz w:val="18"/>
                <w:szCs w:val="18"/>
                <w:color w:val="auto"/>
              </w:rPr>
              <w:t>Company’s Form 10-Q report for the quarter ended September 30, 2020)</w:t>
            </w: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5"/>
              </w:rPr>
              <w:t>10.27*</w:t>
            </w:r>
          </w:p>
        </w:tc>
        <w:tc>
          <w:tcPr>
            <w:tcW w:w="440" w:type="dxa"/>
            <w:vAlign w:val="bottom"/>
          </w:tcPr>
          <w:p>
            <w:pPr>
              <w:spacing w:after="0"/>
              <w:rPr>
                <w:sz w:val="16"/>
                <w:szCs w:val="16"/>
                <w:color w:val="auto"/>
              </w:rPr>
            </w:pPr>
          </w:p>
        </w:tc>
        <w:tc>
          <w:tcPr>
            <w:tcW w:w="9520" w:type="dxa"/>
            <w:vAlign w:val="bottom"/>
            <w:gridSpan w:val="30"/>
          </w:tcPr>
          <w:p>
            <w:pPr>
              <w:spacing w:after="0" w:line="190" w:lineRule="exact"/>
              <w:rPr>
                <w:rFonts w:ascii="Arial" w:cs="Arial" w:eastAsia="Arial" w:hAnsi="Arial"/>
                <w:sz w:val="18"/>
                <w:szCs w:val="18"/>
                <w:color w:val="0000EE"/>
                <w:w w:val="99"/>
              </w:rPr>
            </w:pPr>
            <w:hyperlink r:id="rId116">
              <w:r>
                <w:rPr>
                  <w:rFonts w:ascii="Arial" w:cs="Arial" w:eastAsia="Arial" w:hAnsi="Arial"/>
                  <w:sz w:val="18"/>
                  <w:szCs w:val="18"/>
                  <w:color w:val="0000EE"/>
                  <w:w w:val="99"/>
                </w:rPr>
                <w:t xml:space="preserve">Amendment No. 1 to the 2016 Omnibus Long-Term Incentive Plan </w:t>
              </w:r>
            </w:hyperlink>
            <w:r>
              <w:rPr>
                <w:rFonts w:ascii="Arial" w:cs="Arial" w:eastAsia="Arial" w:hAnsi="Arial"/>
                <w:sz w:val="18"/>
                <w:szCs w:val="18"/>
                <w:color w:val="000000"/>
                <w:w w:val="99"/>
              </w:rPr>
              <w:t>(Incorporated</w:t>
            </w:r>
            <w:r>
              <w:rPr>
                <w:rFonts w:ascii="Arial" w:cs="Arial" w:eastAsia="Arial" w:hAnsi="Arial"/>
                <w:sz w:val="18"/>
                <w:szCs w:val="18"/>
                <w:color w:val="0000EE"/>
                <w:w w:val="99"/>
              </w:rPr>
              <w:t xml:space="preserve"> </w:t>
            </w:r>
            <w:r>
              <w:rPr>
                <w:rFonts w:ascii="Arial" w:cs="Arial" w:eastAsia="Arial" w:hAnsi="Arial"/>
                <w:sz w:val="18"/>
                <w:szCs w:val="18"/>
                <w:color w:val="000000"/>
                <w:w w:val="99"/>
              </w:rPr>
              <w:t>by reference to Exhibit 4.4 filed with the</w:t>
            </w: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4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auto"/>
              </w:rPr>
              <w:t>Company’s Form S-8 on January 25, 2021)</w:t>
            </w:r>
          </w:p>
        </w:tc>
        <w:tc>
          <w:tcPr>
            <w:tcW w:w="4680" w:type="dxa"/>
            <w:vAlign w:val="bottom"/>
            <w:gridSpan w:val="16"/>
          </w:tcPr>
          <w:p>
            <w:pPr>
              <w:spacing w:after="0"/>
              <w:rPr>
                <w:sz w:val="19"/>
                <w:szCs w:val="19"/>
                <w:color w:val="auto"/>
              </w:rPr>
            </w:pP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5"/>
              </w:rPr>
              <w:t>10.28*</w:t>
            </w:r>
          </w:p>
        </w:tc>
        <w:tc>
          <w:tcPr>
            <w:tcW w:w="440" w:type="dxa"/>
            <w:vAlign w:val="bottom"/>
          </w:tcPr>
          <w:p>
            <w:pPr>
              <w:spacing w:after="0"/>
              <w:rPr>
                <w:sz w:val="16"/>
                <w:szCs w:val="16"/>
                <w:color w:val="auto"/>
              </w:rPr>
            </w:pPr>
          </w:p>
        </w:tc>
        <w:tc>
          <w:tcPr>
            <w:tcW w:w="9520" w:type="dxa"/>
            <w:vAlign w:val="bottom"/>
            <w:gridSpan w:val="30"/>
          </w:tcPr>
          <w:p>
            <w:pPr>
              <w:spacing w:after="0" w:line="190"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 xml:space="preserve">The Company’s Annual Cash Incentive Plan for 2021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99.2 filed with the Company’s Current</w:t>
            </w: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6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Report on Form 8-K on November 12, 2020)</w:t>
            </w:r>
          </w:p>
        </w:tc>
        <w:tc>
          <w:tcPr>
            <w:tcW w:w="5660" w:type="dxa"/>
            <w:vAlign w:val="bottom"/>
            <w:gridSpan w:val="21"/>
          </w:tcPr>
          <w:p>
            <w:pPr>
              <w:spacing w:after="0"/>
              <w:rPr>
                <w:sz w:val="19"/>
                <w:szCs w:val="19"/>
                <w:color w:val="auto"/>
              </w:rPr>
            </w:pP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5"/>
              </w:rPr>
              <w:t>10.29*</w:t>
            </w:r>
          </w:p>
        </w:tc>
        <w:tc>
          <w:tcPr>
            <w:tcW w:w="440" w:type="dxa"/>
            <w:vAlign w:val="bottom"/>
          </w:tcPr>
          <w:p>
            <w:pPr>
              <w:spacing w:after="0"/>
              <w:rPr>
                <w:sz w:val="16"/>
                <w:szCs w:val="16"/>
                <w:color w:val="auto"/>
              </w:rPr>
            </w:pPr>
          </w:p>
        </w:tc>
        <w:tc>
          <w:tcPr>
            <w:tcW w:w="9520" w:type="dxa"/>
            <w:vAlign w:val="bottom"/>
            <w:gridSpan w:val="30"/>
          </w:tcPr>
          <w:p>
            <w:pPr>
              <w:spacing w:after="0" w:line="190"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 xml:space="preserve">Form of Restricted Share Unit Award Notice and Restricted Share or Restricted Share Unit Agreement (Time-Based) </w:t>
              </w:r>
            </w:hyperlink>
            <w:r>
              <w:rPr>
                <w:rFonts w:ascii="Arial" w:cs="Arial" w:eastAsia="Arial" w:hAnsi="Arial"/>
                <w:sz w:val="18"/>
                <w:szCs w:val="18"/>
                <w:color w:val="000000"/>
                <w:w w:val="91"/>
              </w:rPr>
              <w:t>(Incorporated</w:t>
            </w: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20" w:type="dxa"/>
            <w:vAlign w:val="bottom"/>
            <w:tcBorders>
              <w:top w:val="single" w:sz="8" w:color="0000EE"/>
            </w:tcBorders>
            <w:gridSpan w:val="22"/>
          </w:tcPr>
          <w:p>
            <w:pPr>
              <w:spacing w:after="0"/>
              <w:rPr>
                <w:sz w:val="20"/>
                <w:szCs w:val="20"/>
                <w:color w:val="auto"/>
              </w:rPr>
            </w:pPr>
            <w:r>
              <w:rPr>
                <w:rFonts w:ascii="Arial" w:cs="Arial" w:eastAsia="Arial" w:hAnsi="Arial"/>
                <w:sz w:val="18"/>
                <w:szCs w:val="18"/>
                <w:color w:val="auto"/>
              </w:rPr>
              <w:t>by reference to Exhibit 99.1 filed with the Company’s Current Report on Form 8-K on February 3, 2021)</w:t>
            </w:r>
          </w:p>
        </w:tc>
        <w:tc>
          <w:tcPr>
            <w:tcW w:w="1100" w:type="dxa"/>
            <w:vAlign w:val="bottom"/>
            <w:gridSpan w:val="8"/>
          </w:tcPr>
          <w:p>
            <w:pPr>
              <w:spacing w:after="0"/>
              <w:rPr>
                <w:sz w:val="19"/>
                <w:szCs w:val="19"/>
                <w:color w:val="auto"/>
              </w:rPr>
            </w:pP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5"/>
              </w:rPr>
              <w:t>10.30*</w:t>
            </w:r>
          </w:p>
        </w:tc>
        <w:tc>
          <w:tcPr>
            <w:tcW w:w="440" w:type="dxa"/>
            <w:vAlign w:val="bottom"/>
          </w:tcPr>
          <w:p>
            <w:pPr>
              <w:spacing w:after="0"/>
              <w:rPr>
                <w:sz w:val="16"/>
                <w:szCs w:val="16"/>
                <w:color w:val="auto"/>
              </w:rPr>
            </w:pPr>
          </w:p>
        </w:tc>
        <w:tc>
          <w:tcPr>
            <w:tcW w:w="9520" w:type="dxa"/>
            <w:vAlign w:val="bottom"/>
            <w:gridSpan w:val="30"/>
          </w:tcPr>
          <w:p>
            <w:pPr>
              <w:spacing w:after="0" w:line="190" w:lineRule="exact"/>
              <w:rPr>
                <w:rFonts w:ascii="Arial" w:cs="Arial" w:eastAsia="Arial" w:hAnsi="Arial"/>
                <w:sz w:val="18"/>
                <w:szCs w:val="18"/>
                <w:color w:val="0000EE"/>
                <w:w w:val="95"/>
              </w:rPr>
            </w:pPr>
            <w:hyperlink r:id="rId119">
              <w:r>
                <w:rPr>
                  <w:rFonts w:ascii="Arial" w:cs="Arial" w:eastAsia="Arial" w:hAnsi="Arial"/>
                  <w:sz w:val="18"/>
                  <w:szCs w:val="18"/>
                  <w:color w:val="0000EE"/>
                  <w:w w:val="95"/>
                </w:rPr>
                <w:t xml:space="preserve">Form of Restricted Share Unit Award Notice and Restricted Share or Restricted Share Unit Agreement </w:t>
              </w:r>
            </w:hyperlink>
            <w:r>
              <w:rPr>
                <w:rFonts w:ascii="Arial" w:cs="Arial" w:eastAsia="Arial" w:hAnsi="Arial"/>
                <w:sz w:val="18"/>
                <w:szCs w:val="18"/>
                <w:color w:val="000000"/>
                <w:w w:val="95"/>
              </w:rPr>
              <w:t>(Performance-Based)</w:t>
            </w: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20" w:type="dxa"/>
            <w:vAlign w:val="bottom"/>
            <w:gridSpan w:val="7"/>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5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20" w:type="dxa"/>
            <w:vAlign w:val="bottom"/>
            <w:gridSpan w:val="11"/>
          </w:tcPr>
          <w:p>
            <w:pPr>
              <w:spacing w:after="0" w:line="20" w:lineRule="exact"/>
              <w:rPr>
                <w:sz w:val="1"/>
                <w:szCs w:val="1"/>
                <w:color w:val="auto"/>
              </w:rPr>
            </w:pP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520" w:type="dxa"/>
            <w:vAlign w:val="bottom"/>
            <w:gridSpan w:val="30"/>
          </w:tcPr>
          <w:p>
            <w:pPr>
              <w:spacing w:after="0"/>
              <w:rPr>
                <w:sz w:val="20"/>
                <w:szCs w:val="20"/>
                <w:color w:val="auto"/>
              </w:rPr>
            </w:pPr>
            <w:r>
              <w:rPr>
                <w:rFonts w:ascii="Arial" w:cs="Arial" w:eastAsia="Arial" w:hAnsi="Arial"/>
                <w:sz w:val="18"/>
                <w:szCs w:val="18"/>
                <w:color w:val="auto"/>
              </w:rPr>
              <w:t>(Incorporated by reference to Exhibit 99.2 filed with the Company’s Current Report on Form 8-K on February 3, 2021)</w:t>
            </w:r>
          </w:p>
        </w:tc>
      </w:tr>
      <w:tr>
        <w:trPr>
          <w:trHeight w:val="190"/>
        </w:trPr>
        <w:tc>
          <w:tcPr>
            <w:tcW w:w="1280" w:type="dxa"/>
            <w:vAlign w:val="bottom"/>
          </w:tcPr>
          <w:p>
            <w:pPr>
              <w:jc w:val="center"/>
              <w:ind w:left="50"/>
              <w:spacing w:after="0" w:line="190" w:lineRule="exact"/>
              <w:rPr>
                <w:sz w:val="20"/>
                <w:szCs w:val="20"/>
                <w:color w:val="auto"/>
              </w:rPr>
            </w:pPr>
            <w:r>
              <w:rPr>
                <w:rFonts w:ascii="Arial" w:cs="Arial" w:eastAsia="Arial" w:hAnsi="Arial"/>
                <w:sz w:val="18"/>
                <w:szCs w:val="18"/>
                <w:color w:val="auto"/>
                <w:w w:val="98"/>
              </w:rPr>
              <w:t>21+</w:t>
            </w:r>
          </w:p>
        </w:tc>
        <w:tc>
          <w:tcPr>
            <w:tcW w:w="440" w:type="dxa"/>
            <w:vAlign w:val="bottom"/>
          </w:tcPr>
          <w:p>
            <w:pPr>
              <w:spacing w:after="0"/>
              <w:rPr>
                <w:sz w:val="16"/>
                <w:szCs w:val="16"/>
                <w:color w:val="auto"/>
              </w:rPr>
            </w:pPr>
          </w:p>
        </w:tc>
        <w:tc>
          <w:tcPr>
            <w:tcW w:w="2920" w:type="dxa"/>
            <w:vAlign w:val="bottom"/>
            <w:tcBorders>
              <w:bottom w:val="single" w:sz="8" w:color="0000EE"/>
            </w:tcBorders>
            <w:gridSpan w:val="7"/>
          </w:tcPr>
          <w:p>
            <w:pPr>
              <w:spacing w:after="0" w:line="190"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List of subsidiaries of Telos Corporation</w:t>
              </w:r>
            </w:hyperlink>
          </w:p>
        </w:tc>
        <w:tc>
          <w:tcPr>
            <w:tcW w:w="6600" w:type="dxa"/>
            <w:vAlign w:val="bottom"/>
            <w:gridSpan w:val="23"/>
          </w:tcPr>
          <w:p>
            <w:pPr>
              <w:spacing w:after="0"/>
              <w:rPr>
                <w:sz w:val="16"/>
                <w:szCs w:val="16"/>
                <w:color w:val="auto"/>
              </w:rPr>
            </w:pPr>
          </w:p>
        </w:tc>
      </w:tr>
      <w:tr>
        <w:trPr>
          <w:trHeight w:val="196"/>
        </w:trPr>
        <w:tc>
          <w:tcPr>
            <w:tcW w:w="128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8"/>
              </w:rPr>
              <w:t>23+</w:t>
            </w:r>
          </w:p>
        </w:tc>
        <w:tc>
          <w:tcPr>
            <w:tcW w:w="440" w:type="dxa"/>
            <w:vAlign w:val="bottom"/>
          </w:tcPr>
          <w:p>
            <w:pPr>
              <w:spacing w:after="0"/>
              <w:rPr>
                <w:sz w:val="17"/>
                <w:szCs w:val="17"/>
                <w:color w:val="auto"/>
              </w:rPr>
            </w:pPr>
          </w:p>
        </w:tc>
        <w:tc>
          <w:tcPr>
            <w:tcW w:w="43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Consent of Independent Registered Public Accounting Firm</w:t>
              </w:r>
            </w:hyperlink>
          </w:p>
        </w:tc>
        <w:tc>
          <w:tcPr>
            <w:tcW w:w="5200" w:type="dxa"/>
            <w:vAlign w:val="bottom"/>
            <w:gridSpan w:val="20"/>
          </w:tcPr>
          <w:p>
            <w:pPr>
              <w:spacing w:after="0"/>
              <w:rPr>
                <w:sz w:val="17"/>
                <w:szCs w:val="17"/>
                <w:color w:val="auto"/>
              </w:rPr>
            </w:pPr>
          </w:p>
        </w:tc>
      </w:tr>
      <w:tr>
        <w:trPr>
          <w:trHeight w:val="196"/>
        </w:trPr>
        <w:tc>
          <w:tcPr>
            <w:tcW w:w="128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2"/>
              </w:rPr>
              <w:t>31.1+</w:t>
            </w:r>
          </w:p>
        </w:tc>
        <w:tc>
          <w:tcPr>
            <w:tcW w:w="440" w:type="dxa"/>
            <w:vAlign w:val="bottom"/>
          </w:tcPr>
          <w:p>
            <w:pPr>
              <w:spacing w:after="0"/>
              <w:rPr>
                <w:sz w:val="17"/>
                <w:szCs w:val="17"/>
                <w:color w:val="auto"/>
              </w:rPr>
            </w:pPr>
          </w:p>
        </w:tc>
        <w:tc>
          <w:tcPr>
            <w:tcW w:w="68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93">
              <w:r>
                <w:rPr>
                  <w:rFonts w:ascii="Arial" w:cs="Arial" w:eastAsia="Arial" w:hAnsi="Arial"/>
                  <w:sz w:val="18"/>
                  <w:szCs w:val="18"/>
                  <w:color w:val="0000EE"/>
                  <w:w w:val="91"/>
                </w:rPr>
                <w:t>Certification pursuant to Rule 13a-14(a)/15d-14(a) under the Securities Exchange Act of 1934.</w:t>
              </w:r>
            </w:hyperlink>
          </w:p>
        </w:tc>
        <w:tc>
          <w:tcPr>
            <w:tcW w:w="2680" w:type="dxa"/>
            <w:vAlign w:val="bottom"/>
            <w:gridSpan w:val="13"/>
          </w:tcPr>
          <w:p>
            <w:pPr>
              <w:spacing w:after="0"/>
              <w:rPr>
                <w:sz w:val="17"/>
                <w:szCs w:val="17"/>
                <w:color w:val="auto"/>
              </w:rPr>
            </w:pPr>
          </w:p>
        </w:tc>
      </w:tr>
      <w:tr>
        <w:trPr>
          <w:trHeight w:val="196"/>
        </w:trPr>
        <w:tc>
          <w:tcPr>
            <w:tcW w:w="128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2"/>
              </w:rPr>
              <w:t>31.2+</w:t>
            </w:r>
          </w:p>
        </w:tc>
        <w:tc>
          <w:tcPr>
            <w:tcW w:w="440" w:type="dxa"/>
            <w:vAlign w:val="bottom"/>
          </w:tcPr>
          <w:p>
            <w:pPr>
              <w:spacing w:after="0"/>
              <w:rPr>
                <w:sz w:val="17"/>
                <w:szCs w:val="17"/>
                <w:color w:val="auto"/>
              </w:rPr>
            </w:pPr>
          </w:p>
        </w:tc>
        <w:tc>
          <w:tcPr>
            <w:tcW w:w="9520" w:type="dxa"/>
            <w:vAlign w:val="bottom"/>
            <w:gridSpan w:val="30"/>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Certification pursuant to Rule 13a-14(a)/15d-14(a) under the Securities Exchange Act of 1934.</w:t>
              </w:r>
            </w:hyperlink>
          </w:p>
        </w:tc>
      </w:tr>
      <w:tr>
        <w:trPr>
          <w:trHeight w:val="196"/>
        </w:trPr>
        <w:tc>
          <w:tcPr>
            <w:tcW w:w="128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8"/>
              </w:rPr>
              <w:t>32+</w:t>
            </w:r>
          </w:p>
        </w:tc>
        <w:tc>
          <w:tcPr>
            <w:tcW w:w="44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Certification pursuant to 18 USC Section 1350.</w:t>
              </w:r>
            </w:hyperlink>
          </w:p>
        </w:tc>
        <w:tc>
          <w:tcPr>
            <w:tcW w:w="3400" w:type="dxa"/>
            <w:vAlign w:val="bottom"/>
            <w:tcBorders>
              <w:top w:val="single" w:sz="8" w:color="0000EE"/>
            </w:tcBorders>
            <w:gridSpan w:val="8"/>
          </w:tcPr>
          <w:p>
            <w:pPr>
              <w:spacing w:after="0"/>
              <w:rPr>
                <w:sz w:val="17"/>
                <w:szCs w:val="17"/>
                <w:color w:val="auto"/>
              </w:rPr>
            </w:pPr>
          </w:p>
        </w:tc>
        <w:tc>
          <w:tcPr>
            <w:tcW w:w="2700" w:type="dxa"/>
            <w:vAlign w:val="bottom"/>
            <w:gridSpan w:val="14"/>
          </w:tcPr>
          <w:p>
            <w:pPr>
              <w:spacing w:after="0"/>
              <w:rPr>
                <w:sz w:val="17"/>
                <w:szCs w:val="17"/>
                <w:color w:val="auto"/>
              </w:rPr>
            </w:pPr>
          </w:p>
        </w:tc>
      </w:tr>
      <w:tr>
        <w:trPr>
          <w:trHeight w:val="616"/>
        </w:trPr>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20" w:type="dxa"/>
            <w:vAlign w:val="bottom"/>
            <w:gridSpan w:val="10"/>
          </w:tcPr>
          <w:p>
            <w:pPr>
              <w:ind w:left="3840"/>
              <w:spacing w:after="0"/>
              <w:rPr>
                <w:sz w:val="20"/>
                <w:szCs w:val="20"/>
                <w:color w:val="auto"/>
              </w:rPr>
            </w:pPr>
            <w:r>
              <w:rPr>
                <w:rFonts w:ascii="Arial" w:cs="Arial" w:eastAsia="Arial" w:hAnsi="Arial"/>
                <w:sz w:val="14"/>
                <w:szCs w:val="14"/>
                <w:color w:val="auto"/>
              </w:rPr>
              <w:t>75</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08" w:right="3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rFonts w:ascii="Arial" w:cs="Arial" w:eastAsia="Arial" w:hAnsi="Arial"/>
                <w:sz w:val="18"/>
                <w:szCs w:val="18"/>
                <w:i w:val="1"/>
                <w:iCs w:val="1"/>
                <w:color w:val="auto"/>
                <w:w w:val="88"/>
              </w:rPr>
            </w:pPr>
            <w:hyperlink w:anchor="page2">
              <w:r>
                <w:rPr>
                  <w:rFonts w:ascii="Arial" w:cs="Arial" w:eastAsia="Arial" w:hAnsi="Arial"/>
                  <w:sz w:val="18"/>
                  <w:szCs w:val="18"/>
                  <w:i w:val="1"/>
                  <w:iCs w:val="1"/>
                  <w:color w:val="auto"/>
                  <w:w w:val="88"/>
                </w:rPr>
                <w:t>Table of Contents</w:t>
              </w:r>
            </w:hyperlink>
          </w:p>
        </w:tc>
        <w:tc>
          <w:tcPr>
            <w:tcW w:w="22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641"/>
        </w:trPr>
        <w:tc>
          <w:tcPr>
            <w:tcW w:w="15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101.INS^</w:t>
            </w:r>
          </w:p>
        </w:tc>
        <w:tc>
          <w:tcPr>
            <w:tcW w:w="392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216"/>
        </w:trPr>
        <w:tc>
          <w:tcPr>
            <w:tcW w:w="15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101.SCH^</w:t>
            </w:r>
          </w:p>
        </w:tc>
        <w:tc>
          <w:tcPr>
            <w:tcW w:w="392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101.CAL^</w:t>
            </w:r>
          </w:p>
        </w:tc>
        <w:tc>
          <w:tcPr>
            <w:tcW w:w="3920" w:type="dxa"/>
            <w:vAlign w:val="bottom"/>
          </w:tcPr>
          <w:p>
            <w:pPr>
              <w:ind w:left="22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16"/>
        </w:trPr>
        <w:tc>
          <w:tcPr>
            <w:tcW w:w="15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101.DEF^</w:t>
            </w:r>
          </w:p>
        </w:tc>
        <w:tc>
          <w:tcPr>
            <w:tcW w:w="3920" w:type="dxa"/>
            <w:vAlign w:val="bottom"/>
          </w:tcPr>
          <w:p>
            <w:pPr>
              <w:ind w:left="22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1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101.LAB^</w:t>
            </w:r>
          </w:p>
        </w:tc>
        <w:tc>
          <w:tcPr>
            <w:tcW w:w="392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15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101.PRE^</w:t>
            </w:r>
          </w:p>
        </w:tc>
        <w:tc>
          <w:tcPr>
            <w:tcW w:w="3920" w:type="dxa"/>
            <w:vAlign w:val="bottom"/>
          </w:tcPr>
          <w:p>
            <w:pPr>
              <w:ind w:left="22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29" w:lineRule="exact"/>
        <w:rPr>
          <w:sz w:val="20"/>
          <w:szCs w:val="20"/>
          <w:color w:val="auto"/>
        </w:rPr>
      </w:pPr>
    </w:p>
    <w:p>
      <w:pPr>
        <w:ind w:left="340" w:right="4900" w:hanging="8"/>
        <w:spacing w:after="0" w:line="258" w:lineRule="auto"/>
        <w:tabs>
          <w:tab w:leader="none" w:pos="5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constitutes a management contract or compensatory plan or arrangement + filed herewith</w:t>
      </w:r>
    </w:p>
    <w:p>
      <w:pPr>
        <w:spacing w:after="0" w:line="1" w:lineRule="exact"/>
        <w:rPr>
          <w:rFonts w:ascii="Arial" w:cs="Arial" w:eastAsia="Arial" w:hAnsi="Arial"/>
          <w:sz w:val="18"/>
          <w:szCs w:val="18"/>
          <w:color w:val="auto"/>
        </w:rPr>
      </w:pPr>
    </w:p>
    <w:p>
      <w:pPr>
        <w:ind w:left="340"/>
        <w:spacing w:after="0" w:line="260" w:lineRule="auto"/>
        <w:rPr>
          <w:rFonts w:ascii="Arial" w:cs="Arial" w:eastAsia="Arial" w:hAnsi="Arial"/>
          <w:sz w:val="18"/>
          <w:szCs w:val="18"/>
          <w:color w:val="auto"/>
        </w:rPr>
      </w:pPr>
      <w:r>
        <w:rPr>
          <w:rFonts w:ascii="Arial" w:cs="Arial" w:eastAsia="Arial" w:hAnsi="Arial"/>
          <w:sz w:val="18"/>
          <w:szCs w:val="18"/>
          <w:color w:val="auto"/>
        </w:rPr>
        <w:t>^ in accordance with Regulation S-T, the XBRL-related information in Exhibit 101 to this Annual Report on Form 10-K shall be deemed to be “furnished” and not “filed”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08" w:right="899" w:bottom="1440" w:gutter="0" w:footer="0" w:header="0"/>
        </w:sectPr>
      </w:pPr>
    </w:p>
    <w:bookmarkStart w:id="76" w:name="page77"/>
    <w:bookmarkEnd w:id="76"/>
    <w:p>
      <w:pPr>
        <w:spacing w:after="0"/>
        <w:rPr>
          <w:rFonts w:ascii="Arial" w:cs="Arial" w:eastAsia="Arial" w:hAnsi="Arial"/>
          <w:sz w:val="18"/>
          <w:szCs w:val="18"/>
          <w:i w:val="1"/>
          <w:iCs w:val="1"/>
          <w:u w:val="single" w:color="auto"/>
          <w:color w:val="auto"/>
        </w:rPr>
      </w:pPr>
      <w:hyperlink w:anchor="page2">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Telos Corporation has duly caused this report to be signed on its behalf by the undersigned, thereunto duly authorized.</w:t>
      </w:r>
    </w:p>
    <w:p>
      <w:pPr>
        <w:spacing w:after="0" w:line="197"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TELOS CORPORATION</w:t>
      </w:r>
    </w:p>
    <w:p>
      <w:pPr>
        <w:spacing w:after="0" w:line="212" w:lineRule="exact"/>
        <w:rPr>
          <w:sz w:val="20"/>
          <w:szCs w:val="20"/>
          <w:color w:val="auto"/>
        </w:rPr>
      </w:pPr>
    </w:p>
    <w:p>
      <w:pPr>
        <w:ind w:left="7140"/>
        <w:spacing w:after="0"/>
        <w:tabs>
          <w:tab w:leader="none" w:pos="7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24428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1">
                      <a:extLst>
                        <a:ext uri="{28A0092B-C50C-407E-A947-70E740481C1C}"/>
                      </a:extLst>
                    </a:blip>
                    <a:srcRect/>
                    <a:stretch>
                      <a:fillRect/>
                    </a:stretch>
                  </pic:blipFill>
                  <pic:spPr bwMode="auto">
                    <a:xfrm>
                      <a:off x="0" y="0"/>
                      <a:ext cx="2442845" cy="17145"/>
                    </a:xfrm>
                    <a:prstGeom prst="rect">
                      <a:avLst/>
                    </a:prstGeom>
                    <a:noFill/>
                  </pic:spPr>
                </pic:pic>
              </a:graphicData>
            </a:graphic>
          </wp:anchor>
        </w:drawing>
      </w:r>
    </w:p>
    <w:p>
      <w:pPr>
        <w:spacing w:after="0" w:line="17"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John B. Wood</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Chairman of the Board (Principal</w:t>
      </w:r>
    </w:p>
    <w:p>
      <w:pPr>
        <w:spacing w:after="0" w:line="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Executive Officer)</w:t>
      </w:r>
    </w:p>
    <w:p>
      <w:pPr>
        <w:spacing w:after="0" w:line="211" w:lineRule="exact"/>
        <w:rPr>
          <w:sz w:val="20"/>
          <w:szCs w:val="20"/>
          <w:color w:val="auto"/>
        </w:rPr>
      </w:pPr>
    </w:p>
    <w:p>
      <w:pPr>
        <w:ind w:left="7000"/>
        <w:spacing w:after="0"/>
        <w:tabs>
          <w:tab w:leader="none" w:pos="7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25, 2021</w:t>
      </w:r>
    </w:p>
    <w:p>
      <w:pPr>
        <w:spacing w:after="0" w:line="252" w:lineRule="exact"/>
        <w:rPr>
          <w:sz w:val="20"/>
          <w:szCs w:val="20"/>
          <w:color w:val="auto"/>
        </w:rPr>
      </w:pPr>
    </w:p>
    <w:p>
      <w:pPr>
        <w:ind w:left="340" w:right="7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Telos Corporation and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Signature</w:t>
            </w:r>
          </w:p>
        </w:tc>
        <w:tc>
          <w:tcPr>
            <w:tcW w:w="422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Title</w:t>
            </w:r>
          </w:p>
        </w:tc>
        <w:tc>
          <w:tcPr>
            <w:tcW w:w="282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31"/>
        </w:trPr>
        <w:tc>
          <w:tcPr>
            <w:tcW w:w="4200" w:type="dxa"/>
            <w:vAlign w:val="bottom"/>
            <w:vMerge w:val="restart"/>
          </w:tcPr>
          <w:p>
            <w:pPr>
              <w:ind w:left="200"/>
              <w:spacing w:after="0"/>
              <w:rPr>
                <w:sz w:val="20"/>
                <w:szCs w:val="20"/>
                <w:color w:val="auto"/>
              </w:rPr>
            </w:pPr>
            <w:r>
              <w:rPr>
                <w:rFonts w:ascii="Arial" w:cs="Arial" w:eastAsia="Arial" w:hAnsi="Arial"/>
                <w:sz w:val="18"/>
                <w:szCs w:val="18"/>
                <w:color w:val="auto"/>
              </w:rPr>
              <w:t>/s/ John B. Wood</w:t>
            </w:r>
          </w:p>
        </w:tc>
        <w:tc>
          <w:tcPr>
            <w:tcW w:w="4220" w:type="dxa"/>
            <w:vAlign w:val="bottom"/>
          </w:tcPr>
          <w:p>
            <w:pPr>
              <w:ind w:left="100"/>
              <w:spacing w:after="0"/>
              <w:rPr>
                <w:sz w:val="20"/>
                <w:szCs w:val="20"/>
                <w:color w:val="auto"/>
              </w:rPr>
            </w:pPr>
            <w:r>
              <w:rPr>
                <w:rFonts w:ascii="Arial" w:cs="Arial" w:eastAsia="Arial" w:hAnsi="Arial"/>
                <w:sz w:val="18"/>
                <w:szCs w:val="18"/>
                <w:color w:val="auto"/>
              </w:rPr>
              <w:t>Chief Executive Officer and Chairman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vMerge w:val="continue"/>
          </w:tcPr>
          <w:p>
            <w:pPr>
              <w:spacing w:after="0"/>
              <w:rPr>
                <w:sz w:val="19"/>
                <w:szCs w:val="19"/>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of the Board (Principal Executive Officer)</w:t>
            </w:r>
          </w:p>
        </w:tc>
        <w:tc>
          <w:tcPr>
            <w:tcW w:w="2820" w:type="dxa"/>
            <w:vAlign w:val="bottom"/>
          </w:tcPr>
          <w:p>
            <w:pPr>
              <w:jc w:val="center"/>
              <w:ind w:left="390"/>
              <w:spacing w:after="0"/>
              <w:rPr>
                <w:sz w:val="20"/>
                <w:szCs w:val="20"/>
                <w:color w:val="auto"/>
              </w:rPr>
            </w:pPr>
            <w:r>
              <w:rPr>
                <w:rFonts w:ascii="Arial" w:cs="Arial" w:eastAsia="Arial" w:hAnsi="Arial"/>
                <w:sz w:val="18"/>
                <w:szCs w:val="18"/>
                <w:color w:val="auto"/>
                <w:w w:val="91"/>
              </w:rPr>
              <w:t>March 25, 2021</w:t>
            </w:r>
          </w:p>
        </w:tc>
        <w:tc>
          <w:tcPr>
            <w:tcW w:w="0" w:type="dxa"/>
            <w:vAlign w:val="bottom"/>
          </w:tcPr>
          <w:p>
            <w:pPr>
              <w:spacing w:after="0"/>
              <w:rPr>
                <w:sz w:val="1"/>
                <w:szCs w:val="1"/>
                <w:color w:val="auto"/>
              </w:rPr>
            </w:pPr>
          </w:p>
        </w:tc>
      </w:tr>
      <w:tr>
        <w:trPr>
          <w:trHeight w:val="230"/>
        </w:trPr>
        <w:tc>
          <w:tcPr>
            <w:tcW w:w="4200" w:type="dxa"/>
            <w:vAlign w:val="bottom"/>
          </w:tcPr>
          <w:p>
            <w:pPr>
              <w:ind w:left="200"/>
              <w:spacing w:after="0"/>
              <w:rPr>
                <w:sz w:val="20"/>
                <w:szCs w:val="20"/>
                <w:color w:val="auto"/>
              </w:rPr>
            </w:pPr>
            <w:r>
              <w:rPr>
                <w:rFonts w:ascii="Arial" w:cs="Arial" w:eastAsia="Arial" w:hAnsi="Arial"/>
                <w:sz w:val="18"/>
                <w:szCs w:val="18"/>
                <w:color w:val="auto"/>
              </w:rPr>
              <w:t>John B. Wood</w:t>
            </w:r>
          </w:p>
        </w:tc>
        <w:tc>
          <w:tcPr>
            <w:tcW w:w="4220" w:type="dxa"/>
            <w:vAlign w:val="bottom"/>
            <w:vMerge w:val="restart"/>
          </w:tcPr>
          <w:p>
            <w:pPr>
              <w:ind w:left="100"/>
              <w:spacing w:after="0"/>
              <w:rPr>
                <w:sz w:val="20"/>
                <w:szCs w:val="20"/>
                <w:color w:val="auto"/>
              </w:rPr>
            </w:pPr>
            <w:r>
              <w:rPr>
                <w:rFonts w:ascii="Arial" w:cs="Arial" w:eastAsia="Arial" w:hAnsi="Arial"/>
                <w:sz w:val="18"/>
                <w:szCs w:val="18"/>
                <w:color w:val="auto"/>
              </w:rPr>
              <w:t>Chief Financial Officer (Principal</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200" w:type="dxa"/>
            <w:vAlign w:val="bottom"/>
            <w:vMerge w:val="restart"/>
          </w:tcPr>
          <w:p>
            <w:pPr>
              <w:ind w:left="200"/>
              <w:spacing w:after="0"/>
              <w:rPr>
                <w:sz w:val="20"/>
                <w:szCs w:val="20"/>
                <w:color w:val="auto"/>
              </w:rPr>
            </w:pPr>
            <w:r>
              <w:rPr>
                <w:rFonts w:ascii="Arial" w:cs="Arial" w:eastAsia="Arial" w:hAnsi="Arial"/>
                <w:sz w:val="18"/>
                <w:szCs w:val="18"/>
                <w:color w:val="auto"/>
              </w:rPr>
              <w:t>/s/ Michele Nakazawa</w:t>
            </w:r>
          </w:p>
        </w:tc>
        <w:tc>
          <w:tcPr>
            <w:tcW w:w="4220" w:type="dxa"/>
            <w:vAlign w:val="bottom"/>
            <w:vMerge w:val="continue"/>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vMerge w:val="continue"/>
          </w:tcPr>
          <w:p>
            <w:pPr>
              <w:spacing w:after="0"/>
              <w:rPr>
                <w:sz w:val="19"/>
                <w:szCs w:val="19"/>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Financial and Accounting Officer)</w:t>
            </w:r>
          </w:p>
        </w:tc>
        <w:tc>
          <w:tcPr>
            <w:tcW w:w="2820" w:type="dxa"/>
            <w:vAlign w:val="bottom"/>
          </w:tcPr>
          <w:p>
            <w:pPr>
              <w:jc w:val="center"/>
              <w:ind w:left="390"/>
              <w:spacing w:after="0"/>
              <w:rPr>
                <w:sz w:val="20"/>
                <w:szCs w:val="20"/>
                <w:color w:val="auto"/>
              </w:rPr>
            </w:pPr>
            <w:r>
              <w:rPr>
                <w:rFonts w:ascii="Arial" w:cs="Arial" w:eastAsia="Arial" w:hAnsi="Arial"/>
                <w:sz w:val="18"/>
                <w:szCs w:val="18"/>
                <w:color w:val="auto"/>
                <w:w w:val="91"/>
              </w:rPr>
              <w:t>March 25, 2021</w:t>
            </w:r>
          </w:p>
        </w:tc>
        <w:tc>
          <w:tcPr>
            <w:tcW w:w="0" w:type="dxa"/>
            <w:vAlign w:val="bottom"/>
          </w:tcPr>
          <w:p>
            <w:pPr>
              <w:spacing w:after="0"/>
              <w:rPr>
                <w:sz w:val="1"/>
                <w:szCs w:val="1"/>
                <w:color w:val="auto"/>
              </w:rPr>
            </w:pPr>
          </w:p>
        </w:tc>
      </w:tr>
      <w:tr>
        <w:trPr>
          <w:trHeight w:val="230"/>
        </w:trPr>
        <w:tc>
          <w:tcPr>
            <w:tcW w:w="4200" w:type="dxa"/>
            <w:vAlign w:val="bottom"/>
          </w:tcPr>
          <w:p>
            <w:pPr>
              <w:ind w:left="200"/>
              <w:spacing w:after="0"/>
              <w:rPr>
                <w:sz w:val="20"/>
                <w:szCs w:val="20"/>
                <w:color w:val="auto"/>
              </w:rPr>
            </w:pPr>
            <w:r>
              <w:rPr>
                <w:rFonts w:ascii="Arial" w:cs="Arial" w:eastAsia="Arial" w:hAnsi="Arial"/>
                <w:sz w:val="18"/>
                <w:szCs w:val="18"/>
                <w:color w:val="auto"/>
              </w:rPr>
              <w:t>Michele Nakazawa</w:t>
            </w:r>
          </w:p>
        </w:tc>
        <w:tc>
          <w:tcPr>
            <w:tcW w:w="4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 Bernard C. Bailey</w:t>
            </w:r>
          </w:p>
        </w:tc>
        <w:tc>
          <w:tcPr>
            <w:tcW w:w="42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820" w:type="dxa"/>
            <w:vAlign w:val="bottom"/>
          </w:tcPr>
          <w:p>
            <w:pPr>
              <w:jc w:val="center"/>
              <w:ind w:left="390"/>
              <w:spacing w:after="0"/>
              <w:rPr>
                <w:sz w:val="20"/>
                <w:szCs w:val="20"/>
                <w:color w:val="auto"/>
              </w:rPr>
            </w:pPr>
            <w:r>
              <w:rPr>
                <w:rFonts w:ascii="Arial" w:cs="Arial" w:eastAsia="Arial" w:hAnsi="Arial"/>
                <w:sz w:val="18"/>
                <w:szCs w:val="18"/>
                <w:color w:val="auto"/>
                <w:w w:val="91"/>
              </w:rPr>
              <w:t>March 25, 2021</w:t>
            </w:r>
          </w:p>
        </w:tc>
        <w:tc>
          <w:tcPr>
            <w:tcW w:w="0" w:type="dxa"/>
            <w:vAlign w:val="bottom"/>
          </w:tcPr>
          <w:p>
            <w:pPr>
              <w:spacing w:after="0"/>
              <w:rPr>
                <w:sz w:val="1"/>
                <w:szCs w:val="1"/>
                <w:color w:val="auto"/>
              </w:rPr>
            </w:pPr>
          </w:p>
        </w:tc>
      </w:tr>
      <w:tr>
        <w:trPr>
          <w:trHeight w:val="230"/>
        </w:trPr>
        <w:tc>
          <w:tcPr>
            <w:tcW w:w="4200" w:type="dxa"/>
            <w:vAlign w:val="bottom"/>
          </w:tcPr>
          <w:p>
            <w:pPr>
              <w:ind w:left="200"/>
              <w:spacing w:after="0"/>
              <w:rPr>
                <w:sz w:val="20"/>
                <w:szCs w:val="20"/>
                <w:color w:val="auto"/>
              </w:rPr>
            </w:pPr>
            <w:r>
              <w:rPr>
                <w:rFonts w:ascii="Arial" w:cs="Arial" w:eastAsia="Arial" w:hAnsi="Arial"/>
                <w:sz w:val="18"/>
                <w:szCs w:val="18"/>
                <w:color w:val="auto"/>
              </w:rPr>
              <w:t>Bernard C. Bailey</w:t>
            </w:r>
          </w:p>
        </w:tc>
        <w:tc>
          <w:tcPr>
            <w:tcW w:w="4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 David Borland</w:t>
            </w:r>
          </w:p>
        </w:tc>
        <w:tc>
          <w:tcPr>
            <w:tcW w:w="42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820" w:type="dxa"/>
            <w:vAlign w:val="bottom"/>
          </w:tcPr>
          <w:p>
            <w:pPr>
              <w:jc w:val="center"/>
              <w:ind w:left="390"/>
              <w:spacing w:after="0"/>
              <w:rPr>
                <w:sz w:val="20"/>
                <w:szCs w:val="20"/>
                <w:color w:val="auto"/>
              </w:rPr>
            </w:pPr>
            <w:r>
              <w:rPr>
                <w:rFonts w:ascii="Arial" w:cs="Arial" w:eastAsia="Arial" w:hAnsi="Arial"/>
                <w:sz w:val="18"/>
                <w:szCs w:val="18"/>
                <w:color w:val="auto"/>
                <w:w w:val="91"/>
              </w:rPr>
              <w:t>March 25, 2021</w:t>
            </w:r>
          </w:p>
        </w:tc>
        <w:tc>
          <w:tcPr>
            <w:tcW w:w="0" w:type="dxa"/>
            <w:vAlign w:val="bottom"/>
          </w:tcPr>
          <w:p>
            <w:pPr>
              <w:spacing w:after="0"/>
              <w:rPr>
                <w:sz w:val="1"/>
                <w:szCs w:val="1"/>
                <w:color w:val="auto"/>
              </w:rPr>
            </w:pPr>
          </w:p>
        </w:tc>
      </w:tr>
      <w:tr>
        <w:trPr>
          <w:trHeight w:val="230"/>
        </w:trPr>
        <w:tc>
          <w:tcPr>
            <w:tcW w:w="4200" w:type="dxa"/>
            <w:vAlign w:val="bottom"/>
          </w:tcPr>
          <w:p>
            <w:pPr>
              <w:ind w:left="200"/>
              <w:spacing w:after="0"/>
              <w:rPr>
                <w:sz w:val="20"/>
                <w:szCs w:val="20"/>
                <w:color w:val="auto"/>
              </w:rPr>
            </w:pPr>
            <w:r>
              <w:rPr>
                <w:rFonts w:ascii="Arial" w:cs="Arial" w:eastAsia="Arial" w:hAnsi="Arial"/>
                <w:sz w:val="18"/>
                <w:szCs w:val="18"/>
                <w:color w:val="auto"/>
              </w:rPr>
              <w:t>David Borland</w:t>
            </w:r>
          </w:p>
        </w:tc>
        <w:tc>
          <w:tcPr>
            <w:tcW w:w="4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 Bonnie Carroll</w:t>
            </w:r>
          </w:p>
        </w:tc>
        <w:tc>
          <w:tcPr>
            <w:tcW w:w="42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820" w:type="dxa"/>
            <w:vAlign w:val="bottom"/>
          </w:tcPr>
          <w:p>
            <w:pPr>
              <w:jc w:val="center"/>
              <w:ind w:left="390"/>
              <w:spacing w:after="0"/>
              <w:rPr>
                <w:sz w:val="20"/>
                <w:szCs w:val="20"/>
                <w:color w:val="auto"/>
              </w:rPr>
            </w:pPr>
            <w:r>
              <w:rPr>
                <w:rFonts w:ascii="Arial" w:cs="Arial" w:eastAsia="Arial" w:hAnsi="Arial"/>
                <w:sz w:val="18"/>
                <w:szCs w:val="18"/>
                <w:color w:val="auto"/>
                <w:w w:val="91"/>
              </w:rPr>
              <w:t>March 25, 2021</w:t>
            </w:r>
          </w:p>
        </w:tc>
        <w:tc>
          <w:tcPr>
            <w:tcW w:w="0" w:type="dxa"/>
            <w:vAlign w:val="bottom"/>
          </w:tcPr>
          <w:p>
            <w:pPr>
              <w:spacing w:after="0"/>
              <w:rPr>
                <w:sz w:val="1"/>
                <w:szCs w:val="1"/>
                <w:color w:val="auto"/>
              </w:rPr>
            </w:pPr>
          </w:p>
        </w:tc>
      </w:tr>
      <w:tr>
        <w:trPr>
          <w:trHeight w:val="230"/>
        </w:trPr>
        <w:tc>
          <w:tcPr>
            <w:tcW w:w="4200" w:type="dxa"/>
            <w:vAlign w:val="bottom"/>
          </w:tcPr>
          <w:p>
            <w:pPr>
              <w:ind w:left="200"/>
              <w:spacing w:after="0"/>
              <w:rPr>
                <w:sz w:val="20"/>
                <w:szCs w:val="20"/>
                <w:color w:val="auto"/>
              </w:rPr>
            </w:pPr>
            <w:r>
              <w:rPr>
                <w:rFonts w:ascii="Arial" w:cs="Arial" w:eastAsia="Arial" w:hAnsi="Arial"/>
                <w:sz w:val="18"/>
                <w:szCs w:val="18"/>
                <w:color w:val="auto"/>
              </w:rPr>
              <w:t>Bonnie Carroll</w:t>
            </w:r>
          </w:p>
        </w:tc>
        <w:tc>
          <w:tcPr>
            <w:tcW w:w="4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 Fredrick D. Shaufeld</w:t>
            </w:r>
          </w:p>
        </w:tc>
        <w:tc>
          <w:tcPr>
            <w:tcW w:w="42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820" w:type="dxa"/>
            <w:vAlign w:val="bottom"/>
          </w:tcPr>
          <w:p>
            <w:pPr>
              <w:jc w:val="center"/>
              <w:ind w:left="390"/>
              <w:spacing w:after="0"/>
              <w:rPr>
                <w:sz w:val="20"/>
                <w:szCs w:val="20"/>
                <w:color w:val="auto"/>
              </w:rPr>
            </w:pPr>
            <w:r>
              <w:rPr>
                <w:rFonts w:ascii="Arial" w:cs="Arial" w:eastAsia="Arial" w:hAnsi="Arial"/>
                <w:sz w:val="18"/>
                <w:szCs w:val="18"/>
                <w:color w:val="auto"/>
                <w:w w:val="91"/>
              </w:rPr>
              <w:t>March 25, 2021</w:t>
            </w:r>
          </w:p>
        </w:tc>
        <w:tc>
          <w:tcPr>
            <w:tcW w:w="0" w:type="dxa"/>
            <w:vAlign w:val="bottom"/>
          </w:tcPr>
          <w:p>
            <w:pPr>
              <w:spacing w:after="0"/>
              <w:rPr>
                <w:sz w:val="1"/>
                <w:szCs w:val="1"/>
                <w:color w:val="auto"/>
              </w:rPr>
            </w:pPr>
          </w:p>
        </w:tc>
      </w:tr>
      <w:tr>
        <w:trPr>
          <w:trHeight w:val="230"/>
        </w:trPr>
        <w:tc>
          <w:tcPr>
            <w:tcW w:w="4200" w:type="dxa"/>
            <w:vAlign w:val="bottom"/>
          </w:tcPr>
          <w:p>
            <w:pPr>
              <w:ind w:left="200"/>
              <w:spacing w:after="0"/>
              <w:rPr>
                <w:sz w:val="20"/>
                <w:szCs w:val="20"/>
                <w:color w:val="auto"/>
              </w:rPr>
            </w:pPr>
            <w:r>
              <w:rPr>
                <w:rFonts w:ascii="Arial" w:cs="Arial" w:eastAsia="Arial" w:hAnsi="Arial"/>
                <w:sz w:val="18"/>
                <w:szCs w:val="18"/>
                <w:color w:val="auto"/>
              </w:rPr>
              <w:t>Fredrick D. Shaufeld</w:t>
            </w:r>
          </w:p>
        </w:tc>
        <w:tc>
          <w:tcPr>
            <w:tcW w:w="4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 John W. Maluda</w:t>
            </w:r>
          </w:p>
        </w:tc>
        <w:tc>
          <w:tcPr>
            <w:tcW w:w="42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820" w:type="dxa"/>
            <w:vAlign w:val="bottom"/>
          </w:tcPr>
          <w:p>
            <w:pPr>
              <w:jc w:val="center"/>
              <w:ind w:left="390"/>
              <w:spacing w:after="0"/>
              <w:rPr>
                <w:sz w:val="20"/>
                <w:szCs w:val="20"/>
                <w:color w:val="auto"/>
              </w:rPr>
            </w:pPr>
            <w:r>
              <w:rPr>
                <w:rFonts w:ascii="Arial" w:cs="Arial" w:eastAsia="Arial" w:hAnsi="Arial"/>
                <w:sz w:val="18"/>
                <w:szCs w:val="18"/>
                <w:color w:val="auto"/>
                <w:w w:val="91"/>
              </w:rPr>
              <w:t>March 25, 2021</w:t>
            </w:r>
          </w:p>
        </w:tc>
        <w:tc>
          <w:tcPr>
            <w:tcW w:w="0" w:type="dxa"/>
            <w:vAlign w:val="bottom"/>
          </w:tcPr>
          <w:p>
            <w:pPr>
              <w:spacing w:after="0"/>
              <w:rPr>
                <w:sz w:val="1"/>
                <w:szCs w:val="1"/>
                <w:color w:val="auto"/>
              </w:rPr>
            </w:pPr>
          </w:p>
        </w:tc>
      </w:tr>
      <w:tr>
        <w:trPr>
          <w:trHeight w:val="230"/>
        </w:trPr>
        <w:tc>
          <w:tcPr>
            <w:tcW w:w="4200" w:type="dxa"/>
            <w:vAlign w:val="bottom"/>
          </w:tcPr>
          <w:p>
            <w:pPr>
              <w:ind w:left="200"/>
              <w:spacing w:after="0"/>
              <w:rPr>
                <w:sz w:val="20"/>
                <w:szCs w:val="20"/>
                <w:color w:val="auto"/>
              </w:rPr>
            </w:pPr>
            <w:r>
              <w:rPr>
                <w:rFonts w:ascii="Arial" w:cs="Arial" w:eastAsia="Arial" w:hAnsi="Arial"/>
                <w:sz w:val="18"/>
                <w:szCs w:val="18"/>
                <w:color w:val="auto"/>
              </w:rPr>
              <w:t>John W. Maluda, Major Gen., USAF (Ret)</w:t>
            </w:r>
          </w:p>
        </w:tc>
        <w:tc>
          <w:tcPr>
            <w:tcW w:w="4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200" w:type="dxa"/>
            <w:vAlign w:val="bottom"/>
          </w:tcPr>
          <w:p>
            <w:pPr>
              <w:spacing w:after="0"/>
              <w:rPr>
                <w:sz w:val="24"/>
                <w:szCs w:val="24"/>
                <w:color w:val="auto"/>
              </w:rPr>
            </w:pPr>
          </w:p>
        </w:tc>
        <w:tc>
          <w:tcPr>
            <w:tcW w:w="4220" w:type="dxa"/>
            <w:vAlign w:val="bottom"/>
          </w:tcPr>
          <w:p>
            <w:pPr>
              <w:ind w:left="1360"/>
              <w:spacing w:after="0"/>
              <w:rPr>
                <w:sz w:val="20"/>
                <w:szCs w:val="20"/>
                <w:color w:val="auto"/>
              </w:rPr>
            </w:pPr>
            <w:r>
              <w:rPr>
                <w:rFonts w:ascii="Arial" w:cs="Arial" w:eastAsia="Arial" w:hAnsi="Arial"/>
                <w:sz w:val="14"/>
                <w:szCs w:val="14"/>
                <w:color w:val="auto"/>
              </w:rPr>
              <w:t>77</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u w:val="single" w:color="auto"/>
          <w:color w:val="auto"/>
        </w:rPr>
        <w:t>TELOS CORPORATION</w:t>
      </w:r>
    </w:p>
    <w:p>
      <w:pPr>
        <w:spacing w:after="0" w:line="17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THIRD AMENDED AND RESTATED BYLAWS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EFFECTIVE AS OF MARCH 23, 2021</w:t>
      </w:r>
    </w:p>
    <w:p>
      <w:pPr>
        <w:spacing w:after="0" w:line="15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157"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PRINCIPAL OFFICE</w:t>
      </w:r>
      <w:r>
        <w:rPr>
          <w:rFonts w:ascii="Arial" w:cs="Arial" w:eastAsia="Arial" w:hAnsi="Arial"/>
          <w:sz w:val="16"/>
          <w:szCs w:val="16"/>
          <w:color w:val="auto"/>
        </w:rPr>
        <w:t>. The principal office of the Corporation shall be located at such place or places as the Board of Directors may designate.</w:t>
      </w:r>
    </w:p>
    <w:p>
      <w:pPr>
        <w:spacing w:after="0" w:line="19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ADDITIONAL OFFICES</w:t>
      </w:r>
      <w:r>
        <w:rPr>
          <w:rFonts w:ascii="Arial" w:cs="Arial" w:eastAsia="Arial" w:hAnsi="Arial"/>
          <w:sz w:val="18"/>
          <w:szCs w:val="18"/>
          <w:color w:val="auto"/>
        </w:rPr>
        <w:t>. The Corporation may have additional offices at such places as the Board of Directors may from time to time determine or the business of the Corporation may require.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PLACE</w:t>
      </w:r>
      <w:r>
        <w:rPr>
          <w:rFonts w:ascii="Arial" w:cs="Arial" w:eastAsia="Arial" w:hAnsi="Arial"/>
          <w:sz w:val="18"/>
          <w:szCs w:val="18"/>
          <w:color w:val="auto"/>
        </w:rPr>
        <w:t>. All meetings of stockholders shall be held at the principal executive office of the Corporation or at such other place as shall be set by the Board of Directors and stated in the notice of the meeting. To the fullest extent of Maryland law, the Board of Directors may determine that the meeting not be held at any place, but instead may be held solely by means of remote communication.</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w:t>
      </w:r>
      <w:r>
        <w:rPr>
          <w:rFonts w:ascii="Arial" w:cs="Arial" w:eastAsia="Arial" w:hAnsi="Arial"/>
          <w:sz w:val="18"/>
          <w:szCs w:val="18"/>
          <w:color w:val="auto"/>
        </w:rPr>
        <w:t>. An annual meeting of the stockholders for the election of directors and the transaction of any business within the powers of the Corporation shall be held on a date and at the time set by the Board of Directors.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171" w:lineRule="exact"/>
        <w:rPr>
          <w:sz w:val="20"/>
          <w:szCs w:val="20"/>
          <w:color w:val="auto"/>
        </w:rPr>
      </w:pPr>
    </w:p>
    <w:p>
      <w:pPr>
        <w:ind w:right="60" w:firstLine="332"/>
        <w:spacing w:after="0" w:line="263" w:lineRule="auto"/>
        <w:tabs>
          <w:tab w:leader="none" w:pos="84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chairman of the board, president, chief executive officer or the Board of Directors may call special meetings of the stockholders. Subject to this Section 3, special meetings of stockholders shall also be called by the secretary of the Corporation upon the written request of the holders of shares entitled to cast not less than a majority of all the votes entitled to be cast at such meeting.</w:t>
      </w:r>
    </w:p>
    <w:p>
      <w:pPr>
        <w:spacing w:after="0" w:line="129" w:lineRule="exact"/>
        <w:rPr>
          <w:rFonts w:ascii="Arial" w:cs="Arial" w:eastAsia="Arial" w:hAnsi="Arial"/>
          <w:sz w:val="18"/>
          <w:szCs w:val="18"/>
          <w:color w:val="auto"/>
        </w:rPr>
      </w:pPr>
    </w:p>
    <w:p>
      <w:pPr>
        <w:ind w:right="20" w:firstLine="332"/>
        <w:spacing w:after="0" w:line="287" w:lineRule="auto"/>
        <w:tabs>
          <w:tab w:leader="none" w:pos="858"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Stockholder Requested Special Meetings</w:t>
      </w:r>
      <w:r>
        <w:rPr>
          <w:rFonts w:ascii="Arial" w:cs="Arial" w:eastAsia="Arial" w:hAnsi="Arial"/>
          <w:sz w:val="16"/>
          <w:szCs w:val="16"/>
          <w:color w:val="auto"/>
        </w:rPr>
        <w:t>. (1) Any stockholder of record seeking to have stockholders request a special meeting shall, by sending written notice to the secretary (the “Record Date Request Notice”) by registered mail, return receipt requested, request the Board of Directors to fix a record date to determine the stockholders entitled to request a special meeting (the “Request Record Date”). The Record Date Request Notice shall set forth the purpose of the meeting and the matters proposed to be acted on at it, shall be signed by one or more stockholders of record as of the date of signature (or their agents duly authorized in a writing accompanying the Record Date Request Notice), shall bear the date of signature of each such stockholder (or such agent) and shall set forth all information relating to each such stockholder that must be disclosed in solicitations of proxies for election of directors in an election contest (even if an election contest is not involved), or is otherwise required, in each case pursuant to Regulation 14A (or any successor provision) under the Securities Exchange Act of 1934, as amended (the “Exchange Act”). Upon receiving the Record Date Request Notice, the Board of Directors may fix a Request Record Date. The Request Record Date shall not precede and shall not be more than ten days after the close of business on the date on which the resolution fixing the Request Record Date is adopted by the Board of Directors. If the Board of Directors, within ten days after the date on which a valid Record Date Request Notice is received, fails to adopt a resolution fixing the Request Record Date, the Request Record Date shall be the close of business on the tenth day after the first date on which the Record Date Request Notice is received by the secretary.</w:t>
      </w:r>
    </w:p>
    <w:p>
      <w:pPr>
        <w:spacing w:after="0" w:line="113" w:lineRule="exact"/>
        <w:rPr>
          <w:rFonts w:ascii="Arial" w:cs="Arial" w:eastAsia="Arial" w:hAnsi="Arial"/>
          <w:sz w:val="16"/>
          <w:szCs w:val="16"/>
          <w:color w:val="auto"/>
        </w:rPr>
      </w:pPr>
    </w:p>
    <w:p>
      <w:pPr>
        <w:ind w:right="100" w:firstLine="656"/>
        <w:spacing w:after="0" w:line="287" w:lineRule="auto"/>
        <w:tabs>
          <w:tab w:leader="none" w:pos="948" w:val="left"/>
        </w:tabs>
        <w:numPr>
          <w:ilvl w:val="1"/>
          <w:numId w:val="38"/>
        </w:numPr>
        <w:rPr>
          <w:rFonts w:ascii="Arial" w:cs="Arial" w:eastAsia="Arial" w:hAnsi="Arial"/>
          <w:sz w:val="16"/>
          <w:szCs w:val="16"/>
          <w:color w:val="auto"/>
        </w:rPr>
      </w:pPr>
      <w:r>
        <w:rPr>
          <w:rFonts w:ascii="Arial" w:cs="Arial" w:eastAsia="Arial" w:hAnsi="Arial"/>
          <w:sz w:val="16"/>
          <w:szCs w:val="16"/>
          <w:color w:val="auto"/>
        </w:rPr>
        <w:t>In order for any stockholder to request a special meeting, one or more written requests for a special meeting signed by stockholders of record (or their agents duly authorized in a writing accompanying the request), as of the Request Record Date, representing a majority of shares of stock of the Corporation entitled to be cast (without regard to class) (such request, the “Special Meeting Request”), shall be delivered to the secretary. In addition, the Special Meeting Request (a) shall set forth the purpose of the meeting and the matters proposed to be acted on at it (which shall be limited to those lawful matters set forth in the Record Date Request Notice received by the secretary), (b) shall bear the date of signature of each such stockholder (or such agent) signing the Special Meeting Request, (c) shall set forth the name and address, as they appear in the Corporation’s books, of each stockholder signing such request (or on whose behalf the Special Meeting Request is signed) and the class, series and number of all shares of stock of the Corporation which are owned by each such stockholder, and the nominee holder for, and number of, shares owned by such stockholder beneficially but not of record, (d) shall be sent to the secretary by registered mail, return receipt requested, and (e) shall be received by the secretary within 60 days after the Request Record Date. Any requesting stockholder (or agent duly authorized in a writing accompanying the revocation or the Special Meeting Request) may revoke his, her or its request for a special meeting at any time by written revocation delivered to the secretary.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firstLine="656"/>
        <w:spacing w:after="0" w:line="259" w:lineRule="auto"/>
        <w:tabs>
          <w:tab w:leader="none" w:pos="9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secretary shall inform the requesting stockholders of the reasonably estimated cost of preparing and mailing the notice of meeting (including the Corporation’s proxy materials). The secretary shall not be required to call a special meeting upon stockholder request and such meeting shall not be held unless, in addition to the documents required by paragraph (2) of this Section 3(b), the secretary receives payment of such reasonably estimated cost prior to the mailing of any notice of the meeting.</w:t>
      </w:r>
    </w:p>
    <w:p>
      <w:pPr>
        <w:spacing w:after="0" w:line="132" w:lineRule="exact"/>
        <w:rPr>
          <w:rFonts w:ascii="Arial" w:cs="Arial" w:eastAsia="Arial" w:hAnsi="Arial"/>
          <w:sz w:val="18"/>
          <w:szCs w:val="18"/>
          <w:color w:val="auto"/>
        </w:rPr>
      </w:pPr>
    </w:p>
    <w:p>
      <w:pPr>
        <w:ind w:right="40" w:firstLine="656"/>
        <w:spacing w:after="0" w:line="268" w:lineRule="auto"/>
        <w:tabs>
          <w:tab w:leader="none" w:pos="948"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Except as provided in the next sentence, any special meeting shall be held at such place, date and time as may be designated by the Chairman of the Board, the chief executive officer, the president or the Board of Directors, in each case by the individual that called the meeting. In the case of any special meeting called by the secretary upon the request of stockholders (a “Stockholder Requested Meeting”), such meeting shall be held at such place, date and time as may be designated by the Board of Directors; provided, however, that the date of any Stockholder Requested Meeting shall be not more than 90 days after the record date for such meeting (the “Meeting Record Date”); and provided further that if the Board of Directors fails to designate, within ten days after the date that a valid Special Meeting Request is actually received by the secretary (the “Delivery Date”), a date and time for a Stockholder Requested Meeting, then such meeting shall be held at 2:00 p.m. local time on the 90th day after the Meeting Record Date or, if such 90th day is not a Business Day (as defined below), on the first preceding Business Day; and provided further that in the event that the Board of Directors fails to designate a place for a Stockholder Requested Meeting within ten days after the Delivery Date, then such meeting shall be held at the principal executive office of the Corporation. In fixing a date for any special meeting, the Chairman of the Board, the chief executive officer, the president or the Board of Directors may consider such factors as he, she or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 In the case of any Stockholder Requested Meeting, if the Board of Directors fails to fix a Meeting Record Date that is a date within 30 days after the Delivery Date, then the close of business on the 30th day after the Delivery Date shall be the Meeting Record Date. The Board of Directors may revoke the notice for any Stockholder Requested Meeting in the event that the requesting stockholders fail to comply with the provisions of paragraph (3) of this Section 3(b).</w:t>
      </w:r>
    </w:p>
    <w:p>
      <w:pPr>
        <w:spacing w:after="0" w:line="125" w:lineRule="exact"/>
        <w:rPr>
          <w:rFonts w:ascii="Arial" w:cs="Arial" w:eastAsia="Arial" w:hAnsi="Arial"/>
          <w:sz w:val="17"/>
          <w:szCs w:val="17"/>
          <w:color w:val="auto"/>
        </w:rPr>
      </w:pPr>
    </w:p>
    <w:p>
      <w:pPr>
        <w:ind w:firstLine="656"/>
        <w:spacing w:after="0" w:line="290" w:lineRule="auto"/>
        <w:tabs>
          <w:tab w:leader="none" w:pos="948"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written revocations of the Special Meeting Request have been delivered to the secretary and the result is that stockholders of record (or their agents duly authorized in writing), as of the Request Record Date, entitled to cast less than the Special Meeting Percentage have delivered, and not revoked, requests for a special meeting to the secretary, the secretary shall: (i) if the notice of meeting has not already been mailed, refrain from mailing the notice of the meeting and send to all requesting stockholders who have not revoked such requests written notice of any revocation of a request for the special meeting, or (ii) if the notice of meeting has been mailed and if the secretary first sends to all requesting stockholders who have not revoked requests for a special meeting written notice of any revocation of a request for the special meeting and written notice of the secretary’s intention to revoke the notice of the meeting, revoke the notice of the meeting at any time before ten days before the commencement of the meeting. Any request for a special meeting received after a revocation by the secretary of a notice of a meeting shall be considered a request for a new special meeting.</w:t>
      </w:r>
    </w:p>
    <w:p>
      <w:pPr>
        <w:spacing w:after="0" w:line="111" w:lineRule="exact"/>
        <w:rPr>
          <w:rFonts w:ascii="Arial" w:cs="Arial" w:eastAsia="Arial" w:hAnsi="Arial"/>
          <w:sz w:val="16"/>
          <w:szCs w:val="16"/>
          <w:color w:val="auto"/>
        </w:rPr>
      </w:pPr>
    </w:p>
    <w:p>
      <w:pPr>
        <w:ind w:right="100" w:firstLine="656"/>
        <w:spacing w:after="0" w:line="290" w:lineRule="auto"/>
        <w:tabs>
          <w:tab w:leader="none" w:pos="94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Board of Directors, the Chairman of the Board or the president may appoint independent inspectors of elections to act as the agent of the Corporation for the purpose of promptly performing a ministerial review of the validity of any purported Special Meeting Request received by the secretary. For the purpose of permitting the inspectors to perform such review, no such purported request shall be deemed to have been delivered to the secretary until the earlier of (i) five Business Days after receipt by the secretary of such purported request or (ii) such date as the independent inspectors certify to the Corporation that the valid requests received by the secretary represent, as of the Request Record Date, not less than the Special Meeting Percentage. Nothing contained in this paragraph (6) shall in any way be construed to suggest or imply that the Corporation or any stockholder shall not be entitled to contest the validity of any request, whether during or after such five Business Day period, or to take any other action (including, without limitation, the commencement, prosecution or defense of any litigation with respect thereto, and the seeking of injunctive relief in such litigation).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9" w:name="page80"/>
    <w:bookmarkEnd w:id="79"/>
    <w:p>
      <w:pPr>
        <w:ind w:right="80" w:firstLine="656"/>
        <w:spacing w:after="0" w:line="277" w:lineRule="auto"/>
        <w:tabs>
          <w:tab w:leader="none" w:pos="9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purposes of these Bylaws, “Business Day” shall mean any day other than a Saturday, a Sunday or other day on which banking institutions in the State of New York are authorized or obligated by law or executive order to close.</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NOTICE</w:t>
      </w:r>
      <w:r>
        <w:rPr>
          <w:rFonts w:ascii="Arial" w:cs="Arial" w:eastAsia="Arial" w:hAnsi="Arial"/>
          <w:sz w:val="17"/>
          <w:szCs w:val="17"/>
          <w:color w:val="auto"/>
        </w:rPr>
        <w:t>. Not less than ten nor more than 90 days before each meeting of stockholders, the secretary shall give to each stockholder entitled to vote at such meeting written or printed notice stating the time and place of the meeting and, in the case of a special meeting or as otherwise may be required by any statute, the purpose for which the meeting is called, either by mail or by presenting it to such stockholder personally or by leaving it at his residence or usual place of business. If mailed, such notice shall be deemed to be given when deposited in the United States mail addressed to the stockholder at his post office address as it appears on the records of the Corporation, with postage thereon prepaid. A single notice shall be effective as to all stockholders who share an address, except to the extent that a stockholder at such address objects to such single notice. Failure to give notice of any meeting to one or more stockholders, or any irregularity in such notice, shall not affect the validity of any meeting fixed in accordance with this Article II, or the validity of any proceedings at any such meeting.</w:t>
      </w:r>
    </w:p>
    <w:p>
      <w:pPr>
        <w:spacing w:after="0" w:line="12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SCOPE OF NOTICE</w:t>
      </w:r>
      <w:r>
        <w:rPr>
          <w:rFonts w:ascii="Arial" w:cs="Arial" w:eastAsia="Arial" w:hAnsi="Arial"/>
          <w:sz w:val="18"/>
          <w:szCs w:val="18"/>
          <w:color w:val="auto"/>
        </w:rPr>
        <w:t>.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w:t>
      </w:r>
    </w:p>
    <w:p>
      <w:pPr>
        <w:spacing w:after="0" w:line="21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ORGANIZATION AND CONDUCT</w:t>
      </w:r>
      <w:r>
        <w:rPr>
          <w:rFonts w:ascii="Arial" w:cs="Arial" w:eastAsia="Arial" w:hAnsi="Arial"/>
          <w:sz w:val="17"/>
          <w:szCs w:val="17"/>
          <w:color w:val="auto"/>
        </w:rPr>
        <w:t>. At every meeting of stockholders, the chairman of the board, if there be one, shall conduct the meeting or, in the case of vacancy in office or absence of the chairman of the board, one of the following officers present shall conduct the meeting in the order stated: the president, the vice presidents in their order of rank and seniority, or, solely in the absence of such officers, a chairman chosen by the stockholders by the vote of a majority of the votes cast by stockholders present in person or by proxy. The secretary or, in the secretary’s absence, an assistant secretary or, in the absence of both the secretary and assistant secretaries, an individual appointed by the Board of Directors or, in the absence of such appointment, an individual appointed by the chairman of the meeting shall act as secretary. In the event that the secretary presides at a meeting of the stockholders, an assistant secretary, or, in the absence of assistant secretaries, an 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the chairman and without any action by the stockholders, are appropriate for the proper conduct of the meeting, including, without limitation, (a) restricting admission to the time set for the commencement of the meeting; (b) limiting attendance at the meeting to stockholders of record of the Corporation, their duly authorized proxies and other such individuals as the chairman of the meeting may determine; (c) limiting participation at the meeting on any matter to stockholders of record of the Corporation entitled to vote on such matter, their duly authorized proxies or other such individuals as the chairman of the meeting may determine; (d) limiting the time allotted to questions or comments by participants; (e) determining when the polls should be opened and closed; (f) maintaining order and security at the meeting; (g) removing any stockholder or any other individual who refuses to comply with meeting procedures, rules or guidelines as set forth by the chairman of the meeting; (h) concluding a meeting or recessing or adjourning the meeting to a later date and time and at a place announced at the meeting; and (i) complying with any state and local laws and regulations concerning safety and security. Unless otherwise determined by the chairman of the meeting, meetings of stockholders shall not be required to be held in accordance with the rules of parliamentary procedure.</w:t>
      </w:r>
    </w:p>
    <w:p>
      <w:pPr>
        <w:spacing w:after="0" w:line="13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QUORUM</w:t>
      </w:r>
      <w:r>
        <w:rPr>
          <w:rFonts w:ascii="Arial" w:cs="Arial" w:eastAsia="Arial" w:hAnsi="Arial"/>
          <w:sz w:val="17"/>
          <w:szCs w:val="17"/>
          <w:color w:val="auto"/>
        </w:rPr>
        <w:t>. At any meeting of stockholders, the presence in person or by proxy of stockholders entitled to cast a majority of all the votes entitled to be cast at such meeting shall constitute a quorum; but this section shall not affect any requirement under any statute or the charter of the Corporation for the vote necessary for the adoption of any measure. If, however, such quorum shall not be present at any meeting of the stockholders, the stockholders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0" w:name="page81"/>
    <w:bookmarkEnd w:id="80"/>
    <w:p>
      <w:pPr>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VOTING</w:t>
      </w:r>
      <w:r>
        <w:rPr>
          <w:rFonts w:ascii="Arial" w:cs="Arial" w:eastAsia="Arial" w:hAnsi="Arial"/>
          <w:sz w:val="18"/>
          <w:szCs w:val="18"/>
          <w:color w:val="auto"/>
        </w:rPr>
        <w:t>. A plurality of all the votes cast at a meeting of stockholders duly called and at which a quorum is present shall be sufficient to elect a director. Each share may be voted for as many individuals as there are directors to be elected and for whose election the share is entitled to be voted. A majority of the votes cast at a meeting of stockholders duly called and at which a quorum is present shall be sufficient to approve any other matter which may properly come before the meeting, unless more than a majority of the votes cast is required by statute or by the charter of the Corporation. Unless otherwise provided in the charter, each outstanding share, regardless of class, shall be entitled to one vote on each matter submitted to a vote at a meeting of stockholders.</w:t>
      </w:r>
    </w:p>
    <w:p>
      <w:pPr>
        <w:spacing w:after="0" w:line="13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PROXIES</w:t>
      </w:r>
      <w:r>
        <w:rPr>
          <w:rFonts w:ascii="Arial" w:cs="Arial" w:eastAsia="Arial" w:hAnsi="Arial"/>
          <w:sz w:val="17"/>
          <w:szCs w:val="17"/>
          <w:color w:val="auto"/>
        </w:rPr>
        <w:t>. A stockholder may vote the stock owned of record by him, either in person or by proxy executed in writing by the stockholder or by his duly authorized attorney in fact. Such proxy shall be filed with the secretary of the Corporation before or at the time of the meeting. No proxy shall become invalid due to the adjournment or postponement of a meeting of stockholders, or a change in the record date for such meeting, unless so provided in the proxy. No proxy shall be valid after eleven months from the date of its execution, unless otherwise provided in the proxy.</w:t>
      </w:r>
    </w:p>
    <w:p>
      <w:pPr>
        <w:spacing w:after="0" w:line="19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VOTING OF STOCK BY CERTAIN HOLDERS</w:t>
      </w:r>
      <w:r>
        <w:rPr>
          <w:rFonts w:ascii="Arial" w:cs="Arial" w:eastAsia="Arial" w:hAnsi="Arial"/>
          <w:sz w:val="18"/>
          <w:szCs w:val="18"/>
          <w:color w:val="auto"/>
        </w:rPr>
        <w:t>. Stock of the Corporation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director or other fiduciary may vote stock registered in his name as such fiduciary, either in person or by proxy.</w:t>
      </w:r>
    </w:p>
    <w:p>
      <w:pPr>
        <w:spacing w:after="0" w:line="13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3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 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112"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INSPECTORS</w:t>
      </w:r>
      <w:r>
        <w:rPr>
          <w:rFonts w:ascii="Arial" w:cs="Arial" w:eastAsia="Arial" w:hAnsi="Arial"/>
          <w:sz w:val="16"/>
          <w:szCs w:val="16"/>
          <w:color w:val="auto"/>
        </w:rPr>
        <w:t>. The Board of Directors or the chair of the meeting may appoint, before or at the meeting, one or more inspectors for the meeting and any successor thereto</w:t>
      </w:r>
      <w:r>
        <w:rPr>
          <w:rFonts w:ascii="Arial" w:cs="Arial" w:eastAsia="Arial" w:hAnsi="Arial"/>
          <w:sz w:val="16"/>
          <w:szCs w:val="16"/>
          <w:b w:val="1"/>
          <w:bCs w:val="1"/>
          <w:color w:val="auto"/>
        </w:rPr>
        <w:t>.</w:t>
      </w:r>
      <w:r>
        <w:rPr>
          <w:rFonts w:ascii="Arial" w:cs="Arial" w:eastAsia="Arial" w:hAnsi="Arial"/>
          <w:sz w:val="16"/>
          <w:szCs w:val="16"/>
          <w:color w:val="auto"/>
        </w:rPr>
        <w:t xml:space="preserve"> The inspectors, if any, shall (i) determine the number of shares of stock represented at the meeting, in person or by proxy and the validity and effect of proxies, (ii) receive and tabulate all votes, ballots or consents, (iii) report such tabulation to the chair of the meeting,</w:t>
      </w:r>
    </w:p>
    <w:p>
      <w:pPr>
        <w:spacing w:after="0" w:line="2" w:lineRule="exact"/>
        <w:rPr>
          <w:sz w:val="20"/>
          <w:szCs w:val="20"/>
          <w:color w:val="auto"/>
        </w:rPr>
      </w:pPr>
    </w:p>
    <w:p>
      <w:pPr>
        <w:ind w:firstLine="8"/>
        <w:spacing w:after="0" w:line="273" w:lineRule="auto"/>
        <w:tabs>
          <w:tab w:leader="none" w:pos="305"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hear and determine all challenges and questions arising in connection with the right to vote, and (v)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w:t>
      </w:r>
      <w:r>
        <w:rPr>
          <w:rFonts w:ascii="Arial" w:cs="Arial" w:eastAsia="Arial" w:hAnsi="Arial"/>
          <w:sz w:val="17"/>
          <w:szCs w:val="17"/>
          <w:u w:val="single" w:color="auto"/>
          <w:color w:val="auto"/>
        </w:rPr>
        <w:t>prima facie</w:t>
      </w:r>
      <w:r>
        <w:rPr>
          <w:rFonts w:ascii="Arial" w:cs="Arial" w:eastAsia="Arial" w:hAnsi="Arial"/>
          <w:sz w:val="17"/>
          <w:szCs w:val="17"/>
          <w:color w:val="auto"/>
        </w:rPr>
        <w:t xml:space="preserve"> evidence thereof.</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NOMINATIONS AND STOCKHOLDER BUSINESS</w:t>
      </w:r>
    </w:p>
    <w:p>
      <w:pPr>
        <w:spacing w:after="0" w:line="90" w:lineRule="exact"/>
        <w:rPr>
          <w:sz w:val="20"/>
          <w:szCs w:val="20"/>
          <w:color w:val="auto"/>
        </w:rPr>
      </w:pPr>
    </w:p>
    <w:p>
      <w:pPr>
        <w:jc w:val="both"/>
        <w:ind w:right="160" w:firstLine="332"/>
        <w:spacing w:after="0" w:line="279" w:lineRule="auto"/>
        <w:tabs>
          <w:tab w:leader="none" w:pos="568"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Annual Meetings of stockholders</w:t>
      </w:r>
      <w:r>
        <w:rPr>
          <w:rFonts w:ascii="Arial" w:cs="Arial" w:eastAsia="Arial" w:hAnsi="Arial"/>
          <w:sz w:val="17"/>
          <w:szCs w:val="17"/>
          <w:color w:val="auto"/>
        </w:rPr>
        <w:t>. (1) Nominations of persons for election to the Board of Directors and the proposal of business to be considered by the stockholders may be made at an annual meeting of stockholders (i) pursuant to the Corporation’s notice of meeting, (ii) by or at the direction of the Board of Directors or (iii) by any stockholder of the Corporation who was a stockholder of record at the time of giving of notice provided for in this Section 12(a), who is entitled to vote at the meeting and who complied with the notice procedures set forth in this Section 12(a).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1" w:name="page82"/>
    <w:bookmarkEnd w:id="81"/>
    <w:p>
      <w:pPr>
        <w:ind w:firstLine="656"/>
        <w:spacing w:after="0" w:line="268" w:lineRule="auto"/>
        <w:tabs>
          <w:tab w:leader="none" w:pos="903" w:val="left"/>
        </w:tabs>
        <w:numPr>
          <w:ilvl w:val="2"/>
          <w:numId w:val="43"/>
        </w:numPr>
        <w:rPr>
          <w:rFonts w:ascii="Arial" w:cs="Arial" w:eastAsia="Arial" w:hAnsi="Arial"/>
          <w:sz w:val="17"/>
          <w:szCs w:val="17"/>
          <w:color w:val="auto"/>
        </w:rPr>
      </w:pPr>
      <w:r>
        <w:rPr>
          <w:rFonts w:ascii="Arial" w:cs="Arial" w:eastAsia="Arial" w:hAnsi="Arial"/>
          <w:sz w:val="17"/>
          <w:szCs w:val="17"/>
          <w:color w:val="auto"/>
        </w:rPr>
        <w:t>For nominations or other business to be properly brought before an annual meeting by a stockholder pursuant to clause (iii) of paragraph (a) (1) of this Section 12, the stockholder must have given timely notice thereof in writing to the secretary of the Corporation. To be timely, a stockholder’s notice shall be delivered to the secretary at the principal executive offices of the Corporation not less than 60 days nor more than 90 days prior to the first anniversary of the preceding year’s annual meeting; provided, however, that in the event that the date of the annual meeting is advanced by more than 30 days or delayed by more than 60 days from such anniversary date, notice by the stockholder to be timely must be so delivered, not earlier than the 90th day prior to such annual meeting and not later than the close of business on the later of the 60th day prior to such annual meeting or the tenth day following the day on which public announcement of the date of such meeting is first made. Such stockholder’s notice shall set forth (i)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 consent to being named in the proxy statement as a nominee and to serving as a director if elected); (ii)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of the beneficial owner, if any, on whose behalf the proposal is made; and (iii) as to the stockholder giving the notice and the beneficial owner, if any, on whose behalf the nomination or proposal is made, (x) the name and address of such stockholder, as they appear on the Corporation’s books, and of such beneficial owner and (y) the number of shares of each class of stock of the Corporation which are owned beneficially and of record by such stockholder and such beneficial owner.</w:t>
      </w:r>
    </w:p>
    <w:p>
      <w:pPr>
        <w:spacing w:after="0" w:line="206" w:lineRule="exact"/>
        <w:rPr>
          <w:rFonts w:ascii="Arial" w:cs="Arial" w:eastAsia="Arial" w:hAnsi="Arial"/>
          <w:sz w:val="17"/>
          <w:szCs w:val="17"/>
          <w:color w:val="auto"/>
        </w:rPr>
      </w:pPr>
    </w:p>
    <w:p>
      <w:pPr>
        <w:ind w:right="60" w:firstLine="656"/>
        <w:spacing w:after="0" w:line="273" w:lineRule="auto"/>
        <w:tabs>
          <w:tab w:leader="none" w:pos="903" w:val="left"/>
        </w:tabs>
        <w:numPr>
          <w:ilvl w:val="2"/>
          <w:numId w:val="43"/>
        </w:numPr>
        <w:rPr>
          <w:rFonts w:ascii="Arial" w:cs="Arial" w:eastAsia="Arial" w:hAnsi="Arial"/>
          <w:sz w:val="17"/>
          <w:szCs w:val="17"/>
          <w:color w:val="auto"/>
        </w:rPr>
      </w:pPr>
      <w:r>
        <w:rPr>
          <w:rFonts w:ascii="Arial" w:cs="Arial" w:eastAsia="Arial" w:hAnsi="Arial"/>
          <w:sz w:val="17"/>
          <w:szCs w:val="17"/>
          <w:color w:val="auto"/>
        </w:rPr>
        <w:t>Notwithstanding anything in the second sentence of paragraph (a) (2) of this Section 12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70 days prior to the first anniversary of the preceding year’s annual meeting, a stockholder’s notice required by this Section 12(a) shall also be considered timely, but only with respect to nominees for any new positions created by such increase, if it shall be delivered to the secretary at the principal executive offices of the Corporation not later than the close of business on the tenth day following the day on which such public announcement is first made by the Corporation.</w:t>
      </w:r>
    </w:p>
    <w:p>
      <w:pPr>
        <w:spacing w:after="0" w:line="123" w:lineRule="exact"/>
        <w:rPr>
          <w:rFonts w:ascii="Arial" w:cs="Arial" w:eastAsia="Arial" w:hAnsi="Arial"/>
          <w:sz w:val="17"/>
          <w:szCs w:val="17"/>
          <w:color w:val="auto"/>
        </w:rPr>
      </w:pPr>
    </w:p>
    <w:p>
      <w:pPr>
        <w:jc w:val="both"/>
        <w:ind w:firstLine="332"/>
        <w:spacing w:after="0" w:line="287" w:lineRule="auto"/>
        <w:tabs>
          <w:tab w:leader="none" w:pos="579"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(i) pursuant to the Corporation’s notice of meeting, (ii) by or at the direction of the Board of Directors or</w:t>
      </w:r>
    </w:p>
    <w:p>
      <w:pPr>
        <w:spacing w:after="0" w:line="2" w:lineRule="exact"/>
        <w:rPr>
          <w:rFonts w:ascii="Arial" w:cs="Arial" w:eastAsia="Arial" w:hAnsi="Arial"/>
          <w:sz w:val="16"/>
          <w:szCs w:val="16"/>
          <w:color w:val="auto"/>
        </w:rPr>
      </w:pPr>
    </w:p>
    <w:p>
      <w:pPr>
        <w:ind w:firstLine="8"/>
        <w:spacing w:after="0" w:line="287" w:lineRule="auto"/>
        <w:tabs>
          <w:tab w:leader="none" w:pos="315"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provided that the Board of Directors has determined that directors shall be elected at such special meeting, by any stockholder of the Corporation who is a stockholder of record at the time of giving of notice provided for in this Section 12(b), who is entitled to vote at the meeting and who complied with the notice procedures set forth in this Section 12(b). In the event the Corporation calls a special meeting of stockholders for the purpose of electing one or more directors to the Board of Directors, any such stockholder may nominate a person or persons (as the case may be) for election to such position as specified in the Corporation’s notice of meeting, if the stockholder’s notice containing the information required by paragraph (a) (2) of this Section 12 shall be delivered to the secretary at the principal executive offices of the Corporation not earlier than the 90th day prior to such special meeting and not later than the close of business on the later of the 60th day prior to such special meeting or the tenth day following the day on which public announcement is first made of the date of the special meeting and of the nominees proposed by the Board of Directors to be elected at such meeting.</w:t>
      </w:r>
    </w:p>
    <w:p>
      <w:pPr>
        <w:spacing w:after="0" w:line="115" w:lineRule="exact"/>
        <w:rPr>
          <w:rFonts w:ascii="Arial" w:cs="Arial" w:eastAsia="Arial" w:hAnsi="Arial"/>
          <w:sz w:val="16"/>
          <w:szCs w:val="16"/>
          <w:color w:val="auto"/>
        </w:rPr>
      </w:pPr>
    </w:p>
    <w:p>
      <w:pPr>
        <w:ind w:right="420" w:firstLine="332"/>
        <w:spacing w:after="0" w:line="296" w:lineRule="auto"/>
        <w:tabs>
          <w:tab w:leader="none" w:pos="568"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(1) Only such persons who are nominated in accordance with the procedures set forth in this Section 12 shall be eligible to serve as directors and only such business shall be conducted at a meeting of stockholders as shall have been brought before the meeting in accordance with the procedures set forth in this Section 12. The presiding officer of the meeting shall have the power and duty to determine whether a nomination or any business proposed to be brought before the meeting was made in accordance with the procedures set forth in this Section 12 and, if any proposed nomination or business is not in compliance with this Section 12, to declare that such defective nomination or proposal be disregarded.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2" w:name="page83"/>
    <w:bookmarkEnd w:id="82"/>
    <w:p>
      <w:pPr>
        <w:ind w:right="40" w:firstLine="656"/>
        <w:spacing w:after="0" w:line="263" w:lineRule="auto"/>
        <w:tabs>
          <w:tab w:leader="none" w:pos="903"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purposes of this Section 12, “public announcement” shall mean disclosure in a press release reported by the Dow Jones News Service, Associated Press or comparable news service or in a document publicly filed by the Corporation with the Securities and Exchange Commission pursuant to Section 13, 14 or 15(d) of the Exchange Act.</w:t>
      </w:r>
    </w:p>
    <w:p>
      <w:pPr>
        <w:spacing w:after="0" w:line="129" w:lineRule="exact"/>
        <w:rPr>
          <w:rFonts w:ascii="Arial" w:cs="Arial" w:eastAsia="Arial" w:hAnsi="Arial"/>
          <w:sz w:val="18"/>
          <w:szCs w:val="18"/>
          <w:color w:val="auto"/>
        </w:rPr>
      </w:pPr>
    </w:p>
    <w:p>
      <w:pPr>
        <w:ind w:right="60" w:firstLine="656"/>
        <w:spacing w:after="0" w:line="259" w:lineRule="auto"/>
        <w:tabs>
          <w:tab w:leader="none" w:pos="903"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12, a stockholder shall also comply with all applicable requirements of state law and of the Exchange Act and the Telos Corporation rules and regulations thereunder with respect to the matters set forth in this Section 12. Nothing in this Section 12 shall be deemed to affect any rights of stockholders to request inclusion of proposals in the Corporation’s proxy statement pursuant to Rule 14a-8 under the Exchange Act.</w:t>
      </w:r>
    </w:p>
    <w:p>
      <w:pPr>
        <w:spacing w:after="0" w:line="133"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VOTING BY BALLOT</w:t>
      </w:r>
      <w:r>
        <w:rPr>
          <w:rFonts w:ascii="Arial" w:cs="Arial" w:eastAsia="Arial" w:hAnsi="Arial"/>
          <w:sz w:val="18"/>
          <w:szCs w:val="18"/>
          <w:color w:val="auto"/>
        </w:rPr>
        <w:t xml:space="preserve">. Voting on any question or in any election may be </w:t>
      </w:r>
      <w:r>
        <w:rPr>
          <w:rFonts w:ascii="Arial" w:cs="Arial" w:eastAsia="Arial" w:hAnsi="Arial"/>
          <w:sz w:val="18"/>
          <w:szCs w:val="18"/>
          <w:i w:val="1"/>
          <w:iCs w:val="1"/>
          <w:color w:val="auto"/>
        </w:rPr>
        <w:t>viva voce</w:t>
      </w:r>
      <w:r>
        <w:rPr>
          <w:rFonts w:ascii="Arial" w:cs="Arial" w:eastAsia="Arial" w:hAnsi="Arial"/>
          <w:sz w:val="18"/>
          <w:szCs w:val="18"/>
          <w:color w:val="auto"/>
        </w:rPr>
        <w:t xml:space="preserve"> unless the presiding officer shall order or any stockholder shall demand that voting be by ballot.</w:t>
      </w:r>
    </w:p>
    <w:p>
      <w:pPr>
        <w:spacing w:after="0" w:line="197"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CONTROL SHARE ACQUISITION ACT</w:t>
      </w:r>
      <w:r>
        <w:rPr>
          <w:rFonts w:ascii="Arial" w:cs="Arial" w:eastAsia="Arial" w:hAnsi="Arial"/>
          <w:sz w:val="17"/>
          <w:szCs w:val="17"/>
          <w:color w:val="auto"/>
        </w:rPr>
        <w:t>. Notwithstanding any other provision of the charter of the Corporation or these Bylaws, Subtitle 7 of Title 3 of the Maryland General Corporation Law (the "MGCL"), or any successor statute, shall not apply to any acquisition by any person of shares of stock of the Corporation.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27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under the direction of its Board of Directors.</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TENURE AND QUALIFICATIONS</w:t>
      </w:r>
      <w:r>
        <w:rPr>
          <w:rFonts w:ascii="Arial" w:cs="Arial" w:eastAsia="Arial" w:hAnsi="Arial"/>
          <w:sz w:val="18"/>
          <w:szCs w:val="18"/>
          <w:color w:val="auto"/>
        </w:rPr>
        <w:t>. At any regular meeting or at any special meeting called for that purpose, a majority of the entire Board of Directors may establish, increase or decrease the number of directors, provided that the number thereof shall never be less than the minimum number required by the Maryland General Corporation Law, nor more than 15, and further provided that the tenure of office of a director shall not be affected by any decrease in the number of directors.</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ANNUAL AND REGULAR MEETINGS</w:t>
      </w:r>
      <w:r>
        <w:rPr>
          <w:rFonts w:ascii="Arial" w:cs="Arial" w:eastAsia="Arial" w:hAnsi="Arial"/>
          <w:sz w:val="18"/>
          <w:szCs w:val="18"/>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 Regular meetings of the Board of Directors shall be held from time to time at such places and times as provided by the Board of Directors by resolution, without notice other than such resolution.</w:t>
      </w:r>
    </w:p>
    <w:p>
      <w:pPr>
        <w:spacing w:after="0" w:line="13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or at the request of the chairman of the board, president or by a majority of the directors then in office. The person or persons authorized to call special meetings of the Board of Directors may fix any place, either within or without the State of Maryland, as the place for holding any special meeting of the Board of Directors called by them.</w:t>
      </w:r>
    </w:p>
    <w:p>
      <w:pPr>
        <w:spacing w:after="0" w:line="1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NOTICE</w:t>
      </w:r>
      <w:r>
        <w:rPr>
          <w:rFonts w:ascii="Arial" w:cs="Arial" w:eastAsia="Arial" w:hAnsi="Arial"/>
          <w:sz w:val="17"/>
          <w:szCs w:val="17"/>
          <w:color w:val="auto"/>
        </w:rPr>
        <w:t>. Notice of any special meeting of the Board of Directors shall be delivered personally or by telephone, electronic transmission or facsimile transmission, United States mail or courier to each director at his business or residence address. Notice by personal delivery, by telephone, by electronic transmission or by facsimile transmission shall be given at least two business days prior to the meeting. Notice by mail shall be given at least five days prior to the meeting and shall be deemed to be given when deposited in the United States mail properly addressed, with postage thereon prepaid. Telephone notice shall be deemed to be given when the director is personally given such notice in a telephone call to which he is a party. Notice by electronic transmission shall be deemed to be given upon notice of transmission of the message on the sender’s e-mail system. Facsimile transmission notice shall be deemed to be given upon completion of the transmission of the message to the number given to the Corporation by the director and receipt of a completed answer-back indicating receipt. Neither the business to be transacted at, nor the purpose of, any annual, regular or special meeting of the Board of Directors need be stated in the notice, unless specifically required by statute or these Bylaws.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3" w:name="page84"/>
    <w:bookmarkEnd w:id="83"/>
    <w:p>
      <w:pPr>
        <w:spacing w:after="0" w:line="29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QUORUM</w:t>
      </w:r>
      <w:r>
        <w:rPr>
          <w:rFonts w:ascii="Arial" w:cs="Arial" w:eastAsia="Arial" w:hAnsi="Arial"/>
          <w:sz w:val="16"/>
          <w:szCs w:val="16"/>
          <w:color w:val="auto"/>
        </w:rPr>
        <w:t>. A majority of the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the charter of the Corporation or these Bylaws, the vote of a majority of a particular group of directors is required for action, a quorum must also include a majority of such group. The Board of Directors present at a meeting which has been duly called and convened may continue to transact business until adjournment, notwithstanding the withdrawal of enough directors to leave less than a quorum.</w:t>
      </w:r>
    </w:p>
    <w:p>
      <w:pPr>
        <w:spacing w:after="0" w:line="10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The action of a majority of the directors present at a meeting at which a quorum is present shall be the action of the Board of Directors, unless the concurrence of a greater proportion is required for such action by applicable statute or the charter. If enough directors have withdrawn from a meeting to leave less than a quorum but the meeting is not adjourned, the action of the majority of that number of directors necessary to constitute a quorum at such meeting shall be the action of the Board of Directors, unless the concurrence of a greater proportion is required for such action by applicable statute or the charter.</w:t>
      </w:r>
    </w:p>
    <w:p>
      <w:pPr>
        <w:spacing w:after="0" w:line="13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TELEPHONE MEETINGS</w:t>
      </w:r>
      <w:r>
        <w:rPr>
          <w:rFonts w:ascii="Arial" w:cs="Arial" w:eastAsia="Arial" w:hAnsi="Arial"/>
          <w:sz w:val="18"/>
          <w:szCs w:val="18"/>
          <w:color w:val="auto"/>
        </w:rPr>
        <w:t>.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3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INFORMAL ACTION BY DIRECTORS</w:t>
      </w:r>
      <w:r>
        <w:rPr>
          <w:rFonts w:ascii="Arial" w:cs="Arial" w:eastAsia="Arial" w:hAnsi="Arial"/>
          <w:sz w:val="18"/>
          <w:szCs w:val="18"/>
          <w:color w:val="auto"/>
        </w:rPr>
        <w:t>. Any action required or permitted to be taken at any meeting of the Board of Directors may be taken without a meeting, if a consent in writing to such action is signed by each director and such written consent is filed with the minutes of proceedings of the Board of Directors.</w:t>
      </w:r>
    </w:p>
    <w:p>
      <w:pPr>
        <w:spacing w:after="0" w:line="13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VACANCIES</w:t>
      </w:r>
      <w:r>
        <w:rPr>
          <w:rFonts w:ascii="Arial" w:cs="Arial" w:eastAsia="Arial" w:hAnsi="Arial"/>
          <w:sz w:val="16"/>
          <w:szCs w:val="16"/>
          <w:color w:val="auto"/>
        </w:rPr>
        <w:t>. If for any reason any or all the directors cease to be directors, such event shall not terminate the Corporation or affect these Bylaws or the powers of the remaining directors hereunder (even if fewer than three directors remain). Any vacancy on the Board of Directors for any cause other than an increase in the number of directors shall be filled by a majority of the remaining directors, although such majority is less than a quorum. Any vacancy in the number of directors created by an increase in the number of directors may be filled by a majority vote of the entire Board of Directors. Any individual so elected as director shall hold office until the next annual meeting of stockholders and until his successor is elected and qualifies.</w:t>
      </w:r>
    </w:p>
    <w:p>
      <w:pPr>
        <w:spacing w:after="0" w:line="10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COMPENSATION</w:t>
      </w:r>
      <w:r>
        <w:rPr>
          <w:rFonts w:ascii="Arial" w:cs="Arial" w:eastAsia="Arial" w:hAnsi="Arial"/>
          <w:sz w:val="17"/>
          <w:szCs w:val="17"/>
          <w:color w:val="auto"/>
        </w:rPr>
        <w:t>. Directors shall not receive any stated salary for their services as directors but, by resolution of the Compensation Committee, may receive fixed sums, and other types of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performed or engaged in as directors; but nothing herein contained shall be construed to preclude any directors from serving the Corporation in any other capacity and receiving compensation therefore.</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LOSS OF DEPOSITS</w:t>
      </w:r>
      <w:r>
        <w:rPr>
          <w:rFonts w:ascii="Arial" w:cs="Arial" w:eastAsia="Arial" w:hAnsi="Arial"/>
          <w:sz w:val="18"/>
          <w:szCs w:val="18"/>
          <w:color w:val="auto"/>
        </w:rPr>
        <w:t>. No director shall be liable for any loss which may occur by reason of the failure of the bank, trust company, savings and loan association, or other institution with whom moneys or stock have been deposited.</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SURETY BONDS</w:t>
      </w:r>
      <w:r>
        <w:rPr>
          <w:rFonts w:ascii="Arial" w:cs="Arial" w:eastAsia="Arial" w:hAnsi="Arial"/>
          <w:sz w:val="18"/>
          <w:szCs w:val="18"/>
          <w:color w:val="auto"/>
        </w:rPr>
        <w:t>. Unless required by law, no director shall be obligated to give any bond or surety or other security for the performance of any of his duties.</w:t>
      </w:r>
    </w:p>
    <w:p>
      <w:pPr>
        <w:spacing w:after="0" w:line="11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RELIANCE</w:t>
      </w:r>
      <w:r>
        <w:rPr>
          <w:rFonts w:ascii="Arial" w:cs="Arial" w:eastAsia="Arial" w:hAnsi="Arial"/>
          <w:sz w:val="18"/>
          <w:szCs w:val="18"/>
          <w:color w:val="auto"/>
        </w:rPr>
        <w:t>. Each director, officer, employee and agent of the Corporation shall, in the performance of his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4" w:name="page85"/>
    <w:bookmarkEnd w:id="84"/>
    <w:p>
      <w:pPr>
        <w:ind w:right="40"/>
        <w:spacing w:after="0" w:line="293"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RATIFICATION</w:t>
      </w:r>
      <w:r>
        <w:rPr>
          <w:rFonts w:ascii="Arial" w:cs="Arial" w:eastAsia="Arial" w:hAnsi="Arial"/>
          <w:sz w:val="16"/>
          <w:szCs w:val="16"/>
          <w:color w:val="auto"/>
        </w:rPr>
        <w:t>. The Board of Directors or the stockholders may ratify and make binding on the Corporation any action or inaction by the Corporation or its officers to the extent that the Board of Directors or the stockholders could have originally authorized the matter. Moreover, any action or inaction questioned in any stockholders' derivative proceeding or any other proceeding on the ground of lack of authority, defective or irregular execution, adverse interest of a director, officer or stockholder, non-disclosure, miscomputation, or the application of improper principles or practices of accounting, may be ratified, before or after judgment, by the Board of Directors or by the stockholders and such ratification shall be binding upon the Corporation and its stockholders and shall constitute a bar to any claim or execution of any judgment in respect of such questioned action or inaction.</w:t>
      </w:r>
    </w:p>
    <w:p>
      <w:pPr>
        <w:spacing w:after="0" w:line="19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EMERGENCY PROVISIONS</w:t>
      </w:r>
      <w:r>
        <w:rPr>
          <w:rFonts w:ascii="Arial" w:cs="Arial" w:eastAsia="Arial" w:hAnsi="Arial"/>
          <w:sz w:val="18"/>
          <w:szCs w:val="18"/>
          <w:color w:val="auto"/>
        </w:rPr>
        <w:t>. Notwithstanding any other provision in the charter or these Bylaws, this Section 16 shall apply during the existence of any catastrophe, or other similar emergency condition, as a result of which a quorum of the Board of Directors under Article III of these Bylaws cannot readily be obtained (an "Emergency"). During any Emergency, unless otherwise provided by the Board of Directors, (i) a meeting of the Board of Directors or a committee thereof may be called by any director or officer by any means feasible under the circumstances; (ii) notice of any meeting of the Board of Directors during such an Emergency may be given less than 24 hours prior to the meeting to as many directors and by such means as may be feasible at the time, including publication, television or radio, and (iii) the number of directors necessary to constitute a quorum shall be one-third of the entire Board of Directors.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w:t>
      </w:r>
    </w:p>
    <w:p>
      <w:pPr>
        <w:spacing w:after="0" w:line="15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The Board of Directors may appoint from among its members an Executive Committee, an Audit Committee, a Compensation Committee and other committees, composed of one or more directors, to serve at the pleasure of the Board of Directors.</w:t>
      </w:r>
    </w:p>
    <w:p>
      <w:pPr>
        <w:spacing w:after="0" w:line="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POWERS</w:t>
      </w:r>
      <w:r>
        <w:rPr>
          <w:rFonts w:ascii="Arial" w:cs="Arial" w:eastAsia="Arial" w:hAnsi="Arial"/>
          <w:sz w:val="18"/>
          <w:szCs w:val="18"/>
          <w:color w:val="auto"/>
        </w:rPr>
        <w:t>. The Board of Directors may delegate to committees appointed under Section 1 of this Article any of the powers of the Board of Directors, except as prohibited by law.</w:t>
      </w:r>
    </w:p>
    <w:p>
      <w:pPr>
        <w:spacing w:after="0" w:line="11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MEETINGS</w:t>
      </w:r>
      <w:r>
        <w:rPr>
          <w:rFonts w:ascii="Arial" w:cs="Arial" w:eastAsia="Arial" w:hAnsi="Arial"/>
          <w:sz w:val="18"/>
          <w:szCs w:val="18"/>
          <w:color w:val="auto"/>
        </w:rPr>
        <w:t>. Notice of committee meetings shall be given to the committee members by the committee chairman in the same manner as notice for special meetings of the Board of Directors to the Board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any two members of any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4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TELEPHONE MEETINGS</w:t>
      </w:r>
      <w:r>
        <w:rPr>
          <w:rFonts w:ascii="Arial" w:cs="Arial" w:eastAsia="Arial" w:hAnsi="Arial"/>
          <w:sz w:val="18"/>
          <w:szCs w:val="18"/>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3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INFORMAL ACTION BY COMMITTEES</w:t>
      </w:r>
      <w:r>
        <w:rPr>
          <w:rFonts w:ascii="Arial" w:cs="Arial" w:eastAsia="Arial" w:hAnsi="Arial"/>
          <w:sz w:val="18"/>
          <w:szCs w:val="18"/>
          <w:color w:val="auto"/>
        </w:rPr>
        <w:t>. Any action required or permitted to be taken at any meeting of a committee of the Board of Directors may be taken without a meeting, if a consent in writing to such action is signed by each member of the committee and such written consent is filed with the minutes of proceedings of such committee.</w:t>
      </w:r>
    </w:p>
    <w:p>
      <w:pPr>
        <w:spacing w:after="0" w:line="130"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provisions hereof, the Board of Directors shall have the power at any time to change the membership of any committee, to fill all vacancies, to designate alternate members to replace any absent or disqualified member or to dissolve any such committee.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ind w:left="51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OFFICERS</w:t>
      </w:r>
    </w:p>
    <w:p>
      <w:pPr>
        <w:spacing w:after="0" w:line="15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PROVISIONS</w:t>
      </w:r>
      <w:r>
        <w:rPr>
          <w:rFonts w:ascii="Arial" w:cs="Arial" w:eastAsia="Arial" w:hAnsi="Arial"/>
          <w:sz w:val="18"/>
          <w:szCs w:val="18"/>
          <w:color w:val="auto"/>
        </w:rPr>
        <w:t>. The officers of the Corporation shall include a chief executive officer, a president, a secretary and a treasurer and may include one or more vice presidents, a chief operating officer, a chief financial officer, one or more assistant secretaries and one or more assistant treasurers. In addition, the Board of Directors may from time to time appoint such other officers with such powers and duties as they shall deem necessary or desirable. The officers of the Corporation shall be elected annually by the Board of Directors at the first meeting of the Board of Directors held after each annual meeting of stockholders, except that the chief executive officer may appoint one or more vice presidents, assistant secretaries and assistant treasurers. If the election of officers shall not be held at such meeting, such election shall be held as soon thereafter as may be convenient. Each officer shall hold office until his successor is elected and qualifies or until his death, resignation or removal in the manner hereinafter provided. Any two or more offices except president and vice president may be held by the same person. In its discretion, the Board of Directors may leave unfilled any office except that of president, treasurer and secretary. Election of an officer or agent shall not of itself create contract rights between the Corporation and such officer or agent.</w:t>
      </w:r>
    </w:p>
    <w:p>
      <w:pPr>
        <w:spacing w:after="0" w:line="14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REMOVAL AND RESIGNATION</w:t>
      </w:r>
      <w:r>
        <w:rPr>
          <w:rFonts w:ascii="Arial" w:cs="Arial" w:eastAsia="Arial" w:hAnsi="Arial"/>
          <w:sz w:val="17"/>
          <w:szCs w:val="17"/>
          <w:color w:val="auto"/>
        </w:rPr>
        <w:t>. Any officer or agent of the Corporation may be removed by the Board of Directors if in its judgment the best interests of the Corporation would be served thereby, but such removal shall be without prejudice to the contract rights, if any, of the person so removed. Any officer of the Corporation may resign at any time by giving written notice of his resignation to the Board of Directors,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may be filled by the Board of Directors for the balance of the term.</w:t>
      </w:r>
    </w:p>
    <w:p>
      <w:pPr>
        <w:spacing w:after="0" w:line="171"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Board of Directors may designate a chief executive officer. In the absence of such designation, the president shall be the chief executive officer of the Corporation. The chief executive officer shall have general responsibility for implementation of the policies of the Corporation, as determined by the Board of Directors, and for the management of the business and affairs of the Corporation.</w:t>
      </w:r>
    </w:p>
    <w:p>
      <w:pPr>
        <w:spacing w:after="0" w:line="9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OPERATING OFFICER</w:t>
      </w:r>
      <w:r>
        <w:rPr>
          <w:rFonts w:ascii="Arial" w:cs="Arial" w:eastAsia="Arial" w:hAnsi="Arial"/>
          <w:sz w:val="18"/>
          <w:szCs w:val="18"/>
          <w:color w:val="auto"/>
        </w:rPr>
        <w:t>. The Board of Directors may designate a chief operating officer. The chief operating officer shall have the responsibilities and duties as set forth by the Board of Directors or the chief executive officer.</w:t>
      </w:r>
    </w:p>
    <w:p>
      <w:pPr>
        <w:spacing w:after="0" w:line="11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Board of Directors may designate a chief financial officer. The chief financial officer shall have the responsibilities and duties as set forth by the Board of Directors or the chief executive officer.</w:t>
      </w:r>
    </w:p>
    <w:p>
      <w:pPr>
        <w:spacing w:after="0" w:line="11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CHAIRMAN OF THE BOARD</w:t>
      </w:r>
      <w:r>
        <w:rPr>
          <w:rFonts w:ascii="Arial" w:cs="Arial" w:eastAsia="Arial" w:hAnsi="Arial"/>
          <w:sz w:val="17"/>
          <w:szCs w:val="17"/>
          <w:color w:val="auto"/>
        </w:rPr>
        <w:t>. The Board of Directors shall designate a chairman of the Board of Directors. The chairman of the board shall preside over the meetings of the Board of Directors and over meetings of the stockholders at which he shall be present. The chairman of the board may be an officer of the Corporation, including without limitation the chief executive officer of the Corporation or, in the absence of a designation of chief executive officer, the president of the Corporation. The chief executive officer (if not the chairman) or, in the absence of a designation of chief executive officer, the president (if not the chairman) shall report to the chairman of the Board of Directors.</w:t>
      </w:r>
    </w:p>
    <w:p>
      <w:pPr>
        <w:spacing w:after="0" w:line="122" w:lineRule="exact"/>
        <w:rPr>
          <w:sz w:val="20"/>
          <w:szCs w:val="20"/>
          <w:color w:val="auto"/>
        </w:rPr>
      </w:pPr>
    </w:p>
    <w:p>
      <w:pPr>
        <w:jc w:val="both"/>
        <w:ind w:right="40"/>
        <w:spacing w:after="0" w:line="296"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PRESIDENT</w:t>
      </w:r>
      <w:r>
        <w:rPr>
          <w:rFonts w:ascii="Arial" w:cs="Arial" w:eastAsia="Arial" w:hAnsi="Arial"/>
          <w:sz w:val="16"/>
          <w:szCs w:val="16"/>
          <w:color w:val="auto"/>
        </w:rPr>
        <w:t>. The president or chief executive officer, as the case may be, shall in general supervise and control all of the business and affairs of the Corporation. In the absence of a designation of a chief operating officer by the Board of Directors, the president shall be the chief operating officer. 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6" w:name="page87"/>
    <w:bookmarkEnd w:id="86"/>
    <w:p>
      <w:pPr>
        <w:ind w:right="20"/>
        <w:spacing w:after="0" w:line="296"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VICE PRESIDENTS</w:t>
      </w:r>
      <w:r>
        <w:rPr>
          <w:rFonts w:ascii="Arial" w:cs="Arial" w:eastAsia="Arial" w:hAnsi="Arial"/>
          <w:sz w:val="16"/>
          <w:szCs w:val="16"/>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Board of Directors. The Board of Directors may designate one or more vice presidents as executive vice president or as vice president for particular areas of responsibility.</w:t>
      </w:r>
    </w:p>
    <w:p>
      <w:pPr>
        <w:spacing w:after="0" w:line="10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share transfer books of the Corporation; and (f) in general perform such other duties as from time to time may be assigned to him by the chief executive officer, the president or by the Board of Directors.</w:t>
      </w:r>
    </w:p>
    <w:p>
      <w:pPr>
        <w:spacing w:after="0" w:line="10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shall have the custody of the funds and securities of the Corporation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transactions as treasurer and of the financial condition of the Corporation.</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moneys and other property of whatever kind in his possession or under his control belonging to the Corporation.</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SALARIES</w:t>
      </w:r>
      <w:r>
        <w:rPr>
          <w:rFonts w:ascii="Arial" w:cs="Arial" w:eastAsia="Arial" w:hAnsi="Arial"/>
          <w:sz w:val="18"/>
          <w:szCs w:val="18"/>
          <w:color w:val="auto"/>
        </w:rPr>
        <w:t>. The salaries and other compensation of the officers shall be fixed from time to time by the Board of Directors and no officer shall be prevented from receiving such salary or other compensation by reason of the fact that he is also a director.</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CONTRACTS, LOANS, CHECKS AND DEPOSITS</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CONTRACTS</w:t>
      </w:r>
      <w:r>
        <w:rPr>
          <w:rFonts w:ascii="Arial" w:cs="Arial" w:eastAsia="Arial" w:hAnsi="Arial"/>
          <w:sz w:val="18"/>
          <w:szCs w:val="18"/>
          <w:color w:val="auto"/>
        </w:rPr>
        <w:t>. The Board of Directors may authorize any officer or agent to enter into any contract or to execute and deliver any instrument in the name of and on behalf of the Corporation and such authority may be general or confined to specific instances. Any agreement, deed, mortgage, lease or other document executed by one or more of the directors or by an authorized person shall be valid and binding upon the Board of Directors and upon the Corporation when authorized or ratified by action of the Board of Directors.</w:t>
      </w:r>
    </w:p>
    <w:p>
      <w:pPr>
        <w:spacing w:after="0" w:line="13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CHECKS AND DRAFTS.</w:t>
      </w:r>
      <w:r>
        <w:rPr>
          <w:rFonts w:ascii="Arial" w:cs="Arial" w:eastAsia="Arial" w:hAnsi="Arial"/>
          <w:sz w:val="18"/>
          <w:szCs w:val="18"/>
          <w:color w:val="auto"/>
        </w:rPr>
        <w:t xml:space="preserve">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7" w:name="page88"/>
    <w:bookmarkEnd w:id="87"/>
    <w:p>
      <w:pPr>
        <w:ind w:right="220"/>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DEPOSITS</w:t>
      </w:r>
      <w:r>
        <w:rPr>
          <w:rFonts w:ascii="Arial" w:cs="Arial" w:eastAsia="Arial" w:hAnsi="Arial"/>
          <w:sz w:val="18"/>
          <w:szCs w:val="18"/>
          <w:color w:val="auto"/>
        </w:rPr>
        <w:t>. All funds of the Corporation not otherwise employed shall be deposited from time to time to the credit of the Corporation in such banks, trust companies or other depositories as the Board of Directors may designate.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w:t>
      </w:r>
    </w:p>
    <w:p>
      <w:pPr>
        <w:spacing w:after="0" w:line="15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w:t>
      </w:r>
      <w:r>
        <w:rPr>
          <w:rFonts w:ascii="Arial" w:cs="Arial" w:eastAsia="Arial" w:hAnsi="Arial"/>
          <w:sz w:val="16"/>
          <w:szCs w:val="16"/>
          <w:color w:val="auto"/>
        </w:rPr>
        <w:t>. The Corporation may issue some or all of the shares of any or all of the Corporation's classes or series of stock without certificates if authorized by the Board of Directors. In the event that the Corporation issues shares of stock represented by certificates, such certificates shall be in such form as prescribed by the Board of Directors or a duly authorized officer, shall contain the statements and information required by the MGCL and shall be signed by the officers of the Corporation in the manner permitted by the MGCL. In the event that the Corporation issues shares of stock without certificates, to the extent then required by the MGCL, the Corporation shall provide to the record holders of such shares a written statement of the information required by the MGCL to be included on stock certificates. There shall be no differences in the rights and obligations of stockholders based on whether or not their shares are represented by certificates. If a class or series of stock is authorized by the Board of Directors to be issued without certificates, no stockholder shall be entitled to a certificate or certificates representing any shares of such class or series of stock held by such stockholder unless otherwise determined by the Board of Directors and then only upon written request by such stockholder to the secretary of the Corporation.</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TRANSFERS</w:t>
      </w:r>
      <w:r>
        <w:rPr>
          <w:rFonts w:ascii="Arial" w:cs="Arial" w:eastAsia="Arial" w:hAnsi="Arial"/>
          <w:sz w:val="18"/>
          <w:szCs w:val="18"/>
          <w:color w:val="auto"/>
        </w:rPr>
        <w:t>. All transfers of stock shall be made on the books of the Corporation, by the holder of the shares, in person or by his or her attorney, in such manner as the Board of Directors or any officer of the Corporation may prescribe and, if such shares are certificated, upon surrender of certificates duly endorsed. The issuance of a new certificate upon the transfer of certificated shares is subject to the determination of the Board of Directors that such shares shall no longer be represented by certificates. Upon the transfer of uncertificated shares, to the extent then required by the MGCL, the Corporation shall provide to record holders of such shares a written statement of the information required by the MGCL to be included on stock certificates.</w:t>
      </w:r>
    </w:p>
    <w:p>
      <w:pPr>
        <w:spacing w:after="0" w:line="21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provided by the laws of the State of Maryland.</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Notwithstanding the foregoing, transfers of shares of any class or series of stock will be subject in all respects to the charter of the Corporation and all of the terms and conditions contained therein.</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CLOSING OF TRANSFER BOOKS OR FIXING OF RECORD DATE</w:t>
      </w:r>
      <w:r>
        <w:rPr>
          <w:rFonts w:ascii="Arial" w:cs="Arial" w:eastAsia="Arial" w:hAnsi="Arial"/>
          <w:sz w:val="18"/>
          <w:szCs w:val="18"/>
          <w:color w:val="auto"/>
        </w:rPr>
        <w:t>.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3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 lieu of fixing a record date, the Board of Directors may provide that the stock transfer books shall be closed for a stated period but not longer than 20 days. If the stock transfer books are closed for the purpose of determining stockholders entitled to notice of or to vote at a meeting of stockholders, such books shall be closed for at least ten days before the date of such meeting.</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no record date is fixed and the stock transfer books are not closed for the determination of stockholders, (a) the record date for the determination of stockholders entitled to notice of or to vote at a meeting of stockholders shall be at the close of business on the day on which the notice of meeting is mailed or the 30th day before the meeting, whichever is the closer date to the meeting; and (b) the record date for the determination of stockholders entitled to receive payment of a dividend or an allotment of any other rights shall be the close of business on the day on which the resolution of the directors, declaring the dividend or allotment of rights, is adopted.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88" w:name="page89"/>
    <w:bookmarkEnd w:id="88"/>
    <w:p>
      <w:pPr>
        <w:ind w:right="40"/>
        <w:spacing w:after="0" w:line="259" w:lineRule="auto"/>
        <w:rPr>
          <w:sz w:val="20"/>
          <w:szCs w:val="20"/>
          <w:color w:val="auto"/>
        </w:rPr>
      </w:pPr>
      <w:r>
        <w:rPr>
          <w:rFonts w:ascii="Arial" w:cs="Arial" w:eastAsia="Arial" w:hAnsi="Arial"/>
          <w:sz w:val="18"/>
          <w:szCs w:val="18"/>
          <w:color w:val="auto"/>
        </w:rPr>
        <w:t>When a determination of stockholders entitled to vote at any meeting of stockholders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13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STOCK LEDGER</w:t>
      </w:r>
      <w:r>
        <w:rPr>
          <w:rFonts w:ascii="Arial" w:cs="Arial" w:eastAsia="Arial" w:hAnsi="Arial"/>
          <w:sz w:val="16"/>
          <w:szCs w:val="16"/>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FRACTIONAL STOCK: ISSUANCE OF UNITS</w:t>
      </w:r>
      <w:r>
        <w:rPr>
          <w:rFonts w:ascii="Arial" w:cs="Arial" w:eastAsia="Arial" w:hAnsi="Arial"/>
          <w:sz w:val="18"/>
          <w:szCs w:val="18"/>
          <w:color w:val="auto"/>
        </w:rPr>
        <w:t>. The Board of Directors may issue fractional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ACCOUNTING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shall have the power, from time to time, to fix the fiscal year of the Corporation by a duly adopted resolution.</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DISTRIBUTIONS</w:t>
      </w:r>
    </w:p>
    <w:p>
      <w:pPr>
        <w:spacing w:after="0" w:line="15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AUTHORIZATION</w:t>
      </w:r>
      <w:r>
        <w:rPr>
          <w:rFonts w:ascii="Arial" w:cs="Arial" w:eastAsia="Arial" w:hAnsi="Arial"/>
          <w:sz w:val="18"/>
          <w:szCs w:val="18"/>
          <w:color w:val="auto"/>
        </w:rPr>
        <w:t>. Dividends and other distributions upon the stock of the Corporation may be authorized and declared by the Board of Directors, subject to the provisions of law and the charter of the Corporation. Dividends and other distributions may be paid in cash, property or stock of the Corporation, subject to the provisions of law and the charter.</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CONTINGENCIES</w:t>
      </w:r>
      <w:r>
        <w:rPr>
          <w:rFonts w:ascii="Arial" w:cs="Arial" w:eastAsia="Arial" w:hAnsi="Arial"/>
          <w:sz w:val="18"/>
          <w:szCs w:val="18"/>
          <w:color w:val="auto"/>
        </w:rPr>
        <w:t>. Before payment of any dividends or other distributions, there may be set aside out of any assets of the Corporation available for dividends or other distributions such sum or sums as the Board of Directors may from time to time, in its absolute discretion, think proper as a reserve fund for contingencies, for equalizing dividends or other distributions, for repairing or maintaining any property of the Corporation or for such other purpose as the Board of Directors shall determine to be in the best interest of the Corporation, and the Board of Directors may modify or abolish any such reserve in the manner in which it was created.</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INVESTMENT POLICY</w:t>
      </w:r>
    </w:p>
    <w:p>
      <w:pPr>
        <w:spacing w:after="0" w:line="1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Subject to the provisions of the charter of the Corporation, the Board of Directors may from time to time adopt, amend, revise or terminate any policy or policies with respect to investments by the Corporation as it shall deem appropriate in its sole discretion.</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authorize the adoption of a seal by the Corporation.</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AFFIXING SEAL</w:t>
      </w:r>
      <w:r>
        <w:rPr>
          <w:rFonts w:ascii="Arial" w:cs="Arial" w:eastAsia="Arial" w:hAnsi="Arial"/>
          <w:sz w:val="18"/>
          <w:szCs w:val="18"/>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AND ADVANCES FOR EXPENSES</w:t>
      </w:r>
    </w:p>
    <w:p>
      <w:pPr>
        <w:spacing w:after="0" w:line="15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To the maximum extent permitted by Maryland law in effect from time to time, the Corporation, without requiring a preliminary determination of the ultimate entitlement to indemnification, shall indemnify and shall pay or reimburse reasonable expenses in advance of final disposition of a proceeding to</w:t>
      </w:r>
    </w:p>
    <w:p>
      <w:pPr>
        <w:ind w:right="40" w:firstLine="8"/>
        <w:spacing w:after="0" w:line="252" w:lineRule="auto"/>
        <w:tabs>
          <w:tab w:leader="none" w:pos="2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individual who is a present or former director or officer of the Corporation and who is made a party to the proceeding by reason of his service in that capacity or (b) any individual who, while a director of the Corporation and at the request of the Corporation, serves or has served another corporation, partnership, joint venture, trust, employee benefit plan or any other enterprise as a director, officer, partner or trustee of such corporation, partnership, joint venture, trust, employee benefit plan or other enterprise and who is made a party to the proceeding by reason of his service in that capacity. The Corporation may, with the approval of its Board of Directors, provide such indemnification and advance for expenses to a person who served a predecessor of the Corporation in any of the capacities described in (a) or (b) above and to any employee or agent of the Corporation or a predecessor of the Corporation.</w:t>
      </w:r>
    </w:p>
    <w:p>
      <w:pPr>
        <w:spacing w:after="0" w:line="13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Neither the amendment nor repeal of this Article, nor the adoption or amendment of any other provision of the Bylaws or charter of the Corporation inconsistent with this Article, shall apply to or affect in any respect the applicability of the preceding paragraph with respect to any act or failure to act which occurred prior to such amendment, repeal or adoption.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WAIVER OF NOTICE</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Whenever any notice is required to be given pursuant to the charter of the Corporation or these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BYLAWS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shall have the exclusive power to adopt, alter or repeal any provision of these Bylaws and to make new Bylaws.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20"/>
          </w:cols>
          <w:pgMar w:left="320" w:top="445" w:right="359" w:bottom="1440" w:gutter="0" w:footer="0" w:header="0"/>
        </w:sectPr>
      </w:pPr>
    </w:p>
    <w:bookmarkStart w:id="90" w:name="page91"/>
    <w:bookmarkEnd w:id="90"/>
    <w:p>
      <w:pPr>
        <w:ind w:left="9120"/>
        <w:spacing w:after="0"/>
        <w:rPr>
          <w:sz w:val="20"/>
          <w:szCs w:val="20"/>
          <w:color w:val="auto"/>
        </w:rPr>
      </w:pPr>
      <w:r>
        <w:rPr>
          <w:rFonts w:ascii="Arial" w:cs="Arial" w:eastAsia="Arial" w:hAnsi="Arial"/>
          <w:sz w:val="18"/>
          <w:szCs w:val="18"/>
          <w:b w:val="1"/>
          <w:bCs w:val="1"/>
          <w:color w:val="auto"/>
        </w:rPr>
        <w:t>Exhibit 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subsidiaries of the Company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4440" w:type="dxa"/>
            <w:vAlign w:val="bottom"/>
          </w:tcPr>
          <w:p>
            <w:pPr>
              <w:ind w:left="1320"/>
              <w:spacing w:after="0"/>
              <w:rPr>
                <w:sz w:val="20"/>
                <w:szCs w:val="20"/>
                <w:color w:val="auto"/>
              </w:rPr>
            </w:pPr>
            <w:r>
              <w:rPr>
                <w:rFonts w:ascii="Arial" w:cs="Arial" w:eastAsia="Arial" w:hAnsi="Arial"/>
                <w:sz w:val="18"/>
                <w:szCs w:val="18"/>
                <w:b w:val="1"/>
                <w:bCs w:val="1"/>
                <w:color w:val="auto"/>
              </w:rPr>
              <w:t>State/Country</w:t>
            </w:r>
          </w:p>
        </w:tc>
      </w:tr>
      <w:tr>
        <w:trPr>
          <w:trHeight w:val="234"/>
        </w:trPr>
        <w:tc>
          <w:tcPr>
            <w:tcW w:w="6800" w:type="dxa"/>
            <w:vAlign w:val="bottom"/>
          </w:tcPr>
          <w:p>
            <w:pPr>
              <w:ind w:left="1140"/>
              <w:spacing w:after="0"/>
              <w:rPr>
                <w:sz w:val="20"/>
                <w:szCs w:val="20"/>
                <w:color w:val="auto"/>
              </w:rPr>
            </w:pPr>
            <w:r>
              <w:rPr>
                <w:rFonts w:ascii="Arial" w:cs="Arial" w:eastAsia="Arial" w:hAnsi="Arial"/>
                <w:sz w:val="18"/>
                <w:szCs w:val="18"/>
                <w:b w:val="1"/>
                <w:bCs w:val="1"/>
                <w:color w:val="auto"/>
              </w:rPr>
              <w:t>Name of Subsidiary</w:t>
            </w:r>
          </w:p>
        </w:tc>
        <w:tc>
          <w:tcPr>
            <w:tcW w:w="4440" w:type="dxa"/>
            <w:vAlign w:val="bottom"/>
          </w:tcPr>
          <w:p>
            <w:pPr>
              <w:ind w:left="1360"/>
              <w:spacing w:after="0"/>
              <w:rPr>
                <w:sz w:val="20"/>
                <w:szCs w:val="20"/>
                <w:color w:val="auto"/>
              </w:rPr>
            </w:pPr>
            <w:r>
              <w:rPr>
                <w:rFonts w:ascii="Arial" w:cs="Arial" w:eastAsia="Arial" w:hAnsi="Arial"/>
                <w:sz w:val="18"/>
                <w:szCs w:val="18"/>
                <w:b w:val="1"/>
                <w:bCs w:val="1"/>
                <w:color w:val="auto"/>
              </w:rPr>
              <w:t>of Incorporation</w:t>
            </w:r>
          </w:p>
        </w:tc>
      </w:tr>
      <w:tr>
        <w:trPr>
          <w:trHeight w:val="418"/>
        </w:trPr>
        <w:tc>
          <w:tcPr>
            <w:tcW w:w="6800" w:type="dxa"/>
            <w:vAlign w:val="bottom"/>
          </w:tcPr>
          <w:p>
            <w:pPr>
              <w:ind w:left="1140"/>
              <w:spacing w:after="0"/>
              <w:rPr>
                <w:sz w:val="20"/>
                <w:szCs w:val="20"/>
                <w:color w:val="auto"/>
              </w:rPr>
            </w:pPr>
            <w:r>
              <w:rPr>
                <w:rFonts w:ascii="Arial" w:cs="Arial" w:eastAsia="Arial" w:hAnsi="Arial"/>
                <w:sz w:val="18"/>
                <w:szCs w:val="18"/>
                <w:color w:val="auto"/>
              </w:rPr>
              <w:t>Ubiquity.com, Inc.</w:t>
            </w:r>
          </w:p>
        </w:tc>
        <w:tc>
          <w:tcPr>
            <w:tcW w:w="444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tcPr>
          <w:p>
            <w:pPr>
              <w:ind w:left="1140"/>
              <w:spacing w:after="0"/>
              <w:rPr>
                <w:sz w:val="20"/>
                <w:szCs w:val="20"/>
                <w:color w:val="auto"/>
              </w:rPr>
            </w:pPr>
            <w:r>
              <w:rPr>
                <w:rFonts w:ascii="Arial" w:cs="Arial" w:eastAsia="Arial" w:hAnsi="Arial"/>
                <w:sz w:val="18"/>
                <w:szCs w:val="18"/>
                <w:color w:val="auto"/>
              </w:rPr>
              <w:t>Xacta Corporation</w:t>
            </w:r>
          </w:p>
        </w:tc>
        <w:tc>
          <w:tcPr>
            <w:tcW w:w="444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tcPr>
          <w:p>
            <w:pPr>
              <w:ind w:left="1140"/>
              <w:spacing w:after="0"/>
              <w:rPr>
                <w:sz w:val="20"/>
                <w:szCs w:val="20"/>
                <w:color w:val="auto"/>
              </w:rPr>
            </w:pPr>
            <w:r>
              <w:rPr>
                <w:rFonts w:ascii="Arial" w:cs="Arial" w:eastAsia="Arial" w:hAnsi="Arial"/>
                <w:sz w:val="18"/>
                <w:szCs w:val="18"/>
                <w:color w:val="auto"/>
              </w:rPr>
              <w:t>Teloworks, Inc.</w:t>
            </w:r>
          </w:p>
        </w:tc>
        <w:tc>
          <w:tcPr>
            <w:tcW w:w="444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tcPr>
          <w:p>
            <w:pPr>
              <w:ind w:left="1140"/>
              <w:spacing w:after="0"/>
              <w:rPr>
                <w:sz w:val="20"/>
                <w:szCs w:val="20"/>
                <w:color w:val="auto"/>
              </w:rPr>
            </w:pPr>
            <w:r>
              <w:rPr>
                <w:rFonts w:ascii="Arial" w:cs="Arial" w:eastAsia="Arial" w:hAnsi="Arial"/>
                <w:sz w:val="18"/>
                <w:szCs w:val="18"/>
                <w:color w:val="auto"/>
              </w:rPr>
              <w:t>Telos Identity Management Solutions, LLC (DBA Telos ID)</w:t>
            </w:r>
          </w:p>
        </w:tc>
        <w:tc>
          <w:tcPr>
            <w:tcW w:w="444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tcPr>
          <w:p>
            <w:pPr>
              <w:ind w:left="1140"/>
              <w:spacing w:after="0"/>
              <w:rPr>
                <w:sz w:val="20"/>
                <w:szCs w:val="20"/>
                <w:color w:val="auto"/>
              </w:rPr>
            </w:pPr>
            <w:r>
              <w:rPr>
                <w:rFonts w:ascii="Arial" w:cs="Arial" w:eastAsia="Arial" w:hAnsi="Arial"/>
                <w:sz w:val="18"/>
                <w:szCs w:val="18"/>
                <w:color w:val="auto"/>
              </w:rPr>
              <w:t>Teloworks Philippines, Inc.</w:t>
            </w:r>
          </w:p>
        </w:tc>
        <w:tc>
          <w:tcPr>
            <w:tcW w:w="4440" w:type="dxa"/>
            <w:vAlign w:val="bottom"/>
          </w:tcPr>
          <w:p>
            <w:pPr>
              <w:ind w:left="1320"/>
              <w:spacing w:after="0"/>
              <w:rPr>
                <w:sz w:val="20"/>
                <w:szCs w:val="20"/>
                <w:color w:val="auto"/>
              </w:rPr>
            </w:pPr>
            <w:r>
              <w:rPr>
                <w:rFonts w:ascii="Arial" w:cs="Arial" w:eastAsia="Arial" w:hAnsi="Arial"/>
                <w:sz w:val="18"/>
                <w:szCs w:val="18"/>
                <w:color w:val="auto"/>
              </w:rPr>
              <w:t>Philippines</w:t>
            </w:r>
          </w:p>
        </w:tc>
      </w:tr>
      <w:tr>
        <w:trPr>
          <w:trHeight w:val="230"/>
        </w:trPr>
        <w:tc>
          <w:tcPr>
            <w:tcW w:w="6800" w:type="dxa"/>
            <w:vAlign w:val="bottom"/>
          </w:tcPr>
          <w:p>
            <w:pPr>
              <w:ind w:left="1140"/>
              <w:spacing w:after="0"/>
              <w:rPr>
                <w:sz w:val="20"/>
                <w:szCs w:val="20"/>
                <w:color w:val="auto"/>
              </w:rPr>
            </w:pPr>
            <w:r>
              <w:rPr>
                <w:rFonts w:ascii="Arial" w:cs="Arial" w:eastAsia="Arial" w:hAnsi="Arial"/>
                <w:sz w:val="18"/>
                <w:szCs w:val="18"/>
                <w:color w:val="auto"/>
              </w:rPr>
              <w:t>Telos APAC Pte. Ltd.</w:t>
            </w:r>
          </w:p>
        </w:tc>
        <w:tc>
          <w:tcPr>
            <w:tcW w:w="4440" w:type="dxa"/>
            <w:vAlign w:val="bottom"/>
          </w:tcPr>
          <w:p>
            <w:pPr>
              <w:ind w:left="1320"/>
              <w:spacing w:after="0"/>
              <w:rPr>
                <w:sz w:val="20"/>
                <w:szCs w:val="20"/>
                <w:color w:val="auto"/>
              </w:rPr>
            </w:pPr>
            <w:r>
              <w:rPr>
                <w:rFonts w:ascii="Arial" w:cs="Arial" w:eastAsia="Arial" w:hAnsi="Arial"/>
                <w:sz w:val="18"/>
                <w:szCs w:val="18"/>
                <w:color w:val="auto"/>
              </w:rPr>
              <w:t>Singapore</w:t>
            </w:r>
          </w:p>
        </w:tc>
      </w:tr>
      <w:tr>
        <w:trPr>
          <w:trHeight w:val="182"/>
        </w:trPr>
        <w:tc>
          <w:tcPr>
            <w:tcW w:w="680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u w:val="single" w:color="auto"/>
          <w:color w:val="auto"/>
        </w:rPr>
        <w:t>Exhibit 23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Telos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19886 Ashburn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Ashburn, Virginia 20147</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333-252400) of Telos Corporation of our report dated March 25, 2021, relating to the consolidated financial statements, which appears in this Form 10-K.</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25, 2021</w:t>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B. Wood, certify that:</w:t>
      </w:r>
    </w:p>
    <w:p>
      <w:pPr>
        <w:spacing w:after="0" w:line="225" w:lineRule="exact"/>
        <w:rPr>
          <w:sz w:val="20"/>
          <w:szCs w:val="20"/>
          <w:color w:val="auto"/>
        </w:rPr>
      </w:pPr>
    </w:p>
    <w:p>
      <w:pPr>
        <w:ind w:left="740" w:hanging="307"/>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Telos Corporation;</w:t>
      </w:r>
    </w:p>
    <w:p>
      <w:pPr>
        <w:spacing w:after="0" w:line="225" w:lineRule="exact"/>
        <w:rPr>
          <w:rFonts w:ascii="Arial" w:cs="Arial" w:eastAsia="Arial" w:hAnsi="Arial"/>
          <w:sz w:val="18"/>
          <w:szCs w:val="18"/>
          <w:color w:val="auto"/>
        </w:rPr>
      </w:pPr>
    </w:p>
    <w:p>
      <w:pPr>
        <w:ind w:right="80" w:firstLine="433"/>
        <w:spacing w:after="0" w:line="263" w:lineRule="auto"/>
        <w:tabs>
          <w:tab w:leader="none" w:pos="756"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540" w:firstLine="433"/>
        <w:spacing w:after="0" w:line="342" w:lineRule="auto"/>
        <w:tabs>
          <w:tab w:leader="none" w:pos="756"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80" w:firstLine="433"/>
        <w:spacing w:after="0" w:line="263" w:lineRule="auto"/>
        <w:tabs>
          <w:tab w:leader="none" w:pos="7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right="20" w:firstLine="433"/>
        <w:spacing w:after="0" w:line="263" w:lineRule="auto"/>
        <w:tabs>
          <w:tab w:leader="none" w:pos="671"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0" w:firstLine="433"/>
        <w:spacing w:after="0" w:line="263" w:lineRule="auto"/>
        <w:tabs>
          <w:tab w:leader="none" w:pos="6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560" w:firstLine="433"/>
        <w:spacing w:after="0" w:line="342" w:lineRule="auto"/>
        <w:tabs>
          <w:tab w:leader="none" w:pos="671" w:val="left"/>
        </w:tabs>
        <w:numPr>
          <w:ilvl w:val="0"/>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40" w:firstLine="433"/>
        <w:spacing w:after="0" w:line="263" w:lineRule="auto"/>
        <w:tabs>
          <w:tab w:leader="none" w:pos="6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433"/>
        <w:spacing w:after="0" w:line="308" w:lineRule="auto"/>
        <w:tabs>
          <w:tab w:leader="none" w:pos="752"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sz w:val="20"/>
          <w:szCs w:val="20"/>
          <w:color w:val="auto"/>
        </w:rPr>
      </w:pPr>
    </w:p>
    <w:p>
      <w:pPr>
        <w:ind w:right="760" w:firstLine="433"/>
        <w:spacing w:after="0" w:line="308" w:lineRule="auto"/>
        <w:tabs>
          <w:tab w:leader="none" w:pos="661"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60" w:firstLine="433"/>
        <w:spacing w:after="0" w:line="277" w:lineRule="auto"/>
        <w:tabs>
          <w:tab w:leader="none" w:pos="671"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Date:  March 25, 2021</w:t>
      </w:r>
    </w:p>
    <w:p>
      <w:pPr>
        <w:spacing w:after="0" w:line="200" w:lineRule="exact"/>
        <w:rPr>
          <w:sz w:val="20"/>
          <w:szCs w:val="20"/>
          <w:color w:val="auto"/>
        </w:rPr>
      </w:pPr>
    </w:p>
    <w:p>
      <w:pPr>
        <w:spacing w:after="0" w:line="241"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14605</wp:posOffset>
            </wp:positionV>
            <wp:extent cx="28460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John B. Wood</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0900"/>
          </w:cols>
          <w:pgMar w:left="660" w:top="337"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Michele Nakazawa, certify that:</w:t>
      </w:r>
    </w:p>
    <w:p>
      <w:pPr>
        <w:spacing w:after="0" w:line="225" w:lineRule="exact"/>
        <w:rPr>
          <w:sz w:val="20"/>
          <w:szCs w:val="20"/>
          <w:color w:val="auto"/>
        </w:rPr>
      </w:pPr>
    </w:p>
    <w:p>
      <w:pPr>
        <w:ind w:left="740" w:hanging="307"/>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Telos Corporation;</w:t>
      </w:r>
    </w:p>
    <w:p>
      <w:pPr>
        <w:spacing w:after="0" w:line="225" w:lineRule="exact"/>
        <w:rPr>
          <w:rFonts w:ascii="Arial" w:cs="Arial" w:eastAsia="Arial" w:hAnsi="Arial"/>
          <w:sz w:val="18"/>
          <w:szCs w:val="18"/>
          <w:color w:val="auto"/>
        </w:rPr>
      </w:pPr>
    </w:p>
    <w:p>
      <w:pPr>
        <w:ind w:right="300" w:firstLine="433"/>
        <w:spacing w:after="0" w:line="263" w:lineRule="auto"/>
        <w:tabs>
          <w:tab w:leader="none" w:pos="7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433"/>
        <w:spacing w:after="0" w:line="342" w:lineRule="auto"/>
        <w:tabs>
          <w:tab w:leader="none" w:pos="756"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23" w:lineRule="exact"/>
        <w:rPr>
          <w:rFonts w:ascii="Arial" w:cs="Arial" w:eastAsia="Arial" w:hAnsi="Arial"/>
          <w:sz w:val="16"/>
          <w:szCs w:val="16"/>
          <w:color w:val="auto"/>
        </w:rPr>
      </w:pPr>
    </w:p>
    <w:p>
      <w:pPr>
        <w:ind w:right="80" w:firstLine="433"/>
        <w:spacing w:after="0" w:line="263" w:lineRule="auto"/>
        <w:tabs>
          <w:tab w:leader="none" w:pos="7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right="20" w:firstLine="433"/>
        <w:spacing w:after="0" w:line="263" w:lineRule="auto"/>
        <w:tabs>
          <w:tab w:leader="none" w:pos="671"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0" w:firstLine="433"/>
        <w:spacing w:after="0" w:line="263" w:lineRule="auto"/>
        <w:tabs>
          <w:tab w:leader="none" w:pos="6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560" w:firstLine="433"/>
        <w:spacing w:after="0" w:line="342" w:lineRule="auto"/>
        <w:tabs>
          <w:tab w:leader="none" w:pos="671" w:val="left"/>
        </w:tabs>
        <w:numPr>
          <w:ilvl w:val="0"/>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40" w:firstLine="433"/>
        <w:spacing w:after="0" w:line="263" w:lineRule="auto"/>
        <w:tabs>
          <w:tab w:leader="none" w:pos="681"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433"/>
        <w:spacing w:after="0" w:line="308" w:lineRule="auto"/>
        <w:tabs>
          <w:tab w:leader="none" w:pos="752"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sz w:val="20"/>
          <w:szCs w:val="20"/>
          <w:color w:val="auto"/>
        </w:rPr>
      </w:pPr>
    </w:p>
    <w:p>
      <w:pPr>
        <w:ind w:right="760" w:firstLine="433"/>
        <w:spacing w:after="0" w:line="308" w:lineRule="auto"/>
        <w:tabs>
          <w:tab w:leader="none" w:pos="661"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60" w:firstLine="433"/>
        <w:spacing w:after="0" w:line="277" w:lineRule="auto"/>
        <w:tabs>
          <w:tab w:leader="none" w:pos="6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Date:  March 25, 2021</w:t>
      </w:r>
    </w:p>
    <w:p>
      <w:pPr>
        <w:spacing w:after="0" w:line="22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Michele Nakazawa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14605</wp:posOffset>
            </wp:positionV>
            <wp:extent cx="28460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Michele Nakazawa</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7"/>
          <w:szCs w:val="17"/>
          <w:color w:val="auto"/>
        </w:rPr>
        <w:t>Chief Financial Officer (Principal Financial and Accounting</w:t>
      </w:r>
    </w:p>
    <w:p>
      <w:pPr>
        <w:spacing w:after="0" w:line="2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0900"/>
          </w:cols>
          <w:pgMar w:left="660" w:top="580"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Annual Report of Telos Corporation (the "Company") on Form 10-K for the period ending December 31, 2020 as filed with the Securities and Exchange Commission on the date hereof (the "Report"), we, John B. Wood and Michele Nakazawa, certify, pursuant to 18 U.S.C. Section 1350, as adopted pursuant to Section 906 of the Sarbanes-Oxley Act of 2002, that to our knowledge:</w:t>
      </w:r>
    </w:p>
    <w:p>
      <w:pPr>
        <w:spacing w:after="0" w:line="165" w:lineRule="exact"/>
        <w:rPr>
          <w:sz w:val="20"/>
          <w:szCs w:val="20"/>
          <w:color w:val="auto"/>
        </w:rPr>
      </w:pPr>
    </w:p>
    <w:p>
      <w:pPr>
        <w:ind w:left="480" w:hanging="263"/>
        <w:spacing w:after="0"/>
        <w:tabs>
          <w:tab w:leader="none" w:pos="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760" w:firstLine="217"/>
        <w:spacing w:after="0" w:line="277" w:lineRule="auto"/>
        <w:tabs>
          <w:tab w:leader="none" w:pos="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Date:  March 25, 2021</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14605</wp:posOffset>
            </wp:positionV>
            <wp:extent cx="28460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John B. Wood</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Date:  March 25, 2021</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Michele Nakazawa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14605</wp:posOffset>
            </wp:positionV>
            <wp:extent cx="28460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Michele Nakazawa</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Chief Financial Officer (Principal Financial and Accounting</w:t>
      </w:r>
    </w:p>
    <w:p>
      <w:pPr>
        <w:spacing w:after="0" w:line="21"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0900"/>
      </w:cols>
      <w:pgMar w:left="660" w:top="8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lvl w:ilvl="1">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amp;"/>
      <w:numFmt w:val="bullet"/>
      <w:start w:val="1"/>
    </w:lvl>
  </w:abstractNum>
  <w:abstractNum w:abstractNumId="24">
    <w:nsid w:val="580BD78F"/>
    <w:multiLevelType w:val="hybridMultilevel"/>
    <w:lvl w:ilvl="0">
      <w:lvlJc w:val="left"/>
      <w:lvlText w:val="•"/>
      <w:numFmt w:val="bullet"/>
      <w:start w:val="1"/>
    </w:lvl>
    <w:lvl w:ilvl="1">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amp;"/>
      <w:numFmt w:val="bullet"/>
      <w:start w:val="1"/>
    </w:lvl>
  </w:abstractNum>
  <w:abstractNum w:abstractNumId="28">
    <w:nsid w:val="6A2342EC"/>
    <w:multiLevelType w:val="hybridMultilevel"/>
    <w:lvl w:ilvl="0">
      <w:lvlJc w:val="left"/>
      <w:lvlText w:val="(%1)"/>
      <w:numFmt w:val="decimal"/>
      <w:start w:val="2"/>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upperLetter"/>
      <w:start w:val="6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2"/>
    </w:lvl>
  </w:abstractNum>
  <w:abstractNum w:abstractNumId="35">
    <w:nsid w:val="4B588F54"/>
    <w:multiLevelType w:val="hybridMultilevel"/>
    <w:lvl w:ilvl="0">
      <w:lvlJc w:val="left"/>
      <w:lvlText w:val="%1."/>
      <w:numFmt w:val="decimal"/>
      <w:start w:val="3"/>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lowerLetter"/>
      <w:start w:val="1"/>
    </w:lvl>
    <w:lvl w:ilvl="1">
      <w:lvlJc w:val="left"/>
      <w:lvlText w:val="(%2)"/>
      <w:numFmt w:val="decimal"/>
      <w:start w:val="2"/>
    </w:lvl>
  </w:abstractNum>
  <w:abstractNum w:abstractNumId="38">
    <w:nsid w:val="38437FDB"/>
    <w:multiLevelType w:val="hybridMultilevel"/>
    <w:lvl w:ilvl="0">
      <w:lvlJc w:val="left"/>
      <w:lvlText w:val="(%1)"/>
      <w:numFmt w:val="decimal"/>
      <w:start w:val="3"/>
    </w:lvl>
  </w:abstractNum>
  <w:abstractNum w:abstractNumId="39">
    <w:nsid w:val="7644A45C"/>
    <w:multiLevelType w:val="hybridMultilevel"/>
    <w:lvl w:ilvl="0">
      <w:lvlJc w:val="left"/>
      <w:lvlText w:val="(%1)"/>
      <w:numFmt w:val="decimal"/>
      <w:start w:val="7"/>
    </w:lvl>
  </w:abstractNum>
  <w:abstractNum w:abstractNumId="40">
    <w:nsid w:val="32FFF902"/>
    <w:multiLevelType w:val="hybridMultilevel"/>
    <w:lvl w:ilvl="0">
      <w:lvlJc w:val="left"/>
      <w:lvlText w:val="(%1)"/>
      <w:numFmt w:val="lowerRoman"/>
      <w:start w:val="4"/>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43">
    <w:nsid w:val="749ABB43"/>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44">
    <w:nsid w:val="3DC240FB"/>
    <w:multiLevelType w:val="hybridMultilevel"/>
    <w:lvl w:ilvl="0">
      <w:lvlJc w:val="left"/>
      <w:lvlText w:val="(%1)"/>
      <w:numFmt w:val="lowerLetter"/>
      <w:start w:val="61"/>
    </w:lvl>
    <w:lvl w:ilvl="1">
      <w:lvlJc w:val="left"/>
      <w:lvlText w:val="(%2)"/>
      <w:numFmt w:val="lowerLetter"/>
      <w:start w:val="3"/>
    </w:lvl>
    <w:lvl w:ilvl="2">
      <w:lvlJc w:val="left"/>
      <w:lvlText w:val="%3"/>
      <w:numFmt w:val="decimal"/>
      <w:start w:val="1"/>
    </w:lvl>
  </w:abstractNum>
  <w:abstractNum w:abstractNumId="45">
    <w:nsid w:val="1BA026FA"/>
    <w:multiLevelType w:val="hybridMultilevel"/>
    <w:lvl w:ilvl="0">
      <w:lvlJc w:val="left"/>
      <w:lvlText w:val="(%1)"/>
      <w:numFmt w:val="decimal"/>
      <w:start w:val="2"/>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decimal"/>
      <w:start w:val="5"/>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decimal"/>
      <w:start w:val="5"/>
    </w:lvl>
  </w:abstractNum>
  <w:abstractNum w:abstractNumId="54">
    <w:nsid w:val="649BB77C"/>
    <w:multiLevelType w:val="hybridMultilevel"/>
    <w:lvl w:ilvl="0">
      <w:lvlJc w:val="left"/>
      <w:lvlText w:val="%1)"/>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120" Type="http://schemas.openxmlformats.org/officeDocument/2006/relationships/image" Target="media/image70.png"/><Relationship Id="rId121" Type="http://schemas.openxmlformats.org/officeDocument/2006/relationships/image" Target="media/image71.png"/><Relationship Id="rId122" Type="http://schemas.openxmlformats.org/officeDocument/2006/relationships/image" Target="media/image72.png"/><Relationship Id="rId123" Type="http://schemas.openxmlformats.org/officeDocument/2006/relationships/image" Target="media/image73.png"/><Relationship Id="rId124" Type="http://schemas.openxmlformats.org/officeDocument/2006/relationships/image" Target="media/image74.png"/><Relationship Id="rId125" Type="http://schemas.openxmlformats.org/officeDocument/2006/relationships/image" Target="media/image75.png"/><Relationship Id="rId126" Type="http://schemas.openxmlformats.org/officeDocument/2006/relationships/image" Target="media/image76.png"/><Relationship Id="rId127" Type="http://schemas.openxmlformats.org/officeDocument/2006/relationships/image" Target="media/image77.png"/><Relationship Id="rId128" Type="http://schemas.openxmlformats.org/officeDocument/2006/relationships/image" Target="media/image78.png"/><Relationship Id="rId129" Type="http://schemas.openxmlformats.org/officeDocument/2006/relationships/image" Target="media/image79.png"/><Relationship Id="rId130" Type="http://schemas.openxmlformats.org/officeDocument/2006/relationships/image" Target="media/image80.png"/><Relationship Id="rId131" Type="http://schemas.openxmlformats.org/officeDocument/2006/relationships/image" Target="media/image81.png"/><Relationship Id="rId132" Type="http://schemas.openxmlformats.org/officeDocument/2006/relationships/image" Target="media/image82.png"/><Relationship Id="rId133" Type="http://schemas.openxmlformats.org/officeDocument/2006/relationships/image" Target="media/image83.png"/><Relationship Id="rId134" Type="http://schemas.openxmlformats.org/officeDocument/2006/relationships/image" Target="media/image84.png"/><Relationship Id="rId135" Type="http://schemas.openxmlformats.org/officeDocument/2006/relationships/image" Target="media/image85.png"/><Relationship Id="rId136" Type="http://schemas.openxmlformats.org/officeDocument/2006/relationships/image" Target="media/image86.png"/><Relationship Id="rId137" Type="http://schemas.openxmlformats.org/officeDocument/2006/relationships/image" Target="media/image87.png"/><Relationship Id="rId77" Type="http://schemas.openxmlformats.org/officeDocument/2006/relationships/hyperlink" Target="https://www.sec.gov/Archives/edgar/data/320121/000114036120025576/nt10015254x5_ex3-1.htm" TargetMode="External"/><Relationship Id="rId78" Type="http://schemas.openxmlformats.org/officeDocument/2006/relationships/hyperlink" Target="https://www.sec.gov/Archives/edgar/data/320121/000032012117000003/ex4-1.htm" TargetMode="External"/><Relationship Id="rId79" Type="http://schemas.openxmlformats.org/officeDocument/2006/relationships/hyperlink" Target="https://www.sec.gov/Archives/edgar/data/320121/000032012117000007/ex4_2.htm" TargetMode="External"/><Relationship Id="rId80" Type="http://schemas.openxmlformats.org/officeDocument/2006/relationships/hyperlink" Target="https://www.sec.gov/Archives/edgar/data/320121/000032012117000013/ex4-1.htm" TargetMode="External"/><Relationship Id="rId81" Type="http://schemas.openxmlformats.org/officeDocument/2006/relationships/hyperlink" Target="https://www.sec.gov/Archives/edgar/data/320121/000032012117000013/ex4-2.htm" TargetMode="External"/><Relationship Id="rId82" Type="http://schemas.openxmlformats.org/officeDocument/2006/relationships/hyperlink" Target="https://www.sec.gov/Archives/edgar/data/320121/000032012117000013/ex4-3.htm" TargetMode="External"/><Relationship Id="rId83" Type="http://schemas.openxmlformats.org/officeDocument/2006/relationships/hyperlink" Target="https://www.sec.gov/Archives/edgar/data/320121/000032012117000013/ex4-4.htm" TargetMode="External"/><Relationship Id="rId84" Type="http://schemas.openxmlformats.org/officeDocument/2006/relationships/hyperlink" Target="https://www.sec.gov/Archives/edgar/data/320121/000032012117000013/ex4-5.htm" TargetMode="External"/><Relationship Id="rId85" Type="http://schemas.openxmlformats.org/officeDocument/2006/relationships/hyperlink" Target="https://www.sec.gov/Archives/edgar/data/320121/000032012117000013/ex4-6.htm" TargetMode="External"/><Relationship Id="rId86" Type="http://schemas.openxmlformats.org/officeDocument/2006/relationships/hyperlink" Target="https://www.sec.gov/Archives/edgar/data/320121/000032012117000013/ex4-7.htm" TargetMode="External"/><Relationship Id="rId87" Type="http://schemas.openxmlformats.org/officeDocument/2006/relationships/hyperlink" Target="https://www.sec.gov/Archives/edgar/data/320121/000032012118000011/ex4_10.htm" TargetMode="External"/><Relationship Id="rId88" Type="http://schemas.openxmlformats.org/officeDocument/2006/relationships/hyperlink" Target="https://www.sec.gov/Archives/edgar/data/320121/000032012119000019/ex99_1.htm" TargetMode="External"/><Relationship Id="rId89" Type="http://schemas.openxmlformats.org/officeDocument/2006/relationships/hyperlink" Target="https://www.sec.gov/Archives/edgar/data/320121/000032012120000005/ex99_1.htm" TargetMode="External"/><Relationship Id="rId90" Type="http://schemas.openxmlformats.org/officeDocument/2006/relationships/hyperlink" Target="https://www.sec.gov/Archives/edgar/data/320121/000119312508254438/dex1021.htm" TargetMode="External"/><Relationship Id="rId91" Type="http://schemas.openxmlformats.org/officeDocument/2006/relationships/hyperlink" Target="https://www.sec.gov/Archives/edgar/data/320121/000114036112047304/ex10_1.htm" TargetMode="External"/><Relationship Id="rId92" Type="http://schemas.openxmlformats.org/officeDocument/2006/relationships/hyperlink" Target="https://www.sec.gov/Archives/edgar/data/320121/000114036112047304/ex10_2.htm" TargetMode="External"/><Relationship Id="rId93" Type="http://schemas.openxmlformats.org/officeDocument/2006/relationships/hyperlink" Target="https://www.sec.gov/Archives/edgar/data/320121/000114036112047304/ex10_3.htm" TargetMode="External"/><Relationship Id="rId94" Type="http://schemas.openxmlformats.org/officeDocument/2006/relationships/hyperlink" Target="https://www.sec.gov/Archives/edgar/data/320121/000114036112047304/ex10_4.htm" TargetMode="External"/><Relationship Id="rId95" Type="http://schemas.openxmlformats.org/officeDocument/2006/relationships/hyperlink" Target="https://www.sec.gov/Archives/edgar/data/320121/000114036112047304/ex10_5.htm" TargetMode="External"/><Relationship Id="rId96" Type="http://schemas.openxmlformats.org/officeDocument/2006/relationships/hyperlink" Target="https://www.sec.gov/Archives/edgar/data/320121/000114036113016569/formdef14a.htm" TargetMode="External"/><Relationship Id="rId97" Type="http://schemas.openxmlformats.org/officeDocument/2006/relationships/hyperlink" Target="https://www.sec.gov/Archives/edgar/data/320121/000114036113020795/ex99_2.htm" TargetMode="External"/><Relationship Id="rId98" Type="http://schemas.openxmlformats.org/officeDocument/2006/relationships/hyperlink" Target="https://www.sec.gov/Archives/edgar/data/320121/000114036114014708/ex10_29.htm" TargetMode="External"/><Relationship Id="rId99" Type="http://schemas.openxmlformats.org/officeDocument/2006/relationships/hyperlink" Target="https://www.sec.gov/Archives/edgar/data/320121/000032012114000017/ex99_2.htm" TargetMode="External"/><Relationship Id="rId100" Type="http://schemas.openxmlformats.org/officeDocument/2006/relationships/hyperlink" Target="https://www.sec.gov/Archives/edgar/data/320121/000032012115000011/ex10_37.htm" TargetMode="External"/><Relationship Id="rId101" Type="http://schemas.openxmlformats.org/officeDocument/2006/relationships/hyperlink" Target="https://www.sec.gov/Archives/edgar/data/320121/000032012115000011/ex10_38.htm" TargetMode="External"/><Relationship Id="rId102" Type="http://schemas.openxmlformats.org/officeDocument/2006/relationships/hyperlink" Target="https://www.sec.gov/Archives/edgar/data/320121/000032012115000011/ex10_39.htm" TargetMode="External"/><Relationship Id="rId103" Type="http://schemas.openxmlformats.org/officeDocument/2006/relationships/hyperlink" Target="https://www.sec.gov/Archives/edgar/data/320121/000032012115000011/ex10_40.htm" TargetMode="External"/><Relationship Id="rId104" Type="http://schemas.openxmlformats.org/officeDocument/2006/relationships/hyperlink" Target="https://www.sec.gov/Archives/edgar/data/320121/000032012116000060/ex99_1.htm" TargetMode="External"/><Relationship Id="rId105" Type="http://schemas.openxmlformats.org/officeDocument/2006/relationships/hyperlink" Target="https://www.sec.gov/Archives/edgar/data/320121/000032012116000060/ex99_2.htm" TargetMode="External"/><Relationship Id="rId106" Type="http://schemas.openxmlformats.org/officeDocument/2006/relationships/hyperlink" Target="https://www.sec.gov/Archives/edgar/data/320121/000032012116000064/ex10_3.htm" TargetMode="External"/><Relationship Id="rId107" Type="http://schemas.openxmlformats.org/officeDocument/2006/relationships/hyperlink" Target="https://www.sec.gov/Archives/edgar/data/320121/000032012116000064/ex10_4.htm" TargetMode="External"/><Relationship Id="rId108" Type="http://schemas.openxmlformats.org/officeDocument/2006/relationships/hyperlink" Target="https://www.sec.gov/Archives/edgar/data/320121/000032012116000066/ex99_1.htm" TargetMode="External"/><Relationship Id="rId109" Type="http://schemas.openxmlformats.org/officeDocument/2006/relationships/hyperlink" Target="https://www.sec.gov/Archives/edgar/data/320121/000032012117000007/ex10_48.htm" TargetMode="External"/><Relationship Id="rId110" Type="http://schemas.openxmlformats.org/officeDocument/2006/relationships/hyperlink" Target="https://www.sec.gov/Archives/edgar/data/320121/000032012118000011/ex10_48.htm" TargetMode="External"/><Relationship Id="rId111" Type="http://schemas.openxmlformats.org/officeDocument/2006/relationships/hyperlink" Target="https://www.sec.gov/Archives/edgar/data/320121/000032012118000011/ex10_49.htm" TargetMode="External"/><Relationship Id="rId112" Type="http://schemas.openxmlformats.org/officeDocument/2006/relationships/hyperlink" Target="https://www.sec.gov/Archives/edgar/data/320121/000032012118000023/ex10_1.htm" TargetMode="External"/><Relationship Id="rId113" Type="http://schemas.openxmlformats.org/officeDocument/2006/relationships/hyperlink" Target="https://www.sec.gov/Archives/edgar/data/320121/000032012120000009/ex10_24.htm" TargetMode="External"/><Relationship Id="rId114" Type="http://schemas.openxmlformats.org/officeDocument/2006/relationships/hyperlink" Target="https://www.sec.gov/Archives/edgar/data/320121/000114036120022536/nt10015254x3_ex99-1.htm" TargetMode="External"/><Relationship Id="rId115" Type="http://schemas.openxmlformats.org/officeDocument/2006/relationships/hyperlink" Target="https://www.sec.gov/Archives/edgar/data/320121/000032012120000046/ex10-2.htm" TargetMode="External"/><Relationship Id="rId116" Type="http://schemas.openxmlformats.org/officeDocument/2006/relationships/hyperlink" Target="https://www.sec.gov/Archives/edgar/data/320121/000114036121002039/nt10019277x1_ex4-4.htm" TargetMode="External"/><Relationship Id="rId117" Type="http://schemas.openxmlformats.org/officeDocument/2006/relationships/hyperlink" Target="https://www.sec.gov/Archives/edgar/data/320121/000032012120000042/ex99-2.htm" TargetMode="External"/><Relationship Id="rId118" Type="http://schemas.openxmlformats.org/officeDocument/2006/relationships/hyperlink" Target="https://www.sec.gov/Archives/edgar/data/320121/000032012121000003/ex99-1.htm" TargetMode="External"/><Relationship Id="rId119" Type="http://schemas.openxmlformats.org/officeDocument/2006/relationships/hyperlink" Target="https://www.sec.gov/Archives/edgar/data/320121/000032012121000003/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2021-03-28T05:24:03Z</dcterms:created>
  <dcterms:modified xsi:type="dcterms:W3CDTF">2021-03-28T05:24:03Z</dcterms:modified>
</cp:coreProperties>
</file>