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457200</wp:posOffset>
            </wp:positionV>
            <wp:extent cx="7115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81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482600</wp:posOffset>
            </wp:positionV>
            <wp:extent cx="7115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ANNUAL REPORT PURSUANT TO SECTION 13 OR 15(d)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 (d) THE SECURITIES EXCHANGE ACT OF 1934</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001-08443</w:t>
      </w:r>
    </w:p>
    <w:p>
      <w:pPr>
        <w:jc w:val="center"/>
        <w:ind w:right="-19"/>
        <w:spacing w:after="0" w:line="236" w:lineRule="auto"/>
        <w:rPr>
          <w:sz w:val="20"/>
          <w:szCs w:val="20"/>
          <w:color w:val="auto"/>
        </w:rPr>
      </w:pPr>
      <w:r>
        <w:rPr>
          <w:rFonts w:ascii="Arial" w:cs="Arial" w:eastAsia="Arial" w:hAnsi="Arial"/>
          <w:sz w:val="29"/>
          <w:szCs w:val="29"/>
          <w:b w:val="1"/>
          <w:bCs w:val="1"/>
          <w:color w:val="auto"/>
        </w:rPr>
        <w:t>TELOS CORPORATION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34" w:lineRule="exact"/>
        <w:rPr>
          <w:sz w:val="24"/>
          <w:szCs w:val="24"/>
          <w:color w:val="auto"/>
        </w:rPr>
      </w:pPr>
    </w:p>
    <w:p>
      <w:pPr>
        <w:ind w:left="2460"/>
        <w:spacing w:after="0"/>
        <w:tabs>
          <w:tab w:leader="none" w:pos="8000" w:val="left"/>
        </w:tabs>
        <w:rPr>
          <w:sz w:val="20"/>
          <w:szCs w:val="20"/>
          <w:color w:val="auto"/>
        </w:rPr>
      </w:pPr>
      <w:r>
        <w:rPr>
          <w:rFonts w:ascii="Arial" w:cs="Arial" w:eastAsia="Arial" w:hAnsi="Arial"/>
          <w:sz w:val="16"/>
          <w:szCs w:val="16"/>
          <w:b w:val="1"/>
          <w:bCs w:val="1"/>
          <w:color w:val="auto"/>
        </w:rPr>
        <w:t>Maryland</w:t>
      </w:r>
      <w:r>
        <w:rPr>
          <w:sz w:val="20"/>
          <w:szCs w:val="20"/>
          <w:color w:val="auto"/>
        </w:rPr>
        <w:tab/>
      </w:r>
      <w:r>
        <w:rPr>
          <w:rFonts w:ascii="Arial" w:cs="Arial" w:eastAsia="Arial" w:hAnsi="Arial"/>
          <w:sz w:val="16"/>
          <w:szCs w:val="16"/>
          <w:b w:val="1"/>
          <w:bCs w:val="1"/>
          <w:color w:val="auto"/>
        </w:rPr>
        <w:t>52-0880974</w:t>
      </w:r>
    </w:p>
    <w:p>
      <w:pPr>
        <w:spacing w:after="0" w:line="35" w:lineRule="exact"/>
        <w:rPr>
          <w:sz w:val="24"/>
          <w:szCs w:val="24"/>
          <w:color w:val="auto"/>
        </w:rPr>
      </w:pPr>
    </w:p>
    <w:p>
      <w:pPr>
        <w:ind w:left="880"/>
        <w:spacing w:after="0"/>
        <w:tabs>
          <w:tab w:leader="none" w:pos="7220" w:val="left"/>
        </w:tabs>
        <w:rPr>
          <w:sz w:val="20"/>
          <w:szCs w:val="20"/>
          <w:color w:val="auto"/>
        </w:rPr>
      </w:pPr>
      <w:r>
        <w:rPr>
          <w:rFonts w:ascii="Arial" w:cs="Arial" w:eastAsia="Arial" w:hAnsi="Arial"/>
          <w:sz w:val="16"/>
          <w:szCs w:val="16"/>
          <w:color w:val="auto"/>
        </w:rPr>
        <w:t>(State or other jurisdiction of incorporation or organization)</w:t>
      </w:r>
      <w:r>
        <w:rPr>
          <w:sz w:val="20"/>
          <w:szCs w:val="20"/>
          <w:color w:val="auto"/>
        </w:rPr>
        <w:tab/>
      </w:r>
      <w:r>
        <w:rPr>
          <w:rFonts w:ascii="Arial" w:cs="Arial" w:eastAsia="Arial" w:hAnsi="Arial"/>
          <w:sz w:val="15"/>
          <w:szCs w:val="15"/>
          <w:color w:val="auto"/>
        </w:rPr>
        <w:t>(I.R.S. Employer Identification No.)</w:t>
      </w:r>
    </w:p>
    <w:p>
      <w:pPr>
        <w:spacing w:after="0" w:line="27" w:lineRule="exact"/>
        <w:rPr>
          <w:sz w:val="24"/>
          <w:szCs w:val="24"/>
          <w:color w:val="auto"/>
        </w:rPr>
      </w:pPr>
    </w:p>
    <w:p>
      <w:pPr>
        <w:ind w:left="1400"/>
        <w:spacing w:after="0"/>
        <w:tabs>
          <w:tab w:leader="none" w:pos="8000" w:val="left"/>
        </w:tabs>
        <w:rPr>
          <w:sz w:val="20"/>
          <w:szCs w:val="20"/>
          <w:color w:val="auto"/>
        </w:rPr>
      </w:pPr>
      <w:r>
        <w:rPr>
          <w:rFonts w:ascii="Arial" w:cs="Arial" w:eastAsia="Arial" w:hAnsi="Arial"/>
          <w:sz w:val="16"/>
          <w:szCs w:val="16"/>
          <w:b w:val="1"/>
          <w:bCs w:val="1"/>
          <w:color w:val="auto"/>
        </w:rPr>
        <w:t>19886 Ashburn Road, Ashburn, Virginia</w:t>
      </w:r>
      <w:r>
        <w:rPr>
          <w:sz w:val="20"/>
          <w:szCs w:val="20"/>
          <w:color w:val="auto"/>
        </w:rPr>
        <w:tab/>
      </w:r>
      <w:r>
        <w:rPr>
          <w:rFonts w:ascii="Arial" w:cs="Arial" w:eastAsia="Arial" w:hAnsi="Arial"/>
          <w:sz w:val="14"/>
          <w:szCs w:val="14"/>
          <w:b w:val="1"/>
          <w:bCs w:val="1"/>
          <w:color w:val="auto"/>
        </w:rPr>
        <w:t>20147-2358</w:t>
      </w:r>
    </w:p>
    <w:p>
      <w:pPr>
        <w:spacing w:after="0" w:line="35" w:lineRule="exact"/>
        <w:rPr>
          <w:sz w:val="24"/>
          <w:szCs w:val="24"/>
          <w:color w:val="auto"/>
        </w:rPr>
      </w:pPr>
    </w:p>
    <w:p>
      <w:pPr>
        <w:ind w:left="1520"/>
        <w:spacing w:after="0"/>
        <w:tabs>
          <w:tab w:leader="none" w:pos="8020" w:val="left"/>
        </w:tabs>
        <w:rPr>
          <w:sz w:val="20"/>
          <w:szCs w:val="20"/>
          <w:color w:val="auto"/>
        </w:rPr>
      </w:pPr>
      <w:r>
        <w:rPr>
          <w:rFonts w:ascii="Arial" w:cs="Arial" w:eastAsia="Arial" w:hAnsi="Arial"/>
          <w:sz w:val="16"/>
          <w:szCs w:val="16"/>
          <w:color w:val="auto"/>
        </w:rPr>
        <w:t>(Address of principal executive offices)</w:t>
      </w:r>
      <w:r>
        <w:rPr>
          <w:sz w:val="20"/>
          <w:szCs w:val="20"/>
          <w:color w:val="auto"/>
        </w:rPr>
        <w:tab/>
      </w:r>
      <w:r>
        <w:rPr>
          <w:rFonts w:ascii="Arial" w:cs="Arial" w:eastAsia="Arial" w:hAnsi="Arial"/>
          <w:sz w:val="15"/>
          <w:szCs w:val="15"/>
          <w:color w:val="auto"/>
        </w:rPr>
        <w:t>(Zip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(703) 724-3800</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9" w:lineRule="exact"/>
        <w:rPr>
          <w:sz w:val="24"/>
          <w:szCs w:val="24"/>
          <w:color w:val="auto"/>
        </w:rPr>
      </w:pPr>
    </w:p>
    <w:p>
      <w:pPr>
        <w:ind w:left="1340"/>
        <w:spacing w:after="0"/>
        <w:tabs>
          <w:tab w:leader="none" w:pos="5140" w:val="left"/>
          <w:tab w:leader="none" w:pos="792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w:t>
      </w:r>
      <w:r>
        <w:rPr>
          <w:sz w:val="20"/>
          <w:szCs w:val="20"/>
          <w:color w:val="auto"/>
        </w:rPr>
        <w:tab/>
      </w:r>
      <w:r>
        <w:rPr>
          <w:rFonts w:ascii="Arial" w:cs="Arial" w:eastAsia="Arial" w:hAnsi="Arial"/>
          <w:sz w:val="14"/>
          <w:szCs w:val="14"/>
          <w:color w:val="auto"/>
        </w:rPr>
        <w:t>Name of each exchange on which registered</w:t>
      </w:r>
    </w:p>
    <w:p>
      <w:pPr>
        <w:spacing w:after="0" w:line="27" w:lineRule="exact"/>
        <w:rPr>
          <w:sz w:val="24"/>
          <w:szCs w:val="24"/>
          <w:color w:val="auto"/>
        </w:rPr>
      </w:pPr>
    </w:p>
    <w:p>
      <w:pPr>
        <w:ind w:left="460"/>
        <w:spacing w:after="0"/>
        <w:tabs>
          <w:tab w:leader="none" w:pos="5500" w:val="left"/>
          <w:tab w:leader="none" w:pos="8260" w:val="left"/>
        </w:tabs>
        <w:rPr>
          <w:sz w:val="20"/>
          <w:szCs w:val="20"/>
          <w:color w:val="auto"/>
        </w:rPr>
      </w:pPr>
      <w:r>
        <w:rPr>
          <w:rFonts w:ascii="Arial" w:cs="Arial" w:eastAsia="Arial" w:hAnsi="Arial"/>
          <w:sz w:val="16"/>
          <w:szCs w:val="16"/>
          <w:b w:val="1"/>
          <w:bCs w:val="1"/>
          <w:color w:val="auto"/>
        </w:rPr>
        <w:t>Common stock, $0.001 par value per share</w:t>
      </w:r>
      <w:r>
        <w:rPr>
          <w:sz w:val="20"/>
          <w:szCs w:val="20"/>
          <w:color w:val="auto"/>
        </w:rPr>
        <w:tab/>
      </w:r>
      <w:r>
        <w:rPr>
          <w:rFonts w:ascii="Arial" w:cs="Arial" w:eastAsia="Arial" w:hAnsi="Arial"/>
          <w:sz w:val="16"/>
          <w:szCs w:val="16"/>
          <w:b w:val="1"/>
          <w:bCs w:val="1"/>
          <w:color w:val="auto"/>
        </w:rPr>
        <w:t>TLS</w:t>
      </w:r>
      <w:r>
        <w:rPr>
          <w:sz w:val="20"/>
          <w:szCs w:val="20"/>
          <w:color w:val="auto"/>
        </w:rPr>
        <w:tab/>
      </w:r>
      <w:r>
        <w:rPr>
          <w:rFonts w:ascii="Arial" w:cs="Arial" w:eastAsia="Arial" w:hAnsi="Arial"/>
          <w:sz w:val="15"/>
          <w:szCs w:val="15"/>
          <w:b w:val="1"/>
          <w:bCs w:val="1"/>
          <w:color w:val="auto"/>
        </w:rPr>
        <w:t>The Nasdaq Stock Market LLC</w:t>
      </w:r>
    </w:p>
    <w:p>
      <w:pPr>
        <w:spacing w:after="0" w:line="272" w:lineRule="exact"/>
        <w:rPr>
          <w:sz w:val="24"/>
          <w:szCs w:val="24"/>
          <w:color w:val="auto"/>
        </w:rPr>
      </w:pPr>
    </w:p>
    <w:p>
      <w:pPr>
        <w:ind w:left="346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15" w:lineRule="exact"/>
        <w:rPr>
          <w:sz w:val="24"/>
          <w:szCs w:val="24"/>
          <w:color w:val="auto"/>
        </w:rPr>
      </w:pPr>
    </w:p>
    <w:p>
      <w:pPr>
        <w:spacing w:after="0"/>
        <w:tabs>
          <w:tab w:leader="none" w:pos="814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 x</w:t>
      </w:r>
      <w:r>
        <w:rPr>
          <w:sz w:val="20"/>
          <w:szCs w:val="20"/>
          <w:color w:val="auto"/>
        </w:rPr>
        <w:tab/>
      </w:r>
      <w:r>
        <w:rPr>
          <w:rFonts w:ascii="Arial" w:cs="Arial" w:eastAsia="Arial" w:hAnsi="Arial"/>
          <w:sz w:val="16"/>
          <w:szCs w:val="16"/>
          <w:color w:val="auto"/>
        </w:rPr>
        <w:t>No  o</w:t>
      </w:r>
    </w:p>
    <w:p>
      <w:pPr>
        <w:spacing w:after="0" w:line="111" w:lineRule="exact"/>
        <w:rPr>
          <w:sz w:val="24"/>
          <w:szCs w:val="24"/>
          <w:color w:val="auto"/>
        </w:rPr>
      </w:pPr>
    </w:p>
    <w:p>
      <w:pPr>
        <w:spacing w:after="0"/>
        <w:tabs>
          <w:tab w:leader="none" w:pos="830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 Yes o</w:t>
      </w:r>
      <w:r>
        <w:rPr>
          <w:sz w:val="20"/>
          <w:szCs w:val="20"/>
          <w:color w:val="auto"/>
        </w:rPr>
        <w:tab/>
      </w:r>
      <w:r>
        <w:rPr>
          <w:rFonts w:ascii="Arial" w:cs="Arial" w:eastAsia="Arial" w:hAnsi="Arial"/>
          <w:sz w:val="16"/>
          <w:szCs w:val="16"/>
          <w:color w:val="auto"/>
        </w:rPr>
        <w:t>No x</w:t>
      </w:r>
    </w:p>
    <w:p>
      <w:pPr>
        <w:spacing w:after="0" w:line="111" w:lineRule="exact"/>
        <w:rPr>
          <w:sz w:val="24"/>
          <w:szCs w:val="24"/>
          <w:color w:val="auto"/>
        </w:rPr>
      </w:pPr>
    </w:p>
    <w:p>
      <w:pPr>
        <w:ind w:right="40"/>
        <w:spacing w:after="0" w:line="28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tabs>
          <w:tab w:leader="none" w:pos="540" w:val="left"/>
        </w:tabs>
        <w:rPr>
          <w:sz w:val="20"/>
          <w:szCs w:val="20"/>
          <w:color w:val="auto"/>
        </w:rPr>
      </w:pPr>
      <w:r>
        <w:rPr>
          <w:rFonts w:ascii="Arial" w:cs="Arial" w:eastAsia="Arial" w:hAnsi="Arial"/>
          <w:sz w:val="16"/>
          <w:szCs w:val="16"/>
          <w:color w:val="auto"/>
        </w:rPr>
        <w:t>Yes x</w:t>
        <w:tab/>
        <w:t>No o</w:t>
      </w:r>
    </w:p>
    <w:p>
      <w:pPr>
        <w:spacing w:after="0" w:line="100" w:lineRule="exact"/>
        <w:rPr>
          <w:sz w:val="24"/>
          <w:szCs w:val="24"/>
          <w:color w:val="auto"/>
        </w:rPr>
      </w:pPr>
    </w:p>
    <w:p>
      <w:pPr>
        <w:ind w:right="460"/>
        <w:spacing w:after="0" w:line="30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42" w:lineRule="exact"/>
        <w:rPr>
          <w:sz w:val="24"/>
          <w:szCs w:val="24"/>
          <w:color w:val="auto"/>
        </w:rPr>
      </w:pPr>
    </w:p>
    <w:p>
      <w:pPr>
        <w:ind w:right="200"/>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340" w:type="dxa"/>
        <w:tblCellMar>
          <w:top w:w="0" w:type="dxa"/>
          <w:left w:w="0" w:type="dxa"/>
          <w:bottom w:w="0" w:type="dxa"/>
          <w:right w:w="0" w:type="dxa"/>
        </w:tblCellMar>
      </w:tblPr>
      <w:tr>
        <w:trPr>
          <w:trHeight w:val="205"/>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00"/>
              <w:spacing w:after="0"/>
              <w:rPr>
                <w:sz w:val="20"/>
                <w:szCs w:val="20"/>
                <w:color w:val="auto"/>
              </w:rPr>
            </w:pPr>
            <w:r>
              <w:rPr>
                <w:rFonts w:ascii="Arial" w:cs="Arial" w:eastAsia="Arial" w:hAnsi="Arial"/>
                <w:sz w:val="16"/>
                <w:szCs w:val="16"/>
                <w:color w:val="auto"/>
              </w:rPr>
              <w:t>x</w:t>
            </w:r>
          </w:p>
        </w:tc>
        <w:tc>
          <w:tcPr>
            <w:tcW w:w="492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o</w:t>
            </w:r>
          </w:p>
        </w:tc>
      </w:tr>
      <w:tr>
        <w:trPr>
          <w:trHeight w:val="215"/>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00"/>
              <w:spacing w:after="0"/>
              <w:rPr>
                <w:sz w:val="20"/>
                <w:szCs w:val="20"/>
                <w:color w:val="auto"/>
              </w:rPr>
            </w:pPr>
            <w:r>
              <w:rPr>
                <w:rFonts w:ascii="Arial" w:cs="Arial" w:eastAsia="Arial" w:hAnsi="Arial"/>
                <w:sz w:val="16"/>
                <w:szCs w:val="16"/>
                <w:color w:val="auto"/>
              </w:rPr>
              <w:t>o</w:t>
            </w:r>
          </w:p>
        </w:tc>
        <w:tc>
          <w:tcPr>
            <w:tcW w:w="492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o</w:t>
            </w:r>
          </w:p>
        </w:tc>
      </w:tr>
      <w:tr>
        <w:trPr>
          <w:trHeight w:val="215"/>
        </w:trPr>
        <w:tc>
          <w:tcPr>
            <w:tcW w:w="19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92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o</w:t>
            </w:r>
          </w:p>
        </w:tc>
      </w:tr>
    </w:tbl>
    <w:p>
      <w:pPr>
        <w:spacing w:after="0" w:line="130" w:lineRule="exact"/>
        <w:rPr>
          <w:sz w:val="24"/>
          <w:szCs w:val="24"/>
          <w:color w:val="auto"/>
        </w:rPr>
      </w:pPr>
    </w:p>
    <w:p>
      <w:pPr>
        <w:ind w:right="20"/>
        <w:spacing w:after="0" w:line="27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right="160"/>
        <w:spacing w:after="0" w:line="346"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x No o</w:t>
      </w:r>
    </w:p>
    <w:p>
      <w:pPr>
        <w:spacing w:after="0" w:line="19" w:lineRule="exact"/>
        <w:rPr>
          <w:sz w:val="24"/>
          <w:szCs w:val="24"/>
          <w:color w:val="auto"/>
        </w:rPr>
      </w:pPr>
    </w:p>
    <w:p>
      <w:pPr>
        <w:spacing w:after="0"/>
        <w:tabs>
          <w:tab w:leader="none" w:pos="79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No x</w:t>
      </w:r>
    </w:p>
    <w:p>
      <w:pPr>
        <w:spacing w:after="0" w:line="111" w:lineRule="exact"/>
        <w:rPr>
          <w:sz w:val="24"/>
          <w:szCs w:val="24"/>
          <w:color w:val="auto"/>
        </w:rPr>
      </w:pPr>
    </w:p>
    <w:p>
      <w:pPr>
        <w:ind w:right="220"/>
        <w:spacing w:after="0" w:line="273" w:lineRule="auto"/>
        <w:rPr>
          <w:sz w:val="20"/>
          <w:szCs w:val="20"/>
          <w:color w:val="auto"/>
        </w:rPr>
      </w:pPr>
      <w:r>
        <w:rPr>
          <w:rFonts w:ascii="Arial" w:cs="Arial" w:eastAsia="Arial" w:hAnsi="Arial"/>
          <w:sz w:val="16"/>
          <w:szCs w:val="16"/>
          <w:color w:val="auto"/>
        </w:rPr>
        <w:t>The aggregate market value of the registrant’s common stock held by non-affiliates, based upon the closing price of a share of the registrant's common stock as of June 30, 2021, was approximately $1.7 billion.</w:t>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As of March 21, 2022, the registrant had outstanding 67,867,500 shares of common stock.</w:t>
      </w:r>
    </w:p>
    <w:p>
      <w:pPr>
        <w:spacing w:after="0" w:line="107"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r>
        <w:rPr>
          <w:rFonts w:ascii="Arial" w:cs="Arial" w:eastAsia="Arial" w:hAnsi="Arial"/>
          <w:sz w:val="16"/>
          <w:szCs w:val="16"/>
          <w:color w:val="auto"/>
        </w:rPr>
        <w:t>:</w:t>
      </w:r>
    </w:p>
    <w:p>
      <w:pPr>
        <w:spacing w:after="0" w:line="22" w:lineRule="exact"/>
        <w:rPr>
          <w:sz w:val="24"/>
          <w:szCs w:val="24"/>
          <w:color w:val="auto"/>
        </w:rPr>
      </w:pPr>
    </w:p>
    <w:p>
      <w:pPr>
        <w:spacing w:after="0" w:line="254" w:lineRule="auto"/>
        <w:rPr>
          <w:sz w:val="20"/>
          <w:szCs w:val="20"/>
          <w:color w:val="auto"/>
        </w:rPr>
      </w:pPr>
      <w:r>
        <w:rPr>
          <w:rFonts w:ascii="Arial" w:cs="Arial" w:eastAsia="Arial" w:hAnsi="Arial"/>
          <w:sz w:val="16"/>
          <w:szCs w:val="16"/>
          <w:color w:val="auto"/>
        </w:rPr>
        <w:t>Portions of the registrant's Proxy Statement relating to the registrant's 2022 Annual Meeting of Stockholders are incorporated by reference in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15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8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7115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106045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80" w:type="dxa"/>
            <w:vAlign w:val="bottom"/>
            <w:gridSpan w:val="10"/>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1280" w:type="dxa"/>
            <w:vAlign w:val="bottom"/>
            <w:vMerge w:val="restart"/>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8"/>
        </w:trPr>
        <w:tc>
          <w:tcPr>
            <w:tcW w:w="12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8" w:lineRule="exact"/>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920" w:type="dxa"/>
            <w:vAlign w:val="bottom"/>
            <w:gridSpan w:val="22"/>
            <w:shd w:val="clear" w:color="auto" w:fill="CCEEFF"/>
          </w:tcPr>
          <w:p>
            <w:pPr>
              <w:spacing w:after="0" w:line="188"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000" w:type="dxa"/>
            <w:vAlign w:val="bottom"/>
            <w:shd w:val="clear" w:color="auto" w:fill="CCEEFF"/>
          </w:tcPr>
          <w:p>
            <w:pPr>
              <w:jc w:val="right"/>
              <w:spacing w:after="0" w:line="188"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20">
              <w:r>
                <w:rPr>
                  <w:rFonts w:ascii="Arial" w:cs="Arial" w:eastAsia="Arial" w:hAnsi="Arial"/>
                  <w:sz w:val="18"/>
                  <w:szCs w:val="18"/>
                  <w:color w:val="auto"/>
                </w:rPr>
                <w:t>Item 1A.</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20">
              <w:r>
                <w:rPr>
                  <w:rFonts w:ascii="Arial" w:cs="Arial" w:eastAsia="Arial" w:hAnsi="Arial"/>
                  <w:sz w:val="18"/>
                  <w:szCs w:val="18"/>
                  <w:color w:val="0000FF"/>
                </w:rPr>
                <w:t>Risk Factors</w:t>
              </w:r>
            </w:hyperlink>
          </w:p>
        </w:tc>
        <w:tc>
          <w:tcPr>
            <w:tcW w:w="1000" w:type="dxa"/>
            <w:vAlign w:val="bottom"/>
          </w:tcPr>
          <w:p>
            <w:pPr>
              <w:jc w:val="right"/>
              <w:spacing w:after="0" w:line="188" w:lineRule="exact"/>
              <w:rPr>
                <w:rFonts w:ascii="Arial" w:cs="Arial" w:eastAsia="Arial" w:hAnsi="Arial"/>
                <w:sz w:val="18"/>
                <w:szCs w:val="18"/>
                <w:color w:val="auto"/>
              </w:rPr>
            </w:pPr>
            <w:hyperlink w:anchor="page20">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shd w:val="clear" w:color="auto" w:fill="CCEEFF"/>
          </w:tcPr>
          <w:p>
            <w:pPr>
              <w:ind w:left="20"/>
              <w:spacing w:after="0" w:line="188" w:lineRule="exact"/>
              <w:rPr>
                <w:rFonts w:ascii="Arial" w:cs="Arial" w:eastAsia="Arial" w:hAnsi="Arial"/>
                <w:sz w:val="18"/>
                <w:szCs w:val="18"/>
                <w:color w:val="auto"/>
              </w:rPr>
            </w:pPr>
            <w:hyperlink w:anchor="page34">
              <w:r>
                <w:rPr>
                  <w:rFonts w:ascii="Arial" w:cs="Arial" w:eastAsia="Arial" w:hAnsi="Arial"/>
                  <w:sz w:val="18"/>
                  <w:szCs w:val="18"/>
                  <w:color w:val="auto"/>
                </w:rPr>
                <w:t>Item 1B.</w:t>
              </w:r>
            </w:hyperlink>
          </w:p>
        </w:tc>
        <w:tc>
          <w:tcPr>
            <w:tcW w:w="8920" w:type="dxa"/>
            <w:vAlign w:val="bottom"/>
            <w:gridSpan w:val="22"/>
            <w:shd w:val="clear" w:color="auto" w:fill="CCEEFF"/>
          </w:tcPr>
          <w:p>
            <w:pPr>
              <w:spacing w:after="0" w:line="188" w:lineRule="exact"/>
              <w:rPr>
                <w:rFonts w:ascii="Arial" w:cs="Arial" w:eastAsia="Arial" w:hAnsi="Arial"/>
                <w:sz w:val="18"/>
                <w:szCs w:val="18"/>
                <w:color w:val="0000FF"/>
              </w:rPr>
            </w:pPr>
            <w:hyperlink w:anchor="page34">
              <w:r>
                <w:rPr>
                  <w:rFonts w:ascii="Arial" w:cs="Arial" w:eastAsia="Arial" w:hAnsi="Arial"/>
                  <w:sz w:val="18"/>
                  <w:szCs w:val="18"/>
                  <w:color w:val="0000FF"/>
                </w:rPr>
                <w:t>Unresolved Staff Comments</w:t>
              </w:r>
            </w:hyperlink>
          </w:p>
        </w:tc>
        <w:tc>
          <w:tcPr>
            <w:tcW w:w="1000" w:type="dxa"/>
            <w:vAlign w:val="bottom"/>
            <w:shd w:val="clear" w:color="auto" w:fill="CCEEFF"/>
          </w:tcPr>
          <w:p>
            <w:pPr>
              <w:jc w:val="right"/>
              <w:spacing w:after="0" w:line="188" w:lineRule="exact"/>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188"/>
        </w:trPr>
        <w:tc>
          <w:tcPr>
            <w:tcW w:w="1280" w:type="dxa"/>
            <w:vAlign w:val="bottom"/>
            <w:tcBorders>
              <w:top w:val="single" w:sz="8" w:color="CCEEFF"/>
            </w:tcBorders>
          </w:tcPr>
          <w:p>
            <w:pPr>
              <w:ind w:left="20"/>
              <w:spacing w:after="0" w:line="188" w:lineRule="exact"/>
              <w:rPr>
                <w:rFonts w:ascii="Arial" w:cs="Arial" w:eastAsia="Arial" w:hAnsi="Arial"/>
                <w:sz w:val="18"/>
                <w:szCs w:val="18"/>
                <w:color w:val="auto"/>
              </w:rPr>
            </w:pPr>
            <w:hyperlink w:anchor="page34">
              <w:r>
                <w:rPr>
                  <w:rFonts w:ascii="Arial" w:cs="Arial" w:eastAsia="Arial" w:hAnsi="Arial"/>
                  <w:sz w:val="18"/>
                  <w:szCs w:val="18"/>
                  <w:color w:val="auto"/>
                </w:rPr>
                <w:t>Item 2.</w:t>
              </w:r>
            </w:hyperlink>
          </w:p>
        </w:tc>
        <w:tc>
          <w:tcPr>
            <w:tcW w:w="2020" w:type="dxa"/>
            <w:vAlign w:val="bottom"/>
            <w:tcBorders>
              <w:top w:val="single" w:sz="8" w:color="0000FF"/>
            </w:tcBorders>
            <w:gridSpan w:val="10"/>
          </w:tcPr>
          <w:p>
            <w:pPr>
              <w:spacing w:after="0" w:line="188" w:lineRule="exact"/>
              <w:rPr>
                <w:rFonts w:ascii="Arial" w:cs="Arial" w:eastAsia="Arial" w:hAnsi="Arial"/>
                <w:sz w:val="18"/>
                <w:szCs w:val="18"/>
                <w:color w:val="0000FF"/>
              </w:rPr>
            </w:pPr>
            <w:hyperlink w:anchor="page34">
              <w:r>
                <w:rPr>
                  <w:rFonts w:ascii="Arial" w:cs="Arial" w:eastAsia="Arial" w:hAnsi="Arial"/>
                  <w:sz w:val="18"/>
                  <w:szCs w:val="18"/>
                  <w:color w:val="0000FF"/>
                </w:rPr>
                <w:t>Properties</w:t>
              </w:r>
            </w:hyperlink>
          </w:p>
        </w:tc>
        <w:tc>
          <w:tcPr>
            <w:tcW w:w="6900" w:type="dxa"/>
            <w:vAlign w:val="bottom"/>
            <w:tcBorders>
              <w:top w:val="single" w:sz="8" w:color="CCEEFF"/>
            </w:tcBorders>
            <w:gridSpan w:val="12"/>
          </w:tcPr>
          <w:p>
            <w:pPr>
              <w:spacing w:after="0"/>
              <w:rPr>
                <w:sz w:val="16"/>
                <w:szCs w:val="16"/>
                <w:color w:val="auto"/>
              </w:rPr>
            </w:pPr>
          </w:p>
        </w:tc>
        <w:tc>
          <w:tcPr>
            <w:tcW w:w="1000" w:type="dxa"/>
            <w:vAlign w:val="bottom"/>
            <w:tcBorders>
              <w:top w:val="single" w:sz="8" w:color="CCEEFF"/>
            </w:tcBorders>
          </w:tcPr>
          <w:p>
            <w:pPr>
              <w:jc w:val="right"/>
              <w:spacing w:after="0" w:line="188" w:lineRule="exact"/>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tcBorders>
              <w:bottom w:val="single" w:sz="8" w:color="CCEEFF"/>
            </w:tcBorders>
            <w:shd w:val="clear" w:color="auto" w:fill="CCEEFF"/>
          </w:tcPr>
          <w:p>
            <w:pPr>
              <w:ind w:left="20"/>
              <w:spacing w:after="0" w:line="188" w:lineRule="exact"/>
              <w:rPr>
                <w:rFonts w:ascii="Arial" w:cs="Arial" w:eastAsia="Arial" w:hAnsi="Arial"/>
                <w:sz w:val="18"/>
                <w:szCs w:val="18"/>
                <w:color w:val="auto"/>
              </w:rPr>
            </w:pPr>
            <w:hyperlink w:anchor="page34">
              <w:r>
                <w:rPr>
                  <w:rFonts w:ascii="Arial" w:cs="Arial" w:eastAsia="Arial" w:hAnsi="Arial"/>
                  <w:sz w:val="18"/>
                  <w:szCs w:val="18"/>
                  <w:color w:val="auto"/>
                </w:rPr>
                <w:t>Item 3.</w:t>
              </w:r>
            </w:hyperlink>
          </w:p>
        </w:tc>
        <w:tc>
          <w:tcPr>
            <w:tcW w:w="1320" w:type="dxa"/>
            <w:vAlign w:val="bottom"/>
            <w:tcBorders>
              <w:bottom w:val="single" w:sz="8" w:color="0000FF"/>
            </w:tcBorders>
            <w:gridSpan w:val="6"/>
            <w:shd w:val="clear" w:color="auto" w:fill="CCEEFF"/>
          </w:tcPr>
          <w:p>
            <w:pPr>
              <w:spacing w:after="0" w:line="188" w:lineRule="exact"/>
              <w:rPr>
                <w:rFonts w:ascii="Arial" w:cs="Arial" w:eastAsia="Arial" w:hAnsi="Arial"/>
                <w:sz w:val="18"/>
                <w:szCs w:val="18"/>
                <w:color w:val="0000FF"/>
                <w:w w:val="87"/>
              </w:rPr>
            </w:pPr>
            <w:hyperlink w:anchor="page34">
              <w:r>
                <w:rPr>
                  <w:rFonts w:ascii="Arial" w:cs="Arial" w:eastAsia="Arial" w:hAnsi="Arial"/>
                  <w:sz w:val="18"/>
                  <w:szCs w:val="18"/>
                  <w:color w:val="0000FF"/>
                  <w:w w:val="87"/>
                </w:rPr>
                <w:t>Legal Proceedings</w:t>
              </w:r>
            </w:hyperlink>
          </w:p>
        </w:tc>
        <w:tc>
          <w:tcPr>
            <w:tcW w:w="7600" w:type="dxa"/>
            <w:vAlign w:val="bottom"/>
            <w:tcBorders>
              <w:bottom w:val="single" w:sz="8" w:color="CCEEFF"/>
            </w:tcBorders>
            <w:gridSpan w:val="16"/>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88" w:lineRule="exact"/>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34">
              <w:r>
                <w:rPr>
                  <w:rFonts w:ascii="Arial" w:cs="Arial" w:eastAsia="Arial" w:hAnsi="Arial"/>
                  <w:sz w:val="18"/>
                  <w:szCs w:val="18"/>
                  <w:color w:val="auto"/>
                </w:rPr>
                <w:t>Item 4.</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1000" w:type="dxa"/>
            <w:vAlign w:val="bottom"/>
          </w:tcPr>
          <w:p>
            <w:pPr>
              <w:jc w:val="right"/>
              <w:spacing w:after="0" w:line="188" w:lineRule="exact"/>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80" w:type="dxa"/>
            <w:vAlign w:val="bottom"/>
          </w:tcPr>
          <w:p>
            <w:pPr>
              <w:ind w:left="2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PART II</w:t>
              </w:r>
            </w:hyperlink>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35">
              <w:r>
                <w:rPr>
                  <w:rFonts w:ascii="Arial" w:cs="Arial" w:eastAsia="Arial" w:hAnsi="Arial"/>
                  <w:sz w:val="18"/>
                  <w:szCs w:val="18"/>
                  <w:color w:val="auto"/>
                </w:rPr>
                <w:t>Item 5.</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35">
              <w:r>
                <w:rPr>
                  <w:rFonts w:ascii="Arial" w:cs="Arial" w:eastAsia="Arial" w:hAnsi="Arial"/>
                  <w:sz w:val="18"/>
                  <w:szCs w:val="18"/>
                  <w:color w:val="0000FF"/>
                </w:rPr>
                <w:t>Market for Registrant’s Common Equity, Related Stockholder Matters and Issuer Purchases of Equity Securities</w:t>
              </w:r>
            </w:hyperlink>
          </w:p>
        </w:tc>
        <w:tc>
          <w:tcPr>
            <w:tcW w:w="1000" w:type="dxa"/>
            <w:vAlign w:val="bottom"/>
          </w:tcPr>
          <w:p>
            <w:pPr>
              <w:jc w:val="right"/>
              <w:spacing w:after="0" w:line="188"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tcBorders>
              <w:bottom w:val="single" w:sz="8" w:color="CCEEFF"/>
            </w:tcBorders>
            <w:shd w:val="clear" w:color="auto" w:fill="CCEEFF"/>
          </w:tcPr>
          <w:p>
            <w:pPr>
              <w:ind w:left="20"/>
              <w:spacing w:after="0" w:line="188" w:lineRule="exact"/>
              <w:rPr>
                <w:rFonts w:ascii="Arial" w:cs="Arial" w:eastAsia="Arial" w:hAnsi="Arial"/>
                <w:sz w:val="18"/>
                <w:szCs w:val="18"/>
                <w:color w:val="auto"/>
              </w:rPr>
            </w:pPr>
            <w:hyperlink w:anchor="page35">
              <w:r>
                <w:rPr>
                  <w:rFonts w:ascii="Arial" w:cs="Arial" w:eastAsia="Arial" w:hAnsi="Arial"/>
                  <w:sz w:val="18"/>
                  <w:szCs w:val="18"/>
                  <w:color w:val="auto"/>
                </w:rPr>
                <w:t>Item 6.</w:t>
              </w:r>
            </w:hyperlink>
          </w:p>
        </w:tc>
        <w:tc>
          <w:tcPr>
            <w:tcW w:w="780" w:type="dxa"/>
            <w:vAlign w:val="bottom"/>
            <w:tcBorders>
              <w:bottom w:val="single" w:sz="8" w:color="0000FF"/>
            </w:tcBorders>
            <w:gridSpan w:val="3"/>
            <w:shd w:val="clear" w:color="auto" w:fill="CCEEFF"/>
          </w:tcPr>
          <w:p>
            <w:pPr>
              <w:spacing w:after="0" w:line="188" w:lineRule="exact"/>
              <w:rPr>
                <w:rFonts w:ascii="Arial" w:cs="Arial" w:eastAsia="Arial" w:hAnsi="Arial"/>
                <w:sz w:val="18"/>
                <w:szCs w:val="18"/>
                <w:color w:val="0000FF"/>
                <w:w w:val="87"/>
              </w:rPr>
            </w:pPr>
            <w:hyperlink w:anchor="page35">
              <w:r>
                <w:rPr>
                  <w:rFonts w:ascii="Arial" w:cs="Arial" w:eastAsia="Arial" w:hAnsi="Arial"/>
                  <w:sz w:val="18"/>
                  <w:szCs w:val="18"/>
                  <w:color w:val="0000FF"/>
                  <w:w w:val="87"/>
                </w:rPr>
                <w:t>[Reserved]</w:t>
              </w:r>
            </w:hyperlink>
          </w:p>
        </w:tc>
        <w:tc>
          <w:tcPr>
            <w:tcW w:w="8140" w:type="dxa"/>
            <w:vAlign w:val="bottom"/>
            <w:tcBorders>
              <w:bottom w:val="single" w:sz="8" w:color="CCEEFF"/>
            </w:tcBorders>
            <w:gridSpan w:val="19"/>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88"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35">
              <w:r>
                <w:rPr>
                  <w:rFonts w:ascii="Arial" w:cs="Arial" w:eastAsia="Arial" w:hAnsi="Arial"/>
                  <w:sz w:val="18"/>
                  <w:szCs w:val="18"/>
                  <w:color w:val="auto"/>
                </w:rPr>
                <w:t>Item 7.</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1000" w:type="dxa"/>
            <w:vAlign w:val="bottom"/>
          </w:tcPr>
          <w:p>
            <w:pPr>
              <w:jc w:val="right"/>
              <w:spacing w:after="0" w:line="188" w:lineRule="exact"/>
              <w:rPr>
                <w:rFonts w:ascii="Arial" w:cs="Arial" w:eastAsia="Arial" w:hAnsi="Arial"/>
                <w:sz w:val="18"/>
                <w:szCs w:val="18"/>
                <w:color w:val="auto"/>
              </w:rPr>
            </w:pPr>
            <w:hyperlink w:anchor="page35">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tcBorders>
              <w:bottom w:val="single" w:sz="8" w:color="CCEEFF"/>
            </w:tcBorders>
            <w:shd w:val="clear" w:color="auto" w:fill="CCEEFF"/>
          </w:tcPr>
          <w:p>
            <w:pPr>
              <w:ind w:left="20"/>
              <w:spacing w:after="0" w:line="188" w:lineRule="exact"/>
              <w:rPr>
                <w:rFonts w:ascii="Arial" w:cs="Arial" w:eastAsia="Arial" w:hAnsi="Arial"/>
                <w:sz w:val="18"/>
                <w:szCs w:val="18"/>
                <w:color w:val="auto"/>
              </w:rPr>
            </w:pPr>
            <w:hyperlink w:anchor="page48">
              <w:r>
                <w:rPr>
                  <w:rFonts w:ascii="Arial" w:cs="Arial" w:eastAsia="Arial" w:hAnsi="Arial"/>
                  <w:sz w:val="18"/>
                  <w:szCs w:val="18"/>
                  <w:color w:val="auto"/>
                </w:rPr>
                <w:t>Item 7A.</w:t>
              </w:r>
            </w:hyperlink>
          </w:p>
        </w:tc>
        <w:tc>
          <w:tcPr>
            <w:tcW w:w="4280" w:type="dxa"/>
            <w:vAlign w:val="bottom"/>
            <w:tcBorders>
              <w:bottom w:val="single" w:sz="8" w:color="0000FF"/>
            </w:tcBorders>
            <w:gridSpan w:val="14"/>
            <w:shd w:val="clear" w:color="auto" w:fill="CCEEFF"/>
          </w:tcPr>
          <w:p>
            <w:pPr>
              <w:spacing w:after="0" w:line="188"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Quantitative and Qualitative Disclosures about Market Risk</w:t>
              </w:r>
            </w:hyperlink>
          </w:p>
        </w:tc>
        <w:tc>
          <w:tcPr>
            <w:tcW w:w="4640" w:type="dxa"/>
            <w:vAlign w:val="bottom"/>
            <w:tcBorders>
              <w:bottom w:val="single" w:sz="8" w:color="CCEEFF"/>
            </w:tcBorders>
            <w:gridSpan w:val="8"/>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88" w:lineRule="exact"/>
              <w:rPr>
                <w:rFonts w:ascii="Arial" w:cs="Arial" w:eastAsia="Arial" w:hAnsi="Arial"/>
                <w:sz w:val="18"/>
                <w:szCs w:val="18"/>
                <w:color w:val="auto"/>
              </w:rPr>
            </w:pPr>
            <w:hyperlink w:anchor="page48">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48">
              <w:r>
                <w:rPr>
                  <w:rFonts w:ascii="Arial" w:cs="Arial" w:eastAsia="Arial" w:hAnsi="Arial"/>
                  <w:sz w:val="18"/>
                  <w:szCs w:val="18"/>
                  <w:color w:val="auto"/>
                </w:rPr>
                <w:t>Item 8.</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48">
              <w:r>
                <w:rPr>
                  <w:rFonts w:ascii="Arial" w:cs="Arial" w:eastAsia="Arial" w:hAnsi="Arial"/>
                  <w:sz w:val="18"/>
                  <w:szCs w:val="18"/>
                  <w:color w:val="0000FF"/>
                </w:rPr>
                <w:t>Consolidated Financial Statements and Supplementary Data</w:t>
              </w:r>
            </w:hyperlink>
          </w:p>
        </w:tc>
        <w:tc>
          <w:tcPr>
            <w:tcW w:w="1000" w:type="dxa"/>
            <w:vAlign w:val="bottom"/>
          </w:tcPr>
          <w:p>
            <w:pPr>
              <w:jc w:val="right"/>
              <w:spacing w:after="0" w:line="188" w:lineRule="exact"/>
              <w:rPr>
                <w:rFonts w:ascii="Arial" w:cs="Arial" w:eastAsia="Arial" w:hAnsi="Arial"/>
                <w:sz w:val="18"/>
                <w:szCs w:val="18"/>
                <w:color w:val="auto"/>
              </w:rPr>
            </w:pPr>
            <w:hyperlink w:anchor="page48">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tcBorders>
              <w:bottom w:val="single" w:sz="8" w:color="CCEEFF"/>
            </w:tcBorders>
            <w:shd w:val="clear" w:color="auto" w:fill="CCEEFF"/>
          </w:tcPr>
          <w:p>
            <w:pPr>
              <w:ind w:left="20"/>
              <w:spacing w:after="0" w:line="188" w:lineRule="exact"/>
              <w:rPr>
                <w:rFonts w:ascii="Arial" w:cs="Arial" w:eastAsia="Arial" w:hAnsi="Arial"/>
                <w:sz w:val="18"/>
                <w:szCs w:val="18"/>
                <w:color w:val="auto"/>
              </w:rPr>
            </w:pPr>
            <w:hyperlink w:anchor="page91">
              <w:r>
                <w:rPr>
                  <w:rFonts w:ascii="Arial" w:cs="Arial" w:eastAsia="Arial" w:hAnsi="Arial"/>
                  <w:sz w:val="18"/>
                  <w:szCs w:val="18"/>
                  <w:color w:val="auto"/>
                </w:rPr>
                <w:t>Item 9.</w:t>
              </w:r>
            </w:hyperlink>
          </w:p>
        </w:tc>
        <w:tc>
          <w:tcPr>
            <w:tcW w:w="6440" w:type="dxa"/>
            <w:vAlign w:val="bottom"/>
            <w:tcBorders>
              <w:bottom w:val="single" w:sz="8" w:color="0000FF"/>
            </w:tcBorders>
            <w:gridSpan w:val="19"/>
            <w:shd w:val="clear" w:color="auto" w:fill="CCEEFF"/>
          </w:tcPr>
          <w:p>
            <w:pPr>
              <w:spacing w:after="0" w:line="188"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Changes in and Disagreements with Accountants on Accounting and Financial Disclosure</w:t>
              </w:r>
            </w:hyperlink>
          </w:p>
        </w:tc>
        <w:tc>
          <w:tcPr>
            <w:tcW w:w="2480" w:type="dxa"/>
            <w:vAlign w:val="bottom"/>
            <w:tcBorders>
              <w:bottom w:val="single" w:sz="8" w:color="CCEEFF"/>
            </w:tcBorders>
            <w:gridSpan w:val="3"/>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88" w:lineRule="exact"/>
              <w:rPr>
                <w:rFonts w:ascii="Arial" w:cs="Arial" w:eastAsia="Arial" w:hAnsi="Arial"/>
                <w:sz w:val="18"/>
                <w:szCs w:val="18"/>
                <w:color w:val="auto"/>
              </w:rPr>
            </w:pPr>
            <w:hyperlink w:anchor="page91">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91">
              <w:r>
                <w:rPr>
                  <w:rFonts w:ascii="Arial" w:cs="Arial" w:eastAsia="Arial" w:hAnsi="Arial"/>
                  <w:sz w:val="18"/>
                  <w:szCs w:val="18"/>
                  <w:color w:val="auto"/>
                </w:rPr>
                <w:t>Item 9A</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91">
              <w:r>
                <w:rPr>
                  <w:rFonts w:ascii="Arial" w:cs="Arial" w:eastAsia="Arial" w:hAnsi="Arial"/>
                  <w:sz w:val="18"/>
                  <w:szCs w:val="18"/>
                  <w:color w:val="0000FF"/>
                </w:rPr>
                <w:t>Controls and Procedures</w:t>
              </w:r>
            </w:hyperlink>
          </w:p>
        </w:tc>
        <w:tc>
          <w:tcPr>
            <w:tcW w:w="1000" w:type="dxa"/>
            <w:vAlign w:val="bottom"/>
          </w:tcPr>
          <w:p>
            <w:pPr>
              <w:jc w:val="right"/>
              <w:spacing w:after="0" w:line="188" w:lineRule="exact"/>
              <w:rPr>
                <w:rFonts w:ascii="Arial" w:cs="Arial" w:eastAsia="Arial" w:hAnsi="Arial"/>
                <w:sz w:val="18"/>
                <w:szCs w:val="18"/>
                <w:color w:val="auto"/>
              </w:rPr>
            </w:pPr>
            <w:hyperlink w:anchor="page91">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tcBorders>
              <w:bottom w:val="single" w:sz="8" w:color="CCEEFF"/>
            </w:tcBorders>
            <w:shd w:val="clear" w:color="auto" w:fill="CCEEFF"/>
          </w:tcPr>
          <w:p>
            <w:pPr>
              <w:ind w:left="20"/>
              <w:spacing w:after="0" w:line="188" w:lineRule="exact"/>
              <w:rPr>
                <w:rFonts w:ascii="Arial" w:cs="Arial" w:eastAsia="Arial" w:hAnsi="Arial"/>
                <w:sz w:val="18"/>
                <w:szCs w:val="18"/>
                <w:color w:val="auto"/>
              </w:rPr>
            </w:pPr>
            <w:hyperlink w:anchor="page93">
              <w:r>
                <w:rPr>
                  <w:rFonts w:ascii="Arial" w:cs="Arial" w:eastAsia="Arial" w:hAnsi="Arial"/>
                  <w:sz w:val="18"/>
                  <w:szCs w:val="18"/>
                  <w:color w:val="auto"/>
                </w:rPr>
                <w:t>Item 9B.</w:t>
              </w:r>
            </w:hyperlink>
          </w:p>
        </w:tc>
        <w:tc>
          <w:tcPr>
            <w:tcW w:w="1300" w:type="dxa"/>
            <w:vAlign w:val="bottom"/>
            <w:tcBorders>
              <w:bottom w:val="single" w:sz="8" w:color="0000FF"/>
            </w:tcBorders>
            <w:gridSpan w:val="5"/>
            <w:shd w:val="clear" w:color="auto" w:fill="CCEEFF"/>
          </w:tcPr>
          <w:p>
            <w:pPr>
              <w:spacing w:after="0" w:line="188" w:lineRule="exact"/>
              <w:rPr>
                <w:rFonts w:ascii="Arial" w:cs="Arial" w:eastAsia="Arial" w:hAnsi="Arial"/>
                <w:sz w:val="18"/>
                <w:szCs w:val="18"/>
                <w:color w:val="0000FF"/>
                <w:w w:val="91"/>
              </w:rPr>
            </w:pPr>
            <w:hyperlink w:anchor="page93">
              <w:r>
                <w:rPr>
                  <w:rFonts w:ascii="Arial" w:cs="Arial" w:eastAsia="Arial" w:hAnsi="Arial"/>
                  <w:sz w:val="18"/>
                  <w:szCs w:val="18"/>
                  <w:color w:val="0000FF"/>
                  <w:w w:val="91"/>
                </w:rPr>
                <w:t>Other Information</w:t>
              </w:r>
            </w:hyperlink>
          </w:p>
        </w:tc>
        <w:tc>
          <w:tcPr>
            <w:tcW w:w="7620" w:type="dxa"/>
            <w:vAlign w:val="bottom"/>
            <w:tcBorders>
              <w:bottom w:val="single" w:sz="8" w:color="CCEEFF"/>
            </w:tcBorders>
            <w:gridSpan w:val="17"/>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88" w:lineRule="exact"/>
              <w:rPr>
                <w:rFonts w:ascii="Arial" w:cs="Arial" w:eastAsia="Arial" w:hAnsi="Arial"/>
                <w:sz w:val="18"/>
                <w:szCs w:val="18"/>
                <w:color w:val="auto"/>
              </w:rPr>
            </w:pPr>
            <w:hyperlink w:anchor="page93">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8" w:lineRule="exact"/>
              <w:rPr>
                <w:sz w:val="20"/>
                <w:szCs w:val="20"/>
                <w:color w:val="auto"/>
              </w:rPr>
            </w:pPr>
            <w:r>
              <w:rPr>
                <w:rFonts w:ascii="Arial" w:cs="Arial" w:eastAsia="Arial" w:hAnsi="Arial"/>
                <w:sz w:val="18"/>
                <w:szCs w:val="18"/>
                <w:color w:val="auto"/>
              </w:rPr>
              <w:t>Item 9C.</w:t>
            </w:r>
          </w:p>
        </w:tc>
        <w:tc>
          <w:tcPr>
            <w:tcW w:w="8920" w:type="dxa"/>
            <w:vAlign w:val="bottom"/>
            <w:gridSpan w:val="22"/>
          </w:tcPr>
          <w:p>
            <w:pPr>
              <w:spacing w:after="0" w:line="188" w:lineRule="exact"/>
              <w:rPr>
                <w:rFonts w:ascii="Arial" w:cs="Arial" w:eastAsia="Arial" w:hAnsi="Arial"/>
                <w:sz w:val="18"/>
                <w:szCs w:val="18"/>
                <w:color w:val="0000FF"/>
              </w:rPr>
            </w:pPr>
            <w:hyperlink w:anchor="page93">
              <w:r>
                <w:rPr>
                  <w:rFonts w:ascii="Arial" w:cs="Arial" w:eastAsia="Arial" w:hAnsi="Arial"/>
                  <w:sz w:val="18"/>
                  <w:szCs w:val="18"/>
                  <w:color w:val="0000FF"/>
                </w:rPr>
                <w:t>Disclosure Regarding Foreign Jurisdictions that Prevent Inspection</w:t>
              </w:r>
            </w:hyperlink>
          </w:p>
        </w:tc>
        <w:tc>
          <w:tcPr>
            <w:tcW w:w="1000" w:type="dxa"/>
            <w:vAlign w:val="bottom"/>
          </w:tcPr>
          <w:p>
            <w:pPr>
              <w:jc w:val="right"/>
              <w:spacing w:after="0" w:line="188" w:lineRule="exact"/>
              <w:rPr>
                <w:rFonts w:ascii="Arial" w:cs="Arial" w:eastAsia="Arial" w:hAnsi="Arial"/>
                <w:sz w:val="18"/>
                <w:szCs w:val="18"/>
                <w:color w:val="auto"/>
              </w:rPr>
            </w:pPr>
            <w:hyperlink w:anchor="page93">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80" w:type="dxa"/>
            <w:vAlign w:val="bottom"/>
          </w:tcPr>
          <w:p>
            <w:pPr>
              <w:ind w:left="20"/>
              <w:spacing w:after="0"/>
              <w:rPr>
                <w:rFonts w:ascii="Arial" w:cs="Arial" w:eastAsia="Arial" w:hAnsi="Arial"/>
                <w:sz w:val="18"/>
                <w:szCs w:val="18"/>
                <w:b w:val="1"/>
                <w:bCs w:val="1"/>
                <w:color w:val="auto"/>
              </w:rPr>
            </w:pPr>
            <w:hyperlink w:anchor="page93">
              <w:r>
                <w:rPr>
                  <w:rFonts w:ascii="Arial" w:cs="Arial" w:eastAsia="Arial" w:hAnsi="Arial"/>
                  <w:sz w:val="18"/>
                  <w:szCs w:val="18"/>
                  <w:b w:val="1"/>
                  <w:bCs w:val="1"/>
                  <w:color w:val="auto"/>
                </w:rPr>
                <w:t>PART III</w:t>
              </w:r>
            </w:hyperlink>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Item 10.</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94">
              <w:r>
                <w:rPr>
                  <w:rFonts w:ascii="Arial" w:cs="Arial" w:eastAsia="Arial" w:hAnsi="Arial"/>
                  <w:sz w:val="18"/>
                  <w:szCs w:val="18"/>
                  <w:color w:val="0000FF"/>
                </w:rPr>
                <w:t>Directors, Executive Officers and Corporate Governance</w:t>
              </w:r>
            </w:hyperlink>
          </w:p>
        </w:tc>
        <w:tc>
          <w:tcPr>
            <w:tcW w:w="1000" w:type="dxa"/>
            <w:vAlign w:val="bottom"/>
          </w:tcPr>
          <w:p>
            <w:pPr>
              <w:jc w:val="right"/>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80" w:type="dxa"/>
            <w:vAlign w:val="bottom"/>
            <w:shd w:val="clear" w:color="auto" w:fill="CCEEFF"/>
          </w:tcPr>
          <w:p>
            <w:pPr>
              <w:ind w:left="20"/>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Item 11.</w:t>
              </w:r>
            </w:hyperlink>
          </w:p>
        </w:tc>
        <w:tc>
          <w:tcPr>
            <w:tcW w:w="8920" w:type="dxa"/>
            <w:vAlign w:val="bottom"/>
            <w:gridSpan w:val="22"/>
            <w:shd w:val="clear" w:color="auto" w:fill="CCEEFF"/>
          </w:tcPr>
          <w:p>
            <w:pPr>
              <w:spacing w:after="0" w:line="188" w:lineRule="exact"/>
              <w:rPr>
                <w:rFonts w:ascii="Arial" w:cs="Arial" w:eastAsia="Arial" w:hAnsi="Arial"/>
                <w:sz w:val="18"/>
                <w:szCs w:val="18"/>
                <w:color w:val="0000FF"/>
              </w:rPr>
            </w:pPr>
            <w:hyperlink w:anchor="page94">
              <w:r>
                <w:rPr>
                  <w:rFonts w:ascii="Arial" w:cs="Arial" w:eastAsia="Arial" w:hAnsi="Arial"/>
                  <w:sz w:val="18"/>
                  <w:szCs w:val="18"/>
                  <w:color w:val="0000FF"/>
                </w:rPr>
                <w:t>Executive Compensation</w:t>
              </w:r>
            </w:hyperlink>
          </w:p>
        </w:tc>
        <w:tc>
          <w:tcPr>
            <w:tcW w:w="1000" w:type="dxa"/>
            <w:vAlign w:val="bottom"/>
            <w:shd w:val="clear" w:color="auto" w:fill="CCEEFF"/>
          </w:tcPr>
          <w:p>
            <w:pPr>
              <w:jc w:val="right"/>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Item 12.</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94">
              <w:r>
                <w:rPr>
                  <w:rFonts w:ascii="Arial" w:cs="Arial" w:eastAsia="Arial" w:hAnsi="Arial"/>
                  <w:sz w:val="18"/>
                  <w:szCs w:val="18"/>
                  <w:color w:val="0000FF"/>
                </w:rPr>
                <w:t>Security Ownership of Certain Beneficial Owners and Management and Related Stockholder Matters</w:t>
              </w:r>
            </w:hyperlink>
          </w:p>
        </w:tc>
        <w:tc>
          <w:tcPr>
            <w:tcW w:w="1000" w:type="dxa"/>
            <w:vAlign w:val="bottom"/>
          </w:tcPr>
          <w:p>
            <w:pPr>
              <w:jc w:val="right"/>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tcBorders>
              <w:bottom w:val="single" w:sz="8" w:color="CCEEFF"/>
            </w:tcBorders>
            <w:shd w:val="clear" w:color="auto" w:fill="CCEEFF"/>
          </w:tcPr>
          <w:p>
            <w:pPr>
              <w:ind w:left="20"/>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Item 13.</w:t>
              </w:r>
            </w:hyperlink>
          </w:p>
        </w:tc>
        <w:tc>
          <w:tcPr>
            <w:tcW w:w="5420" w:type="dxa"/>
            <w:vAlign w:val="bottom"/>
            <w:tcBorders>
              <w:bottom w:val="single" w:sz="8" w:color="0000FF"/>
            </w:tcBorders>
            <w:gridSpan w:val="17"/>
            <w:shd w:val="clear" w:color="auto" w:fill="CCEEFF"/>
          </w:tcPr>
          <w:p>
            <w:pPr>
              <w:spacing w:after="0" w:line="188" w:lineRule="exact"/>
              <w:rPr>
                <w:rFonts w:ascii="Arial" w:cs="Arial" w:eastAsia="Arial" w:hAnsi="Arial"/>
                <w:sz w:val="18"/>
                <w:szCs w:val="18"/>
                <w:color w:val="0000FF"/>
                <w:w w:val="88"/>
              </w:rPr>
            </w:pPr>
            <w:hyperlink w:anchor="page94">
              <w:r>
                <w:rPr>
                  <w:rFonts w:ascii="Arial" w:cs="Arial" w:eastAsia="Arial" w:hAnsi="Arial"/>
                  <w:sz w:val="18"/>
                  <w:szCs w:val="18"/>
                  <w:color w:val="0000FF"/>
                  <w:w w:val="88"/>
                </w:rPr>
                <w:t>Certain Relationships and Related Transactions, and Director Independence</w:t>
              </w:r>
            </w:hyperlink>
          </w:p>
        </w:tc>
        <w:tc>
          <w:tcPr>
            <w:tcW w:w="3500" w:type="dxa"/>
            <w:vAlign w:val="bottom"/>
            <w:tcBorders>
              <w:bottom w:val="single" w:sz="8" w:color="CCEEFF"/>
            </w:tcBorders>
            <w:gridSpan w:val="5"/>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Item 14.</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94">
              <w:r>
                <w:rPr>
                  <w:rFonts w:ascii="Arial" w:cs="Arial" w:eastAsia="Arial" w:hAnsi="Arial"/>
                  <w:sz w:val="18"/>
                  <w:szCs w:val="18"/>
                  <w:color w:val="0000FF"/>
                </w:rPr>
                <w:t>Principal Accounting Fees and Services</w:t>
              </w:r>
            </w:hyperlink>
          </w:p>
        </w:tc>
        <w:tc>
          <w:tcPr>
            <w:tcW w:w="1000" w:type="dxa"/>
            <w:vAlign w:val="bottom"/>
          </w:tcPr>
          <w:p>
            <w:pPr>
              <w:jc w:val="right"/>
              <w:spacing w:after="0" w:line="188" w:lineRule="exact"/>
              <w:rPr>
                <w:rFonts w:ascii="Arial" w:cs="Arial" w:eastAsia="Arial" w:hAnsi="Arial"/>
                <w:sz w:val="18"/>
                <w:szCs w:val="18"/>
                <w:color w:val="auto"/>
              </w:rPr>
            </w:pPr>
            <w:hyperlink w:anchor="page94">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80" w:type="dxa"/>
            <w:vAlign w:val="bottom"/>
          </w:tcPr>
          <w:p>
            <w:pPr>
              <w:ind w:left="20"/>
              <w:spacing w:after="0"/>
              <w:rPr>
                <w:rFonts w:ascii="Arial" w:cs="Arial" w:eastAsia="Arial" w:hAnsi="Arial"/>
                <w:sz w:val="18"/>
                <w:szCs w:val="18"/>
                <w:b w:val="1"/>
                <w:bCs w:val="1"/>
                <w:color w:val="auto"/>
              </w:rPr>
            </w:pPr>
            <w:hyperlink w:anchor="page94">
              <w:r>
                <w:rPr>
                  <w:rFonts w:ascii="Arial" w:cs="Arial" w:eastAsia="Arial" w:hAnsi="Arial"/>
                  <w:sz w:val="18"/>
                  <w:szCs w:val="18"/>
                  <w:b w:val="1"/>
                  <w:bCs w:val="1"/>
                  <w:color w:val="auto"/>
                </w:rPr>
                <w:t>PART IV</w:t>
              </w:r>
            </w:hyperlink>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8" w:lineRule="exact"/>
              <w:rPr>
                <w:rFonts w:ascii="Arial" w:cs="Arial" w:eastAsia="Arial" w:hAnsi="Arial"/>
                <w:sz w:val="18"/>
                <w:szCs w:val="18"/>
                <w:color w:val="auto"/>
              </w:rPr>
            </w:pPr>
            <w:hyperlink w:anchor="page95">
              <w:r>
                <w:rPr>
                  <w:rFonts w:ascii="Arial" w:cs="Arial" w:eastAsia="Arial" w:hAnsi="Arial"/>
                  <w:sz w:val="18"/>
                  <w:szCs w:val="18"/>
                  <w:color w:val="auto"/>
                </w:rPr>
                <w:t>Item 15.</w:t>
              </w:r>
            </w:hyperlink>
          </w:p>
        </w:tc>
        <w:tc>
          <w:tcPr>
            <w:tcW w:w="8920" w:type="dxa"/>
            <w:vAlign w:val="bottom"/>
            <w:gridSpan w:val="22"/>
          </w:tcPr>
          <w:p>
            <w:pPr>
              <w:spacing w:after="0" w:line="188" w:lineRule="exact"/>
              <w:rPr>
                <w:rFonts w:ascii="Arial" w:cs="Arial" w:eastAsia="Arial" w:hAnsi="Arial"/>
                <w:sz w:val="18"/>
                <w:szCs w:val="18"/>
                <w:color w:val="0000FF"/>
              </w:rPr>
            </w:pPr>
            <w:hyperlink w:anchor="page95">
              <w:r>
                <w:rPr>
                  <w:rFonts w:ascii="Arial" w:cs="Arial" w:eastAsia="Arial" w:hAnsi="Arial"/>
                  <w:sz w:val="18"/>
                  <w:szCs w:val="18"/>
                  <w:color w:val="0000FF"/>
                </w:rPr>
                <w:t>Exhibits and Financial Statement Schedules</w:t>
              </w:r>
            </w:hyperlink>
          </w:p>
        </w:tc>
        <w:tc>
          <w:tcPr>
            <w:tcW w:w="1000" w:type="dxa"/>
            <w:vAlign w:val="bottom"/>
          </w:tcPr>
          <w:p>
            <w:pPr>
              <w:jc w:val="right"/>
              <w:spacing w:after="0" w:line="188" w:lineRule="exact"/>
              <w:rPr>
                <w:rFonts w:ascii="Arial" w:cs="Arial" w:eastAsia="Arial" w:hAnsi="Arial"/>
                <w:sz w:val="18"/>
                <w:szCs w:val="18"/>
                <w:color w:val="auto"/>
              </w:rPr>
            </w:pPr>
            <w:hyperlink w:anchor="page95">
              <w:r>
                <w:rPr>
                  <w:rFonts w:ascii="Arial" w:cs="Arial" w:eastAsia="Arial" w:hAnsi="Arial"/>
                  <w:sz w:val="18"/>
                  <w:szCs w:val="18"/>
                  <w:color w:val="auto"/>
                </w:rPr>
                <w:t>95</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tcBorders>
              <w:bottom w:val="single" w:sz="8" w:color="CCEEFF"/>
            </w:tcBorders>
            <w:shd w:val="clear" w:color="auto" w:fill="CCEEFF"/>
          </w:tcPr>
          <w:p>
            <w:pPr>
              <w:ind w:left="20"/>
              <w:spacing w:after="0" w:line="188" w:lineRule="exact"/>
              <w:rPr>
                <w:rFonts w:ascii="Arial" w:cs="Arial" w:eastAsia="Arial" w:hAnsi="Arial"/>
                <w:sz w:val="18"/>
                <w:szCs w:val="18"/>
                <w:color w:val="auto"/>
              </w:rPr>
            </w:pPr>
            <w:hyperlink w:anchor="page98">
              <w:r>
                <w:rPr>
                  <w:rFonts w:ascii="Arial" w:cs="Arial" w:eastAsia="Arial" w:hAnsi="Arial"/>
                  <w:sz w:val="18"/>
                  <w:szCs w:val="18"/>
                  <w:color w:val="auto"/>
                </w:rPr>
                <w:t>Item 16.</w:t>
              </w:r>
            </w:hyperlink>
          </w:p>
        </w:tc>
        <w:tc>
          <w:tcPr>
            <w:tcW w:w="1540" w:type="dxa"/>
            <w:vAlign w:val="bottom"/>
            <w:tcBorders>
              <w:bottom w:val="single" w:sz="8" w:color="0000FF"/>
            </w:tcBorders>
            <w:gridSpan w:val="7"/>
            <w:shd w:val="clear" w:color="auto" w:fill="CCEEFF"/>
          </w:tcPr>
          <w:p>
            <w:pPr>
              <w:spacing w:after="0" w:line="188" w:lineRule="exact"/>
              <w:rPr>
                <w:rFonts w:ascii="Arial" w:cs="Arial" w:eastAsia="Arial" w:hAnsi="Arial"/>
                <w:sz w:val="18"/>
                <w:szCs w:val="18"/>
                <w:color w:val="0000FF"/>
                <w:w w:val="90"/>
              </w:rPr>
            </w:pPr>
            <w:hyperlink w:anchor="page98">
              <w:r>
                <w:rPr>
                  <w:rFonts w:ascii="Arial" w:cs="Arial" w:eastAsia="Arial" w:hAnsi="Arial"/>
                  <w:sz w:val="18"/>
                  <w:szCs w:val="18"/>
                  <w:color w:val="0000FF"/>
                  <w:w w:val="90"/>
                </w:rPr>
                <w:t>Form 10-K Summary</w:t>
              </w:r>
            </w:hyperlink>
          </w:p>
        </w:tc>
        <w:tc>
          <w:tcPr>
            <w:tcW w:w="7380" w:type="dxa"/>
            <w:vAlign w:val="bottom"/>
            <w:tcBorders>
              <w:bottom w:val="single" w:sz="8" w:color="CCEEFF"/>
            </w:tcBorders>
            <w:gridSpan w:val="15"/>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88" w:lineRule="exact"/>
              <w:rPr>
                <w:rFonts w:ascii="Arial" w:cs="Arial" w:eastAsia="Arial" w:hAnsi="Arial"/>
                <w:sz w:val="18"/>
                <w:szCs w:val="18"/>
                <w:color w:val="auto"/>
              </w:rPr>
            </w:pPr>
            <w:hyperlink w:anchor="page98">
              <w:r>
                <w:rPr>
                  <w:rFonts w:ascii="Arial" w:cs="Arial" w:eastAsia="Arial" w:hAnsi="Arial"/>
                  <w:sz w:val="18"/>
                  <w:szCs w:val="18"/>
                  <w:color w:val="auto"/>
                </w:rPr>
                <w:t>98</w:t>
              </w:r>
            </w:hyperlink>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8920" w:type="dxa"/>
            <w:vAlign w:val="bottom"/>
            <w:gridSpan w:val="22"/>
          </w:tcPr>
          <w:p>
            <w:pPr>
              <w:spacing w:after="0" w:line="188" w:lineRule="exact"/>
              <w:rPr>
                <w:rFonts w:ascii="Arial" w:cs="Arial" w:eastAsia="Arial" w:hAnsi="Arial"/>
                <w:sz w:val="18"/>
                <w:szCs w:val="18"/>
                <w:color w:val="0000FF"/>
              </w:rPr>
            </w:pPr>
            <w:hyperlink w:anchor="page98">
              <w:r>
                <w:rPr>
                  <w:rFonts w:ascii="Arial" w:cs="Arial" w:eastAsia="Arial" w:hAnsi="Arial"/>
                  <w:sz w:val="18"/>
                  <w:szCs w:val="18"/>
                  <w:color w:val="0000FF"/>
                </w:rPr>
                <w:t>Signatures</w:t>
              </w:r>
            </w:hyperlink>
          </w:p>
        </w:tc>
        <w:tc>
          <w:tcPr>
            <w:tcW w:w="1000" w:type="dxa"/>
            <w:vAlign w:val="bottom"/>
          </w:tcPr>
          <w:p>
            <w:pPr>
              <w:jc w:val="right"/>
              <w:spacing w:after="0" w:line="188" w:lineRule="exact"/>
              <w:rPr>
                <w:rFonts w:ascii="Arial" w:cs="Arial" w:eastAsia="Arial" w:hAnsi="Arial"/>
                <w:sz w:val="18"/>
                <w:szCs w:val="18"/>
                <w:color w:val="auto"/>
              </w:rPr>
            </w:pPr>
            <w:hyperlink w:anchor="page98">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6" w:lineRule="exact"/>
        <w:rPr>
          <w:sz w:val="20"/>
          <w:szCs w:val="20"/>
          <w:color w:val="auto"/>
        </w:rPr>
      </w:pPr>
    </w:p>
    <w:p>
      <w:pPr>
        <w:ind w:right="120" w:firstLine="322"/>
        <w:spacing w:after="0" w:line="294" w:lineRule="auto"/>
        <w:rPr>
          <w:sz w:val="20"/>
          <w:szCs w:val="20"/>
          <w:color w:val="auto"/>
        </w:rPr>
      </w:pPr>
      <w:r>
        <w:rPr>
          <w:rFonts w:ascii="Arial" w:cs="Arial" w:eastAsia="Arial" w:hAnsi="Arial"/>
          <w:sz w:val="16"/>
          <w:szCs w:val="16"/>
          <w:color w:val="auto"/>
        </w:rPr>
        <w:t>This annual report contains statements that constitute forward-looking statements within the meaning of Section 27A of the Securities Act of 1933 and Section 21E of the Securities Exchange Act of 1934. In addition, in the future the Company, and others on its behalf, may make statements that constitute forward-looking statements. Such forward-looking statements may include, without limitation, statements relating to the Company’s plans, objectives or goals; future economic performance or prospects; the potential effect on the Company’s future performance of certain contingencies; and assumptions underlying any such statements. You are cautioned not to place undue reliance on the Company's forward-looking statements.</w:t>
      </w:r>
    </w:p>
    <w:p>
      <w:pPr>
        <w:spacing w:after="0" w:line="161" w:lineRule="exact"/>
        <w:rPr>
          <w:sz w:val="20"/>
          <w:szCs w:val="20"/>
          <w:color w:val="auto"/>
        </w:rPr>
      </w:pPr>
    </w:p>
    <w:p>
      <w:pPr>
        <w:ind w:firstLine="322"/>
        <w:spacing w:after="0" w:line="277" w:lineRule="auto"/>
        <w:rPr>
          <w:sz w:val="20"/>
          <w:szCs w:val="20"/>
          <w:color w:val="auto"/>
        </w:rPr>
      </w:pPr>
      <w:r>
        <w:rPr>
          <w:rFonts w:ascii="Arial" w:cs="Arial" w:eastAsia="Arial" w:hAnsi="Arial"/>
          <w:sz w:val="17"/>
          <w:szCs w:val="17"/>
          <w:color w:val="auto"/>
        </w:rPr>
        <w:t>Words such as “believes,” “anticipates,” “expects,” “intends” and “plans” and similar expressions are intended to identify forward-looking statements but are not the exclusive means of identifying such statements. The forward-looking statements are and will be based upon management’s then current views and assumptions regarding future events and operating performance and are only applicable as of the dates of such statements. The Company does not intend to update these forward-looking statements except as may be required by applicable laws.</w:t>
      </w:r>
    </w:p>
    <w:p>
      <w:pPr>
        <w:spacing w:after="0" w:line="171" w:lineRule="exact"/>
        <w:rPr>
          <w:sz w:val="20"/>
          <w:szCs w:val="20"/>
          <w:color w:val="auto"/>
        </w:rPr>
      </w:pPr>
    </w:p>
    <w:p>
      <w:pPr>
        <w:ind w:right="360" w:firstLine="322"/>
        <w:spacing w:after="0" w:line="299" w:lineRule="auto"/>
        <w:rPr>
          <w:sz w:val="20"/>
          <w:szCs w:val="20"/>
          <w:color w:val="auto"/>
        </w:rPr>
      </w:pPr>
      <w:r>
        <w:rPr>
          <w:rFonts w:ascii="Arial" w:cs="Arial" w:eastAsia="Arial" w:hAnsi="Arial"/>
          <w:sz w:val="16"/>
          <w:szCs w:val="16"/>
          <w:color w:val="auto"/>
        </w:rPr>
        <w:t>By their very nature, forward-looking statements involve inherent risks and uncertainties, both general and specific, and risks exist that predictions, forecasts, projections and other outcomes described or implied in forward-looking statements will not be achieved. The Company cautions you that a number of important factors could cause results to differ materially from the plans, objectives, expectations, estimates and intentions expressed in such forward-looking statements, including without limitation the risks described under the caption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auto"/>
        </w:rPr>
        <w:t>PART I</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ind w:right="100" w:firstLine="322"/>
        <w:spacing w:after="0" w:line="274" w:lineRule="auto"/>
        <w:rPr>
          <w:sz w:val="20"/>
          <w:szCs w:val="20"/>
          <w:color w:val="auto"/>
        </w:rPr>
      </w:pPr>
      <w:r>
        <w:rPr>
          <w:rFonts w:ascii="Arial" w:cs="Arial" w:eastAsia="Arial" w:hAnsi="Arial"/>
          <w:sz w:val="17"/>
          <w:szCs w:val="17"/>
          <w:color w:val="auto"/>
        </w:rPr>
        <w:t>Telos Corporation, together with its subsidiaries (the “Company” or “Telos” or “We”), offers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173" w:lineRule="exact"/>
        <w:rPr>
          <w:sz w:val="20"/>
          <w:szCs w:val="20"/>
          <w:color w:val="auto"/>
        </w:rPr>
      </w:pPr>
    </w:p>
    <w:p>
      <w:pPr>
        <w:ind w:right="20" w:firstLine="322"/>
        <w:spacing w:after="0" w:line="274" w:lineRule="auto"/>
        <w:rPr>
          <w:sz w:val="20"/>
          <w:szCs w:val="20"/>
          <w:color w:val="auto"/>
        </w:rPr>
      </w:pPr>
      <w:r>
        <w:rPr>
          <w:rFonts w:ascii="Arial" w:cs="Arial" w:eastAsia="Arial" w:hAnsi="Arial"/>
          <w:sz w:val="17"/>
          <w:szCs w:val="17"/>
          <w:color w:val="auto"/>
        </w:rPr>
        <w:t>The Company was incorporated as a Maryland corporation in October 1971. On November 19, 2020, we completed our initial public offering ("IPO") of shares of our common stock. We issued 17.2 million shares of our common stock at a price of $17.00 per share, generating net proceeds of approximately $272.8 million. We used approximately $108.9 million of the net proceeds in connection with the conversion of our outstanding shares of 12% Exchangeable Redeemable Preferred Stock into the right to receive cash and shares of our common stock, $30.0 million to fund our acquisition of the outstanding Class B Units of Telos ID, and $21.0 million to repay our outstanding senior term loan and subordinated debt.</w:t>
      </w:r>
    </w:p>
    <w:p>
      <w:pPr>
        <w:spacing w:after="0" w:line="173" w:lineRule="exact"/>
        <w:rPr>
          <w:sz w:val="20"/>
          <w:szCs w:val="20"/>
          <w:color w:val="auto"/>
        </w:rPr>
      </w:pPr>
    </w:p>
    <w:p>
      <w:pPr>
        <w:ind w:right="100" w:firstLine="322"/>
        <w:spacing w:after="0" w:line="254" w:lineRule="auto"/>
        <w:rPr>
          <w:sz w:val="20"/>
          <w:szCs w:val="20"/>
          <w:color w:val="auto"/>
        </w:rPr>
      </w:pPr>
      <w:r>
        <w:rPr>
          <w:rFonts w:ascii="Arial" w:cs="Arial" w:eastAsia="Arial" w:hAnsi="Arial"/>
          <w:sz w:val="18"/>
          <w:szCs w:val="18"/>
          <w:color w:val="auto"/>
        </w:rPr>
        <w:t>On April 6, 2021, we completed our follow-on offering of 9.1 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warrants to purchase 900,970 shares of our common stock owned by Enlightenment Capital Solution ("EnCap"). Further, on July 30, 2021, we used approximately $5.9 million of the net proceeds to acquire the assets of Diamond Fortress Technologies ("DFT").</w:t>
      </w:r>
    </w:p>
    <w:p>
      <w:pPr>
        <w:spacing w:after="0" w:line="189" w:lineRule="exact"/>
        <w:rPr>
          <w:sz w:val="20"/>
          <w:szCs w:val="20"/>
          <w:color w:val="auto"/>
        </w:rPr>
      </w:pPr>
    </w:p>
    <w:p>
      <w:pPr>
        <w:jc w:val="both"/>
        <w:ind w:right="80" w:firstLine="322"/>
        <w:spacing w:after="0" w:line="309" w:lineRule="auto"/>
        <w:rPr>
          <w:sz w:val="20"/>
          <w:szCs w:val="20"/>
          <w:color w:val="auto"/>
        </w:rPr>
      </w:pPr>
      <w:r>
        <w:rPr>
          <w:rFonts w:ascii="Arial" w:cs="Arial" w:eastAsia="Arial" w:hAnsi="Arial"/>
          <w:sz w:val="16"/>
          <w:szCs w:val="16"/>
          <w:color w:val="auto"/>
        </w:rPr>
        <w:t>We intend to use the remaining net proceeds of the IPO and the follow-on offering for general corporate purposes. We also may use a portion of the net proceeds to acquire complementary businesses, products, services, or technologies. The amounts and timing of our actual use of the net proceeds will vary depending on numerous factors. Proceeds held by us are invested in short-term investments until needed for the uses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 Cyber, Cloud, and Enterprise Security</w:t>
      </w:r>
    </w:p>
    <w:p>
      <w:pPr>
        <w:spacing w:after="0" w:line="226" w:lineRule="exact"/>
        <w:rPr>
          <w:sz w:val="20"/>
          <w:szCs w:val="20"/>
          <w:color w:val="auto"/>
        </w:rPr>
      </w:pPr>
    </w:p>
    <w:p>
      <w:pPr>
        <w:ind w:right="80" w:firstLine="322"/>
        <w:spacing w:after="0" w:line="294" w:lineRule="auto"/>
        <w:rPr>
          <w:sz w:val="20"/>
          <w:szCs w:val="20"/>
          <w:color w:val="auto"/>
        </w:rPr>
      </w:pPr>
      <w:r>
        <w:rPr>
          <w:rFonts w:ascii="Arial" w:cs="Arial" w:eastAsia="Arial" w:hAnsi="Arial"/>
          <w:sz w:val="16"/>
          <w:szCs w:val="16"/>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information and communications technology ("ICT")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61" w:lineRule="exact"/>
        <w:rPr>
          <w:sz w:val="20"/>
          <w:szCs w:val="20"/>
          <w:color w:val="auto"/>
        </w:rPr>
      </w:pPr>
    </w:p>
    <w:p>
      <w:pPr>
        <w:ind w:right="260" w:firstLine="322"/>
        <w:spacing w:after="0" w:line="291" w:lineRule="auto"/>
        <w:rPr>
          <w:sz w:val="20"/>
          <w:szCs w:val="20"/>
          <w:color w:val="auto"/>
        </w:rPr>
      </w:pPr>
      <w:r>
        <w:rPr>
          <w:rFonts w:ascii="Arial" w:cs="Arial" w:eastAsia="Arial" w:hAnsi="Arial"/>
          <w:sz w:val="16"/>
          <w:szCs w:val="16"/>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gives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 Our security solutions span across the following domains: Cybersecurity, Cloud Security and Enterprise Security.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Customers</w:t>
      </w:r>
    </w:p>
    <w:p>
      <w:pPr>
        <w:spacing w:after="0" w:line="226" w:lineRule="exact"/>
        <w:rPr>
          <w:sz w:val="20"/>
          <w:szCs w:val="20"/>
          <w:color w:val="auto"/>
        </w:rPr>
      </w:pPr>
    </w:p>
    <w:p>
      <w:pPr>
        <w:ind w:firstLine="322"/>
        <w:spacing w:after="0" w:line="261" w:lineRule="auto"/>
        <w:rPr>
          <w:sz w:val="20"/>
          <w:szCs w:val="20"/>
          <w:color w:val="auto"/>
        </w:rPr>
      </w:pPr>
      <w:r>
        <w:rPr>
          <w:rFonts w:ascii="Arial" w:cs="Arial" w:eastAsia="Arial" w:hAnsi="Arial"/>
          <w:sz w:val="18"/>
          <w:szCs w:val="18"/>
          <w:color w:val="auto"/>
        </w:rPr>
        <w:t>Our customer base consists of the United States ("U.S.") federal government, large commercial businesses, state and local governments, and international customers. Our consolidated revenues are largely attributable to prime contracts or to subcontracts with our contractors engaged in work for the U.S. government; with the remaining attributable to state, local and commercial markets.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firstLine="322"/>
        <w:spacing w:after="0" w:line="274" w:lineRule="auto"/>
        <w:rPr>
          <w:sz w:val="20"/>
          <w:szCs w:val="20"/>
          <w:color w:val="auto"/>
        </w:rPr>
      </w:pPr>
      <w:r>
        <w:rPr>
          <w:rFonts w:ascii="Arial" w:cs="Arial" w:eastAsia="Arial" w:hAnsi="Arial"/>
          <w:sz w:val="17"/>
          <w:szCs w:val="17"/>
          <w:color w:val="auto"/>
        </w:rPr>
        <w:t>Our federal government customers include the Department of Defense (“DoD”), the Central Intelligence Agency (“CIA”) and multiple other agencies within the Intelligence Community (“IC”), Defense Manpower Data Center, and multiple civilian agencies, including the Department of Homeland Security (“DHS”), the U.S. Department of State (“DoS”), the Federal Bureau of Investigation (“FBI”), Department of Health and Human Services ("DHHS"), and U.S. Census Bureau. These customers have a number of subsidiary agencies that have separate budgets and procurement functions. Our contracts may be with the highest level of these agencies or with the subsidiary agencies of these customers.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commercial customers include leading enterprises such as Amazon.com, Inc., Microsoft Corporation, Zscaler and Salesforce.com, Inc.</w:t>
      </w:r>
    </w:p>
    <w:p>
      <w:pPr>
        <w:spacing w:after="0" w:line="234" w:lineRule="exact"/>
        <w:rPr>
          <w:sz w:val="20"/>
          <w:szCs w:val="20"/>
          <w:color w:val="auto"/>
        </w:rPr>
      </w:pPr>
    </w:p>
    <w:p>
      <w:pPr>
        <w:ind w:right="20" w:firstLine="322"/>
        <w:spacing w:after="0" w:line="254" w:lineRule="auto"/>
        <w:rPr>
          <w:sz w:val="20"/>
          <w:szCs w:val="20"/>
          <w:color w:val="auto"/>
        </w:rPr>
      </w:pPr>
      <w:r>
        <w:rPr>
          <w:rFonts w:ascii="Arial" w:cs="Arial" w:eastAsia="Arial" w:hAnsi="Arial"/>
          <w:sz w:val="18"/>
          <w:szCs w:val="18"/>
          <w:color w:val="auto"/>
        </w:rPr>
        <w:t>We have conducted business with over 300 customers in each of the last three years. For the year ended December 31, 2021, a significant portion of our revenue was derived from sole-source contracts or contracts for which we had limited competition. Our customers are highly targeted by cyber attackers and require continuous real-time insights to make informed decisions about how to effectively balance the constraints of security risk with the freedom to act and decide in the best interests of the organization and the greater good of the public. Our advanced security solutions help protect and ensure confidence in the information that is vital to the world’s most important commercial and governmental organizations, national security, and mission success for the war fighter.</w:t>
      </w:r>
    </w:p>
    <w:p>
      <w:pPr>
        <w:spacing w:after="0" w:line="189" w:lineRule="exact"/>
        <w:rPr>
          <w:sz w:val="20"/>
          <w:szCs w:val="20"/>
          <w:color w:val="auto"/>
        </w:rPr>
      </w:pPr>
    </w:p>
    <w:p>
      <w:pPr>
        <w:ind w:right="80" w:firstLine="322"/>
        <w:spacing w:after="0" w:line="257" w:lineRule="auto"/>
        <w:rPr>
          <w:sz w:val="20"/>
          <w:szCs w:val="20"/>
          <w:color w:val="auto"/>
        </w:rPr>
      </w:pPr>
      <w:r>
        <w:rPr>
          <w:rFonts w:ascii="Arial" w:cs="Arial" w:eastAsia="Arial" w:hAnsi="Arial"/>
          <w:sz w:val="18"/>
          <w:szCs w:val="18"/>
          <w:color w:val="auto"/>
        </w:rPr>
        <w:t>Our security solutions are the product of the extensive labor investment in developing our intellectual property and highly sophisticated software technology. These investments helped us expand with commercial customers, and win additional contracts within the military, the IC and civilian government agencies. Once our security solutions are embedded in our customers’ technology infrastructure, these customer relationships often expand and lead to us providing additional security solutions.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226" w:lineRule="exact"/>
        <w:rPr>
          <w:sz w:val="20"/>
          <w:szCs w:val="20"/>
          <w:color w:val="auto"/>
        </w:rPr>
      </w:pPr>
    </w:p>
    <w:p>
      <w:pPr>
        <w:ind w:firstLine="322"/>
        <w:spacing w:after="0" w:line="255" w:lineRule="auto"/>
        <w:rPr>
          <w:sz w:val="20"/>
          <w:szCs w:val="20"/>
          <w:color w:val="auto"/>
        </w:rPr>
      </w:pPr>
      <w:r>
        <w:rPr>
          <w:rFonts w:ascii="Arial" w:cs="Arial" w:eastAsia="Arial" w:hAnsi="Arial"/>
          <w:sz w:val="18"/>
          <w:szCs w:val="18"/>
          <w:color w:val="auto"/>
        </w:rPr>
        <w:t>Our market includes organizations in business across industry verticals, government, and the military. We believe that digital transformation is a reality for these organizations and that the ICT systems they depend on for their success and security are subject to unprecedented levels of stress, threat, and attack. Market-disrupting technologies, a global pandemic, and economic uncertainty make it difficult for these organizations to plan for business expansion, develop new programs in service to the public, or prepare military forces for the nation’s defense. Public and private enterprises alike face the following dynamic challenges that threaten their security:</w:t>
      </w:r>
    </w:p>
    <w:p>
      <w:pPr>
        <w:spacing w:after="0" w:line="189" w:lineRule="exact"/>
        <w:rPr>
          <w:sz w:val="20"/>
          <w:szCs w:val="20"/>
          <w:color w:val="auto"/>
        </w:rPr>
      </w:pPr>
    </w:p>
    <w:p>
      <w:pPr>
        <w:ind w:left="660" w:right="40" w:hanging="331"/>
        <w:spacing w:after="0" w:line="254" w:lineRule="auto"/>
        <w:tabs>
          <w:tab w:leader="none" w:pos="655"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Heavy dependence on information and operational technologies ("OT"). </w:t>
      </w:r>
      <w:r>
        <w:rPr>
          <w:rFonts w:ascii="Arial" w:cs="Arial" w:eastAsia="Arial" w:hAnsi="Arial"/>
          <w:sz w:val="18"/>
          <w:szCs w:val="18"/>
          <w:color w:val="auto"/>
        </w:rPr>
        <w:t>Organizations are increasingly dependent on technology, including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and wireless applications, cloud-based resources, industrial internet of things (“IoT”), industrial control systems (“ICS”), supervisory control and data acquisition (“SCADA”), and others.</w:t>
      </w:r>
    </w:p>
    <w:p>
      <w:pPr>
        <w:spacing w:after="0" w:line="1" w:lineRule="exact"/>
        <w:rPr>
          <w:rFonts w:ascii="Arial" w:cs="Arial" w:eastAsia="Arial" w:hAnsi="Arial"/>
          <w:sz w:val="18"/>
          <w:szCs w:val="18"/>
          <w:i w:val="1"/>
          <w:iCs w:val="1"/>
          <w:color w:val="auto"/>
        </w:rPr>
      </w:pPr>
    </w:p>
    <w:p>
      <w:pPr>
        <w:ind w:left="660" w:right="400" w:hanging="331"/>
        <w:spacing w:after="0" w:line="248" w:lineRule="auto"/>
        <w:tabs>
          <w:tab w:leader="none" w:pos="655"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Digital transformation and accelerating migration to the cloud. </w:t>
      </w:r>
      <w:r>
        <w:rPr>
          <w:rFonts w:ascii="Arial" w:cs="Arial" w:eastAsia="Arial" w:hAnsi="Arial"/>
          <w:sz w:val="18"/>
          <w:szCs w:val="18"/>
          <w:color w:val="auto"/>
        </w:rPr>
        <w:t>Enterprises and government agencies are accelerating the migration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storage, and ICT/OT infrastructure to hosted and cloud environments. More organizations – including highly security-conscious agencies within the U.S. government and commercial entities – are gaining comfort and confidence in the cloud, taking advantage of the rapid application development, greater flexibility, and strategic agility that the cloud offers.</w:t>
      </w:r>
    </w:p>
    <w:p>
      <w:pPr>
        <w:spacing w:after="0" w:line="3" w:lineRule="exact"/>
        <w:rPr>
          <w:rFonts w:ascii="Arial" w:cs="Arial" w:eastAsia="Arial" w:hAnsi="Arial"/>
          <w:sz w:val="18"/>
          <w:szCs w:val="18"/>
          <w:i w:val="1"/>
          <w:iCs w:val="1"/>
          <w:color w:val="auto"/>
        </w:rPr>
      </w:pPr>
    </w:p>
    <w:p>
      <w:pPr>
        <w:ind w:left="660" w:hanging="331"/>
        <w:spacing w:after="0" w:line="248" w:lineRule="auto"/>
        <w:tabs>
          <w:tab w:leader="none" w:pos="655"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Ability to work across and beyond the enterprise. </w:t>
      </w:r>
      <w:r>
        <w:rPr>
          <w:rFonts w:ascii="Arial" w:cs="Arial" w:eastAsia="Arial" w:hAnsi="Arial"/>
          <w:sz w:val="18"/>
          <w:szCs w:val="18"/>
          <w:color w:val="auto"/>
        </w:rPr>
        <w:t>Organizations are no longer defined by or confined by real estate, geography, or personnel rosters.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and applications are now accessible in the cloud. Mobile devices free personnel to work wherever their mission takes them. Employees, contractors, and partners collaborate in the physical and digital domains, trusting that they can rely on the integrity and trustworthiness of their people and their systems.</w:t>
      </w:r>
    </w:p>
    <w:p>
      <w:pPr>
        <w:spacing w:after="0" w:line="3" w:lineRule="exact"/>
        <w:rPr>
          <w:rFonts w:ascii="Arial" w:cs="Arial" w:eastAsia="Arial" w:hAnsi="Arial"/>
          <w:sz w:val="18"/>
          <w:szCs w:val="18"/>
          <w:i w:val="1"/>
          <w:iCs w:val="1"/>
          <w:color w:val="auto"/>
        </w:rPr>
      </w:pPr>
    </w:p>
    <w:p>
      <w:pPr>
        <w:ind w:left="660" w:right="180" w:hanging="331"/>
        <w:spacing w:after="0" w:line="251" w:lineRule="auto"/>
        <w:tabs>
          <w:tab w:leader="none" w:pos="655" w:val="left"/>
        </w:tabs>
        <w:numPr>
          <w:ilvl w:val="0"/>
          <w:numId w:val="1"/>
        </w:numPr>
        <w:rPr>
          <w:rFonts w:ascii="Arial" w:cs="Arial" w:eastAsia="Arial" w:hAnsi="Arial"/>
          <w:sz w:val="18"/>
          <w:szCs w:val="18"/>
          <w:i w:val="1"/>
          <w:iCs w:val="1"/>
          <w:color w:val="070808"/>
        </w:rPr>
      </w:pPr>
      <w:r>
        <w:rPr>
          <w:rFonts w:ascii="Arial" w:cs="Arial" w:eastAsia="Arial" w:hAnsi="Arial"/>
          <w:sz w:val="18"/>
          <w:szCs w:val="18"/>
          <w:i w:val="1"/>
          <w:iCs w:val="1"/>
          <w:color w:val="auto"/>
        </w:rPr>
        <w:t xml:space="preserve">Turbulent technology environment due to </w:t>
      </w:r>
      <w:r>
        <w:rPr>
          <w:rFonts w:ascii="Arial" w:cs="Arial" w:eastAsia="Arial" w:hAnsi="Arial"/>
          <w:sz w:val="18"/>
          <w:szCs w:val="18"/>
          <w:i w:val="1"/>
          <w:iCs w:val="1"/>
          <w:color w:val="070808"/>
        </w:rPr>
        <w:t>Coronavirus disease 2019 ("</w:t>
      </w:r>
      <w:r>
        <w:rPr>
          <w:rFonts w:ascii="Arial" w:cs="Arial" w:eastAsia="Arial" w:hAnsi="Arial"/>
          <w:sz w:val="18"/>
          <w:szCs w:val="18"/>
          <w:i w:val="1"/>
          <w:iCs w:val="1"/>
          <w:color w:val="auto"/>
        </w:rPr>
        <w:t xml:space="preserve">COVID-19"). </w:t>
      </w:r>
      <w:r>
        <w:rPr>
          <w:rFonts w:ascii="Arial" w:cs="Arial" w:eastAsia="Arial" w:hAnsi="Arial"/>
          <w:sz w:val="18"/>
          <w:szCs w:val="18"/>
          <w:color w:val="auto"/>
        </w:rPr>
        <w:t>The COVID-19 pandemic has accelerated the growth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remote workforce and thus, cyber risk. Existing technologies for mobility are being stretched to the limit, and enterprises are facing dramatic growth in cyberattack risk as a result of personnel and systems that are still adjusting to an increasing number of workers accessing systems remotely. Ransomware, phishing attempts, and inadequate virtual private networks (“VPNs”) all contribute to a significant increase in threats and vulnerabilities.</w:t>
      </w:r>
    </w:p>
    <w:p>
      <w:pPr>
        <w:spacing w:after="0" w:line="191" w:lineRule="exact"/>
        <w:rPr>
          <w:sz w:val="20"/>
          <w:szCs w:val="20"/>
          <w:color w:val="auto"/>
        </w:rPr>
      </w:pPr>
    </w:p>
    <w:p>
      <w:pPr>
        <w:jc w:val="both"/>
        <w:ind w:right="280" w:firstLine="322"/>
        <w:spacing w:after="0" w:line="261" w:lineRule="auto"/>
        <w:rPr>
          <w:sz w:val="20"/>
          <w:szCs w:val="20"/>
          <w:color w:val="auto"/>
        </w:rPr>
      </w:pPr>
      <w:r>
        <w:rPr>
          <w:rFonts w:ascii="Arial" w:cs="Arial" w:eastAsia="Arial" w:hAnsi="Arial"/>
          <w:sz w:val="18"/>
          <w:szCs w:val="18"/>
          <w:color w:val="auto"/>
        </w:rPr>
        <w:t>The networked nature of enterprise technologies and the ability to work outside the organizational perimeter result in increased risk and the constant threat of attack. In particular, the cloud adds new complexities due to the shared responsibility of cloud security and the need to manage and maintain the compliance of cloud-based resources.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firstLine="322"/>
        <w:spacing w:after="0" w:line="277" w:lineRule="auto"/>
        <w:rPr>
          <w:sz w:val="20"/>
          <w:szCs w:val="20"/>
          <w:color w:val="auto"/>
        </w:rPr>
      </w:pPr>
      <w:r>
        <w:rPr>
          <w:rFonts w:ascii="Arial" w:cs="Arial" w:eastAsia="Arial" w:hAnsi="Arial"/>
          <w:sz w:val="17"/>
          <w:szCs w:val="17"/>
          <w:color w:val="auto"/>
        </w:rPr>
        <w:t>Our solutions across a wide variety of use cases are designed to address our customers’ proliferating need to understand and address cybersecurity risk, reduce the organizational attack surface, enhance enterprise mobility, expand adoption of cloud computing, and manage and protect identities in an increasingly dynamic and intensifying threat landscape. By addressing the breadth of our customers’ complex and evolving needs, we believe that our total addressable market in 2022 for the security services and products that we provide is over $80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86" w:lineRule="exact"/>
        <w:rPr>
          <w:sz w:val="20"/>
          <w:szCs w:val="20"/>
          <w:color w:val="auto"/>
        </w:rPr>
      </w:pPr>
    </w:p>
    <w:p>
      <w:pPr>
        <w:jc w:val="both"/>
        <w:ind w:right="140" w:firstLine="322"/>
        <w:spacing w:after="0" w:line="277" w:lineRule="auto"/>
        <w:rPr>
          <w:sz w:val="20"/>
          <w:szCs w:val="20"/>
          <w:color w:val="auto"/>
        </w:rPr>
      </w:pPr>
      <w:r>
        <w:rPr>
          <w:rFonts w:ascii="Arial" w:cs="Arial" w:eastAsia="Arial" w:hAnsi="Arial"/>
          <w:sz w:val="17"/>
          <w:szCs w:val="17"/>
          <w:color w:val="auto"/>
        </w:rPr>
        <w:t>During the last quarter of 2021, we changed our segment reporting to reflect changes to our organization and leadership structure. These changes align with the Company's operational and strategic objectives and mission to meet the customer demand for information technology ("IT") solutions. As a result, we established two segments - Security Solutions and Secure Networks - which previously was one operating and reportable business segment. With these changes, the following is a description of the principal activities that comprise each of our two operating segments: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Solutions:</w:t>
      </w:r>
    </w:p>
    <w:p>
      <w:pPr>
        <w:spacing w:after="0" w:line="169" w:lineRule="exact"/>
        <w:rPr>
          <w:sz w:val="20"/>
          <w:szCs w:val="20"/>
          <w:color w:val="auto"/>
        </w:rPr>
      </w:pPr>
    </w:p>
    <w:p>
      <w:pPr>
        <w:ind w:right="100" w:firstLine="322"/>
        <w:spacing w:after="0" w:line="237" w:lineRule="auto"/>
        <w:rPr>
          <w:sz w:val="20"/>
          <w:szCs w:val="20"/>
          <w:color w:val="auto"/>
        </w:rPr>
      </w:pPr>
      <w:r>
        <w:rPr>
          <w:rFonts w:ascii="Arial" w:cs="Arial" w:eastAsia="Arial" w:hAnsi="Arial"/>
          <w:sz w:val="17"/>
          <w:szCs w:val="17"/>
          <w:color w:val="auto"/>
        </w:rPr>
        <w:t>The Security Solutions segment focuses on cybersecurity, cloud, and identity solutions. Cybersecurity solutions help our customers ensure the ongoing security, integrity and compliance of their on-premises and related cloud-based systems by reducing threats and vulnerabilities to foil cyber adversaries before they can attack. Our security engineers and subject matter experts assess our customers’ cybersecurity environments and design, engineer, and operate systems needed to strengthen their cybersecurity postures. Our cloud solutions leverage the specialized skills and experience needed to help our customers plan, engineer, execute and accelerate secure cloud migrations while assuring ongoing management and security of enterprise cloud technology environments. Our identity solutions deliver digital identity, biometric, and nationwide enrollment services and address Know Your Customer ("KYC") and identity management challenges for enterprises working within regulated and critical infrastructure environments. Security Solutions represented 51.0%, 65.2% and 64.0% of total revenues for fiscal 2021, 2020 and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 Networks:</w:t>
      </w:r>
    </w:p>
    <w:p>
      <w:pPr>
        <w:spacing w:after="0" w:line="209" w:lineRule="exact"/>
        <w:rPr>
          <w:sz w:val="20"/>
          <w:szCs w:val="20"/>
          <w:color w:val="auto"/>
        </w:rPr>
      </w:pPr>
    </w:p>
    <w:p>
      <w:pPr>
        <w:ind w:firstLine="322"/>
        <w:spacing w:after="0" w:line="291" w:lineRule="auto"/>
        <w:rPr>
          <w:sz w:val="20"/>
          <w:szCs w:val="20"/>
          <w:color w:val="auto"/>
        </w:rPr>
      </w:pPr>
      <w:r>
        <w:rPr>
          <w:rFonts w:ascii="Arial" w:cs="Arial" w:eastAsia="Arial" w:hAnsi="Arial"/>
          <w:sz w:val="16"/>
          <w:szCs w:val="16"/>
          <w:color w:val="auto"/>
        </w:rPr>
        <w:t>The Secure Networks segment provides secure networking architectures and solutions to the DoD, IC and other federal governmental agencies. Our net-centric solutions enable collaboration and connectivity in order to increase efficiency, reduce costs, and improve mission outcomes. Telos provides an extensive range of wired and wireless, fixed and deployable, classified and unclassified voice, data, and video secure network solutions and services to support defense and civilian missions. Capabilities include network design, operations, and sustainment; system integration and engineering; network security and compliance; deployable comms; innovation and digital transformation; service desk; defensive cyber operations; and program management. Secure Networks represented 49.0%, 34.8% and 36.0% of total revenues for fiscal years 2021, 2020 and 2019, respectively.</w:t>
      </w:r>
    </w:p>
    <w:p>
      <w:pPr>
        <w:spacing w:after="0" w:line="165" w:lineRule="exact"/>
        <w:rPr>
          <w:sz w:val="20"/>
          <w:szCs w:val="20"/>
          <w:color w:val="auto"/>
        </w:rPr>
      </w:pPr>
    </w:p>
    <w:p>
      <w:pPr>
        <w:ind w:right="120" w:firstLine="322"/>
        <w:spacing w:after="0" w:line="274" w:lineRule="auto"/>
        <w:rPr>
          <w:rFonts w:ascii="Arial" w:cs="Arial" w:eastAsia="Arial" w:hAnsi="Arial"/>
          <w:sz w:val="18"/>
          <w:szCs w:val="18"/>
          <w:color w:val="auto"/>
        </w:rPr>
      </w:pPr>
      <w:r>
        <w:rPr>
          <w:rFonts w:ascii="Arial" w:cs="Arial" w:eastAsia="Arial" w:hAnsi="Arial"/>
          <w:sz w:val="18"/>
          <w:szCs w:val="18"/>
          <w:color w:val="auto"/>
        </w:rPr>
        <w:t xml:space="preserve">Additional information regarding our segments is presented in </w:t>
      </w:r>
      <w:hyperlink w:anchor="page84">
        <w:r>
          <w:rPr>
            <w:rFonts w:ascii="Arial" w:cs="Arial" w:eastAsia="Arial" w:hAnsi="Arial"/>
            <w:sz w:val="18"/>
            <w:szCs w:val="18"/>
            <w:u w:val="single" w:color="auto"/>
            <w:color w:val="0000FF"/>
          </w:rPr>
          <w:t>Note 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Segment Information to the consolidated financial statements at Item 8 of this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Offerings</w:t>
      </w:r>
    </w:p>
    <w:p>
      <w:pPr>
        <w:spacing w:after="0" w:line="226" w:lineRule="exact"/>
        <w:rPr>
          <w:sz w:val="20"/>
          <w:szCs w:val="20"/>
          <w:color w:val="auto"/>
        </w:rPr>
      </w:pPr>
    </w:p>
    <w:p>
      <w:pPr>
        <w:ind w:right="60" w:firstLine="322"/>
        <w:spacing w:after="0" w:line="226" w:lineRule="auto"/>
        <w:rPr>
          <w:sz w:val="20"/>
          <w:szCs w:val="20"/>
          <w:color w:val="auto"/>
        </w:rPr>
      </w:pPr>
      <w:r>
        <w:rPr>
          <w:rFonts w:ascii="Arial" w:cs="Arial" w:eastAsia="Arial" w:hAnsi="Arial"/>
          <w:sz w:val="18"/>
          <w:szCs w:val="18"/>
          <w:color w:val="auto"/>
        </w:rPr>
        <w:t>We refer to our cyber and cloud applications as Security Solutions, which includes Information Assurance / Xacta</w:t>
      </w:r>
      <w:r>
        <w:rPr>
          <w:rFonts w:ascii="Arial" w:cs="Arial" w:eastAsia="Arial" w:hAnsi="Arial"/>
          <w:sz w:val="23"/>
          <w:szCs w:val="23"/>
          <w:color w:val="auto"/>
          <w:vertAlign w:val="superscript"/>
        </w:rPr>
        <w:t>®</w:t>
      </w:r>
      <w:r>
        <w:rPr>
          <w:rFonts w:ascii="Arial" w:cs="Arial" w:eastAsia="Arial" w:hAnsi="Arial"/>
          <w:sz w:val="18"/>
          <w:szCs w:val="18"/>
          <w:color w:val="auto"/>
        </w:rPr>
        <w:t>, Secure Communications, and Telos ID. We refer to our offerings for enterprise security as Secure Networks.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Solutions</w:t>
      </w:r>
    </w:p>
    <w:p>
      <w:pPr>
        <w:spacing w:after="0" w:line="218" w:lineRule="exact"/>
        <w:rPr>
          <w:sz w:val="20"/>
          <w:szCs w:val="20"/>
          <w:color w:val="auto"/>
        </w:rPr>
      </w:pPr>
    </w:p>
    <w:p>
      <w:pPr>
        <w:ind w:left="660" w:right="20" w:hanging="331"/>
        <w:spacing w:after="0" w:line="259"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Assurance / Xacta</w:t>
      </w:r>
      <w:r>
        <w:rPr>
          <w:rFonts w:ascii="Arial" w:cs="Arial" w:eastAsia="Arial" w:hAnsi="Arial"/>
          <w:sz w:val="18"/>
          <w:szCs w:val="18"/>
          <w:color w:val="auto"/>
        </w:rPr>
        <w:t>: a premier platform for enterprise cyber risk management and security compliance automation, delivering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for systems in the cloud, on-premises, and in hybrid and multi-cloud environments. Xacta delivers automated cyber risk and compliance management solutions to large commercial and government enterprises. Across the U.S. federal government, Xacta is the de facto commercial cyber risk and compliance management solution.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354" w:lineRule="exact"/>
        <w:rPr>
          <w:sz w:val="20"/>
          <w:szCs w:val="20"/>
          <w:color w:val="auto"/>
        </w:rPr>
      </w:pPr>
    </w:p>
    <w:p>
      <w:pPr>
        <w:ind w:left="640" w:hanging="311"/>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Secure Communications:</w:t>
      </w:r>
    </w:p>
    <w:p>
      <w:pPr>
        <w:spacing w:after="0" w:line="31" w:lineRule="exact"/>
        <w:rPr>
          <w:rFonts w:ascii="Arial" w:cs="Arial" w:eastAsia="Arial" w:hAnsi="Arial"/>
          <w:sz w:val="18"/>
          <w:szCs w:val="18"/>
          <w:b w:val="1"/>
          <w:bCs w:val="1"/>
          <w:color w:val="auto"/>
        </w:rPr>
      </w:pPr>
    </w:p>
    <w:p>
      <w:pPr>
        <w:ind w:left="1220" w:right="100" w:hanging="568"/>
        <w:spacing w:after="0" w:line="245" w:lineRule="auto"/>
        <w:tabs>
          <w:tab w:leader="none" w:pos="1216" w:val="left"/>
        </w:tabs>
        <w:numPr>
          <w:ilvl w:val="1"/>
          <w:numId w:val="3"/>
        </w:numPr>
        <w:rPr>
          <w:rFonts w:ascii="Arial" w:cs="Arial" w:eastAsia="Arial" w:hAnsi="Arial"/>
          <w:sz w:val="21"/>
          <w:szCs w:val="21"/>
          <w:color w:val="auto"/>
        </w:rPr>
      </w:pPr>
      <w:r>
        <w:rPr>
          <w:rFonts w:ascii="Arial" w:cs="Arial" w:eastAsia="Arial" w:hAnsi="Arial"/>
          <w:sz w:val="17"/>
          <w:szCs w:val="17"/>
          <w:b w:val="1"/>
          <w:bCs w:val="1"/>
          <w:color w:val="auto"/>
        </w:rPr>
        <w:t>Telos Ghost</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a virtual obfuscation network-as-a-service with encryption and managed attribution capabilities to ensure the safety and</w:t>
      </w:r>
      <w:r>
        <w:rPr>
          <w:rFonts w:ascii="Arial" w:cs="Arial" w:eastAsia="Arial" w:hAnsi="Arial"/>
          <w:sz w:val="17"/>
          <w:szCs w:val="17"/>
          <w:b w:val="1"/>
          <w:bCs w:val="1"/>
          <w:color w:val="auto"/>
        </w:rPr>
        <w:t xml:space="preserve"> </w:t>
      </w:r>
      <w:r>
        <w:rPr>
          <w:rFonts w:ascii="Arial" w:cs="Arial" w:eastAsia="Arial" w:hAnsi="Arial"/>
          <w:sz w:val="17"/>
          <w:szCs w:val="17"/>
          <w:color w:val="auto"/>
        </w:rPr>
        <w:t>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181" w:lineRule="exact"/>
        <w:rPr>
          <w:rFonts w:ascii="Arial" w:cs="Arial" w:eastAsia="Arial" w:hAnsi="Arial"/>
          <w:sz w:val="21"/>
          <w:szCs w:val="21"/>
          <w:color w:val="auto"/>
        </w:rPr>
      </w:pPr>
    </w:p>
    <w:p>
      <w:pPr>
        <w:ind w:left="1220" w:right="180" w:hanging="568"/>
        <w:spacing w:after="0" w:line="256" w:lineRule="auto"/>
        <w:tabs>
          <w:tab w:leader="none" w:pos="1216"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Telos Automated Message Handling System (“AMHS”)</w:t>
      </w:r>
      <w:r>
        <w:rPr>
          <w:rFonts w:ascii="Arial" w:cs="Arial" w:eastAsia="Arial" w:hAnsi="Arial"/>
          <w:sz w:val="18"/>
          <w:szCs w:val="18"/>
          <w:color w:val="auto"/>
        </w:rPr>
        <w:t>: web-based organizational message distribution and management for mission-critical communications; the recognized gold standard for organizational messaging in the U.S. government. Telos AMHS is used by military field operatives for critical communications on the battlefield and is the only web-based solution for assured messaging and directory services using the Defense Information System Agency’s (“DISA”) Organizational Messaging Service and its specialized communications protocols.</w:t>
      </w:r>
    </w:p>
    <w:p>
      <w:pPr>
        <w:spacing w:after="0" w:line="183" w:lineRule="exact"/>
        <w:rPr>
          <w:rFonts w:ascii="Arial" w:cs="Arial" w:eastAsia="Arial" w:hAnsi="Arial"/>
          <w:sz w:val="18"/>
          <w:szCs w:val="18"/>
          <w:b w:val="1"/>
          <w:bCs w:val="1"/>
          <w:color w:val="auto"/>
        </w:rPr>
      </w:pPr>
    </w:p>
    <w:p>
      <w:pPr>
        <w:ind w:left="660" w:right="80" w:hanging="331"/>
        <w:spacing w:after="0" w:line="237"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Telos ID</w:t>
      </w:r>
      <w:r>
        <w:rPr>
          <w:rFonts w:ascii="Arial" w:cs="Arial" w:eastAsia="Arial" w:hAnsi="Arial"/>
          <w:sz w:val="17"/>
          <w:szCs w:val="17"/>
          <w:color w:val="auto"/>
        </w:rPr>
        <w:t>: offering identity trust and digital services through IDTrust360</w:t>
      </w:r>
      <w:r>
        <w:rPr>
          <w:rFonts w:ascii="Arial" w:cs="Arial" w:eastAsia="Arial" w:hAnsi="Arial"/>
          <w:sz w:val="22"/>
          <w:szCs w:val="22"/>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an enterprise-class digital identity risk platform for extending flexible</w:t>
      </w:r>
      <w:r>
        <w:rPr>
          <w:rFonts w:ascii="Arial" w:cs="Arial" w:eastAsia="Arial" w:hAnsi="Arial"/>
          <w:sz w:val="17"/>
          <w:szCs w:val="17"/>
          <w:b w:val="1"/>
          <w:bCs w:val="1"/>
          <w:color w:val="auto"/>
        </w:rPr>
        <w:t xml:space="preserve"> </w:t>
      </w:r>
      <w:r>
        <w:rPr>
          <w:rFonts w:ascii="Arial" w:cs="Arial" w:eastAsia="Arial" w:hAnsi="Arial"/>
          <w:sz w:val="17"/>
          <w:szCs w:val="17"/>
          <w:color w:val="auto"/>
        </w:rPr>
        <w:t>hybrid cloud identity services enabled for mobile and enterprise environments and custom digital identity services that mitigate threats through the integration of advanced technologies that fuse biometrics, credentials, and other identity-centric data used to continuously monitor trust. In April 2021, Telos announced the acquisition of DFT, whose ONYX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touchless mobile fingerprint software is being integrated with the IDTrust360 platform. We maintain government certifications and designations that distinguish Telos ID, including Transportation Security Administration ("TSA") PreCheck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enrollment provider, Designated Aviation Channeling ("DAC") provider, FBI-approved Channeler, and the Financial Industry Regulatory Authority (“FINRA”) Electronic Fingerprint Submission provider.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 Networks</w:t>
      </w:r>
    </w:p>
    <w:p>
      <w:pPr>
        <w:spacing w:after="0" w:line="218" w:lineRule="exact"/>
        <w:rPr>
          <w:sz w:val="20"/>
          <w:szCs w:val="20"/>
          <w:color w:val="auto"/>
        </w:rPr>
      </w:pPr>
    </w:p>
    <w:p>
      <w:pPr>
        <w:ind w:left="660" w:right="40" w:hanging="331"/>
        <w:spacing w:after="0" w:line="286" w:lineRule="auto"/>
        <w:tabs>
          <w:tab w:leader="none" w:pos="65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Secure Mobility</w:t>
      </w:r>
      <w:r>
        <w:rPr>
          <w:rFonts w:ascii="Arial" w:cs="Arial" w:eastAsia="Arial" w:hAnsi="Arial"/>
          <w:sz w:val="17"/>
          <w:szCs w:val="17"/>
          <w:color w:val="auto"/>
        </w:rPr>
        <w:t>: solutions for business and government that enable remote work and minimize operational and security concerns across and</w:t>
      </w:r>
      <w:r>
        <w:rPr>
          <w:rFonts w:ascii="Arial" w:cs="Arial" w:eastAsia="Arial" w:hAnsi="Arial"/>
          <w:sz w:val="17"/>
          <w:szCs w:val="17"/>
          <w:b w:val="1"/>
          <w:bCs w:val="1"/>
          <w:color w:val="auto"/>
        </w:rPr>
        <w:t xml:space="preserve"> </w:t>
      </w:r>
      <w:r>
        <w:rPr>
          <w:rFonts w:ascii="Arial" w:cs="Arial" w:eastAsia="Arial" w:hAnsi="Arial"/>
          <w:sz w:val="17"/>
          <w:szCs w:val="17"/>
          <w:color w:val="auto"/>
        </w:rPr>
        <w:t>beyond the enterprise. Our secure mobility team brings credentials to every engagement, supplying deep expertise and experience as well as highly desirable clearances and industry-recognized certifications for network engineering, mobility, and security.</w:t>
      </w:r>
    </w:p>
    <w:p>
      <w:pPr>
        <w:spacing w:after="0" w:line="160" w:lineRule="exact"/>
        <w:rPr>
          <w:rFonts w:ascii="Arial" w:cs="Arial" w:eastAsia="Arial" w:hAnsi="Arial"/>
          <w:sz w:val="17"/>
          <w:szCs w:val="17"/>
          <w:b w:val="1"/>
          <w:bCs w:val="1"/>
          <w:color w:val="auto"/>
        </w:rPr>
      </w:pPr>
    </w:p>
    <w:p>
      <w:pPr>
        <w:ind w:left="660" w:right="140" w:hanging="331"/>
        <w:spacing w:after="0" w:line="264"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Network Management and Defense</w:t>
      </w:r>
      <w:r>
        <w:rPr>
          <w:rFonts w:ascii="Arial" w:cs="Arial" w:eastAsia="Arial" w:hAnsi="Arial"/>
          <w:sz w:val="18"/>
          <w:szCs w:val="18"/>
          <w:color w:val="auto"/>
        </w:rPr>
        <w:t>: services for operating, administrating, and defending complex enterprise networks and defensive cyber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diverse portfolio of capabilities addresses common and uncommon requirements in many industries and disciplines, ranging from the military and government agencies to Fortune 500 companies.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Xacta</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Xacta Overview</w:t>
      </w:r>
    </w:p>
    <w:p>
      <w:pPr>
        <w:spacing w:after="0" w:line="222" w:lineRule="exact"/>
        <w:rPr>
          <w:sz w:val="20"/>
          <w:szCs w:val="20"/>
          <w:color w:val="auto"/>
        </w:rPr>
      </w:pPr>
    </w:p>
    <w:p>
      <w:pPr>
        <w:ind w:firstLine="322"/>
        <w:spacing w:after="0" w:line="309" w:lineRule="auto"/>
        <w:rPr>
          <w:sz w:val="20"/>
          <w:szCs w:val="20"/>
          <w:color w:val="auto"/>
        </w:rPr>
      </w:pPr>
      <w:r>
        <w:rPr>
          <w:rFonts w:ascii="Arial" w:cs="Arial" w:eastAsia="Arial" w:hAnsi="Arial"/>
          <w:sz w:val="16"/>
          <w:szCs w:val="16"/>
          <w:color w:val="auto"/>
        </w:rPr>
        <w:t>Xacta delivers automated cyber risk and compliance management solutions to large commercial and government enterprises. Xacta is sold as a solution, which includes Xacta technology and Xacta subject matter experts (“SMEs”) to help with deployment, ongoing support, and training to ensure rapid and long-term customer success. Our solution-based business model provides predictable, recurring, and growing revenue year-on-year.</w:t>
      </w:r>
    </w:p>
    <w:p>
      <w:pPr>
        <w:spacing w:after="0" w:line="148" w:lineRule="exact"/>
        <w:rPr>
          <w:sz w:val="20"/>
          <w:szCs w:val="20"/>
          <w:color w:val="auto"/>
        </w:rPr>
      </w:pPr>
    </w:p>
    <w:p>
      <w:pPr>
        <w:ind w:right="80" w:firstLine="322"/>
        <w:spacing w:after="0" w:line="339" w:lineRule="auto"/>
        <w:rPr>
          <w:sz w:val="20"/>
          <w:szCs w:val="20"/>
          <w:color w:val="auto"/>
        </w:rPr>
      </w:pPr>
      <w:r>
        <w:rPr>
          <w:rFonts w:ascii="Arial" w:cs="Arial" w:eastAsia="Arial" w:hAnsi="Arial"/>
          <w:sz w:val="16"/>
          <w:szCs w:val="16"/>
          <w:color w:val="auto"/>
        </w:rPr>
        <w:t>Xacta disrupted the cyber risk and compliance management industry 20 years ago. When it was first introduced, Xacta represented a new way of doing business that challenged the inefficient labor-intensive business models of traditional consultants and government contractors who charge by the hour.</w:t>
      </w:r>
    </w:p>
    <w:p>
      <w:pPr>
        <w:spacing w:after="0" w:line="124" w:lineRule="exact"/>
        <w:rPr>
          <w:sz w:val="20"/>
          <w:szCs w:val="20"/>
          <w:color w:val="auto"/>
        </w:rPr>
      </w:pPr>
    </w:p>
    <w:p>
      <w:pPr>
        <w:ind w:right="40" w:firstLine="322"/>
        <w:spacing w:after="0" w:line="257" w:lineRule="auto"/>
        <w:rPr>
          <w:sz w:val="20"/>
          <w:szCs w:val="20"/>
          <w:color w:val="auto"/>
        </w:rPr>
      </w:pPr>
      <w:r>
        <w:rPr>
          <w:rFonts w:ascii="Arial" w:cs="Arial" w:eastAsia="Arial" w:hAnsi="Arial"/>
          <w:sz w:val="18"/>
          <w:szCs w:val="18"/>
          <w:color w:val="auto"/>
        </w:rPr>
        <w:t>Over the past two decades, we have developed and evolved Xacta to make security risk and compliance activities more efficient through intelligent workflow-based automation. Many cyber risk and compliance management activities can be automated via our data interrogation capabilities, which greatly reduces the need for inefficient Time and Materials (“T&amp;M”) services. More importantly, we believe that certain critical capabilities like continuous monitoring are effectively impossible without automation.</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40" w:firstLine="322"/>
        <w:spacing w:after="0" w:line="309" w:lineRule="auto"/>
        <w:rPr>
          <w:sz w:val="20"/>
          <w:szCs w:val="20"/>
          <w:color w:val="auto"/>
        </w:rPr>
      </w:pPr>
      <w:r>
        <w:rPr>
          <w:rFonts w:ascii="Arial" w:cs="Arial" w:eastAsia="Arial" w:hAnsi="Arial"/>
          <w:sz w:val="16"/>
          <w:szCs w:val="16"/>
          <w:color w:val="auto"/>
        </w:rPr>
        <w:t>Xacta is the de facto commercial cyber risk and compliance management solution across the U.S. federal government. Noteworthy U.S. government enterprise customers include DoD, multiple agencies within the IC (including the CIA), and civilian agencies such as DoS and the FBI. Xacta is also being adopted by very large commercial organizations like Amazon Web Services (“AWS”), Microsoft Azure and Oracle Cloud Infrastructure.</w:t>
      </w:r>
    </w:p>
    <w:p>
      <w:pPr>
        <w:spacing w:after="0" w:line="148" w:lineRule="exact"/>
        <w:rPr>
          <w:sz w:val="20"/>
          <w:szCs w:val="20"/>
          <w:color w:val="auto"/>
        </w:rPr>
      </w:pPr>
    </w:p>
    <w:p>
      <w:pPr>
        <w:ind w:firstLine="322"/>
        <w:spacing w:after="0" w:line="257" w:lineRule="auto"/>
        <w:rPr>
          <w:sz w:val="20"/>
          <w:szCs w:val="20"/>
          <w:color w:val="auto"/>
        </w:rPr>
      </w:pPr>
      <w:r>
        <w:rPr>
          <w:rFonts w:ascii="Arial" w:cs="Arial" w:eastAsia="Arial" w:hAnsi="Arial"/>
          <w:sz w:val="18"/>
          <w:szCs w:val="18"/>
          <w:color w:val="auto"/>
        </w:rPr>
        <w:t>Across these government and commercial customers, we currently have hundreds of Xacta deployments used to manage tens of thousands of mission-critical and national security systems that are comprised of millions of critical information technology (“IT”) assets and cloud resources. There are also more than 20,000 professionals who actively use Xacta to manage cyber risk for a wide range of IT/information systems in warfighting, intelligence, business/financial, and healthcare applications.</w:t>
      </w:r>
    </w:p>
    <w:p>
      <w:pPr>
        <w:spacing w:after="0" w:line="187" w:lineRule="exact"/>
        <w:rPr>
          <w:sz w:val="20"/>
          <w:szCs w:val="20"/>
          <w:color w:val="auto"/>
        </w:rPr>
      </w:pPr>
    </w:p>
    <w:p>
      <w:pPr>
        <w:ind w:right="160" w:firstLine="322"/>
        <w:spacing w:after="0" w:line="271" w:lineRule="auto"/>
        <w:rPr>
          <w:sz w:val="20"/>
          <w:szCs w:val="20"/>
          <w:color w:val="auto"/>
        </w:rPr>
      </w:pPr>
      <w:r>
        <w:rPr>
          <w:rFonts w:ascii="Arial" w:cs="Arial" w:eastAsia="Arial" w:hAnsi="Arial"/>
          <w:sz w:val="17"/>
          <w:szCs w:val="17"/>
          <w:color w:val="auto"/>
        </w:rPr>
        <w:t>In 2016, at the request of the CIA, we evolved Xacta from an on-premises cyber risk and compliance management solution used to manage traditional IT assets, to a solution that also manages cloud resources. As a result, we believe that Xacta is unique in its ability to manage complex hybrid IT environments that span on-premises, cloud, and multi-cloud. Our cloud focus has attracted the attention of the world's largest cloud and cloud service providers, many of which are now our partners and customers. These partnerships have greatly increased our market opportunity, as many organizations look to migrate to the cloud. Security compliance remains a major inhibitor to cloud adoption. Xacta addresses this issue by automating and accelerating security compliance activities allowing organizations to migrate to the cloud more quickly and securely.</w:t>
      </w:r>
    </w:p>
    <w:p>
      <w:pPr>
        <w:spacing w:after="0" w:line="179" w:lineRule="exact"/>
        <w:rPr>
          <w:sz w:val="20"/>
          <w:szCs w:val="20"/>
          <w:color w:val="auto"/>
        </w:rPr>
      </w:pPr>
    </w:p>
    <w:p>
      <w:pPr>
        <w:ind w:right="40" w:firstLine="322"/>
        <w:spacing w:after="0" w:line="274" w:lineRule="auto"/>
        <w:rPr>
          <w:sz w:val="20"/>
          <w:szCs w:val="20"/>
          <w:color w:val="auto"/>
        </w:rPr>
      </w:pPr>
      <w:r>
        <w:rPr>
          <w:rFonts w:ascii="Arial" w:cs="Arial" w:eastAsia="Arial" w:hAnsi="Arial"/>
          <w:sz w:val="18"/>
          <w:szCs w:val="18"/>
          <w:color w:val="auto"/>
        </w:rPr>
        <w:t>Recognizing these advantages, three of the largest cloud providers in the world, AWS, Microsoft Azure and Oracle Cloud Infrastructure, have partnered with Telos to use Xacta to accelerate security compliance activities in their high-security, air-gapped environments.</w:t>
      </w:r>
    </w:p>
    <w:p>
      <w:pPr>
        <w:spacing w:after="0" w:line="172" w:lineRule="exact"/>
        <w:rPr>
          <w:sz w:val="20"/>
          <w:szCs w:val="20"/>
          <w:color w:val="auto"/>
        </w:rPr>
      </w:pPr>
    </w:p>
    <w:p>
      <w:pPr>
        <w:ind w:right="60" w:firstLine="322"/>
        <w:spacing w:after="0" w:line="255" w:lineRule="auto"/>
        <w:rPr>
          <w:sz w:val="20"/>
          <w:szCs w:val="20"/>
          <w:color w:val="auto"/>
        </w:rPr>
      </w:pPr>
      <w:r>
        <w:rPr>
          <w:rFonts w:ascii="Arial" w:cs="Arial" w:eastAsia="Arial" w:hAnsi="Arial"/>
          <w:sz w:val="18"/>
          <w:szCs w:val="18"/>
          <w:color w:val="auto"/>
        </w:rPr>
        <w:t>Our cloud focus has also resulted in significant partnerships with other cloud organizations and other cloud providers (i.e. Rackspace Technology, Inc.), which are helping Software as a Service ("SaaS") vendors address cloud compliance requirements, including the Federal Risk and Authorization Management Program (“FedRAMP”), which the federal government requires for all SaaS solutions. These organizations understand that Xacta’s ability to reduce the security compliance burden helps accelerate cloud adoption and generates cloud usage and revenue more quickly. Xacta’s capabilities are strategic advantage by cloud-centric organizations.</w:t>
      </w:r>
    </w:p>
    <w:p>
      <w:pPr>
        <w:spacing w:after="0" w:line="189" w:lineRule="exact"/>
        <w:rPr>
          <w:sz w:val="20"/>
          <w:szCs w:val="20"/>
          <w:color w:val="auto"/>
        </w:rPr>
      </w:pPr>
    </w:p>
    <w:p>
      <w:pPr>
        <w:ind w:right="20" w:firstLine="322"/>
        <w:spacing w:after="0" w:line="257" w:lineRule="auto"/>
        <w:rPr>
          <w:sz w:val="20"/>
          <w:szCs w:val="20"/>
          <w:color w:val="auto"/>
        </w:rPr>
      </w:pPr>
      <w:r>
        <w:rPr>
          <w:rFonts w:ascii="Arial" w:cs="Arial" w:eastAsia="Arial" w:hAnsi="Arial"/>
          <w:sz w:val="18"/>
          <w:szCs w:val="18"/>
          <w:color w:val="auto"/>
        </w:rPr>
        <w:t>Managing cyber risk is top-of-mind for many organizations today. There is an increasing number of security standards and regulations with which global organizations must comply. The National Institute of Standards and Technology (“NIST”) is the source for many security standards that are being adopted globally. Telos, using Xacta, has specialized in supporting NIST-based standards for approximately 20 years. We have been considered by a leading, third-party consultancy to be NIST-based cybersecurity domain experts.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Xacta’s Critical Capabilities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Xacta offers a number of critical and differentiated capabilities that support a wide range of cyber risk and compliance management use cases, such as:</w:t>
      </w:r>
    </w:p>
    <w:p>
      <w:pPr>
        <w:spacing w:after="0" w:line="14" w:lineRule="exact"/>
        <w:rPr>
          <w:sz w:val="20"/>
          <w:szCs w:val="20"/>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Automated asset inventory – helps quickly define IT boundary and parameters, and establish audit and test plans.</w:t>
      </w:r>
    </w:p>
    <w:p>
      <w:pPr>
        <w:ind w:left="640" w:hanging="311"/>
        <w:spacing w:after="0" w:line="21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Automated control validation – reduces the manual test efforts.</w:t>
      </w:r>
    </w:p>
    <w:p>
      <w:pPr>
        <w:ind w:left="640" w:hanging="311"/>
        <w:spacing w:after="0" w:line="21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Automated continuous control monitoring – offers ongoing assurance of compliance.</w:t>
      </w:r>
    </w:p>
    <w:p>
      <w:pPr>
        <w:ind w:left="640" w:hanging="311"/>
        <w:spacing w:after="0" w:line="21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Vulnerability management functionality – understand vulnerabilities that apply to IT environments.</w:t>
      </w:r>
    </w:p>
    <w:p>
      <w:pPr>
        <w:ind w:left="640" w:hanging="311"/>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Remediation management – workflow to help organizations prioritize risk, establish remediation plans, and track remediation progress to closure.</w:t>
      </w:r>
    </w:p>
    <w:p>
      <w:pPr>
        <w:spacing w:after="0" w:line="3" w:lineRule="exact"/>
        <w:rPr>
          <w:rFonts w:ascii="Arial" w:cs="Arial" w:eastAsia="Arial" w:hAnsi="Arial"/>
          <w:sz w:val="16"/>
          <w:szCs w:val="16"/>
          <w:color w:val="auto"/>
        </w:rPr>
      </w:pPr>
    </w:p>
    <w:p>
      <w:pPr>
        <w:ind w:left="640" w:hanging="311"/>
        <w:spacing w:after="0" w:line="230"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Automated regulatory report generation – reduces the manual effort needed to create regulatory reports (bi-product of the workflow process).</w:t>
      </w:r>
    </w:p>
    <w:p>
      <w:pPr>
        <w:ind w:left="640" w:hanging="311"/>
        <w:spacing w:after="0" w:line="21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Cloud integration – allows Xacta to manage cloud-based resources (multi-cloud environments) as well as on-premises assets.</w:t>
      </w:r>
    </w:p>
    <w:p>
      <w:pPr>
        <w:ind w:left="660" w:right="40" w:hanging="331"/>
        <w:spacing w:after="0" w:line="21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Cloud deployment – allows Xacta to be deployed as a SaaS, Virtual Machine Image (“VMI”), Amazon Machine Image, and Microsoft Azure VMI, as well as on-premises.</w:t>
      </w:r>
    </w:p>
    <w:p>
      <w:pPr>
        <w:spacing w:after="0" w:line="1" w:lineRule="exact"/>
        <w:rPr>
          <w:rFonts w:ascii="Arial" w:cs="Arial" w:eastAsia="Arial" w:hAnsi="Arial"/>
          <w:sz w:val="18"/>
          <w:szCs w:val="18"/>
          <w:color w:val="auto"/>
        </w:rPr>
      </w:pPr>
    </w:p>
    <w:p>
      <w:pPr>
        <w:ind w:left="640" w:hanging="311"/>
        <w:spacing w:after="0" w:line="21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Intelligent workflow – Artificial Intelligence (“AI”)-like functionality reduces the need for manual intervention.</w:t>
      </w:r>
    </w:p>
    <w:p>
      <w:pPr>
        <w:ind w:left="660" w:right="160" w:hanging="331"/>
        <w:spacing w:after="0" w:line="21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Predictive control mapping – AI-like functionality helps reduce redundant control testing and manual control mapping effort to help address audit fatigue.</w:t>
      </w:r>
    </w:p>
    <w:p>
      <w:pPr>
        <w:spacing w:after="0" w:line="1" w:lineRule="exact"/>
        <w:rPr>
          <w:rFonts w:ascii="Arial" w:cs="Arial" w:eastAsia="Arial" w:hAnsi="Arial"/>
          <w:sz w:val="18"/>
          <w:szCs w:val="18"/>
          <w:color w:val="auto"/>
        </w:rPr>
      </w:pPr>
    </w:p>
    <w:p>
      <w:pPr>
        <w:ind w:left="660" w:right="400" w:hanging="331"/>
        <w:spacing w:after="0" w:line="245"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Automated control inheritance – allows organizations to share common compliance information. Cloud providers share common controls with customers as per the shared responsibility model of cloud security, which greatly reduces manual effort and enables rapid cloud adoption.</w:t>
      </w: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Visualization and reporting – reduces dependency on third-party business intelligence products.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right="800" w:hanging="331"/>
        <w:spacing w:after="0" w:line="22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End-to-end workflow capabilities – support for complex system authorization processes like FedRAMP and the NIST Risk Management Framework, dramatically reducing time, cost, and effort.</w:t>
      </w:r>
    </w:p>
    <w:p>
      <w:pPr>
        <w:ind w:left="660" w:right="440" w:hanging="331"/>
        <w:spacing w:after="0" w:line="23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Evidence of security posture compliance – designed to provide the body of evidence needed for regulatory or legal proceedings and insurance claims to verify security posture compliance with industry best practices at the time of an event.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Xacta Evolution</w:t>
      </w:r>
    </w:p>
    <w:p>
      <w:pPr>
        <w:spacing w:after="0" w:line="222" w:lineRule="exact"/>
        <w:rPr>
          <w:sz w:val="20"/>
          <w:szCs w:val="20"/>
          <w:color w:val="auto"/>
        </w:rPr>
      </w:pPr>
    </w:p>
    <w:p>
      <w:pPr>
        <w:ind w:right="140" w:firstLine="322"/>
        <w:spacing w:after="0" w:line="274" w:lineRule="auto"/>
        <w:rPr>
          <w:sz w:val="20"/>
          <w:szCs w:val="20"/>
          <w:color w:val="auto"/>
        </w:rPr>
      </w:pPr>
      <w:r>
        <w:rPr>
          <w:rFonts w:ascii="Arial" w:cs="Arial" w:eastAsia="Arial" w:hAnsi="Arial"/>
          <w:sz w:val="18"/>
          <w:szCs w:val="18"/>
          <w:color w:val="auto"/>
        </w:rPr>
        <w:t>Xacta was launched in August 2000 and was the first automated solution of its kind. Xacta was initially created to help U.S. government organizations satisfy demanding security risk and compliance management requirements.</w:t>
      </w:r>
    </w:p>
    <w:p>
      <w:pPr>
        <w:spacing w:after="0" w:line="172" w:lineRule="exact"/>
        <w:rPr>
          <w:sz w:val="20"/>
          <w:szCs w:val="20"/>
          <w:color w:val="auto"/>
        </w:rPr>
      </w:pPr>
    </w:p>
    <w:p>
      <w:pPr>
        <w:ind w:right="220" w:firstLine="322"/>
        <w:spacing w:after="0" w:line="284" w:lineRule="auto"/>
        <w:rPr>
          <w:sz w:val="20"/>
          <w:szCs w:val="20"/>
          <w:color w:val="auto"/>
        </w:rPr>
      </w:pPr>
      <w:r>
        <w:rPr>
          <w:rFonts w:ascii="Arial" w:cs="Arial" w:eastAsia="Arial" w:hAnsi="Arial"/>
          <w:sz w:val="17"/>
          <w:szCs w:val="17"/>
          <w:color w:val="auto"/>
        </w:rPr>
        <w:t>In 2004, Xacta was enhanced to provide industry-first automated continuous monitoring functionality. Between 2002 and 2005, Telos was issued five patents in the area of security risk and compliance management, including one patent for what is now known as continuous monitoring. Since then, numerous technical enhancements have been made to Xacta, some of which are described above in “Xacta’s Critical Capabilities.”</w:t>
      </w:r>
    </w:p>
    <w:p>
      <w:pPr>
        <w:spacing w:after="0" w:line="165" w:lineRule="exact"/>
        <w:rPr>
          <w:sz w:val="20"/>
          <w:szCs w:val="20"/>
          <w:color w:val="auto"/>
        </w:rPr>
      </w:pPr>
    </w:p>
    <w:p>
      <w:pPr>
        <w:ind w:firstLine="322"/>
        <w:spacing w:after="0" w:line="284" w:lineRule="auto"/>
        <w:rPr>
          <w:sz w:val="20"/>
          <w:szCs w:val="20"/>
          <w:color w:val="auto"/>
        </w:rPr>
      </w:pPr>
      <w:r>
        <w:rPr>
          <w:rFonts w:ascii="Arial" w:cs="Arial" w:eastAsia="Arial" w:hAnsi="Arial"/>
          <w:sz w:val="17"/>
          <w:szCs w:val="17"/>
          <w:color w:val="auto"/>
        </w:rPr>
        <w:t>Xacta supports other NIST frameworks such as the NIST Cybersecurity Framework (“CSF”), which was established in 2014 via Executive Order 13636 to help commercial organizations in the 16 DHS-defined critical infrastructure sectors improve their cyber risk posture. Executive Order 13800, issued in 2017, requires federal agencies to adopt the CSF, and it is also being adopted by many countries as a national cybersecurity standard.</w:t>
      </w:r>
    </w:p>
    <w:p>
      <w:pPr>
        <w:spacing w:after="0" w:line="165" w:lineRule="exact"/>
        <w:rPr>
          <w:sz w:val="20"/>
          <w:szCs w:val="20"/>
          <w:color w:val="auto"/>
        </w:rPr>
      </w:pPr>
    </w:p>
    <w:p>
      <w:pPr>
        <w:jc w:val="both"/>
        <w:ind w:right="40" w:firstLine="322"/>
        <w:spacing w:after="0" w:line="339" w:lineRule="auto"/>
        <w:rPr>
          <w:sz w:val="20"/>
          <w:szCs w:val="20"/>
          <w:color w:val="auto"/>
        </w:rPr>
      </w:pPr>
      <w:r>
        <w:rPr>
          <w:rFonts w:ascii="Arial" w:cs="Arial" w:eastAsia="Arial" w:hAnsi="Arial"/>
          <w:sz w:val="16"/>
          <w:szCs w:val="16"/>
          <w:color w:val="auto"/>
        </w:rPr>
        <w:t>Xacta also currently supports various vendor and supply chain risk management standards such as NIST Special Publication 800-161 and NIST Special Publication 800-171. NIST 800-171 is a contractual requirement for approximately 70,000 commercial companies that support the U.S. federal government.</w:t>
      </w:r>
    </w:p>
    <w:p>
      <w:pPr>
        <w:spacing w:after="0" w:line="124" w:lineRule="exact"/>
        <w:rPr>
          <w:sz w:val="20"/>
          <w:szCs w:val="20"/>
          <w:color w:val="auto"/>
        </w:rPr>
      </w:pPr>
    </w:p>
    <w:p>
      <w:pPr>
        <w:ind w:right="320" w:firstLine="322"/>
        <w:spacing w:after="0" w:line="274" w:lineRule="auto"/>
        <w:rPr>
          <w:sz w:val="20"/>
          <w:szCs w:val="20"/>
          <w:color w:val="auto"/>
        </w:rPr>
      </w:pPr>
      <w:r>
        <w:rPr>
          <w:rFonts w:ascii="Arial" w:cs="Arial" w:eastAsia="Arial" w:hAnsi="Arial"/>
          <w:sz w:val="18"/>
          <w:szCs w:val="18"/>
          <w:color w:val="auto"/>
        </w:rPr>
        <w:t>Xacta will also support an emerging standard called Cybersecurity Maturity Model Certification, which will soon be required by more than 300,000 commercial organizations that support DoD.</w:t>
      </w:r>
    </w:p>
    <w:p>
      <w:pPr>
        <w:spacing w:after="0" w:line="172" w:lineRule="exact"/>
        <w:rPr>
          <w:sz w:val="20"/>
          <w:szCs w:val="20"/>
          <w:color w:val="auto"/>
        </w:rPr>
      </w:pPr>
    </w:p>
    <w:p>
      <w:pPr>
        <w:ind w:right="180" w:firstLine="322"/>
        <w:spacing w:after="0" w:line="339" w:lineRule="auto"/>
        <w:rPr>
          <w:sz w:val="20"/>
          <w:szCs w:val="20"/>
          <w:color w:val="auto"/>
        </w:rPr>
      </w:pPr>
      <w:r>
        <w:rPr>
          <w:rFonts w:ascii="Arial" w:cs="Arial" w:eastAsia="Arial" w:hAnsi="Arial"/>
          <w:sz w:val="16"/>
          <w:szCs w:val="16"/>
          <w:color w:val="auto"/>
        </w:rPr>
        <w:t>Xacta has highly customizable workflows that can be configured to support most any cybersecurity/risk and compliance management frameworks. To that end, Xacta can support national and international security compliance standards such as HIPAA, PCI-DSS, ISO 27000, and many others.</w:t>
      </w:r>
    </w:p>
    <w:p>
      <w:pPr>
        <w:spacing w:after="0" w:line="124" w:lineRule="exact"/>
        <w:rPr>
          <w:sz w:val="20"/>
          <w:szCs w:val="20"/>
          <w:color w:val="auto"/>
        </w:rPr>
      </w:pPr>
    </w:p>
    <w:p>
      <w:pPr>
        <w:ind w:right="240" w:firstLine="322"/>
        <w:spacing w:after="0" w:line="305" w:lineRule="auto"/>
        <w:rPr>
          <w:sz w:val="20"/>
          <w:szCs w:val="20"/>
          <w:color w:val="auto"/>
        </w:rPr>
      </w:pPr>
      <w:r>
        <w:rPr>
          <w:rFonts w:ascii="Arial" w:cs="Arial" w:eastAsia="Arial" w:hAnsi="Arial"/>
          <w:sz w:val="17"/>
          <w:szCs w:val="17"/>
          <w:color w:val="auto"/>
        </w:rPr>
        <w:t>Xacta does not require a customer to abandon (i.e., rip and replace) its existing solutions – rather, it works with the customer’s prior software choices and uses those software choices as data feeds so that Xacta can perform automated (and continuous) security compliance validation.</w:t>
      </w:r>
    </w:p>
    <w:p>
      <w:pPr>
        <w:spacing w:after="0" w:line="147" w:lineRule="exact"/>
        <w:rPr>
          <w:sz w:val="20"/>
          <w:szCs w:val="20"/>
          <w:color w:val="auto"/>
        </w:rPr>
      </w:pPr>
    </w:p>
    <w:p>
      <w:pPr>
        <w:ind w:right="120" w:firstLine="322"/>
        <w:spacing w:after="0" w:line="309" w:lineRule="auto"/>
        <w:rPr>
          <w:sz w:val="20"/>
          <w:szCs w:val="20"/>
          <w:color w:val="auto"/>
        </w:rPr>
      </w:pPr>
      <w:r>
        <w:rPr>
          <w:rFonts w:ascii="Arial" w:cs="Arial" w:eastAsia="Arial" w:hAnsi="Arial"/>
          <w:sz w:val="16"/>
          <w:szCs w:val="16"/>
          <w:color w:val="auto"/>
        </w:rPr>
        <w:t>Xacta use cases include audit management, compliance management, inventory management, vulnerability management, continuous compliance monitoring, vendor and supply chain risk management, cyber risk management, risk remediation management, and security authorizations. These use cases are broadly applicable across industry verticals globally and help explain the large and expanding market in which Xacta participates.</w:t>
      </w:r>
    </w:p>
    <w:p>
      <w:pPr>
        <w:spacing w:after="0" w:line="148" w:lineRule="exact"/>
        <w:rPr>
          <w:sz w:val="20"/>
          <w:szCs w:val="20"/>
          <w:color w:val="auto"/>
        </w:rPr>
      </w:pPr>
    </w:p>
    <w:p>
      <w:pPr>
        <w:ind w:right="200" w:firstLine="322"/>
        <w:spacing w:after="0" w:line="274" w:lineRule="auto"/>
        <w:rPr>
          <w:sz w:val="20"/>
          <w:szCs w:val="20"/>
          <w:color w:val="auto"/>
        </w:rPr>
      </w:pPr>
      <w:r>
        <w:rPr>
          <w:rFonts w:ascii="Arial" w:cs="Arial" w:eastAsia="Arial" w:hAnsi="Arial"/>
          <w:sz w:val="18"/>
          <w:szCs w:val="18"/>
          <w:color w:val="auto"/>
        </w:rPr>
        <w:t>Our goal is to make Xacta the default security risk and compliance management solution of choice for commercial and government entities across the globe that seek continuous compliance with cybersecurity and risk management frameworks and standards.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Telos Ghost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Ghost Overview</w:t>
      </w:r>
    </w:p>
    <w:p>
      <w:pPr>
        <w:spacing w:after="0" w:line="222" w:lineRule="exact"/>
        <w:rPr>
          <w:sz w:val="20"/>
          <w:szCs w:val="20"/>
          <w:color w:val="auto"/>
        </w:rPr>
      </w:pPr>
    </w:p>
    <w:p>
      <w:pPr>
        <w:ind w:right="100" w:firstLine="322"/>
        <w:spacing w:after="0" w:line="284" w:lineRule="auto"/>
        <w:rPr>
          <w:sz w:val="20"/>
          <w:szCs w:val="20"/>
          <w:color w:val="auto"/>
        </w:rPr>
      </w:pPr>
      <w:r>
        <w:rPr>
          <w:rFonts w:ascii="Arial" w:cs="Arial" w:eastAsia="Arial" w:hAnsi="Arial"/>
          <w:sz w:val="17"/>
          <w:szCs w:val="17"/>
          <w:color w:val="auto"/>
        </w:rPr>
        <w:t>As cyber threats have increased in scope and scale and the consequences of hacks and breaches have grown, we have developed a solution that enables organizations to work on the internet without being detected. In 2018, we introduced Telos Ghost, which allows our customers to shield critical assets, communications, transactions, and even their very presence on the web from the view of cyber adversaries.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360" w:firstLine="322"/>
        <w:spacing w:after="0" w:line="272" w:lineRule="auto"/>
        <w:rPr>
          <w:sz w:val="20"/>
          <w:szCs w:val="20"/>
          <w:color w:val="auto"/>
        </w:rPr>
      </w:pPr>
      <w:r>
        <w:rPr>
          <w:rFonts w:ascii="Arial" w:cs="Arial" w:eastAsia="Arial" w:hAnsi="Arial"/>
          <w:sz w:val="17"/>
          <w:szCs w:val="17"/>
          <w:color w:val="auto"/>
        </w:rPr>
        <w:t>Conceived on the notion that “you can’t exploit what you can’t see,” Telos Ghost provides organizations a virtually anonymous way to do business, connect with global resources, and conduct research online. Telos Ghost is a virtual obfuscation network-as-a-service that:</w:t>
      </w:r>
    </w:p>
    <w:p>
      <w:pPr>
        <w:spacing w:after="0" w:line="1" w:lineRule="exact"/>
        <w:rPr>
          <w:sz w:val="20"/>
          <w:szCs w:val="20"/>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Obscures and varies network pathways to prevent adversaries from tracking users and information;</w:t>
      </w:r>
    </w:p>
    <w:p>
      <w:pPr>
        <w:spacing w:after="0" w:line="7" w:lineRule="exact"/>
        <w:rPr>
          <w:rFonts w:ascii="Arial" w:cs="Arial" w:eastAsia="Arial" w:hAnsi="Arial"/>
          <w:sz w:val="18"/>
          <w:szCs w:val="18"/>
          <w:color w:val="auto"/>
        </w:rPr>
      </w:pPr>
    </w:p>
    <w:p>
      <w:pPr>
        <w:ind w:left="660" w:right="260" w:hanging="331"/>
        <w:spacing w:after="0" w:line="24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Uses multiple layers of encryption to protect information and remove source and destination IP addresses, eliminating network paths back to the source;</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Enables users to manage their technical and non-technical persona to disguise their identity and location; and</w:t>
      </w:r>
    </w:p>
    <w:p>
      <w:pPr>
        <w:spacing w:after="0" w:line="7" w:lineRule="exact"/>
        <w:rPr>
          <w:rFonts w:ascii="Arial" w:cs="Arial" w:eastAsia="Arial" w:hAnsi="Arial"/>
          <w:sz w:val="18"/>
          <w:szCs w:val="18"/>
          <w:color w:val="auto"/>
        </w:rPr>
      </w:pPr>
    </w:p>
    <w:p>
      <w:pPr>
        <w:ind w:left="660" w:right="360" w:hanging="331"/>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Hides critical network resources and sensitive corporate assets using cloaked capabilities for email, storage, unified communications, and other applications.</w:t>
      </w:r>
    </w:p>
    <w:p>
      <w:pPr>
        <w:spacing w:after="0" w:line="186" w:lineRule="exact"/>
        <w:rPr>
          <w:sz w:val="20"/>
          <w:szCs w:val="20"/>
          <w:color w:val="auto"/>
        </w:rPr>
      </w:pPr>
    </w:p>
    <w:p>
      <w:pPr>
        <w:ind w:right="120" w:firstLine="322"/>
        <w:spacing w:after="0" w:line="309" w:lineRule="auto"/>
        <w:rPr>
          <w:sz w:val="20"/>
          <w:szCs w:val="20"/>
          <w:color w:val="auto"/>
        </w:rPr>
      </w:pPr>
      <w:r>
        <w:rPr>
          <w:rFonts w:ascii="Arial" w:cs="Arial" w:eastAsia="Arial" w:hAnsi="Arial"/>
          <w:sz w:val="16"/>
          <w:szCs w:val="16"/>
          <w:color w:val="auto"/>
        </w:rPr>
        <w:t>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Ghost Critical Capabilities</w:t>
      </w:r>
    </w:p>
    <w:p>
      <w:pPr>
        <w:spacing w:after="0" w:line="222" w:lineRule="exact"/>
        <w:rPr>
          <w:sz w:val="20"/>
          <w:szCs w:val="20"/>
          <w:color w:val="auto"/>
        </w:rPr>
      </w:pPr>
    </w:p>
    <w:p>
      <w:pPr>
        <w:ind w:left="660" w:right="20" w:hanging="331"/>
        <w:spacing w:after="0" w:line="255"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Private Web Access: Secure, anonymous internet access. </w:t>
      </w:r>
      <w:r>
        <w:rPr>
          <w:rFonts w:ascii="Arial" w:cs="Arial" w:eastAsia="Arial" w:hAnsi="Arial"/>
          <w:sz w:val="18"/>
          <w:szCs w:val="18"/>
          <w:color w:val="auto"/>
        </w:rPr>
        <w:t>Telos Ghost disguises the identity and location of personnel when using the public web for</w:t>
      </w:r>
      <w:r>
        <w:rPr>
          <w:rFonts w:ascii="Arial" w:cs="Arial" w:eastAsia="Arial" w:hAnsi="Arial"/>
          <w:sz w:val="18"/>
          <w:szCs w:val="18"/>
          <w:i w:val="1"/>
          <w:iCs w:val="1"/>
          <w:color w:val="auto"/>
        </w:rPr>
        <w:t xml:space="preserve"> </w:t>
      </w:r>
      <w:r>
        <w:rPr>
          <w:rFonts w:ascii="Arial" w:cs="Arial" w:eastAsia="Arial" w:hAnsi="Arial"/>
          <w:sz w:val="18"/>
          <w:szCs w:val="18"/>
          <w:color w:val="auto"/>
        </w:rPr>
        <w:t>cyber threat intelligence and competitive research. It provides users with dynamic access for every session and assures that traffic securely traverses the virtual private lines of Telos Ghost. Scalable and flexible, Telos Ghost Private Web Access allows users multiple points of international or domestic egress to the public internet based on customer requirements. Traffic mixing and misdirection techniques are designed to ensure that activity remains anonymous, obscure and private.</w:t>
      </w:r>
    </w:p>
    <w:p>
      <w:pPr>
        <w:spacing w:after="0" w:line="188" w:lineRule="exact"/>
        <w:rPr>
          <w:rFonts w:ascii="Arial" w:cs="Arial" w:eastAsia="Arial" w:hAnsi="Arial"/>
          <w:sz w:val="18"/>
          <w:szCs w:val="18"/>
          <w:i w:val="1"/>
          <w:iCs w:val="1"/>
          <w:color w:val="auto"/>
        </w:rPr>
      </w:pPr>
    </w:p>
    <w:p>
      <w:pPr>
        <w:ind w:left="660" w:hanging="331"/>
        <w:spacing w:after="0" w:line="274" w:lineRule="auto"/>
        <w:tabs>
          <w:tab w:leader="none" w:pos="65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Private Network Access: Leased-line security with VPN flexibility. </w:t>
      </w:r>
      <w:r>
        <w:rPr>
          <w:rFonts w:ascii="Arial" w:cs="Arial" w:eastAsia="Arial" w:hAnsi="Arial"/>
          <w:sz w:val="17"/>
          <w:szCs w:val="17"/>
          <w:color w:val="auto"/>
        </w:rPr>
        <w:t>This capability is designed to allow authorized users to work with mission-critical enterprise information without being seen or discovered. It enables the establishment of sustainable cybersecurity infrastructure, providing multi-layered secure tunnels for data traffic and obscuring the correlation between the entry doorways and the client cloud from external observers. Software and system agnostic and accessible from nearly any device and location, Telos Ghost Private Network Access is designed to provide a full security solution while maintaining existing encryption and software services.</w:t>
      </w:r>
    </w:p>
    <w:p>
      <w:pPr>
        <w:spacing w:after="0" w:line="172" w:lineRule="exact"/>
        <w:rPr>
          <w:rFonts w:ascii="Arial" w:cs="Arial" w:eastAsia="Arial" w:hAnsi="Arial"/>
          <w:sz w:val="17"/>
          <w:szCs w:val="17"/>
          <w:i w:val="1"/>
          <w:iCs w:val="1"/>
          <w:color w:val="auto"/>
        </w:rPr>
      </w:pPr>
    </w:p>
    <w:p>
      <w:pPr>
        <w:ind w:left="660" w:right="180" w:hanging="331"/>
        <w:spacing w:after="0" w:line="299" w:lineRule="auto"/>
        <w:tabs>
          <w:tab w:leader="none" w:pos="65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Cloaked Services: Hidden unified mobile communications, storage, and applications. </w:t>
      </w:r>
      <w:r>
        <w:rPr>
          <w:rFonts w:ascii="Arial" w:cs="Arial" w:eastAsia="Arial" w:hAnsi="Arial"/>
          <w:sz w:val="16"/>
          <w:szCs w:val="16"/>
          <w:color w:val="auto"/>
        </w:rPr>
        <w:t>Telos Ghost also provides remote users with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securely talk, text, email, store information, and use video and applications over nearly any mobile device. These abilities include fully encrypted geo-masked hidden mobile communications for device-agnostic voice, video, chat, and data; hidden storage to store, analyze, and collaborate privately and securely within Telos Ghost; and hidden email and applications that cloaks the servers for access only by Telos Ghost users.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Ghost Applications</w:t>
      </w:r>
    </w:p>
    <w:p>
      <w:pPr>
        <w:spacing w:after="0" w:line="222" w:lineRule="exact"/>
        <w:rPr>
          <w:sz w:val="20"/>
          <w:szCs w:val="20"/>
          <w:color w:val="auto"/>
        </w:rPr>
      </w:pPr>
    </w:p>
    <w:p>
      <w:pPr>
        <w:ind w:left="660" w:right="280" w:hanging="331"/>
        <w:spacing w:after="0" w:line="274"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Cyber threat research. </w:t>
      </w:r>
      <w:r>
        <w:rPr>
          <w:rFonts w:ascii="Arial" w:cs="Arial" w:eastAsia="Arial" w:hAnsi="Arial"/>
          <w:sz w:val="18"/>
          <w:szCs w:val="18"/>
          <w:color w:val="auto"/>
        </w:rPr>
        <w:t>Telos Ghost provides members of a U.S. government organization with an isolated networking infrastructure that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red team members to operate securely and privately without attracting unwanted attention.</w:t>
      </w:r>
    </w:p>
    <w:p>
      <w:pPr>
        <w:spacing w:after="0" w:line="171" w:lineRule="exact"/>
        <w:rPr>
          <w:rFonts w:ascii="Arial" w:cs="Arial" w:eastAsia="Arial" w:hAnsi="Arial"/>
          <w:sz w:val="18"/>
          <w:szCs w:val="18"/>
          <w:i w:val="1"/>
          <w:iCs w:val="1"/>
          <w:color w:val="auto"/>
        </w:rPr>
      </w:pPr>
    </w:p>
    <w:p>
      <w:pPr>
        <w:ind w:left="640" w:hanging="311"/>
        <w:spacing w:after="0"/>
        <w:tabs>
          <w:tab w:leader="none" w:pos="6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Open-source intelligence. </w:t>
      </w:r>
      <w:r>
        <w:rPr>
          <w:rFonts w:ascii="Arial" w:cs="Arial" w:eastAsia="Arial" w:hAnsi="Arial"/>
          <w:sz w:val="16"/>
          <w:szCs w:val="16"/>
          <w:color w:val="auto"/>
        </w:rPr>
        <w:t>A U.S. government organization uses Telos Ghost to securely conduct open source cyber threat intelligence analysis.</w:t>
      </w:r>
    </w:p>
    <w:p>
      <w:pPr>
        <w:spacing w:after="0" w:line="245" w:lineRule="exact"/>
        <w:rPr>
          <w:rFonts w:ascii="Arial" w:cs="Arial" w:eastAsia="Arial" w:hAnsi="Arial"/>
          <w:sz w:val="16"/>
          <w:szCs w:val="16"/>
          <w:i w:val="1"/>
          <w:iCs w:val="1"/>
          <w:color w:val="auto"/>
        </w:rPr>
      </w:pPr>
    </w:p>
    <w:p>
      <w:pPr>
        <w:ind w:left="660" w:right="80" w:hanging="331"/>
        <w:spacing w:after="0" w:line="261"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Supply chain security vulnerability assessment</w:t>
      </w:r>
      <w:r>
        <w:rPr>
          <w:rFonts w:ascii="Arial" w:cs="Arial" w:eastAsia="Arial" w:hAnsi="Arial"/>
          <w:sz w:val="18"/>
          <w:szCs w:val="18"/>
          <w:color w:val="auto"/>
        </w:rPr>
        <w:t>. A security company that vets the vulnerability of supply chains in the Defense Industrial Base uses</w:t>
      </w:r>
      <w:r>
        <w:rPr>
          <w:rFonts w:ascii="Arial" w:cs="Arial" w:eastAsia="Arial" w:hAnsi="Arial"/>
          <w:sz w:val="18"/>
          <w:szCs w:val="18"/>
          <w:i w:val="1"/>
          <w:iCs w:val="1"/>
          <w:color w:val="auto"/>
        </w:rPr>
        <w:t xml:space="preserve"> </w:t>
      </w:r>
      <w:r>
        <w:rPr>
          <w:rFonts w:ascii="Arial" w:cs="Arial" w:eastAsia="Arial" w:hAnsi="Arial"/>
          <w:sz w:val="18"/>
          <w:szCs w:val="18"/>
          <w:color w:val="auto"/>
        </w:rPr>
        <w:t>Telos Ghost to inspect the digital connections of the supply chain online, safe from observation by adversaries that might otherwise evade discovery.</w:t>
      </w:r>
    </w:p>
    <w:p>
      <w:pPr>
        <w:spacing w:after="0" w:line="183" w:lineRule="exact"/>
        <w:rPr>
          <w:rFonts w:ascii="Arial" w:cs="Arial" w:eastAsia="Arial" w:hAnsi="Arial"/>
          <w:sz w:val="18"/>
          <w:szCs w:val="18"/>
          <w:i w:val="1"/>
          <w:iCs w:val="1"/>
          <w:color w:val="auto"/>
        </w:rPr>
      </w:pPr>
    </w:p>
    <w:p>
      <w:pPr>
        <w:ind w:left="660" w:right="260" w:hanging="331"/>
        <w:spacing w:after="0" w:line="339" w:lineRule="auto"/>
        <w:tabs>
          <w:tab w:leader="none" w:pos="655"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Worldwide investigative and recovery services. </w:t>
      </w:r>
      <w:r>
        <w:rPr>
          <w:rFonts w:ascii="Arial" w:cs="Arial" w:eastAsia="Arial" w:hAnsi="Arial"/>
          <w:sz w:val="16"/>
          <w:szCs w:val="16"/>
          <w:color w:val="auto"/>
        </w:rPr>
        <w:t>A commercial firm uses Telos Ghost for cloaked online research and voice communications over</w:t>
      </w:r>
      <w:r>
        <w:rPr>
          <w:rFonts w:ascii="Arial" w:cs="Arial" w:eastAsia="Arial" w:hAnsi="Arial"/>
          <w:sz w:val="16"/>
          <w:szCs w:val="16"/>
          <w:i w:val="1"/>
          <w:iCs w:val="1"/>
          <w:color w:val="auto"/>
        </w:rPr>
        <w:t xml:space="preserve"> </w:t>
      </w:r>
      <w:r>
        <w:rPr>
          <w:rFonts w:ascii="Arial" w:cs="Arial" w:eastAsia="Arial" w:hAnsi="Arial"/>
          <w:sz w:val="16"/>
          <w:szCs w:val="16"/>
          <w:color w:val="auto"/>
        </w:rPr>
        <w:t>mobile devices to enable secure, privatized communications as they track and recover property from nefarious actors.</w:t>
      </w:r>
    </w:p>
    <w:p>
      <w:pPr>
        <w:spacing w:after="0" w:line="164" w:lineRule="exact"/>
        <w:rPr>
          <w:rFonts w:ascii="Arial" w:cs="Arial" w:eastAsia="Arial" w:hAnsi="Arial"/>
          <w:sz w:val="16"/>
          <w:szCs w:val="16"/>
          <w:i w:val="1"/>
          <w:iCs w:val="1"/>
          <w:color w:val="auto"/>
        </w:rPr>
      </w:pPr>
    </w:p>
    <w:p>
      <w:pPr>
        <w:ind w:left="660" w:right="100" w:hanging="331"/>
        <w:spacing w:after="0" w:line="241" w:lineRule="auto"/>
        <w:tabs>
          <w:tab w:leader="none" w:pos="655" w:val="left"/>
        </w:tabs>
        <w:numPr>
          <w:ilvl w:val="0"/>
          <w:numId w:val="9"/>
        </w:numPr>
        <w:rPr>
          <w:rFonts w:ascii="Arial" w:cs="Arial" w:eastAsia="Arial" w:hAnsi="Arial"/>
          <w:sz w:val="21"/>
          <w:szCs w:val="21"/>
          <w:color w:val="auto"/>
        </w:rPr>
      </w:pPr>
      <w:r>
        <w:rPr>
          <w:rFonts w:ascii="Arial" w:cs="Arial" w:eastAsia="Arial" w:hAnsi="Arial"/>
          <w:sz w:val="18"/>
          <w:szCs w:val="18"/>
          <w:i w:val="1"/>
          <w:iCs w:val="1"/>
          <w:color w:val="auto"/>
        </w:rPr>
        <w:t xml:space="preserve">Hide Critical Assets. </w:t>
      </w:r>
      <w:r>
        <w:rPr>
          <w:rFonts w:ascii="Arial" w:cs="Arial" w:eastAsia="Arial" w:hAnsi="Arial"/>
          <w:sz w:val="18"/>
          <w:szCs w:val="18"/>
          <w:color w:val="auto"/>
        </w:rPr>
        <w:t>A U.S. government organization uses Telos Ghost to hide mission-sensitive information in a cloud-based repository.</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transfer to and from this cloud-based repository is also hidden from being seen on the public internet, as well as the workstations used to perform this information transfer.</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Telos AMHS</w:t>
      </w:r>
    </w:p>
    <w:p>
      <w:pPr>
        <w:spacing w:after="0" w:line="226" w:lineRule="exact"/>
        <w:rPr>
          <w:sz w:val="20"/>
          <w:szCs w:val="20"/>
          <w:color w:val="auto"/>
        </w:rPr>
      </w:pPr>
    </w:p>
    <w:p>
      <w:pPr>
        <w:jc w:val="both"/>
        <w:ind w:right="320" w:firstLine="322"/>
        <w:spacing w:after="0" w:line="261" w:lineRule="auto"/>
        <w:rPr>
          <w:sz w:val="20"/>
          <w:szCs w:val="20"/>
          <w:color w:val="auto"/>
        </w:rPr>
      </w:pPr>
      <w:r>
        <w:rPr>
          <w:rFonts w:ascii="Arial" w:cs="Arial" w:eastAsia="Arial" w:hAnsi="Arial"/>
          <w:sz w:val="18"/>
          <w:szCs w:val="18"/>
          <w:color w:val="auto"/>
        </w:rPr>
        <w:t>Telos AMHS is used by military field operatives for critical communications on the battlefield. Since 1999, it has been one of our signature security solutions and has been one of the most widely used organizational messaging products in DoD and other agencies charged with defending U.S. national security.</w:t>
      </w:r>
    </w:p>
    <w:p>
      <w:pPr>
        <w:spacing w:after="0" w:line="184" w:lineRule="exact"/>
        <w:rPr>
          <w:sz w:val="20"/>
          <w:szCs w:val="20"/>
          <w:color w:val="auto"/>
        </w:rPr>
      </w:pPr>
    </w:p>
    <w:p>
      <w:pPr>
        <w:ind w:right="20" w:firstLine="322"/>
        <w:spacing w:after="0" w:line="269" w:lineRule="auto"/>
        <w:rPr>
          <w:sz w:val="20"/>
          <w:szCs w:val="20"/>
          <w:color w:val="auto"/>
        </w:rPr>
      </w:pPr>
      <w:r>
        <w:rPr>
          <w:rFonts w:ascii="Arial" w:cs="Arial" w:eastAsia="Arial" w:hAnsi="Arial"/>
          <w:sz w:val="17"/>
          <w:szCs w:val="17"/>
          <w:color w:val="auto"/>
        </w:rPr>
        <w:t>Telos AMHS is designed to support a range of secure messaging services to a worldwide community of U.S. military, IC, other federal government, and allied customers operating in both strategic and tactical environments. It is used to securely transmit messages that provide direction and establish a formal position, commitment, or response requiring the authority of an organization, rather than an individual, including:</w:t>
      </w:r>
    </w:p>
    <w:p>
      <w:pPr>
        <w:spacing w:after="0" w:line="2" w:lineRule="exact"/>
        <w:rPr>
          <w:sz w:val="20"/>
          <w:szCs w:val="20"/>
          <w:color w:val="auto"/>
        </w:rPr>
      </w:pPr>
    </w:p>
    <w:p>
      <w:pPr>
        <w:ind w:left="640" w:hanging="31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Military command and control;</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Cross-border authorizations;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Exchanges between military forces of sovereign nations;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High-level policy, procedure, or directives;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Response to legal, sensitive, or personnel matters.</w:t>
      </w:r>
    </w:p>
    <w:p>
      <w:pPr>
        <w:spacing w:after="0" w:line="208" w:lineRule="exact"/>
        <w:rPr>
          <w:sz w:val="20"/>
          <w:szCs w:val="20"/>
          <w:color w:val="auto"/>
        </w:rPr>
      </w:pPr>
    </w:p>
    <w:p>
      <w:pPr>
        <w:ind w:right="20" w:firstLine="322"/>
        <w:spacing w:after="0" w:line="257" w:lineRule="auto"/>
        <w:rPr>
          <w:sz w:val="20"/>
          <w:szCs w:val="20"/>
          <w:color w:val="auto"/>
        </w:rPr>
      </w:pPr>
      <w:r>
        <w:rPr>
          <w:rFonts w:ascii="Arial" w:cs="Arial" w:eastAsia="Arial" w:hAnsi="Arial"/>
          <w:sz w:val="18"/>
          <w:szCs w:val="18"/>
          <w:color w:val="auto"/>
        </w:rPr>
        <w:t>Because Telos AMHS supports timely and reliable delivery for authoritative communications, its uses include terrorist warnings, “eyes-only” messages, military execution orders, intelligence information, overflight clearances, and Emergency Action Messages for nuclear command and control. Information exchange at this level and for these purposes requires operational requirements for time-sensitive, guaranteed delivery, precedence, high availability, and reliability.</w:t>
      </w:r>
    </w:p>
    <w:p>
      <w:pPr>
        <w:spacing w:after="0" w:line="187" w:lineRule="exact"/>
        <w:rPr>
          <w:sz w:val="20"/>
          <w:szCs w:val="20"/>
          <w:color w:val="auto"/>
        </w:rPr>
      </w:pPr>
    </w:p>
    <w:p>
      <w:pPr>
        <w:ind w:right="220" w:firstLine="322"/>
        <w:spacing w:after="0" w:line="277" w:lineRule="auto"/>
        <w:rPr>
          <w:sz w:val="20"/>
          <w:szCs w:val="20"/>
          <w:color w:val="auto"/>
        </w:rPr>
      </w:pPr>
      <w:r>
        <w:rPr>
          <w:rFonts w:ascii="Arial" w:cs="Arial" w:eastAsia="Arial" w:hAnsi="Arial"/>
          <w:sz w:val="17"/>
          <w:szCs w:val="17"/>
          <w:color w:val="auto"/>
        </w:rPr>
        <w:t>Telos AMHS is the only web-based solution for assured messaging and directory services using the DISA’s Organizational Messaging Service and its specialized communications protocols. With Telos AMHS, users are able to send and receive rich-text messages across security domains and in different formats using plain language addressing. Users can search messages, archive messages, and send attachments up to 200MB to accommodate photos and videos, including those of terrorists, most wanted notices, maps, and satellite images.</w:t>
      </w:r>
    </w:p>
    <w:p>
      <w:pPr>
        <w:spacing w:after="0" w:line="171" w:lineRule="exact"/>
        <w:rPr>
          <w:sz w:val="20"/>
          <w:szCs w:val="20"/>
          <w:color w:val="auto"/>
        </w:rPr>
      </w:pPr>
    </w:p>
    <w:p>
      <w:pPr>
        <w:ind w:right="20" w:firstLine="322"/>
        <w:spacing w:after="0" w:line="261" w:lineRule="auto"/>
        <w:rPr>
          <w:sz w:val="20"/>
          <w:szCs w:val="20"/>
          <w:color w:val="auto"/>
        </w:rPr>
      </w:pPr>
      <w:r>
        <w:rPr>
          <w:rFonts w:ascii="Arial" w:cs="Arial" w:eastAsia="Arial" w:hAnsi="Arial"/>
          <w:sz w:val="18"/>
          <w:szCs w:val="18"/>
          <w:color w:val="auto"/>
        </w:rPr>
        <w:t>More than fifty organizations around the world depend on Telos AMHS, including the Joint Staff, combatant commands, military services, defense agencies, federal agencies, and the IC. Telos AMHS provides a proven return on investment over alternative organizational messaging offerings and is being implemented on a SaaS basis by an increasing number of organizations.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Telos ID Offerings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ID Overview</w:t>
      </w:r>
    </w:p>
    <w:p>
      <w:pPr>
        <w:spacing w:after="0" w:line="222" w:lineRule="exact"/>
        <w:rPr>
          <w:sz w:val="20"/>
          <w:szCs w:val="20"/>
          <w:color w:val="auto"/>
        </w:rPr>
      </w:pPr>
    </w:p>
    <w:p>
      <w:pPr>
        <w:ind w:right="240" w:firstLine="322"/>
        <w:spacing w:after="0" w:line="261" w:lineRule="auto"/>
        <w:rPr>
          <w:sz w:val="20"/>
          <w:szCs w:val="20"/>
          <w:color w:val="auto"/>
        </w:rPr>
      </w:pPr>
      <w:r>
        <w:rPr>
          <w:rFonts w:ascii="Arial" w:cs="Arial" w:eastAsia="Arial" w:hAnsi="Arial"/>
          <w:sz w:val="18"/>
          <w:szCs w:val="18"/>
          <w:color w:val="auto"/>
        </w:rPr>
        <w:t>Telos ID provides trusted identity and digital services that are critical for the delivery of vital citizen services that millions of Americans rely on each year. Access to these vital services requires a robust and reliable infrastructure comprised of advanced technologies, facilities, and professional staff members that can effectively deliver these services around the world.</w:t>
      </w:r>
    </w:p>
    <w:p>
      <w:pPr>
        <w:spacing w:after="0" w:line="184" w:lineRule="exact"/>
        <w:rPr>
          <w:sz w:val="20"/>
          <w:szCs w:val="20"/>
          <w:color w:val="auto"/>
        </w:rPr>
      </w:pPr>
    </w:p>
    <w:p>
      <w:pPr>
        <w:ind w:right="80" w:firstLine="322"/>
        <w:spacing w:after="0" w:line="291" w:lineRule="auto"/>
        <w:rPr>
          <w:sz w:val="20"/>
          <w:szCs w:val="20"/>
          <w:color w:val="auto"/>
        </w:rPr>
      </w:pPr>
      <w:r>
        <w:rPr>
          <w:rFonts w:ascii="Arial" w:cs="Arial" w:eastAsia="Arial" w:hAnsi="Arial"/>
          <w:sz w:val="16"/>
          <w:szCs w:val="16"/>
          <w:color w:val="auto"/>
        </w:rPr>
        <w:t>We have transformed the Telos ID business model by leveraging a flexible hybrid cloud identity services approach. We utilize our partnerships with AWS and ServiceNow, and we have fully integrated a robust suite of customer service, cybersecurity, and performance monitoring tools that align with DHS’s Continuous Diagnostics and Mitigation (“CDM”) Program that are designed to enable us to quickly deliver SaaS or turn-key solutions to our federal customers. Our digital platform extends web, mobile, and client applications that also drive professional services and product licensing opportunities. Our services are differentiated because our back-end system is intended to interface with critical homeland security and law enforcement systems and are tightly coupled with a mature, modern cloud-based platform that can scale to support large federal, state, local, and commercial programs.</w:t>
      </w:r>
    </w:p>
    <w:p>
      <w:pPr>
        <w:spacing w:after="0" w:line="165" w:lineRule="exact"/>
        <w:rPr>
          <w:sz w:val="20"/>
          <w:szCs w:val="20"/>
          <w:color w:val="auto"/>
        </w:rPr>
      </w:pPr>
    </w:p>
    <w:p>
      <w:pPr>
        <w:ind w:right="320" w:firstLine="322"/>
        <w:spacing w:after="0" w:line="274" w:lineRule="auto"/>
        <w:rPr>
          <w:sz w:val="20"/>
          <w:szCs w:val="20"/>
          <w:color w:val="auto"/>
        </w:rPr>
      </w:pPr>
      <w:r>
        <w:rPr>
          <w:rFonts w:ascii="Arial" w:cs="Arial" w:eastAsia="Arial" w:hAnsi="Arial"/>
          <w:sz w:val="18"/>
          <w:szCs w:val="18"/>
          <w:color w:val="auto"/>
        </w:rPr>
        <w:t>We maintain government certifications and designations that distinguish Telos ID, including TSA PreCheck enrollment provider, TSA DAC service provider, FBI-approved Channeler, and the FINRA Electronic Fingerprint Submission provider.</w:t>
      </w:r>
    </w:p>
    <w:p>
      <w:pPr>
        <w:spacing w:after="0" w:line="172" w:lineRule="exact"/>
        <w:rPr>
          <w:sz w:val="20"/>
          <w:szCs w:val="20"/>
          <w:color w:val="auto"/>
        </w:rPr>
      </w:pPr>
    </w:p>
    <w:p>
      <w:pPr>
        <w:ind w:firstLine="322"/>
        <w:spacing w:after="0" w:line="309" w:lineRule="auto"/>
        <w:rPr>
          <w:sz w:val="20"/>
          <w:szCs w:val="20"/>
          <w:color w:val="auto"/>
        </w:rPr>
      </w:pPr>
      <w:r>
        <w:rPr>
          <w:rFonts w:ascii="Arial" w:cs="Arial" w:eastAsia="Arial" w:hAnsi="Arial"/>
          <w:sz w:val="16"/>
          <w:szCs w:val="16"/>
          <w:color w:val="auto"/>
        </w:rPr>
        <w:t>Our strategic partners offer retail and on-demand service channels that further differentiate our offerings. Our established global logistics infrastructure provides responsive supply chain support. We operate a 24/7/365 full-service call center with chat-bots, AI, and virtual agent support, all of which contribute to scalability. Our network and security operations centers align with U.S. Computer Emergency Readiness Team and CDM best practices.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ID Applications and Use Cases</w:t>
      </w:r>
    </w:p>
    <w:p>
      <w:pPr>
        <w:spacing w:after="0" w:line="222" w:lineRule="exact"/>
        <w:rPr>
          <w:sz w:val="20"/>
          <w:szCs w:val="20"/>
          <w:color w:val="auto"/>
        </w:rPr>
      </w:pPr>
    </w:p>
    <w:p>
      <w:pPr>
        <w:ind w:left="660" w:right="200" w:hanging="331"/>
        <w:spacing w:after="0" w:line="270" w:lineRule="auto"/>
        <w:tabs>
          <w:tab w:leader="none" w:pos="655"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U.S. Military ID</w:t>
      </w:r>
      <w:r>
        <w:rPr>
          <w:rFonts w:ascii="Arial" w:cs="Arial" w:eastAsia="Arial" w:hAnsi="Arial"/>
          <w:sz w:val="17"/>
          <w:szCs w:val="17"/>
          <w:color w:val="auto"/>
        </w:rPr>
        <w:t>. For more than 25 years, Telos ID’s identity trust services have provided access to health care, commissary services, and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defense resources for more than 2,000,000 military members, their dependents, and civilian employees through the use of the Common Access Card (“CAC”). We provide near real-time data collection support on personnel movement and location information for operating forces, government civil servants, and government contractors in specified operational theaters. This system has captured over 693,000,000 scans of government, U.S. military, and contractor personnel since its inception. Our logistics infrastructure provides responsive 24-hour delivery of components to our warfighters deployed across the globe, and we custom-build our identity, credentialing, and access management solutions to function effectively in austere environments that demand reliability and performance at all times.</w:t>
      </w:r>
    </w:p>
    <w:p>
      <w:pPr>
        <w:spacing w:after="0" w:line="178" w:lineRule="exact"/>
        <w:rPr>
          <w:rFonts w:ascii="Arial" w:cs="Arial" w:eastAsia="Arial" w:hAnsi="Arial"/>
          <w:sz w:val="17"/>
          <w:szCs w:val="17"/>
          <w:i w:val="1"/>
          <w:iCs w:val="1"/>
          <w:color w:val="auto"/>
        </w:rPr>
      </w:pPr>
    </w:p>
    <w:p>
      <w:pPr>
        <w:ind w:left="660" w:right="100" w:hanging="331"/>
        <w:spacing w:after="0" w:line="287" w:lineRule="auto"/>
        <w:tabs>
          <w:tab w:leader="none" w:pos="65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TSA Aviation Channeling and Vetting</w:t>
      </w:r>
      <w:r>
        <w:rPr>
          <w:rFonts w:ascii="Arial" w:cs="Arial" w:eastAsia="Arial" w:hAnsi="Arial"/>
          <w:sz w:val="16"/>
          <w:szCs w:val="16"/>
          <w:color w:val="auto"/>
        </w:rPr>
        <w:t>. To date, our TSA-approved DAC service has processed over 1,500,000 aviation workers' biographic and</w:t>
      </w:r>
      <w:r>
        <w:rPr>
          <w:rFonts w:ascii="Arial" w:cs="Arial" w:eastAsia="Arial" w:hAnsi="Arial"/>
          <w:sz w:val="16"/>
          <w:szCs w:val="16"/>
          <w:i w:val="1"/>
          <w:iCs w:val="1"/>
          <w:color w:val="auto"/>
        </w:rPr>
        <w:t xml:space="preserve"> </w:t>
      </w:r>
      <w:r>
        <w:rPr>
          <w:rFonts w:ascii="Arial" w:cs="Arial" w:eastAsia="Arial" w:hAnsi="Arial"/>
          <w:sz w:val="16"/>
          <w:szCs w:val="16"/>
          <w:color w:val="auto"/>
        </w:rPr>
        <w:t>biometric data. Telos ID DAC services provide comprehensive background checks for those working in secure areas of U.S. commercial airports, enabling the submission of aviation worker's biographic and biometric data for a secure, efficient, cost-effective approach. Telos ID DAC services meet TSA and DHS requirements for handling personally identifiable information and biometrics. As one of only two TSA authorized DACs, we offer our aviation partners (airports, airlines, general aviation) innovative biometric, identity trust, and customer service technologies that are critical to the operation of more than half of the largest airports in the nation. We actively support nearly 100 commercial airports, airlines, and general aviation customers. We were the first DAC to offer and implement the FBI's RAP Back Service to our aviation partners, enabling continuous monitoring of aviation workers' criminal histories to mitigate the insider threat. Our Independent Secure Flight Vetting technology provides TSA-approved Secure Flight vetting for non-travelers requiring access to airport secure areas.</w:t>
      </w:r>
    </w:p>
    <w:p>
      <w:pPr>
        <w:spacing w:after="0" w:line="167" w:lineRule="exact"/>
        <w:rPr>
          <w:rFonts w:ascii="Arial" w:cs="Arial" w:eastAsia="Arial" w:hAnsi="Arial"/>
          <w:sz w:val="16"/>
          <w:szCs w:val="16"/>
          <w:i w:val="1"/>
          <w:iCs w:val="1"/>
          <w:color w:val="auto"/>
        </w:rPr>
      </w:pPr>
    </w:p>
    <w:p>
      <w:pPr>
        <w:ind w:left="660" w:right="20" w:hanging="331"/>
        <w:spacing w:after="0" w:line="286" w:lineRule="auto"/>
        <w:tabs>
          <w:tab w:leader="none" w:pos="65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U.S. Census Bureau Enumerator Screening</w:t>
      </w:r>
      <w:r>
        <w:rPr>
          <w:rFonts w:ascii="Arial" w:cs="Arial" w:eastAsia="Arial" w:hAnsi="Arial"/>
          <w:sz w:val="16"/>
          <w:szCs w:val="16"/>
          <w:color w:val="auto"/>
        </w:rPr>
        <w:t>. For the 2020 U.S. Census, we processed more than 1,000,000 enumerators through our 1,100 identity</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centers. Telos ID extended digital identity verification, fingerprinting, and photo services across the nation in support of U.S. Census hiring initiatives. We custom designed and deployed more than 1,300 desktop, kiosk, and mobile workstations that were operated by thousands of U.S.</w:t>
      </w:r>
    </w:p>
    <w:p>
      <w:pPr>
        <w:spacing w:after="0" w:line="1" w:lineRule="exact"/>
        <w:rPr>
          <w:rFonts w:ascii="Arial" w:cs="Arial" w:eastAsia="Arial" w:hAnsi="Arial"/>
          <w:sz w:val="16"/>
          <w:szCs w:val="16"/>
          <w:i w:val="1"/>
          <w:iCs w:val="1"/>
          <w:color w:val="auto"/>
        </w:rPr>
      </w:pPr>
    </w:p>
    <w:p>
      <w:pPr>
        <w:ind w:left="660" w:right="160"/>
        <w:spacing w:after="0" w:line="257" w:lineRule="auto"/>
        <w:rPr>
          <w:rFonts w:ascii="Arial" w:cs="Arial" w:eastAsia="Arial" w:hAnsi="Arial"/>
          <w:sz w:val="16"/>
          <w:szCs w:val="16"/>
          <w:i w:val="1"/>
          <w:iCs w:val="1"/>
          <w:color w:val="auto"/>
        </w:rPr>
      </w:pPr>
      <w:r>
        <w:rPr>
          <w:rFonts w:ascii="Arial" w:cs="Arial" w:eastAsia="Arial" w:hAnsi="Arial"/>
          <w:sz w:val="18"/>
          <w:szCs w:val="18"/>
          <w:color w:val="auto"/>
        </w:rPr>
        <w:t>Census-cleared staff members. At the peak, Telos ID’s managed service supported more than 30,000 appointments per day, and our customer call center handled more than 35,000 daily calls.</w:t>
      </w:r>
    </w:p>
    <w:p>
      <w:pPr>
        <w:spacing w:after="0" w:line="186" w:lineRule="exact"/>
        <w:rPr>
          <w:rFonts w:ascii="Arial" w:cs="Arial" w:eastAsia="Arial" w:hAnsi="Arial"/>
          <w:sz w:val="16"/>
          <w:szCs w:val="16"/>
          <w:i w:val="1"/>
          <w:iCs w:val="1"/>
          <w:color w:val="auto"/>
        </w:rPr>
      </w:pPr>
    </w:p>
    <w:p>
      <w:pPr>
        <w:ind w:left="660" w:right="180" w:hanging="331"/>
        <w:spacing w:after="0" w:line="253"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TSA PreCheck Enrollment Screening</w:t>
      </w:r>
      <w:r>
        <w:rPr>
          <w:rFonts w:ascii="Arial" w:cs="Arial" w:eastAsia="Arial" w:hAnsi="Arial"/>
          <w:sz w:val="18"/>
          <w:szCs w:val="18"/>
          <w:color w:val="auto"/>
        </w:rPr>
        <w:t>. Telos ID’s award of a 10-year contract to provide enrollment services in support of the TSA PreCheck</w:t>
      </w:r>
      <w:r>
        <w:rPr>
          <w:rFonts w:ascii="Arial" w:cs="Arial" w:eastAsia="Arial" w:hAnsi="Arial"/>
          <w:sz w:val="18"/>
          <w:szCs w:val="18"/>
          <w:i w:val="1"/>
          <w:iCs w:val="1"/>
          <w:color w:val="auto"/>
        </w:rPr>
        <w:t xml:space="preserve"> </w:t>
      </w:r>
      <w:r>
        <w:rPr>
          <w:rFonts w:ascii="Arial" w:cs="Arial" w:eastAsia="Arial" w:hAnsi="Arial"/>
          <w:sz w:val="18"/>
          <w:szCs w:val="18"/>
          <w:color w:val="auto"/>
        </w:rPr>
        <w:t>Enrollment Program presents a large, high-profile opportunity for us, and we are preparing to launch services under this program as soon as authorized by TSA. The TSA PreCheck contract is an important example of a government-sponsored, consumer-facing opportunity, in which we provide PreCheck enrollment services to individual, fee-paying applicants. Telos ID’s service will engage with the world’s leading airline, hospitality, credit card, and other Fortune 500 businesses to provide consumer marketing and loyalty program tie-ins to promote the PreCheck program. In addition, this program is expected to feature an omnichannel market approach that leverages advanced digital services to reach our customers across several market segments.</w:t>
      </w:r>
    </w:p>
    <w:p>
      <w:pPr>
        <w:spacing w:after="0" w:line="190" w:lineRule="exact"/>
        <w:rPr>
          <w:rFonts w:ascii="Arial" w:cs="Arial" w:eastAsia="Arial" w:hAnsi="Arial"/>
          <w:sz w:val="18"/>
          <w:szCs w:val="18"/>
          <w:i w:val="1"/>
          <w:iCs w:val="1"/>
          <w:color w:val="auto"/>
        </w:rPr>
      </w:pPr>
    </w:p>
    <w:p>
      <w:pPr>
        <w:ind w:left="660" w:hanging="331"/>
        <w:spacing w:after="0" w:line="27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CMS Healthcare Provider Screening</w:t>
      </w:r>
      <w:r>
        <w:rPr>
          <w:rFonts w:ascii="Arial" w:cs="Arial" w:eastAsia="Arial" w:hAnsi="Arial"/>
          <w:sz w:val="17"/>
          <w:szCs w:val="17"/>
          <w:color w:val="auto"/>
        </w:rPr>
        <w:t>. Telos ID was awarded a 10-year contract to provide technology and service solutions that detect, prevent, and</w:t>
      </w:r>
      <w:r>
        <w:rPr>
          <w:rFonts w:ascii="Arial" w:cs="Arial" w:eastAsia="Arial" w:hAnsi="Arial"/>
          <w:sz w:val="17"/>
          <w:szCs w:val="17"/>
          <w:i w:val="1"/>
          <w:iCs w:val="1"/>
          <w:color w:val="auto"/>
        </w:rPr>
        <w:t xml:space="preserve"> </w:t>
      </w:r>
      <w:r>
        <w:rPr>
          <w:rFonts w:ascii="Arial" w:cs="Arial" w:eastAsia="Arial" w:hAnsi="Arial"/>
          <w:sz w:val="17"/>
          <w:szCs w:val="17"/>
          <w:color w:val="auto"/>
        </w:rPr>
        <w:t>proactively deter fraud, waste and abuse in the Medicare and Medicaid programs. Once the CMS program is implemented, Telos ID’s digital identity trust platform and digital services is expected to offer critical technology necessary to identify and mitigate fraud across the United States. Health care providers will be required to undergo FBI-based non-criminal history checks requiring identity trust services, including identity verification, fingerprinting, and continuous monitoring. The substantial efforts by the federal health authorities to manage the pandemic and the administration of vaccines has resulted in the indefinite delay of the CMS program.</w:t>
      </w:r>
    </w:p>
    <w:p>
      <w:pPr>
        <w:spacing w:after="0" w:line="179" w:lineRule="exact"/>
        <w:rPr>
          <w:sz w:val="20"/>
          <w:szCs w:val="20"/>
          <w:color w:val="auto"/>
        </w:rPr>
      </w:pPr>
    </w:p>
    <w:p>
      <w:pPr>
        <w:ind w:firstLine="322"/>
        <w:spacing w:after="0" w:line="299" w:lineRule="auto"/>
        <w:rPr>
          <w:sz w:val="20"/>
          <w:szCs w:val="20"/>
          <w:color w:val="auto"/>
        </w:rPr>
      </w:pPr>
      <w:r>
        <w:rPr>
          <w:rFonts w:ascii="Arial" w:cs="Arial" w:eastAsia="Arial" w:hAnsi="Arial"/>
          <w:sz w:val="16"/>
          <w:szCs w:val="16"/>
          <w:color w:val="auto"/>
        </w:rPr>
        <w:t>Telos ID's digital trusted identity platform – IDTrust360 – is a fully integrated suite that addresses challenges pertaining to KYC, insider threats, access and authorization, regulatory compliance, and other business requirements. It delivers identity trust, multi-modal biometric capture and matching, identity assurance, identity vetting, document validation, credentialing, and numerous other capabilities. Its open architecture is supported by a flexible API gateway and a robust workflow engine that can efficiently extend individual services or offer the entire platform as a SaaS or turn-key solution for our customers.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20" w:firstLine="322"/>
        <w:spacing w:after="0" w:line="255" w:lineRule="auto"/>
        <w:rPr>
          <w:sz w:val="20"/>
          <w:szCs w:val="20"/>
          <w:color w:val="auto"/>
        </w:rPr>
      </w:pPr>
      <w:r>
        <w:rPr>
          <w:rFonts w:ascii="Arial" w:cs="Arial" w:eastAsia="Arial" w:hAnsi="Arial"/>
          <w:sz w:val="18"/>
          <w:szCs w:val="18"/>
          <w:color w:val="auto"/>
        </w:rPr>
        <w:t>IDTrust360 is the only commercially owned and operated platform on the market with direct interfaces to the FBI's criminal records, DHS's terrorist watch list service, Treasury's pay.gov, other government identity risk management systems, and numerous commercial identity, intelligence, and risk-based data sources. We are actively engaged with federal customers to integrate vital event records, government identification document records, and other fingerprint-based biometric records hosted across multiple agencies. This enables Telos ID to offer NIST-compliant digital identity services aligned with federal security mandates.</w:t>
      </w:r>
    </w:p>
    <w:p>
      <w:pPr>
        <w:spacing w:after="0" w:line="189" w:lineRule="exact"/>
        <w:rPr>
          <w:sz w:val="20"/>
          <w:szCs w:val="20"/>
          <w:color w:val="auto"/>
        </w:rPr>
      </w:pPr>
    </w:p>
    <w:p>
      <w:pPr>
        <w:ind w:right="380" w:firstLine="322"/>
        <w:spacing w:after="0" w:line="255" w:lineRule="auto"/>
        <w:rPr>
          <w:sz w:val="20"/>
          <w:szCs w:val="20"/>
          <w:color w:val="auto"/>
        </w:rPr>
      </w:pPr>
      <w:r>
        <w:rPr>
          <w:rFonts w:ascii="Arial" w:cs="Arial" w:eastAsia="Arial" w:hAnsi="Arial"/>
          <w:sz w:val="17"/>
          <w:szCs w:val="17"/>
          <w:color w:val="auto"/>
        </w:rPr>
        <w:t>IDTrust360 extends web, mobile, and client applications within a fully integrated low-code development environment for rapid application development. IDTrust360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leverages leading cybersecurity and network monitoring tools aligned with DHS CDM and industry best practices for strengthening network defense and enhancing the resiliency of our infrastructure necessary for managing and protecting millions of identity records, sensitive information, and end-point hardware components deployed across thousands of sites around the world. Telos ID customers operate in defense, homeland security and law enforcement, financial, health, commerce, transportation, retail, and other market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 Mobility</w:t>
      </w:r>
    </w:p>
    <w:p>
      <w:pPr>
        <w:spacing w:after="0" w:line="226" w:lineRule="exact"/>
        <w:rPr>
          <w:sz w:val="20"/>
          <w:szCs w:val="20"/>
          <w:color w:val="auto"/>
        </w:rPr>
      </w:pPr>
    </w:p>
    <w:p>
      <w:pPr>
        <w:ind w:right="60" w:firstLine="322"/>
        <w:spacing w:after="0" w:line="294" w:lineRule="auto"/>
        <w:rPr>
          <w:sz w:val="20"/>
          <w:szCs w:val="20"/>
          <w:color w:val="auto"/>
        </w:rPr>
      </w:pPr>
      <w:r>
        <w:rPr>
          <w:rFonts w:ascii="Arial" w:cs="Arial" w:eastAsia="Arial" w:hAnsi="Arial"/>
          <w:sz w:val="16"/>
          <w:szCs w:val="16"/>
          <w:color w:val="auto"/>
        </w:rPr>
        <w:t>Approximately 20 years ago, we were the first non-government solutions provider to receive approval to design and deliver secure wireless solutions to DoD. That authorization to operate enabled us to build a very large footprint within DoD and the U.S. Air Force. As a result, we have a long track record of enabling our customers to work remotely and securely. Given the depth of our relationships, when one of our customers elects to modernize its remote mobility infrastructure, it frequently chooses to work with us. Within the U.S. Air Force and supporting DoD communities, we have designed and delivered enterprise-level secure mobile networks on every active duty, Air National Guard, and Air Force Reserve site worldwide.</w:t>
      </w:r>
    </w:p>
    <w:p>
      <w:pPr>
        <w:spacing w:after="0" w:line="161" w:lineRule="exact"/>
        <w:rPr>
          <w:sz w:val="20"/>
          <w:szCs w:val="20"/>
          <w:color w:val="auto"/>
        </w:rPr>
      </w:pPr>
    </w:p>
    <w:p>
      <w:pPr>
        <w:jc w:val="both"/>
        <w:ind w:right="220" w:firstLine="322"/>
        <w:spacing w:after="0" w:line="261" w:lineRule="auto"/>
        <w:rPr>
          <w:sz w:val="20"/>
          <w:szCs w:val="20"/>
          <w:color w:val="auto"/>
        </w:rPr>
      </w:pPr>
      <w:r>
        <w:rPr>
          <w:rFonts w:ascii="Arial" w:cs="Arial" w:eastAsia="Arial" w:hAnsi="Arial"/>
          <w:sz w:val="18"/>
          <w:szCs w:val="18"/>
          <w:color w:val="auto"/>
        </w:rPr>
        <w:t>Our secure mobility team brings credentials to every engagement, supplying deep expertise and experience as well as highly desirable clearances and industry-recognized certifications for network engineering, mobility, and security. We also foster and maintain key industry partnerships, offering insight into technology advances and early access to new secure mobility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Management and Defense</w:t>
      </w:r>
    </w:p>
    <w:p>
      <w:pPr>
        <w:spacing w:after="0" w:line="226" w:lineRule="exact"/>
        <w:rPr>
          <w:sz w:val="20"/>
          <w:szCs w:val="20"/>
          <w:color w:val="auto"/>
        </w:rPr>
      </w:pPr>
    </w:p>
    <w:p>
      <w:pPr>
        <w:ind w:right="20" w:firstLine="322"/>
        <w:spacing w:after="0" w:line="257" w:lineRule="auto"/>
        <w:rPr>
          <w:sz w:val="20"/>
          <w:szCs w:val="20"/>
          <w:color w:val="auto"/>
        </w:rPr>
      </w:pPr>
      <w:r>
        <w:rPr>
          <w:rFonts w:ascii="Arial" w:cs="Arial" w:eastAsia="Arial" w:hAnsi="Arial"/>
          <w:sz w:val="18"/>
          <w:szCs w:val="18"/>
          <w:color w:val="auto"/>
        </w:rPr>
        <w:t>On a managed basis, we offer a broad suite of services needed to operate, administer, and defend complex enterprise networks, giving our customers the benefit of these capabilities without committing to the cost and burden of providing the services for themselves. We have the expertise to manage and defend large-scale enterprises and have been successful over the period of many years at hiring and retaining personnel with the necessary key skills and security clearances.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6" w:lineRule="exact"/>
        <w:rPr>
          <w:sz w:val="20"/>
          <w:szCs w:val="20"/>
          <w:color w:val="auto"/>
        </w:rPr>
      </w:pPr>
    </w:p>
    <w:p>
      <w:pPr>
        <w:ind w:left="660" w:hanging="331"/>
        <w:spacing w:after="0" w:line="253"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Leading cybersecurity company with a long history of providing security solutions to the most sophisticated customers</w:t>
      </w:r>
      <w:r>
        <w:rPr>
          <w:rFonts w:ascii="Arial" w:cs="Arial" w:eastAsia="Arial" w:hAnsi="Arial"/>
          <w:sz w:val="18"/>
          <w:szCs w:val="18"/>
          <w:color w:val="auto"/>
        </w:rPr>
        <w:t>. We have been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solutions, specializing in the area of cybersecurity, since 1995. Our customers include some of the most security-conscious organizations in the world, including the IC. For example, we believe that our award-winning Xacta offering is the dominant commercial risk management solution in the federal government space and is increasingly being adopted in the commercial sphere, notably by leading cloud providers such as AWS, Oracle and Microsoft Azure. Additionally, Telos Ghost gives organizations and individuals the ability to hide in plain sight, eliminating attack vectors from hackers through obfuscation and mis-attribution. And, we believe our Telos ID offerings are market disruptors that present large opportunities for growth.</w:t>
      </w:r>
    </w:p>
    <w:p>
      <w:pPr>
        <w:spacing w:after="0" w:line="190" w:lineRule="exact"/>
        <w:rPr>
          <w:rFonts w:ascii="Arial" w:cs="Arial" w:eastAsia="Arial" w:hAnsi="Arial"/>
          <w:sz w:val="18"/>
          <w:szCs w:val="18"/>
          <w:i w:val="1"/>
          <w:iCs w:val="1"/>
          <w:color w:val="auto"/>
        </w:rPr>
      </w:pPr>
    </w:p>
    <w:p>
      <w:pPr>
        <w:ind w:left="660" w:right="180" w:hanging="331"/>
        <w:spacing w:after="0" w:line="284" w:lineRule="auto"/>
        <w:tabs>
          <w:tab w:leader="none" w:pos="655"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Superior security solutions and capabilities</w:t>
      </w:r>
      <w:r>
        <w:rPr>
          <w:rFonts w:ascii="Arial" w:cs="Arial" w:eastAsia="Arial" w:hAnsi="Arial"/>
          <w:sz w:val="17"/>
          <w:szCs w:val="17"/>
          <w:color w:val="auto"/>
        </w:rPr>
        <w:t>. Our solutions are designed for both government and commercial industries and are configured to</w:t>
      </w:r>
      <w:r>
        <w:rPr>
          <w:rFonts w:ascii="Arial" w:cs="Arial" w:eastAsia="Arial" w:hAnsi="Arial"/>
          <w:sz w:val="17"/>
          <w:szCs w:val="17"/>
          <w:i w:val="1"/>
          <w:iCs w:val="1"/>
          <w:color w:val="auto"/>
        </w:rPr>
        <w:t xml:space="preserve"> </w:t>
      </w:r>
      <w:r>
        <w:rPr>
          <w:rFonts w:ascii="Arial" w:cs="Arial" w:eastAsia="Arial" w:hAnsi="Arial"/>
          <w:sz w:val="17"/>
          <w:szCs w:val="17"/>
          <w:color w:val="auto"/>
        </w:rPr>
        <w:t>operate in highly sensitive, highly classified environments, serving some of the most demanding, secure organizations in the world. Our solutions are flexible and can be deployed in various ways, including on premises, in the cloud, or in hybrid or multi-cloud environments.</w:t>
      </w:r>
    </w:p>
    <w:p>
      <w:pPr>
        <w:spacing w:after="0" w:line="165" w:lineRule="exact"/>
        <w:rPr>
          <w:rFonts w:ascii="Arial" w:cs="Arial" w:eastAsia="Arial" w:hAnsi="Arial"/>
          <w:sz w:val="17"/>
          <w:szCs w:val="17"/>
          <w:i w:val="1"/>
          <w:iCs w:val="1"/>
          <w:color w:val="auto"/>
        </w:rPr>
      </w:pPr>
    </w:p>
    <w:p>
      <w:pPr>
        <w:ind w:left="660" w:right="20" w:hanging="331"/>
        <w:spacing w:after="0" w:line="253"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Proven ability to win and retain large contracts and enterprise-level deals, providing clear visibility into future revenue and profitability</w:t>
      </w:r>
      <w:r>
        <w:rPr>
          <w:rFonts w:ascii="Arial" w:cs="Arial" w:eastAsia="Arial" w:hAnsi="Arial"/>
          <w:sz w:val="18"/>
          <w:szCs w:val="18"/>
          <w:color w:val="auto"/>
        </w:rPr>
        <w: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over 30 active acquisition contracts and vehicles, thousands of active contracts and purchase orders, and more than 300 customers in each of the last three years. These contracts, vehicles and customers present a solid platform for growth. As but one example, we have provided IT security support to the Defense Manpower Data Center under a variety of contract vehicles since 1995, and this program accounts for annual revenue at a historical average of approximately $26 million over the last five years. We also have repeated proven our ability to deploy our security solutions at the enterprise level for both federal and commercial organizations. These long-term contract relationships provide predictable, recurring revenue at attractive margins.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hanging="331"/>
        <w:spacing w:after="0" w:line="291" w:lineRule="auto"/>
        <w:tabs>
          <w:tab w:leader="none" w:pos="65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Our substantial investments into technology and automation can be expanded beyond our core market</w:t>
      </w:r>
      <w:r>
        <w:rPr>
          <w:rFonts w:ascii="Arial" w:cs="Arial" w:eastAsia="Arial" w:hAnsi="Arial"/>
          <w:sz w:val="16"/>
          <w:szCs w:val="16"/>
          <w:color w:val="auto"/>
        </w:rPr>
        <w:t>. Our solutions are built to help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be more secure, more efficient, and more effective. We have made investments across the Company to take advantage of efficiencies and automation through scalable security solutions that are market driven and market proven. In contrast to traditional cybersecurity businesses with a focus on government customers, we own the intellectual property developed through our research and development ("R&amp;D") initiatives and can deploy our technology solutions across our entire public and private sector customer set. The ability to offer our solutions beyond the U.S. federal government sphere is a key enabler of our strategy to grow and expand our relationships with commercial customers.</w:t>
      </w:r>
    </w:p>
    <w:p>
      <w:pPr>
        <w:spacing w:after="0" w:line="164" w:lineRule="exact"/>
        <w:rPr>
          <w:rFonts w:ascii="Arial" w:cs="Arial" w:eastAsia="Arial" w:hAnsi="Arial"/>
          <w:sz w:val="16"/>
          <w:szCs w:val="16"/>
          <w:i w:val="1"/>
          <w:iCs w:val="1"/>
          <w:color w:val="auto"/>
        </w:rPr>
      </w:pPr>
    </w:p>
    <w:p>
      <w:pPr>
        <w:ind w:left="660" w:right="100" w:hanging="331"/>
        <w:spacing w:after="0" w:line="25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Strong relationships with our customers</w:t>
      </w:r>
      <w:r>
        <w:rPr>
          <w:rFonts w:ascii="Arial" w:cs="Arial" w:eastAsia="Arial" w:hAnsi="Arial"/>
          <w:sz w:val="18"/>
          <w:szCs w:val="18"/>
          <w:color w:val="auto"/>
        </w:rPr>
        <w:t>. We are a customer-centric organization and pride ourselves on our close customer relationships.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longstanding relationships with DoD, the IC and other civilian agencies of the federal government that date back more than two decades. Since 1995, our security solutions have been adopted by many defense, intelligence, civilian agency, and commercial customers, and we believe that the Telos brand has become synonymous with trust.</w:t>
      </w:r>
    </w:p>
    <w:p>
      <w:pPr>
        <w:spacing w:after="0" w:line="187" w:lineRule="exact"/>
        <w:rPr>
          <w:rFonts w:ascii="Arial" w:cs="Arial" w:eastAsia="Arial" w:hAnsi="Arial"/>
          <w:sz w:val="18"/>
          <w:szCs w:val="18"/>
          <w:i w:val="1"/>
          <w:iCs w:val="1"/>
          <w:color w:val="auto"/>
        </w:rPr>
      </w:pPr>
    </w:p>
    <w:p>
      <w:pPr>
        <w:ind w:left="660" w:hanging="331"/>
        <w:spacing w:after="0" w:line="25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Respected, experienced management team</w:t>
      </w:r>
      <w:r>
        <w:rPr>
          <w:rFonts w:ascii="Arial" w:cs="Arial" w:eastAsia="Arial" w:hAnsi="Arial"/>
          <w:sz w:val="18"/>
          <w:szCs w:val="18"/>
          <w:color w:val="auto"/>
        </w:rPr>
        <w:t>. Our executive officers have an average tenure at Telos of over 15 years. The team is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with extensive military, federal government, and commercial backgrounds who are directly familiar with customer needs. Our management team also includes senior professionals who are experienced in developing commercial software solutions and leading technical teams throughout the development process.</w:t>
      </w:r>
    </w:p>
    <w:p>
      <w:pPr>
        <w:spacing w:after="0" w:line="187" w:lineRule="exact"/>
        <w:rPr>
          <w:rFonts w:ascii="Arial" w:cs="Arial" w:eastAsia="Arial" w:hAnsi="Arial"/>
          <w:sz w:val="18"/>
          <w:szCs w:val="18"/>
          <w:i w:val="1"/>
          <w:iCs w:val="1"/>
          <w:color w:val="auto"/>
        </w:rPr>
      </w:pPr>
    </w:p>
    <w:p>
      <w:pPr>
        <w:ind w:left="660" w:right="200" w:hanging="331"/>
        <w:spacing w:after="0" w:line="25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Automation allows our customers to do more with less</w:t>
      </w:r>
      <w:r>
        <w:rPr>
          <w:rFonts w:ascii="Arial" w:cs="Arial" w:eastAsia="Arial" w:hAnsi="Arial"/>
          <w:sz w:val="18"/>
          <w:szCs w:val="18"/>
          <w:color w:val="auto"/>
        </w:rPr>
        <w:t>. The automation provided by our solutions helps customers become more efficient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are forced to downsize their staffs or have their teams work remotely due to the COVID-19 pandemic. Automation is now even more critical to efficiently managing a business, including the ability to automate cyber risk and regulatory compliance, which should result in an increased demand for our security solutions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pursuing multiple strategies in order to grow the Company, in both our commercial and government business end markets. Our key strategies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208" w:lineRule="exact"/>
        <w:rPr>
          <w:sz w:val="20"/>
          <w:szCs w:val="20"/>
          <w:color w:val="auto"/>
        </w:rPr>
      </w:pPr>
    </w:p>
    <w:p>
      <w:pPr>
        <w:ind w:left="660" w:right="80" w:hanging="331"/>
        <w:spacing w:after="0" w:line="253"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Leverage our diverse security solutions to expand our presence in commercial markets</w:t>
      </w:r>
      <w:r>
        <w:rPr>
          <w:rFonts w:ascii="Arial" w:cs="Arial" w:eastAsia="Arial" w:hAnsi="Arial"/>
          <w:sz w:val="18"/>
          <w:szCs w:val="18"/>
          <w:color w:val="auto"/>
        </w:rPr>
        <w:t>. Our offerings are designed to have broad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security risk and compliance, secure messaging, identity vetting, and managed attribution and obfuscation. We believe that we are well-positioned to sell our capabilities into a dynamic and growing commercial opportunity set and to innovate to address emerging and unique requirements. For example, we have leveraged core Xacta functionality to meet the needs of large financial services and CRM firms. We have also leveraged our U.S. federal government identity management qualifications to improve the speed and accuracy of vetting results for nearly 100 airports, air carriers, and general aviation across the country. We intend to continue innovating and are developing additional offerings for cloud, mobile, and IoT devices.</w:t>
      </w:r>
    </w:p>
    <w:p>
      <w:pPr>
        <w:spacing w:after="0" w:line="190" w:lineRule="exact"/>
        <w:rPr>
          <w:rFonts w:ascii="Arial" w:cs="Arial" w:eastAsia="Arial" w:hAnsi="Arial"/>
          <w:sz w:val="18"/>
          <w:szCs w:val="18"/>
          <w:i w:val="1"/>
          <w:iCs w:val="1"/>
          <w:color w:val="auto"/>
        </w:rPr>
      </w:pPr>
    </w:p>
    <w:p>
      <w:pPr>
        <w:ind w:left="660" w:right="120" w:hanging="331"/>
        <w:spacing w:after="0" w:line="291" w:lineRule="auto"/>
        <w:tabs>
          <w:tab w:leader="none" w:pos="655"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Grow our revenue and expand margins by building robust sales channels</w:t>
      </w:r>
      <w:r>
        <w:rPr>
          <w:rFonts w:ascii="Arial" w:cs="Arial" w:eastAsia="Arial" w:hAnsi="Arial"/>
          <w:sz w:val="16"/>
          <w:szCs w:val="16"/>
          <w:color w:val="auto"/>
        </w:rPr>
        <w:t>. In recent years, we have formed an inside sales organization that serves</w:t>
      </w:r>
      <w:r>
        <w:rPr>
          <w:rFonts w:ascii="Arial" w:cs="Arial" w:eastAsia="Arial" w:hAnsi="Arial"/>
          <w:sz w:val="16"/>
          <w:szCs w:val="16"/>
          <w:i w:val="1"/>
          <w:iCs w:val="1"/>
          <w:color w:val="auto"/>
        </w:rPr>
        <w:t xml:space="preserve"> </w:t>
      </w:r>
      <w:r>
        <w:rPr>
          <w:rFonts w:ascii="Arial" w:cs="Arial" w:eastAsia="Arial" w:hAnsi="Arial"/>
          <w:sz w:val="16"/>
          <w:szCs w:val="16"/>
          <w:color w:val="auto"/>
        </w:rPr>
        <w:t>as both the direct channel to a wider account universe and an effective and efficient training program to grow our field sales organization. We are expanding our partner program to include a variety of channels, including resellers, integrators, and contract partners to help us more quickly gain access to new markets. For example, both Telos Ghost and Xacta are now available through various AWS and Microsoft Azure marketplaces, serving markets requiring varying levels of security. We have grown our direct sales team and accelerated the expansion of these channel partner initiatives, which we anticipate will drive revenue growth and material gross margin expansion over time.</w:t>
      </w:r>
    </w:p>
    <w:p>
      <w:pPr>
        <w:spacing w:after="0" w:line="164" w:lineRule="exact"/>
        <w:rPr>
          <w:rFonts w:ascii="Arial" w:cs="Arial" w:eastAsia="Arial" w:hAnsi="Arial"/>
          <w:sz w:val="16"/>
          <w:szCs w:val="16"/>
          <w:i w:val="1"/>
          <w:iCs w:val="1"/>
          <w:color w:val="auto"/>
        </w:rPr>
      </w:pPr>
    </w:p>
    <w:p>
      <w:pPr>
        <w:ind w:left="660" w:hanging="331"/>
        <w:spacing w:after="0" w:line="254"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Target and replace inefficient legacy products</w:t>
      </w:r>
      <w:r>
        <w:rPr>
          <w:rFonts w:ascii="Arial" w:cs="Arial" w:eastAsia="Arial" w:hAnsi="Arial"/>
          <w:sz w:val="18"/>
          <w:szCs w:val="18"/>
          <w:color w:val="auto"/>
        </w:rPr>
        <w:t>. Recognizing the limitations of their legacy systems, organizations are replacing existing systems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with our solutions. For example, Telos AMHS is a web-centric system that replaced legacy capabilities like communications centers for the purpose of executing operational orders (through organizational messaging) across the U.S. federal government and around the world. Xacta has disrupted the cyber risk and compliance management business across the U.S. federal government, replacing tedious manual activity with automation and delivering that automation to meet our customer’s needs flexibly on premises, in hybrid environments, in the cloud, and across multi-cloud infrastructures.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right="120" w:hanging="331"/>
        <w:spacing w:after="0" w:line="271" w:lineRule="auto"/>
        <w:tabs>
          <w:tab w:leader="none" w:pos="65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Broaden reach within the U.S. federal government</w:t>
      </w:r>
      <w:r>
        <w:rPr>
          <w:rFonts w:ascii="Arial" w:cs="Arial" w:eastAsia="Arial" w:hAnsi="Arial"/>
          <w:sz w:val="17"/>
          <w:szCs w:val="17"/>
          <w:color w:val="auto"/>
        </w:rPr>
        <w:t>. We have historically focused on the U.S. federal government and believe that we are an</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leader in providing security solutions to federal agencies, including DoD and the IC. Nonetheless, we believe the U.S. federal government represents a significant growth opportunity, and we expect to continue to invest in products to serve additional customers in this vertical. For example, Xacta is included on DHS’s CDM Approved Products List to provide federal agencies with innovative security tools, which we believe presents us with an excellent opportunity to pursue contracts with additional federal agencies. In addition, our platform is available for use in the AWS GovCloud (U.S.), Oracle and Azure Government.</w:t>
      </w:r>
    </w:p>
    <w:p>
      <w:pPr>
        <w:spacing w:after="0" w:line="178" w:lineRule="exact"/>
        <w:rPr>
          <w:rFonts w:ascii="Arial" w:cs="Arial" w:eastAsia="Arial" w:hAnsi="Arial"/>
          <w:sz w:val="17"/>
          <w:szCs w:val="17"/>
          <w:i w:val="1"/>
          <w:iCs w:val="1"/>
          <w:color w:val="auto"/>
        </w:rPr>
      </w:pPr>
    </w:p>
    <w:p>
      <w:pPr>
        <w:ind w:left="660" w:right="220" w:hanging="331"/>
        <w:spacing w:after="0" w:line="299" w:lineRule="auto"/>
        <w:tabs>
          <w:tab w:leader="none" w:pos="655"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Pursue strategic acquisition opportunities</w:t>
      </w:r>
      <w:r>
        <w:rPr>
          <w:rFonts w:ascii="Arial" w:cs="Arial" w:eastAsia="Arial" w:hAnsi="Arial"/>
          <w:sz w:val="16"/>
          <w:szCs w:val="16"/>
          <w:color w:val="auto"/>
        </w:rPr>
        <w:t>. We believe that our markets remain fragmented, with many niche players providing limited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targeting narrow customer segments. Given the breadth of our solution set and our customer end markets, we believe that we are well-positioned to opportunistically acquire smaller companies and incorporate their technology or deploy their solutions across a larger customer set. We believe that a targeted and opportunistic acquisition strategy will complement our organic growth opportunity.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Field Sales and Channel</w:t>
      </w:r>
    </w:p>
    <w:p>
      <w:pPr>
        <w:spacing w:after="0" w:line="222" w:lineRule="exact"/>
        <w:rPr>
          <w:sz w:val="20"/>
          <w:szCs w:val="20"/>
          <w:color w:val="auto"/>
        </w:rPr>
      </w:pPr>
    </w:p>
    <w:p>
      <w:pPr>
        <w:ind w:right="40" w:firstLine="322"/>
        <w:spacing w:after="0" w:line="254" w:lineRule="auto"/>
        <w:rPr>
          <w:sz w:val="20"/>
          <w:szCs w:val="20"/>
          <w:color w:val="auto"/>
        </w:rPr>
      </w:pPr>
      <w:r>
        <w:rPr>
          <w:rFonts w:ascii="Arial" w:cs="Arial" w:eastAsia="Arial" w:hAnsi="Arial"/>
          <w:sz w:val="18"/>
          <w:szCs w:val="18"/>
          <w:color w:val="auto"/>
        </w:rPr>
        <w:t>We made significant investments in sales and marketing with the goal of increasing the sales of our security solutions across a variety of verticals. As part of the sales and channel program investments, we are also making corporate investments in functional areas such as contracts, solution architects, lead generation tools, and operations to ensure our back-office systems and processes scale for the business growth. We added quota-driven, field sales personnel to focus on verticals such as the state, local government and education ("SLED"), critical infrastructure and commercial industry as well as expanded our coverage in Federal. We concentrated on Xacta and Telos Ghost sales efforts in the financial services, insurance, healthcare, energy, and other critical infrastructure markets.</w:t>
      </w:r>
    </w:p>
    <w:p>
      <w:pPr>
        <w:spacing w:after="0" w:line="189" w:lineRule="exact"/>
        <w:rPr>
          <w:sz w:val="20"/>
          <w:szCs w:val="20"/>
          <w:color w:val="auto"/>
        </w:rPr>
      </w:pPr>
    </w:p>
    <w:p>
      <w:pPr>
        <w:ind w:right="580" w:firstLine="322"/>
        <w:spacing w:after="0" w:line="274" w:lineRule="auto"/>
        <w:rPr>
          <w:sz w:val="20"/>
          <w:szCs w:val="20"/>
          <w:color w:val="auto"/>
        </w:rPr>
      </w:pPr>
      <w:r>
        <w:rPr>
          <w:rFonts w:ascii="Arial" w:cs="Arial" w:eastAsia="Arial" w:hAnsi="Arial"/>
          <w:sz w:val="18"/>
          <w:szCs w:val="18"/>
          <w:color w:val="auto"/>
        </w:rPr>
        <w:t>We have expanded our field sales capability for markets in which we are well known, such as the U.S. government, certain critical infrastructure sectors, and certain commercial verticals such as healthcare and financial services.</w:t>
      </w:r>
    </w:p>
    <w:p>
      <w:pPr>
        <w:spacing w:after="0" w:line="172" w:lineRule="exact"/>
        <w:rPr>
          <w:sz w:val="20"/>
          <w:szCs w:val="20"/>
          <w:color w:val="auto"/>
        </w:rPr>
      </w:pPr>
    </w:p>
    <w:p>
      <w:pPr>
        <w:ind w:firstLine="322"/>
        <w:spacing w:after="0" w:line="299" w:lineRule="auto"/>
        <w:rPr>
          <w:sz w:val="20"/>
          <w:szCs w:val="20"/>
          <w:color w:val="auto"/>
        </w:rPr>
      </w:pPr>
      <w:r>
        <w:rPr>
          <w:rFonts w:ascii="Arial" w:cs="Arial" w:eastAsia="Arial" w:hAnsi="Arial"/>
          <w:sz w:val="16"/>
          <w:szCs w:val="16"/>
          <w:color w:val="auto"/>
        </w:rPr>
        <w:t>We built a dedicated channel team of 12 members, with over 100 years of combined channel experience. We launched the Telos CyberProtect Partner Program. The program has signed 24 partners across the ecosystem. This ecosystem includes a variety of partner types including distributors (such as DLT, a tech data company), resellers, referral partners, technology integration partners, managed service providers, consulting partners and more. Collectively these partners help us deliver access to verticals such as healthcare, SLED, and commercial enterprises, and bolster our position in the Federal market.</w:t>
      </w:r>
    </w:p>
    <w:p>
      <w:pPr>
        <w:spacing w:after="0" w:line="157" w:lineRule="exact"/>
        <w:rPr>
          <w:sz w:val="20"/>
          <w:szCs w:val="20"/>
          <w:color w:val="auto"/>
        </w:rPr>
      </w:pPr>
    </w:p>
    <w:p>
      <w:pPr>
        <w:ind w:right="100" w:firstLine="322"/>
        <w:spacing w:after="0" w:line="261" w:lineRule="auto"/>
        <w:rPr>
          <w:sz w:val="20"/>
          <w:szCs w:val="20"/>
          <w:color w:val="auto"/>
        </w:rPr>
      </w:pPr>
      <w:r>
        <w:rPr>
          <w:rFonts w:ascii="Arial" w:cs="Arial" w:eastAsia="Arial" w:hAnsi="Arial"/>
          <w:sz w:val="18"/>
          <w:szCs w:val="18"/>
          <w:color w:val="auto"/>
        </w:rPr>
        <w:t>We experienced early success with the channel as we had several deals transact through the system in 2021, allowing us to pressure test the operational side of the channel. Additionally, through our channel partners, Telos was successfully added to eleven new contract vehicles that provide access to a broader base of customers in our target markets.</w:t>
      </w:r>
    </w:p>
    <w:p>
      <w:pPr>
        <w:spacing w:after="0" w:line="184" w:lineRule="exact"/>
        <w:rPr>
          <w:sz w:val="20"/>
          <w:szCs w:val="20"/>
          <w:color w:val="auto"/>
        </w:rPr>
      </w:pPr>
    </w:p>
    <w:p>
      <w:pPr>
        <w:ind w:right="40" w:firstLine="322"/>
        <w:spacing w:after="0" w:line="261" w:lineRule="auto"/>
        <w:rPr>
          <w:sz w:val="20"/>
          <w:szCs w:val="20"/>
          <w:color w:val="auto"/>
        </w:rPr>
      </w:pPr>
      <w:r>
        <w:rPr>
          <w:rFonts w:ascii="Arial" w:cs="Arial" w:eastAsia="Arial" w:hAnsi="Arial"/>
          <w:sz w:val="18"/>
          <w:szCs w:val="18"/>
          <w:color w:val="auto"/>
        </w:rPr>
        <w:t>Customer acquisition often involves extensive interaction at all levels of an organizations, from executives, to decision makers, to end users. We seek to forge relationships throughout an organization in an effort to obtain broad consensus as part of the sales process. We leverage the full power of Telos (executives, field sales and channel partners) to gain access and build our brand awareness.</w:t>
      </w:r>
    </w:p>
    <w:p>
      <w:pPr>
        <w:spacing w:after="0" w:line="184" w:lineRule="exact"/>
        <w:rPr>
          <w:sz w:val="20"/>
          <w:szCs w:val="20"/>
          <w:color w:val="auto"/>
        </w:rPr>
      </w:pPr>
    </w:p>
    <w:p>
      <w:pPr>
        <w:ind w:right="260" w:firstLine="322"/>
        <w:spacing w:after="0" w:line="309" w:lineRule="auto"/>
        <w:rPr>
          <w:sz w:val="20"/>
          <w:szCs w:val="20"/>
          <w:color w:val="auto"/>
        </w:rPr>
      </w:pPr>
      <w:r>
        <w:rPr>
          <w:rFonts w:ascii="Arial" w:cs="Arial" w:eastAsia="Arial" w:hAnsi="Arial"/>
          <w:sz w:val="16"/>
          <w:szCs w:val="16"/>
          <w:color w:val="auto"/>
        </w:rPr>
        <w:t>Our sales strategy is to establish a customer foothold with one of our solutions and work to achieve rapid success. We then leverage this customer relationship to generate interest in other solutions from the Telos portfolio. We have a variety of upsell opportunities that allow us to expand our presence within a customer account. For example, there are various complementary Xacta features that build on each other and are sold separately.</w:t>
      </w:r>
    </w:p>
    <w:p>
      <w:pPr>
        <w:spacing w:after="0" w:line="148" w:lineRule="exact"/>
        <w:rPr>
          <w:sz w:val="20"/>
          <w:szCs w:val="20"/>
          <w:color w:val="auto"/>
        </w:rPr>
      </w:pPr>
    </w:p>
    <w:p>
      <w:pPr>
        <w:ind w:right="20" w:firstLine="322"/>
        <w:spacing w:after="0" w:line="274" w:lineRule="auto"/>
        <w:rPr>
          <w:sz w:val="20"/>
          <w:szCs w:val="20"/>
          <w:color w:val="auto"/>
        </w:rPr>
      </w:pPr>
      <w:r>
        <w:rPr>
          <w:rFonts w:ascii="Arial" w:cs="Arial" w:eastAsia="Arial" w:hAnsi="Arial"/>
          <w:sz w:val="18"/>
          <w:szCs w:val="18"/>
          <w:color w:val="auto"/>
        </w:rPr>
        <w:t>Much of our business is awarded through submission of formal competitive bids, though a significant portion of our revenue is awarded through limited competition or sole-source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Organization</w:t>
      </w:r>
    </w:p>
    <w:p>
      <w:pPr>
        <w:spacing w:after="0" w:line="209" w:lineRule="exact"/>
        <w:rPr>
          <w:sz w:val="20"/>
          <w:szCs w:val="20"/>
          <w:color w:val="auto"/>
        </w:rPr>
      </w:pPr>
    </w:p>
    <w:p>
      <w:pPr>
        <w:ind w:right="300" w:firstLine="322"/>
        <w:spacing w:after="0" w:line="274" w:lineRule="auto"/>
        <w:rPr>
          <w:sz w:val="20"/>
          <w:szCs w:val="20"/>
          <w:color w:val="auto"/>
        </w:rPr>
      </w:pPr>
      <w:r>
        <w:rPr>
          <w:rFonts w:ascii="Arial" w:cs="Arial" w:eastAsia="Arial" w:hAnsi="Arial"/>
          <w:sz w:val="18"/>
          <w:szCs w:val="18"/>
          <w:color w:val="auto"/>
        </w:rPr>
        <w:t>Our sales team works with partner organizations like AWS, Microsoft Azure, and Oracle to pursue mutual customers and leverage their marketplace platforms and marketing programs.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300" w:firstLine="322"/>
        <w:spacing w:after="0" w:line="339" w:lineRule="auto"/>
        <w:rPr>
          <w:sz w:val="20"/>
          <w:szCs w:val="20"/>
          <w:color w:val="auto"/>
        </w:rPr>
      </w:pPr>
      <w:r>
        <w:rPr>
          <w:rFonts w:ascii="Arial" w:cs="Arial" w:eastAsia="Arial" w:hAnsi="Arial"/>
          <w:sz w:val="16"/>
          <w:szCs w:val="16"/>
          <w:color w:val="auto"/>
        </w:rPr>
        <w:t>We also forged new multi-partner partnerships to launch cybersecurity go-to-market plays such as Faster ATO with Splunk, Telos and ThreatAlert® ("FASTTR") on AWS, which launched at the AWS Summit in September 2021 and yielded two new wins, including Wickr and RedHat.</w:t>
      </w:r>
    </w:p>
    <w:p>
      <w:pPr>
        <w:spacing w:after="0" w:line="124" w:lineRule="exact"/>
        <w:rPr>
          <w:sz w:val="20"/>
          <w:szCs w:val="20"/>
          <w:color w:val="auto"/>
        </w:rPr>
      </w:pPr>
    </w:p>
    <w:p>
      <w:pPr>
        <w:ind w:firstLine="322"/>
        <w:spacing w:after="0" w:line="261" w:lineRule="auto"/>
        <w:rPr>
          <w:sz w:val="20"/>
          <w:szCs w:val="20"/>
          <w:color w:val="auto"/>
        </w:rPr>
      </w:pPr>
      <w:r>
        <w:rPr>
          <w:rFonts w:ascii="Arial" w:cs="Arial" w:eastAsia="Arial" w:hAnsi="Arial"/>
          <w:sz w:val="18"/>
          <w:szCs w:val="18"/>
          <w:color w:val="auto"/>
        </w:rPr>
        <w:t>By building on the success of our FASTTR program, we expect to launch additional multi-partner go-to-market security solutions. One such initiative is a pending partnership with a leading provider of cloud and security services. We will continue to expand on these targeted go-to-market programs to help solve security challenges facing Fortune 500 companies and expand our reach in new markets.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relationships are powerful examples of our current channel sales strategy, which we are in the process of expanding.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2" w:lineRule="exact"/>
        <w:rPr>
          <w:sz w:val="20"/>
          <w:szCs w:val="20"/>
          <w:color w:val="auto"/>
        </w:rPr>
      </w:pPr>
    </w:p>
    <w:p>
      <w:pPr>
        <w:ind w:right="280" w:firstLine="322"/>
        <w:spacing w:after="0" w:line="257" w:lineRule="auto"/>
        <w:rPr>
          <w:sz w:val="20"/>
          <w:szCs w:val="20"/>
          <w:color w:val="auto"/>
        </w:rPr>
      </w:pPr>
      <w:r>
        <w:rPr>
          <w:rFonts w:ascii="Arial" w:cs="Arial" w:eastAsia="Arial" w:hAnsi="Arial"/>
          <w:sz w:val="18"/>
          <w:szCs w:val="18"/>
          <w:color w:val="auto"/>
        </w:rPr>
        <w:t>We build market awareness of Telos and our solutions through a variety of marketing programs, including regular briefings with industry analysts, public relations activities, government relations initiatives, web seminars, trade show exhibitions, speaking engagements, and website marketing. We are making additional investments in these types of activities and targeting additional vertical-specific content creation, targeted advertising and brand awareness campaigns, social media campaigns, and search engine marketing.</w:t>
      </w:r>
    </w:p>
    <w:p>
      <w:pPr>
        <w:spacing w:after="0" w:line="187" w:lineRule="exact"/>
        <w:rPr>
          <w:sz w:val="20"/>
          <w:szCs w:val="20"/>
          <w:color w:val="auto"/>
        </w:rPr>
      </w:pPr>
    </w:p>
    <w:p>
      <w:pPr>
        <w:ind w:right="540" w:firstLine="322"/>
        <w:spacing w:after="0" w:line="274" w:lineRule="auto"/>
        <w:rPr>
          <w:sz w:val="20"/>
          <w:szCs w:val="20"/>
          <w:color w:val="auto"/>
        </w:rPr>
      </w:pPr>
      <w:r>
        <w:rPr>
          <w:rFonts w:ascii="Arial" w:cs="Arial" w:eastAsia="Arial" w:hAnsi="Arial"/>
          <w:sz w:val="18"/>
          <w:szCs w:val="18"/>
          <w:color w:val="auto"/>
        </w:rPr>
        <w:t>Our sales team works hand in hand with our marketing team and various subject matter experts to develop targeted awareness campaigns for our various solutions that generate valuable leads and contacts.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Tracking and Reporting</w:t>
      </w:r>
    </w:p>
    <w:p>
      <w:pPr>
        <w:spacing w:after="0" w:line="222" w:lineRule="exact"/>
        <w:rPr>
          <w:sz w:val="20"/>
          <w:szCs w:val="20"/>
          <w:color w:val="auto"/>
        </w:rPr>
      </w:pPr>
    </w:p>
    <w:p>
      <w:pPr>
        <w:ind w:right="20" w:firstLine="322"/>
        <w:spacing w:after="0" w:line="261" w:lineRule="auto"/>
        <w:rPr>
          <w:sz w:val="20"/>
          <w:szCs w:val="20"/>
          <w:color w:val="auto"/>
        </w:rPr>
      </w:pPr>
      <w:r>
        <w:rPr>
          <w:rFonts w:ascii="Arial" w:cs="Arial" w:eastAsia="Arial" w:hAnsi="Arial"/>
          <w:sz w:val="18"/>
          <w:szCs w:val="18"/>
          <w:color w:val="auto"/>
        </w:rPr>
        <w:t>We track sales and marketing metrics using a formal customer relationship management ("CRM") system and processes to include integrated marketing automation and a partner portal for deal registration, enablement, co-branded marketing and more. This robust platform enables the Telos business leaders and executives to have real time insights into useful information about our performance and forecast.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3" w:lineRule="exact"/>
        <w:rPr>
          <w:sz w:val="20"/>
          <w:szCs w:val="20"/>
          <w:color w:val="auto"/>
        </w:rPr>
      </w:pPr>
    </w:p>
    <w:p>
      <w:pPr>
        <w:ind w:right="60" w:firstLine="322"/>
        <w:spacing w:after="0" w:line="254" w:lineRule="auto"/>
        <w:rPr>
          <w:sz w:val="20"/>
          <w:szCs w:val="20"/>
          <w:color w:val="auto"/>
        </w:rPr>
      </w:pPr>
      <w:r>
        <w:rPr>
          <w:rFonts w:ascii="Arial" w:cs="Arial" w:eastAsia="Arial" w:hAnsi="Arial"/>
          <w:sz w:val="18"/>
          <w:szCs w:val="18"/>
          <w:color w:val="auto"/>
        </w:rPr>
        <w:t>We operate in a highly competitive marketplace. Although companies provide offerings that overlap with some of our solutions, we are not aware of any single company that offers competitive solutions in all of the areas where we compete. The primary companies with which our solutions compete range from security solutions and software organizations such as CLEAR (operated by Alclear, LLC), Cutting Edge, IDEMIA, MetricStream Inc., Palantir Technologies Inc., RSA Archer, ServiceNow, Inc., and Unisys Corporation, to more traditional government services integrators that provide products and services such as Booz Allen Hamilton Inc., General Dynamics Corporation, Lockheed Martin Corporation, Northrop Grumman Corporation, and Science Applications International Corporation.</w:t>
      </w:r>
    </w:p>
    <w:p>
      <w:pPr>
        <w:spacing w:after="0" w:line="189" w:lineRule="exact"/>
        <w:rPr>
          <w:sz w:val="20"/>
          <w:szCs w:val="20"/>
          <w:color w:val="auto"/>
        </w:rPr>
      </w:pPr>
    </w:p>
    <w:p>
      <w:pPr>
        <w:ind w:right="220" w:firstLine="322"/>
        <w:spacing w:after="0" w:line="261" w:lineRule="auto"/>
        <w:rPr>
          <w:sz w:val="20"/>
          <w:szCs w:val="20"/>
          <w:color w:val="auto"/>
        </w:rPr>
      </w:pPr>
      <w:r>
        <w:rPr>
          <w:rFonts w:ascii="Arial" w:cs="Arial" w:eastAsia="Arial" w:hAnsi="Arial"/>
          <w:sz w:val="18"/>
          <w:szCs w:val="18"/>
          <w:color w:val="auto"/>
        </w:rPr>
        <w:t>The majority of our business is in response to competitive requests from potential and current customers. Decisions regarding contract awards by our customers typically are based upon an assessment of the quality of our past performance, responsiveness to proposal requirements, uniqueness of the offering itself, price, and other competitive factors.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Aside from other companies that compete in our space, we sometimes face indirect competition from solutions developed “in-house” by our customers.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 - Our People and Culture</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we had 849 employees, of which approximately 62% of our U.S.-based employees held security clearances.</w:t>
      </w:r>
    </w:p>
    <w:p>
      <w:pPr>
        <w:spacing w:after="0" w:line="222" w:lineRule="exact"/>
        <w:rPr>
          <w:sz w:val="20"/>
          <w:szCs w:val="20"/>
          <w:color w:val="auto"/>
        </w:rPr>
      </w:pPr>
    </w:p>
    <w:p>
      <w:pPr>
        <w:ind w:right="40" w:firstLine="322"/>
        <w:spacing w:after="0" w:line="257" w:lineRule="auto"/>
        <w:rPr>
          <w:sz w:val="20"/>
          <w:szCs w:val="20"/>
          <w:color w:val="auto"/>
        </w:rPr>
      </w:pPr>
      <w:r>
        <w:rPr>
          <w:rFonts w:ascii="Arial" w:cs="Arial" w:eastAsia="Arial" w:hAnsi="Arial"/>
          <w:sz w:val="18"/>
          <w:szCs w:val="18"/>
          <w:color w:val="auto"/>
        </w:rPr>
        <w:t>Our people are proficient in many fields such as computer science, information security and vulnerability testing, networking technologies, physics, engineering, operations research, mathematics, economics, and business administration. We place a high value on our people. As a result, we seek to remain competitive in terms of salary structures, incentive compensation programs, fringe benefits, opportunities for growth, and individual recognition and award programs.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0" w:firstLine="322"/>
        <w:spacing w:after="0" w:line="274" w:lineRule="auto"/>
        <w:rPr>
          <w:sz w:val="20"/>
          <w:szCs w:val="20"/>
          <w:color w:val="auto"/>
        </w:rPr>
      </w:pPr>
      <w:r>
        <w:rPr>
          <w:rFonts w:ascii="Arial" w:cs="Arial" w:eastAsia="Arial" w:hAnsi="Arial"/>
          <w:sz w:val="18"/>
          <w:szCs w:val="18"/>
          <w:color w:val="auto"/>
        </w:rPr>
        <w:t>Our management team is committed to maintaining a corporate culture that fosters mutual respect and job satisfaction for our people while delivering innovation and value to customers and shareholders. This commitment is reflected in our core values.</w:t>
      </w:r>
    </w:p>
    <w:p>
      <w:pPr>
        <w:spacing w:after="0" w:line="172"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 xml:space="preserve">Always </w:t>
      </w:r>
      <w:r>
        <w:rPr>
          <w:rFonts w:ascii="Arial" w:cs="Arial" w:eastAsia="Arial" w:hAnsi="Arial"/>
          <w:sz w:val="18"/>
          <w:szCs w:val="18"/>
          <w:color w:val="auto"/>
        </w:rPr>
        <w:t>with integrity, at Telos we:</w:t>
      </w:r>
    </w:p>
    <w:p>
      <w:pPr>
        <w:spacing w:after="0" w:line="22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Build trusted relationships,</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Work hard together,</w:t>
      </w:r>
    </w:p>
    <w:p>
      <w:pPr>
        <w:spacing w:after="0" w:line="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Design and deliver superior solutions, </w:t>
      </w:r>
      <w:r>
        <w:rPr>
          <w:rFonts w:ascii="Arial" w:cs="Arial" w:eastAsia="Arial" w:hAnsi="Arial"/>
          <w:sz w:val="18"/>
          <w:szCs w:val="18"/>
          <w:i w:val="1"/>
          <w:iCs w:val="1"/>
          <w:color w:val="auto"/>
        </w:rPr>
        <w:t>and</w:t>
      </w:r>
    </w:p>
    <w:p>
      <w:pPr>
        <w:spacing w:after="0" w:line="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Have fun doing it.</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These values are woven throughout the fabric of Telos. They are reflected in our hiring practices, reinforced regularly, and reviewed during appraisals.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Employees are encouraged to challenge themselves and each other to exhibit the core values in everyday activities.</w:t>
      </w:r>
    </w:p>
    <w:p>
      <w:pPr>
        <w:spacing w:after="0" w:line="208" w:lineRule="exact"/>
        <w:rPr>
          <w:sz w:val="20"/>
          <w:szCs w:val="20"/>
          <w:color w:val="auto"/>
        </w:rPr>
      </w:pPr>
    </w:p>
    <w:p>
      <w:pPr>
        <w:ind w:right="40" w:firstLine="322"/>
        <w:spacing w:after="0" w:line="339" w:lineRule="auto"/>
        <w:rPr>
          <w:sz w:val="20"/>
          <w:szCs w:val="20"/>
          <w:color w:val="auto"/>
        </w:rPr>
      </w:pPr>
      <w:r>
        <w:rPr>
          <w:rFonts w:ascii="Arial" w:cs="Arial" w:eastAsia="Arial" w:hAnsi="Arial"/>
          <w:sz w:val="16"/>
          <w:szCs w:val="16"/>
          <w:color w:val="auto"/>
        </w:rPr>
        <w:t>Our employees are also given avenues of communication and interaction should they observe activities that are inconsistent with our core values. While employees are encouraged first to speak openly about any issues, a hotline provides an opportunity to express concerns anonymously.</w:t>
      </w:r>
    </w:p>
    <w:p>
      <w:pPr>
        <w:spacing w:after="0" w:line="124" w:lineRule="exact"/>
        <w:rPr>
          <w:sz w:val="20"/>
          <w:szCs w:val="20"/>
          <w:color w:val="auto"/>
        </w:rPr>
      </w:pPr>
    </w:p>
    <w:p>
      <w:pPr>
        <w:jc w:val="both"/>
        <w:ind w:firstLine="322"/>
        <w:spacing w:after="0" w:line="261" w:lineRule="auto"/>
        <w:rPr>
          <w:sz w:val="20"/>
          <w:szCs w:val="20"/>
          <w:color w:val="auto"/>
        </w:rPr>
      </w:pPr>
      <w:r>
        <w:rPr>
          <w:rFonts w:ascii="Arial" w:cs="Arial" w:eastAsia="Arial" w:hAnsi="Arial"/>
          <w:sz w:val="18"/>
          <w:szCs w:val="18"/>
          <w:color w:val="auto"/>
        </w:rPr>
        <w:t>We consider the foundational value of integrity to be a non-negotiable requirement of employment, and an expectation of suppliers, partners, and our customers. We guard our reputation and will take action to protect it. An essential part of our brand promise is to always engage employees, customers, partners, suppliers, and investors with integrity.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 and Regulation</w:t>
      </w:r>
    </w:p>
    <w:p>
      <w:pPr>
        <w:spacing w:after="0" w:line="226" w:lineRule="exact"/>
        <w:rPr>
          <w:sz w:val="20"/>
          <w:szCs w:val="20"/>
          <w:color w:val="auto"/>
        </w:rPr>
      </w:pPr>
    </w:p>
    <w:p>
      <w:pPr>
        <w:ind w:right="20" w:firstLine="322"/>
        <w:spacing w:after="0" w:line="254" w:lineRule="auto"/>
        <w:rPr>
          <w:sz w:val="20"/>
          <w:szCs w:val="20"/>
          <w:color w:val="auto"/>
        </w:rPr>
      </w:pPr>
      <w:r>
        <w:rPr>
          <w:rFonts w:ascii="Arial" w:cs="Arial" w:eastAsia="Arial" w:hAnsi="Arial"/>
          <w:sz w:val="18"/>
          <w:szCs w:val="18"/>
          <w:color w:val="auto"/>
        </w:rPr>
        <w:t>Our business is heavily regulated and we must comply with and are affected by laws and regulations relating to the formation, administration and performance of U.S. government and other contracts. U.S. government contracts generally are subject to the Federal Acquisition Regulation ("FAR"), which sets forth policies, procedures and requirements for acquiring goods and services by the U.S. government, and agency-specific regulations that implement or supplement the FAR. These regulations impose a broad range of requirements, many of which are unique to government contracting, including various procurement, security, contract pricing and cost, contract termination, and adjustments and audit requirements. These laws and regulations, among other things:</w:t>
      </w:r>
    </w:p>
    <w:p>
      <w:pPr>
        <w:spacing w:after="0" w:line="189" w:lineRule="exact"/>
        <w:rPr>
          <w:sz w:val="20"/>
          <w:szCs w:val="20"/>
          <w:color w:val="auto"/>
        </w:rPr>
      </w:pPr>
    </w:p>
    <w:p>
      <w:pPr>
        <w:ind w:left="660" w:right="400" w:hanging="331"/>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 specific and unique cost accounting practices that may differ from Generally Accepted Accounting Principles (“GAAP”) in the United States of America and therefore require reconciliation;</w:t>
      </w:r>
    </w:p>
    <w:p>
      <w:pPr>
        <w:ind w:left="640" w:hanging="311"/>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Define allowable and unallowable costs and otherwise govern our right to reimbursement under various cost-type U.S. government contracts;</w:t>
      </w:r>
    </w:p>
    <w:p>
      <w:pPr>
        <w:spacing w:after="0" w:line="30" w:lineRule="exact"/>
        <w:rPr>
          <w:rFonts w:ascii="Arial" w:cs="Arial" w:eastAsia="Arial" w:hAnsi="Arial"/>
          <w:sz w:val="16"/>
          <w:szCs w:val="16"/>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compliance with U.S. government Cost Accounting Standards ("CAS");</w:t>
      </w:r>
    </w:p>
    <w:p>
      <w:pPr>
        <w:spacing w:after="0" w:line="7" w:lineRule="exact"/>
        <w:rPr>
          <w:rFonts w:ascii="Arial" w:cs="Arial" w:eastAsia="Arial" w:hAnsi="Arial"/>
          <w:sz w:val="18"/>
          <w:szCs w:val="18"/>
          <w:color w:val="auto"/>
        </w:rPr>
      </w:pPr>
    </w:p>
    <w:p>
      <w:pPr>
        <w:ind w:left="660" w:right="40" w:hanging="331"/>
        <w:spacing w:after="0" w:line="24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reviews by the Defense Contract Audit Agency ("DCAA"), Defense Contract Management Agency ("DCMA") and other U.S. government agencies for compliance with government requirements for a contractor's business system;</w:t>
      </w:r>
    </w:p>
    <w:p>
      <w:pPr>
        <w:spacing w:after="0" w:line="1" w:lineRule="exact"/>
        <w:rPr>
          <w:rFonts w:ascii="Arial" w:cs="Arial" w:eastAsia="Arial" w:hAnsi="Arial"/>
          <w:sz w:val="18"/>
          <w:szCs w:val="18"/>
          <w:color w:val="auto"/>
        </w:rPr>
      </w:pPr>
    </w:p>
    <w:p>
      <w:pPr>
        <w:ind w:left="660" w:right="140" w:hanging="331"/>
        <w:spacing w:after="0" w:line="24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 the use and dissemination of and require the protection of unclassified contract-related information and information classified for national security purposes and the export of certain products and technical data;</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 acquisition regulations that define reimbursable and non-reimbursable costs;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 the use and dissemination of information classified for national security purposes and the export of certain products and technical data.</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 w:firstLine="322"/>
        <w:spacing w:after="0" w:line="255" w:lineRule="auto"/>
        <w:rPr>
          <w:sz w:val="20"/>
          <w:szCs w:val="20"/>
          <w:color w:val="auto"/>
        </w:rPr>
      </w:pPr>
      <w:r>
        <w:rPr>
          <w:rFonts w:ascii="Arial" w:cs="Arial" w:eastAsia="Arial" w:hAnsi="Arial"/>
          <w:sz w:val="18"/>
          <w:szCs w:val="18"/>
          <w:color w:val="auto"/>
        </w:rPr>
        <w:t>The U.S. government customers employ several contracting methods to purchase services and products. Budgetary pressures and reforms in the procurement process have caused many U.S. government customers to increasingly purchase services and products using contracting methods that allow them to select multiple contract winners or pre-qualify certain contractors to provide services or products on established general terms and conditions rather than through single-award contracts. The predominant contracting methods through which U.S. government agencies procure services and products include the following:</w:t>
      </w:r>
    </w:p>
    <w:p>
      <w:pPr>
        <w:spacing w:after="0" w:line="189" w:lineRule="exact"/>
        <w:rPr>
          <w:sz w:val="20"/>
          <w:szCs w:val="20"/>
          <w:color w:val="auto"/>
        </w:rPr>
      </w:pPr>
    </w:p>
    <w:p>
      <w:pPr>
        <w:ind w:left="660" w:right="80" w:hanging="331"/>
        <w:spacing w:after="0" w:line="294"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Definitive Award Contracts. </w:t>
      </w:r>
      <w:r>
        <w:rPr>
          <w:rFonts w:ascii="Arial" w:cs="Arial" w:eastAsia="Arial" w:hAnsi="Arial"/>
          <w:sz w:val="16"/>
          <w:szCs w:val="16"/>
          <w:color w:val="auto"/>
        </w:rPr>
        <w:t>U.S. government agencies may procure services and products through single definitive award contracts which specify</w:t>
      </w:r>
      <w:r>
        <w:rPr>
          <w:rFonts w:ascii="Arial" w:cs="Arial" w:eastAsia="Arial" w:hAnsi="Arial"/>
          <w:sz w:val="16"/>
          <w:szCs w:val="16"/>
          <w:i w:val="1"/>
          <w:iCs w:val="1"/>
          <w:color w:val="auto"/>
        </w:rPr>
        <w:t xml:space="preserve"> </w:t>
      </w:r>
      <w:r>
        <w:rPr>
          <w:rFonts w:ascii="Arial" w:cs="Arial" w:eastAsia="Arial" w:hAnsi="Arial"/>
          <w:sz w:val="16"/>
          <w:szCs w:val="16"/>
          <w:color w:val="auto"/>
        </w:rPr>
        <w:t>the scope of services or products purchased and identify the contractor that will provide the specified services or products. When the agency has a requirement, the agency will issue a solicitation or request for proposal to which interested contractors can submit a proposal. For the contractor, this contracting method may provide greater certainty of the timing and amounts to be received at the time of contract award because it generally results in the customer contracting for a specific scope of services or products from the single definitive successful awardee.</w:t>
      </w:r>
    </w:p>
    <w:p>
      <w:pPr>
        <w:spacing w:after="0" w:line="161" w:lineRule="exact"/>
        <w:rPr>
          <w:rFonts w:ascii="Arial" w:cs="Arial" w:eastAsia="Arial" w:hAnsi="Arial"/>
          <w:sz w:val="16"/>
          <w:szCs w:val="16"/>
          <w:color w:val="auto"/>
        </w:rPr>
      </w:pPr>
    </w:p>
    <w:p>
      <w:pPr>
        <w:ind w:left="660" w:hanging="331"/>
        <w:spacing w:after="0" w:line="267"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Indefinite Delivery / Indefinite Quantity ("IDIQ") Contracts. </w:t>
      </w:r>
      <w:r>
        <w:rPr>
          <w:rFonts w:ascii="Arial" w:cs="Arial" w:eastAsia="Arial" w:hAnsi="Arial"/>
          <w:sz w:val="17"/>
          <w:szCs w:val="17"/>
          <w:color w:val="auto"/>
        </w:rPr>
        <w:t>The U.S. government uses IDIQ contracts to obtain commitments from contractors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certain services or products on pre-established terms and conditions. The U.S. government then issues task orders under the IDIQ contracts to purchase the specific services or products it needs. IDIQ contracts are awarded to one or more contractors following a competitive procurement process. Under a single award IDIQ contract, all task orders under that contract are awarded to one pre-selected contractor. Under a multi-award IDIQ contract, task orders can be awarded to any of the pre-selected contractors, which can result in further limited competition for the award of task orders. Multi-award IDIQ contracts that are open for any government agency to use for the procurement of services are commonly referred to as "government-wide acquisition contracts" or "GWACs." IDIQ contracts often have multi-year terms and unfunded ceiling amounts, therefore enabling, but not committing, the U.S. government to purchase substantial amounts of services or products from one or more contractors. At the time an IDIQ contract is awarded (prior to the award of any task orders), a contractor may have limited or no visibility as to the ultimate number of services or products that the U.S. government will purchase under the contract, and in the case of a multi-award IDIQ the contractor from which such purchases may be made.</w:t>
      </w:r>
    </w:p>
    <w:p>
      <w:pPr>
        <w:spacing w:after="0" w:line="184" w:lineRule="exact"/>
        <w:rPr>
          <w:rFonts w:ascii="Arial" w:cs="Arial" w:eastAsia="Arial" w:hAnsi="Arial"/>
          <w:sz w:val="17"/>
          <w:szCs w:val="17"/>
          <w:color w:val="auto"/>
        </w:rPr>
      </w:pPr>
    </w:p>
    <w:p>
      <w:pPr>
        <w:ind w:left="660" w:right="60" w:hanging="331"/>
        <w:spacing w:after="0" w:line="289"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U.S. General Services Administration ("GSA") Schedule Contracts. </w:t>
      </w:r>
      <w:r>
        <w:rPr>
          <w:rFonts w:ascii="Arial" w:cs="Arial" w:eastAsia="Arial" w:hAnsi="Arial"/>
          <w:sz w:val="16"/>
          <w:szCs w:val="16"/>
          <w:color w:val="auto"/>
        </w:rPr>
        <w:t>The GSA maintains a listing of approved suppliers of services and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agreed-upon prices for use throughout the U.S. government. To provide services under the GSA Schedule contract, a company must be pre-qualified and awarded a contract by the GSA. When an agency uses a GSA Schedule contract to meet its requirements, the agency, or the GSA on behalf of the agency, conducts the procurement. The user agency, or the GSA on its behalf, evaluates the user agency's requirements and initiates a competition limited to GSA Schedule 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products that the U.S. government will purchase under the contract.</w:t>
      </w:r>
    </w:p>
    <w:p>
      <w:pPr>
        <w:spacing w:after="0" w:line="167" w:lineRule="exact"/>
        <w:rPr>
          <w:sz w:val="20"/>
          <w:szCs w:val="20"/>
          <w:color w:val="auto"/>
        </w:rPr>
      </w:pPr>
    </w:p>
    <w:p>
      <w:pPr>
        <w:ind w:right="200" w:firstLine="322"/>
        <w:spacing w:after="0" w:line="299" w:lineRule="auto"/>
        <w:rPr>
          <w:sz w:val="20"/>
          <w:szCs w:val="20"/>
          <w:color w:val="auto"/>
        </w:rPr>
      </w:pPr>
      <w:r>
        <w:rPr>
          <w:rFonts w:ascii="Arial" w:cs="Arial" w:eastAsia="Arial" w:hAnsi="Arial"/>
          <w:sz w:val="16"/>
          <w:szCs w:val="16"/>
          <w:color w:val="auto"/>
        </w:rPr>
        <w:t>Government contracts are subject to congressional funding. Consequently, at the outset of a program, a contract is usually partially funded, and Congress annually determines if additional funds are to be appropriated to the contract. All of our government customers have the right to terminate their contract with us at their convenience or in the event that we default. Most of our contracts have cancellation terms that would permit us to recover all or a portion of our incurred costs and fees for work performed where the U.S. government issues a termination for convenience.</w:t>
      </w:r>
    </w:p>
    <w:p>
      <w:pPr>
        <w:spacing w:after="0" w:line="157" w:lineRule="exact"/>
        <w:rPr>
          <w:sz w:val="20"/>
          <w:szCs w:val="20"/>
          <w:color w:val="auto"/>
        </w:rPr>
      </w:pPr>
    </w:p>
    <w:p>
      <w:pPr>
        <w:ind w:right="140" w:firstLine="322"/>
        <w:spacing w:after="0" w:line="274" w:lineRule="auto"/>
        <w:rPr>
          <w:sz w:val="20"/>
          <w:szCs w:val="20"/>
          <w:color w:val="auto"/>
        </w:rPr>
      </w:pPr>
      <w:r>
        <w:rPr>
          <w:rFonts w:ascii="Arial" w:cs="Arial" w:eastAsia="Arial" w:hAnsi="Arial"/>
          <w:sz w:val="18"/>
          <w:szCs w:val="18"/>
          <w:color w:val="auto"/>
        </w:rPr>
        <w:t>A portion of our business is classified by the U.S. government and cannot be specifically described. The operating results of these classified programs are included in our consolidated financial statements.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regulations and risks are described in more detail below under "Risk Factors" in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6" w:lineRule="exact"/>
        <w:rPr>
          <w:sz w:val="20"/>
          <w:szCs w:val="20"/>
          <w:color w:val="auto"/>
        </w:rPr>
      </w:pPr>
    </w:p>
    <w:p>
      <w:pPr>
        <w:ind w:right="160" w:firstLine="322"/>
        <w:spacing w:after="0" w:line="309" w:lineRule="auto"/>
        <w:rPr>
          <w:sz w:val="20"/>
          <w:szCs w:val="20"/>
          <w:color w:val="auto"/>
        </w:rPr>
      </w:pPr>
      <w:r>
        <w:rPr>
          <w:rFonts w:ascii="Arial" w:cs="Arial" w:eastAsia="Arial" w:hAnsi="Arial"/>
          <w:sz w:val="16"/>
          <w:szCs w:val="16"/>
          <w:color w:val="070808"/>
        </w:rPr>
        <w:t>COVID-19 was first reported in late 2019 and has since dramatically impacted the global health and economic environment, including millions of confirmed cases, business slowdowns or shutdowns, government challenges and market volatility. In March 2020, the World Health Organization characterized COVID-19 as a global pandemic, and the President of the United States declared a national emergency concerning the COVID-19 outbreak.</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firstLine="322"/>
        <w:spacing w:after="0" w:line="287" w:lineRule="auto"/>
        <w:rPr>
          <w:sz w:val="20"/>
          <w:szCs w:val="20"/>
          <w:color w:val="auto"/>
        </w:rPr>
      </w:pPr>
      <w:r>
        <w:rPr>
          <w:rFonts w:ascii="Arial" w:cs="Arial" w:eastAsia="Arial" w:hAnsi="Arial"/>
          <w:sz w:val="16"/>
          <w:szCs w:val="16"/>
          <w:color w:val="070808"/>
        </w:rPr>
        <w:t>We continue to monitor and address the developments closely, including the impact on us, our employees, our customers, our suppliers and our communities. We continue to consider guidance from the Centers for Disease Control (CDC), other health organizations, federal, state and local governmental authorities, and our customers, among others. We have taken, and continue to take, robust actions to help protect our employees' health, safety and well-being, support our suppliers and local communities, and to continue to serve our customers. Our goals have been to lessen the immediate potential adverse impacts, both health and economic, and to continue to position the Company for long-term success. Like the communities in which we serve, our actions have varied depending on the spread of COVID-19 and local health requirements, the needs of our employees and the needs of our business. Among other actions, we have required or enabled employees to work from home or remotely where practicable, and expanded IT and communication support to enhance their productivity; adjusted work spaces and shift schedules to facilitate social distancing for those who continue to work in our facilities; enhanced cleaning and disinfecting procedures at our facilities; required face coverings; implemented visitor protocols; and restricted travel.</w:t>
      </w:r>
    </w:p>
    <w:p>
      <w:pPr>
        <w:spacing w:after="0" w:line="167" w:lineRule="exact"/>
        <w:rPr>
          <w:sz w:val="20"/>
          <w:szCs w:val="20"/>
          <w:color w:val="auto"/>
        </w:rPr>
      </w:pPr>
    </w:p>
    <w:p>
      <w:pPr>
        <w:ind w:right="140" w:firstLine="322"/>
        <w:spacing w:after="0" w:line="253" w:lineRule="auto"/>
        <w:rPr>
          <w:sz w:val="20"/>
          <w:szCs w:val="20"/>
          <w:color w:val="auto"/>
        </w:rPr>
      </w:pPr>
      <w:r>
        <w:rPr>
          <w:rFonts w:ascii="Arial" w:cs="Arial" w:eastAsia="Arial" w:hAnsi="Arial"/>
          <w:sz w:val="18"/>
          <w:szCs w:val="18"/>
          <w:color w:val="070808"/>
        </w:rPr>
        <w:t>Earlier in the COVID-19 pandemic and at times of higher transmission, many state and local jurisdictions implemented mandatory stay-at-home or shelter-in-place orders. Most of those orders exempted some or all of the defense industrial base, including us and many of our suppliers, as part of the essential or critical infrastructure. Our facilities have largely remained open and many of our employees who cannot work remotely are continuing to come to work and support our customers’ national security and mission-essential operations. Towards the end of the second quarter of 2020, some state and local jurisdictions started to lift mandatory stay-at-home or shelter-in-place orders and started gradually to ease restrictions. In 2021, after the FDA approval of the COVID-19 vaccine and as the infection numbers began to decrease, some employees who had been working remotely gradually returned to the workplace.</w:t>
      </w:r>
    </w:p>
    <w:p>
      <w:pPr>
        <w:spacing w:after="0" w:line="190" w:lineRule="exact"/>
        <w:rPr>
          <w:sz w:val="20"/>
          <w:szCs w:val="20"/>
          <w:color w:val="auto"/>
        </w:rPr>
      </w:pPr>
    </w:p>
    <w:p>
      <w:pPr>
        <w:ind w:right="280" w:firstLine="322"/>
        <w:spacing w:after="0" w:line="299" w:lineRule="auto"/>
        <w:rPr>
          <w:sz w:val="20"/>
          <w:szCs w:val="20"/>
          <w:color w:val="auto"/>
        </w:rPr>
      </w:pPr>
      <w:r>
        <w:rPr>
          <w:rFonts w:ascii="Arial" w:cs="Arial" w:eastAsia="Arial" w:hAnsi="Arial"/>
          <w:sz w:val="16"/>
          <w:szCs w:val="16"/>
          <w:color w:val="auto"/>
        </w:rPr>
        <w:t>Executive Order ("EO") 14042, Ensuring Adequate COVID Safety Protocol for Federal Contractors, issued in September 2021, when implemented, requires government contractors and subcontractors to comply with certain COVID-19 safeguards in workplaces with covered individuals, including vaccination, marking and physical distancing protocols. We were taking steps to comply with the EO at affected locations, until it was challenged in, and stayed by, the Federal courts in late 2021. We will resume our efforts if and when required after resolution in the Federal courts.</w:t>
      </w:r>
    </w:p>
    <w:p>
      <w:pPr>
        <w:spacing w:after="0" w:line="157" w:lineRule="exact"/>
        <w:rPr>
          <w:sz w:val="20"/>
          <w:szCs w:val="20"/>
          <w:color w:val="auto"/>
        </w:rPr>
      </w:pPr>
    </w:p>
    <w:p>
      <w:pPr>
        <w:ind w:right="80" w:firstLine="322"/>
        <w:spacing w:after="0" w:line="257" w:lineRule="auto"/>
        <w:rPr>
          <w:sz w:val="20"/>
          <w:szCs w:val="20"/>
          <w:color w:val="auto"/>
        </w:rPr>
      </w:pPr>
      <w:r>
        <w:rPr>
          <w:rFonts w:ascii="Arial" w:cs="Arial" w:eastAsia="Arial" w:hAnsi="Arial"/>
          <w:sz w:val="18"/>
          <w:szCs w:val="18"/>
          <w:color w:val="070808"/>
        </w:rPr>
        <w:t>Later in 2021, due to the spread of infections of the COVID-19 variants and the rise in the number of cases, particularly in the third and fourth quarter of 2021, we temporarily paused our efforts to bring more employees back to the work place. Throughout, we have worked to adapt and to take robust actions to protect the health, safety and well-being of our employees and to serve our customers, considering, among other things, local circumstances, state and local requirements and guidance from the CDC.</w:t>
      </w:r>
    </w:p>
    <w:p>
      <w:pPr>
        <w:spacing w:after="0" w:line="187" w:lineRule="exact"/>
        <w:rPr>
          <w:sz w:val="20"/>
          <w:szCs w:val="20"/>
          <w:color w:val="auto"/>
        </w:rPr>
      </w:pPr>
    </w:p>
    <w:p>
      <w:pPr>
        <w:ind w:right="80" w:firstLine="322"/>
        <w:spacing w:after="0" w:line="269" w:lineRule="auto"/>
        <w:rPr>
          <w:sz w:val="20"/>
          <w:szCs w:val="20"/>
          <w:color w:val="auto"/>
        </w:rPr>
      </w:pPr>
      <w:r>
        <w:rPr>
          <w:rFonts w:ascii="Arial" w:cs="Arial" w:eastAsia="Arial" w:hAnsi="Arial"/>
          <w:sz w:val="17"/>
          <w:szCs w:val="17"/>
          <w:color w:val="070808"/>
        </w:rPr>
        <w:t>We have experienced and expect to continue to experience various increased costs to maintain our operations, including as a result of actions taken to protect the health, safety and well-being of our employees; because of illness, quarantines, and absenteeism; as a result of government actions; and because of disruption and stress among our suppliers and customers. We have also experienced certain lower costs, including those related to employee travel, some health benefits and personal time off. We continue to monitor this situation closely and cannot predict how it will change, including the extent of any increase in the number of COVID-19 cases and the costs and impacts to us. Our customers have generally continued to make timely payments. Again, however, our customers face tremendous demands and budget pressures, and we cannot predict how this may change and how they will continue to allocate limited resources. This may result in a change in spending priorities on the part of our customers, which could precipitate the cancellation, delay or deferral of programs, contracts or business opportunities.</w:t>
      </w:r>
    </w:p>
    <w:p>
      <w:pPr>
        <w:spacing w:after="0" w:line="180" w:lineRule="exact"/>
        <w:rPr>
          <w:sz w:val="20"/>
          <w:szCs w:val="20"/>
          <w:color w:val="auto"/>
        </w:rPr>
      </w:pPr>
    </w:p>
    <w:p>
      <w:pPr>
        <w:ind w:right="120" w:firstLine="322"/>
        <w:spacing w:after="0" w:line="261" w:lineRule="auto"/>
        <w:rPr>
          <w:sz w:val="20"/>
          <w:szCs w:val="20"/>
          <w:color w:val="auto"/>
        </w:rPr>
      </w:pPr>
      <w:r>
        <w:rPr>
          <w:rFonts w:ascii="Arial" w:cs="Arial" w:eastAsia="Arial" w:hAnsi="Arial"/>
          <w:sz w:val="18"/>
          <w:szCs w:val="18"/>
          <w:color w:val="070808"/>
        </w:rPr>
        <w:t xml:space="preserve">Our employees, suppliers and customers, the Company and our global community are facing tremendous challenges as a result of the pandemic and its resulting economic impacts, and we cannot predict how this dynamic situation will evolve or the impact it will have on the Company. </w:t>
      </w:r>
      <w:r>
        <w:rPr>
          <w:rFonts w:ascii="Arial" w:cs="Arial" w:eastAsia="Arial" w:hAnsi="Arial"/>
          <w:sz w:val="18"/>
          <w:szCs w:val="18"/>
          <w:color w:val="000000"/>
        </w:rPr>
        <w:t>See Item 1A, "Risk</w:t>
      </w:r>
      <w:r>
        <w:rPr>
          <w:rFonts w:ascii="Arial" w:cs="Arial" w:eastAsia="Arial" w:hAnsi="Arial"/>
          <w:sz w:val="18"/>
          <w:szCs w:val="18"/>
          <w:color w:val="070808"/>
        </w:rPr>
        <w:t xml:space="preserve"> </w:t>
      </w:r>
      <w:r>
        <w:rPr>
          <w:rFonts w:ascii="Arial" w:cs="Arial" w:eastAsia="Arial" w:hAnsi="Arial"/>
          <w:sz w:val="18"/>
          <w:szCs w:val="18"/>
          <w:color w:val="000000"/>
        </w:rPr>
        <w:t>Factors," for discussion of risk related to our business and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6" w:lineRule="exact"/>
        <w:rPr>
          <w:sz w:val="20"/>
          <w:szCs w:val="20"/>
          <w:color w:val="auto"/>
        </w:rPr>
      </w:pPr>
    </w:p>
    <w:p>
      <w:pPr>
        <w:ind w:firstLine="322"/>
        <w:spacing w:after="0" w:line="339" w:lineRule="auto"/>
        <w:rPr>
          <w:sz w:val="20"/>
          <w:szCs w:val="20"/>
          <w:color w:val="auto"/>
        </w:rPr>
      </w:pPr>
      <w:r>
        <w:rPr>
          <w:rFonts w:ascii="Arial" w:cs="Arial" w:eastAsia="Arial" w:hAnsi="Arial"/>
          <w:sz w:val="16"/>
          <w:szCs w:val="16"/>
          <w:color w:val="auto"/>
        </w:rPr>
        <w:t>We develop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firstLine="322"/>
        <w:spacing w:after="0" w:line="253" w:lineRule="auto"/>
        <w:rPr>
          <w:sz w:val="20"/>
          <w:szCs w:val="20"/>
          <w:color w:val="auto"/>
        </w:rPr>
      </w:pPr>
      <w:r>
        <w:rPr>
          <w:rFonts w:ascii="Arial" w:cs="Arial" w:eastAsia="Arial" w:hAnsi="Arial"/>
          <w:sz w:val="18"/>
          <w:szCs w:val="18"/>
          <w:color w:val="auto"/>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a basis of one year or less and, as a result, funded backlog is generally expected to be earned within one year from any point in time, whereas unfunded backlog is expected to be earned over a longer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00" w:type="dxa"/>
            <w:vAlign w:val="bottom"/>
          </w:tcPr>
          <w:p>
            <w:pPr>
              <w:ind w:left="320"/>
              <w:spacing w:after="0"/>
              <w:rPr>
                <w:sz w:val="20"/>
                <w:szCs w:val="20"/>
                <w:color w:val="auto"/>
              </w:rPr>
            </w:pPr>
            <w:r>
              <w:rPr>
                <w:rFonts w:ascii="Arial" w:cs="Arial" w:eastAsia="Arial" w:hAnsi="Arial"/>
                <w:sz w:val="18"/>
                <w:szCs w:val="18"/>
                <w:color w:val="auto"/>
              </w:rPr>
              <w:t>The estimated value of our total backlog was as follows (in thousands):</w:t>
            </w: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69"/>
        </w:trPr>
        <w:tc>
          <w:tcPr>
            <w:tcW w:w="7000" w:type="dxa"/>
            <w:vAlign w:val="bottom"/>
          </w:tcPr>
          <w:p>
            <w:pPr>
              <w:spacing w:after="0"/>
              <w:rPr>
                <w:sz w:val="24"/>
                <w:szCs w:val="24"/>
                <w:color w:val="auto"/>
              </w:rPr>
            </w:pPr>
          </w:p>
        </w:tc>
        <w:tc>
          <w:tcPr>
            <w:tcW w:w="352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8"/>
                <w:szCs w:val="18"/>
                <w:b w:val="1"/>
                <w:bCs w:val="1"/>
                <w:color w:val="auto"/>
              </w:rPr>
              <w:t>Years Ended December 31,</w:t>
            </w:r>
          </w:p>
        </w:tc>
        <w:tc>
          <w:tcPr>
            <w:tcW w:w="720" w:type="dxa"/>
            <w:vAlign w:val="bottom"/>
            <w:tcBorders>
              <w:bottom w:val="single" w:sz="8" w:color="auto"/>
            </w:tcBorders>
          </w:tcPr>
          <w:p>
            <w:pPr>
              <w:spacing w:after="0"/>
              <w:rPr>
                <w:sz w:val="24"/>
                <w:szCs w:val="24"/>
                <w:color w:val="auto"/>
              </w:rPr>
            </w:pPr>
          </w:p>
        </w:tc>
      </w:tr>
      <w:tr>
        <w:trPr>
          <w:trHeight w:val="222"/>
        </w:trPr>
        <w:tc>
          <w:tcPr>
            <w:tcW w:w="70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19"/>
                <w:szCs w:val="19"/>
                <w:color w:val="auto"/>
              </w:rPr>
            </w:pPr>
          </w:p>
        </w:tc>
      </w:tr>
      <w:tr>
        <w:trPr>
          <w:trHeight w:val="20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Security Solutions</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8"/>
        </w:trPr>
        <w:tc>
          <w:tcPr>
            <w:tcW w:w="7000" w:type="dxa"/>
            <w:vAlign w:val="bottom"/>
          </w:tcPr>
          <w:p>
            <w:pPr>
              <w:ind w:left="340"/>
              <w:spacing w:after="0"/>
              <w:rPr>
                <w:sz w:val="20"/>
                <w:szCs w:val="20"/>
                <w:color w:val="auto"/>
              </w:rPr>
            </w:pPr>
            <w:r>
              <w:rPr>
                <w:rFonts w:ascii="Arial" w:cs="Arial" w:eastAsia="Arial" w:hAnsi="Arial"/>
                <w:sz w:val="18"/>
                <w:szCs w:val="18"/>
                <w:color w:val="auto"/>
              </w:rPr>
              <w:t>Funded backlog</w:t>
            </w:r>
          </w:p>
        </w:tc>
        <w:tc>
          <w:tcPr>
            <w:tcW w:w="1440" w:type="dxa"/>
            <w:vAlign w:val="bottom"/>
          </w:tcPr>
          <w:p>
            <w:pPr>
              <w:jc w:val="right"/>
              <w:ind w:right="125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35,382</w:t>
            </w:r>
          </w:p>
        </w:tc>
        <w:tc>
          <w:tcPr>
            <w:tcW w:w="100" w:type="dxa"/>
            <w:vAlign w:val="bottom"/>
          </w:tcPr>
          <w:p>
            <w:pPr>
              <w:spacing w:after="0"/>
              <w:rPr>
                <w:sz w:val="19"/>
                <w:szCs w:val="19"/>
                <w:color w:val="auto"/>
              </w:rPr>
            </w:pPr>
          </w:p>
        </w:tc>
        <w:tc>
          <w:tcPr>
            <w:tcW w:w="1200" w:type="dxa"/>
            <w:vAlign w:val="bottom"/>
          </w:tcPr>
          <w:p>
            <w:pPr>
              <w:jc w:val="right"/>
              <w:ind w:right="10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41,619</w:t>
            </w:r>
          </w:p>
        </w:tc>
      </w:tr>
      <w:tr>
        <w:trPr>
          <w:trHeight w:val="228"/>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Unfunded backlog</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43,056</w:t>
            </w:r>
          </w:p>
        </w:tc>
      </w:tr>
      <w:tr>
        <w:trPr>
          <w:trHeight w:val="222"/>
        </w:trPr>
        <w:tc>
          <w:tcPr>
            <w:tcW w:w="7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Security Solutions backlog</w:t>
            </w:r>
          </w:p>
        </w:tc>
        <w:tc>
          <w:tcPr>
            <w:tcW w:w="1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84,675</w:t>
            </w:r>
          </w:p>
        </w:tc>
      </w:tr>
      <w:tr>
        <w:trPr>
          <w:trHeight w:val="20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Secure Networks</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8"/>
        </w:trPr>
        <w:tc>
          <w:tcPr>
            <w:tcW w:w="7000" w:type="dxa"/>
            <w:vAlign w:val="bottom"/>
          </w:tcPr>
          <w:p>
            <w:pPr>
              <w:ind w:left="340"/>
              <w:spacing w:after="0"/>
              <w:rPr>
                <w:sz w:val="20"/>
                <w:szCs w:val="20"/>
                <w:color w:val="auto"/>
              </w:rPr>
            </w:pPr>
            <w:r>
              <w:rPr>
                <w:rFonts w:ascii="Arial" w:cs="Arial" w:eastAsia="Arial" w:hAnsi="Arial"/>
                <w:sz w:val="18"/>
                <w:szCs w:val="18"/>
                <w:color w:val="auto"/>
              </w:rPr>
              <w:t>Funded backlog</w:t>
            </w:r>
          </w:p>
        </w:tc>
        <w:tc>
          <w:tcPr>
            <w:tcW w:w="1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88,097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86,116</w:t>
            </w:r>
          </w:p>
        </w:tc>
      </w:tr>
      <w:tr>
        <w:trPr>
          <w:trHeight w:val="228"/>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Unfunded backlog</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172,664</w:t>
            </w:r>
          </w:p>
        </w:tc>
      </w:tr>
      <w:tr>
        <w:trPr>
          <w:trHeight w:val="222"/>
        </w:trPr>
        <w:tc>
          <w:tcPr>
            <w:tcW w:w="7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Secure Networks backlog</w:t>
            </w:r>
          </w:p>
        </w:tc>
        <w:tc>
          <w:tcPr>
            <w:tcW w:w="1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156,827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258,780</w:t>
            </w:r>
          </w:p>
        </w:tc>
      </w:tr>
      <w:tr>
        <w:trPr>
          <w:trHeight w:val="20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8"/>
        </w:trPr>
        <w:tc>
          <w:tcPr>
            <w:tcW w:w="7000" w:type="dxa"/>
            <w:vAlign w:val="bottom"/>
          </w:tcPr>
          <w:p>
            <w:pPr>
              <w:ind w:left="340"/>
              <w:spacing w:after="0"/>
              <w:rPr>
                <w:sz w:val="20"/>
                <w:szCs w:val="20"/>
                <w:color w:val="auto"/>
              </w:rPr>
            </w:pPr>
            <w:r>
              <w:rPr>
                <w:rFonts w:ascii="Arial" w:cs="Arial" w:eastAsia="Arial" w:hAnsi="Arial"/>
                <w:sz w:val="18"/>
                <w:szCs w:val="18"/>
                <w:color w:val="auto"/>
              </w:rPr>
              <w:t>Funded backlog</w:t>
            </w:r>
          </w:p>
        </w:tc>
        <w:tc>
          <w:tcPr>
            <w:tcW w:w="1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123,479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127,735</w:t>
            </w:r>
          </w:p>
        </w:tc>
      </w:tr>
      <w:tr>
        <w:trPr>
          <w:trHeight w:val="228"/>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Unfunded backlog</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215,720</w:t>
            </w:r>
          </w:p>
        </w:tc>
      </w:tr>
      <w:tr>
        <w:trPr>
          <w:trHeight w:val="222"/>
        </w:trPr>
        <w:tc>
          <w:tcPr>
            <w:tcW w:w="7000" w:type="dxa"/>
            <w:vAlign w:val="bottom"/>
          </w:tcPr>
          <w:p>
            <w:pPr>
              <w:ind w:left="340"/>
              <w:spacing w:after="0"/>
              <w:rPr>
                <w:sz w:val="20"/>
                <w:szCs w:val="20"/>
                <w:color w:val="auto"/>
              </w:rPr>
            </w:pPr>
            <w:r>
              <w:rPr>
                <w:rFonts w:ascii="Arial" w:cs="Arial" w:eastAsia="Arial" w:hAnsi="Arial"/>
                <w:sz w:val="18"/>
                <w:szCs w:val="18"/>
                <w:color w:val="auto"/>
              </w:rPr>
              <w:t>Total backlog</w:t>
            </w:r>
          </w:p>
        </w:tc>
        <w:tc>
          <w:tcPr>
            <w:tcW w:w="144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246,407</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343,455</w:t>
            </w:r>
          </w:p>
        </w:tc>
      </w:tr>
      <w:tr>
        <w:trPr>
          <w:trHeight w:val="20"/>
        </w:trPr>
        <w:tc>
          <w:tcPr>
            <w:tcW w:w="7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 and Available Information</w:t>
      </w:r>
    </w:p>
    <w:p>
      <w:pPr>
        <w:spacing w:after="0" w:line="226" w:lineRule="exact"/>
        <w:rPr>
          <w:sz w:val="20"/>
          <w:szCs w:val="20"/>
          <w:color w:val="auto"/>
        </w:rPr>
      </w:pPr>
    </w:p>
    <w:p>
      <w:pPr>
        <w:ind w:right="120" w:firstLine="322"/>
        <w:spacing w:after="0" w:line="274" w:lineRule="auto"/>
        <w:rPr>
          <w:sz w:val="20"/>
          <w:szCs w:val="20"/>
          <w:color w:val="auto"/>
        </w:rPr>
      </w:pPr>
      <w:r>
        <w:rPr>
          <w:rFonts w:ascii="Arial" w:cs="Arial" w:eastAsia="Arial" w:hAnsi="Arial"/>
          <w:sz w:val="17"/>
          <w:szCs w:val="17"/>
          <w:color w:val="auto"/>
        </w:rPr>
        <w:t>Our corporate headquarters is located at 19886 Ashburn Road, Ashburn, Virginia 20147 and our telephone number is (703) 724-3800. Our website can be accessed at www.telos.com, which contains information about our Company and operations. Through a link on the Investor Relations section of our website, copies of each of our filings with the U.S.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part of this Annual Report on Form 10-K.</w:t>
      </w:r>
    </w:p>
    <w:p>
      <w:pPr>
        <w:spacing w:after="0" w:line="173" w:lineRule="exact"/>
        <w:rPr>
          <w:sz w:val="20"/>
          <w:szCs w:val="20"/>
          <w:color w:val="auto"/>
        </w:rPr>
      </w:pPr>
    </w:p>
    <w:p>
      <w:pPr>
        <w:ind w:right="120" w:firstLine="322"/>
        <w:spacing w:after="0" w:line="274" w:lineRule="auto"/>
        <w:rPr>
          <w:sz w:val="20"/>
          <w:szCs w:val="20"/>
          <w:color w:val="auto"/>
        </w:rPr>
      </w:pPr>
      <w:r>
        <w:rPr>
          <w:rFonts w:ascii="Arial" w:cs="Arial" w:eastAsia="Arial" w:hAnsi="Arial"/>
          <w:sz w:val="18"/>
          <w:szCs w:val="18"/>
          <w:color w:val="auto"/>
        </w:rPr>
        <w:t>The SEC also maintains a website (www.sec.gov) that contains reports, proxy and information statements, and other information regarding issuers that file electronically with the SEC, including Telos.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1" w:lineRule="exact"/>
        <w:rPr>
          <w:sz w:val="20"/>
          <w:szCs w:val="20"/>
          <w:color w:val="auto"/>
        </w:rPr>
      </w:pPr>
    </w:p>
    <w:p>
      <w:pPr>
        <w:ind w:firstLine="322"/>
        <w:spacing w:after="0" w:line="255" w:lineRule="auto"/>
        <w:rPr>
          <w:sz w:val="20"/>
          <w:szCs w:val="20"/>
          <w:color w:val="auto"/>
        </w:rPr>
      </w:pPr>
      <w:r>
        <w:rPr>
          <w:rFonts w:ascii="Arial" w:cs="Arial" w:eastAsia="Arial" w:hAnsi="Arial"/>
          <w:sz w:val="18"/>
          <w:szCs w:val="18"/>
          <w:color w:val="auto"/>
        </w:rPr>
        <w:t>In your evaluation of the Company and business, you should carefully consider the risks and uncertainties as described below, together with information included elsewhere in this report and other documents we file with the SEC. These factors, as well as additional risks and uncertainties not currently known to us or that we currently believe are immaterial, may currently have, or may have, a significant impact on our business, operating results or financial condition. Actual results could differ materially from those projected in the forward-looking statements contained in this Form 10-K as a result of the risk factors discussed below and elsewhere in this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have identified certain material weaknesses in our internal control over financial reporting, and, if our remediation of these material weaknesses is not effective, or if we fail to maintain effective internal control over financial reporting in the future, our ability to produce accurate and timely consolidated financial statements could be impaired, which could adversely affect investor confidence in our company and, as a result, the value of our common stock.</w:t>
      </w:r>
    </w:p>
    <w:p>
      <w:pPr>
        <w:spacing w:after="0" w:line="187" w:lineRule="exact"/>
        <w:rPr>
          <w:sz w:val="20"/>
          <w:szCs w:val="20"/>
          <w:color w:val="auto"/>
        </w:rPr>
      </w:pPr>
    </w:p>
    <w:p>
      <w:pPr>
        <w:ind w:right="20" w:firstLine="322"/>
        <w:spacing w:after="0" w:line="254" w:lineRule="auto"/>
        <w:rPr>
          <w:sz w:val="20"/>
          <w:szCs w:val="20"/>
          <w:color w:val="auto"/>
        </w:rPr>
      </w:pPr>
      <w:r>
        <w:rPr>
          <w:rFonts w:ascii="Arial" w:cs="Arial" w:eastAsia="Arial" w:hAnsi="Arial"/>
          <w:sz w:val="18"/>
          <w:szCs w:val="18"/>
          <w:color w:val="auto"/>
        </w:rPr>
        <w:t>As a public company, we are required to comply with Section 404 of the Sarbanes-Oxley Act. If we fail to abide by the applicable requirements of Section 404, regulatory authorities, such as the SEC, could subject us to sanctions or investigation, and our independent registered public accounting firm may not be able to certify as to the effectiveness of our internal control over financial reporting pursuant to an audit of our controls. Even effective internal controls can provide only reasonable assurance with respect to the preparation and fair presentation of financial statements. Accordingly, our internal control over financial reporting may not prevent or detect misstatements because of their inherent limitations, including the possibility of human error, the circumvention or overriding of controls, or fraud.</w:t>
      </w:r>
    </w:p>
    <w:p>
      <w:pPr>
        <w:spacing w:after="0" w:line="189" w:lineRule="exact"/>
        <w:rPr>
          <w:sz w:val="20"/>
          <w:szCs w:val="20"/>
          <w:color w:val="auto"/>
        </w:rPr>
      </w:pPr>
    </w:p>
    <w:p>
      <w:pPr>
        <w:ind w:firstLine="322"/>
        <w:spacing w:after="0" w:line="285" w:lineRule="auto"/>
        <w:rPr>
          <w:sz w:val="20"/>
          <w:szCs w:val="20"/>
          <w:color w:val="auto"/>
        </w:rPr>
      </w:pPr>
      <w:r>
        <w:rPr>
          <w:rFonts w:ascii="Arial" w:cs="Arial" w:eastAsia="Arial" w:hAnsi="Arial"/>
          <w:sz w:val="16"/>
          <w:szCs w:val="16"/>
          <w:color w:val="auto"/>
        </w:rPr>
        <w:t>In connection with the audit of our consolidated financial statements as of and for the year ended December 31, 2021, we and our independent registered public accounting firm identified certain material weaknesses in our internal control over financial reporting related to a lack of certain controls, or improper execution of designed control procedures (1) over the accounting for revenue recognition in accordance with Accounting Standards Codification ("ASC") Topic 606, “Revenue from Contracts with Customers”, (2) over the accounting for software development costs in accordance with ASC Topic 985-20, “Software – Costs of Software to be Sold, Leased, or Marketed”, and ASC Topic 350-40, “Internal Use Software,” (3) over the completeness and accuracy of stock-based grants and the review of the inputs utilized in a third party valuation, (4) over the preparation and review of projected financial information utilized in the valuation of the business combination, (5) over the financial statement close process to ensure the consistent execution, accuracy, and timely review of account reconciliations, as well as review of the statement of cash flows, (6) over information technology general controls in the areas of user access, change management, and segregation of duties, including controls over the recording of journal entries, related to certain information technology systems that support the Company’s financial reporting process, and (7) over entity-level controls impacting the control environment and monitoring activities to prevent or detect material misstatements to the consolidated financial statements. These control deficiencies could have resulted in a misstatement of accounts and disclosures that could have resulted in a material misstatement of our annual or interim consolidated financial statements that would not have been prevented or detected. Accordingly, management has determined that these control deficiencies constitute material weaknesses.</w:t>
      </w:r>
    </w:p>
    <w:p>
      <w:pPr>
        <w:spacing w:after="0" w:line="166" w:lineRule="exact"/>
        <w:rPr>
          <w:sz w:val="20"/>
          <w:szCs w:val="20"/>
          <w:color w:val="auto"/>
        </w:rPr>
      </w:pPr>
    </w:p>
    <w:p>
      <w:pPr>
        <w:ind w:right="100" w:firstLine="322"/>
        <w:spacing w:after="0" w:line="255" w:lineRule="auto"/>
        <w:rPr>
          <w:sz w:val="20"/>
          <w:szCs w:val="20"/>
          <w:color w:val="auto"/>
        </w:rPr>
      </w:pPr>
      <w:r>
        <w:rPr>
          <w:rFonts w:ascii="Arial" w:cs="Arial" w:eastAsia="Arial" w:hAnsi="Arial"/>
          <w:sz w:val="18"/>
          <w:szCs w:val="18"/>
          <w:color w:val="auto"/>
        </w:rPr>
        <w:t>As further described in Item 9A, Management's Report on Internal Control over Financial Reporting, we plan to implement several steps to address the underlying causes of the material weaknesses, including hiring additional accounting personnel and implementing training of new and existing personnel in new roles on proper execution of designed control procedures, enhancing processes, designing and implementing internal controls around revenue recognition, software development costs, stock-based compensation, and financial close and reporting, and enhancing user access provisioning and monitoring controls to enforce appropriate system access and segregation of duties.</w:t>
      </w:r>
    </w:p>
    <w:p>
      <w:pPr>
        <w:spacing w:after="0" w:line="189" w:lineRule="exact"/>
        <w:rPr>
          <w:sz w:val="20"/>
          <w:szCs w:val="20"/>
          <w:color w:val="auto"/>
        </w:rPr>
      </w:pPr>
    </w:p>
    <w:p>
      <w:pPr>
        <w:jc w:val="both"/>
        <w:ind w:firstLine="322"/>
        <w:spacing w:after="0" w:line="268" w:lineRule="auto"/>
        <w:rPr>
          <w:sz w:val="20"/>
          <w:szCs w:val="20"/>
          <w:color w:val="auto"/>
        </w:rPr>
      </w:pPr>
      <w:r>
        <w:rPr>
          <w:rFonts w:ascii="Arial" w:cs="Arial" w:eastAsia="Arial" w:hAnsi="Arial"/>
          <w:sz w:val="17"/>
          <w:szCs w:val="17"/>
          <w:color w:val="auto"/>
        </w:rPr>
        <w:t>While we believe our remediation plans described above should remediate the material weaknesses, we cannot provide assurance of when the material weaknesses will be remediated, nor can we be certain of whether additional actions will be required or the costs of any such actions. Moreover, we cannot provide assurance that additional material weaknesses will not arise in the future. While the material weaknesses discussed in Item 9A, Management's Report on Internal Control over Financial Reporting, did not result in material misstatements of our annual or interim consolidated financial statements, any failure to remediate the material weaknesses, or the identification of new material weaknesses in our internal control over financial reporting, could result in material misstatements in our financial statements that may continue undetected, negatively impacting the public perception of the Company and our securities and cause us to fail to meet our reporting and financial obligations or incur significant additional costs to remediate the material weaknesses, each of which could negatively affect our stock price, harm our ability to raise capital on favorable terms in the future or otherwise have a negative impact on our financial condition.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2" w:lineRule="exact"/>
        <w:rPr>
          <w:sz w:val="20"/>
          <w:szCs w:val="20"/>
          <w:color w:val="auto"/>
        </w:rPr>
      </w:pPr>
    </w:p>
    <w:p>
      <w:pPr>
        <w:ind w:firstLine="322"/>
        <w:spacing w:after="0" w:line="288" w:lineRule="auto"/>
        <w:rPr>
          <w:sz w:val="20"/>
          <w:szCs w:val="20"/>
          <w:color w:val="auto"/>
        </w:rPr>
      </w:pPr>
      <w:r>
        <w:rPr>
          <w:rFonts w:ascii="Arial" w:cs="Arial" w:eastAsia="Arial" w:hAnsi="Arial"/>
          <w:sz w:val="16"/>
          <w:szCs w:val="16"/>
          <w:color w:val="auto"/>
        </w:rPr>
        <w:t>From time to time, we may release guidance in our quarterly earnings conference calls, quarterly earnings releases, or otherwise, regarding our future performance that represents our management’s estimates as of the date of release. This guidance, which includes forward-looking statements, is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Our aim is to state possible outcomes as high and low ranges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66" w:lineRule="exact"/>
        <w:rPr>
          <w:sz w:val="20"/>
          <w:szCs w:val="20"/>
          <w:color w:val="auto"/>
        </w:rPr>
      </w:pPr>
    </w:p>
    <w:p>
      <w:pPr>
        <w:ind w:right="80" w:firstLine="322"/>
        <w:spacing w:after="0" w:line="25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ind w:right="260" w:firstLine="322"/>
        <w:spacing w:after="0" w:line="339" w:lineRule="auto"/>
        <w:rPr>
          <w:sz w:val="20"/>
          <w:szCs w:val="20"/>
          <w:color w:val="auto"/>
        </w:rPr>
      </w:pPr>
      <w:r>
        <w:rPr>
          <w:rFonts w:ascii="Arial" w:cs="Arial" w:eastAsia="Arial" w:hAnsi="Arial"/>
          <w:sz w:val="16"/>
          <w:szCs w:val="16"/>
          <w:color w:val="auto"/>
        </w:rPr>
        <w:t>Any failure to successfully implement our operating strategy or the occurrence of any of the events or circumstances set forth in the “Risk Factors” section in this Form 10-K could result in the actual operating results being different from our guidance, and the differences may be adverse and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pricing structures for our solutions and services may change from time to time.</w:t>
      </w:r>
    </w:p>
    <w:p>
      <w:pPr>
        <w:spacing w:after="0" w:line="222" w:lineRule="exact"/>
        <w:rPr>
          <w:sz w:val="20"/>
          <w:szCs w:val="20"/>
          <w:color w:val="auto"/>
        </w:rPr>
      </w:pPr>
    </w:p>
    <w:p>
      <w:pPr>
        <w:ind w:right="40" w:firstLine="322"/>
        <w:spacing w:after="0" w:line="286" w:lineRule="auto"/>
        <w:rPr>
          <w:sz w:val="20"/>
          <w:szCs w:val="20"/>
          <w:color w:val="auto"/>
        </w:rPr>
      </w:pPr>
      <w:r>
        <w:rPr>
          <w:rFonts w:ascii="Arial" w:cs="Arial" w:eastAsia="Arial" w:hAnsi="Arial"/>
          <w:sz w:val="16"/>
          <w:szCs w:val="16"/>
          <w:color w:val="auto"/>
        </w:rPr>
        <w:t>We expect that we may change our pricing model from time to time, including as a result of competition, global economic conditions, and general reductions in our customers’ spending levels, pricing studies, or changes in how our solutions are broadly consumed. Similarly, as we introduce new products and services, or as a result of the evolution of our existing solutions and services, we may have difficulty determining the appropriate price structure for our products and services. In addition, as new and existing competitors introduce new products or services that compete with ours, or revise their pricing structures, we may be unable to attract new customers at the same price or based on the same pricing model as we have used historically. Moreover, as we continue to target selling our solutions and services to larger organizations, these larger organizations may demand substantial price concessions. In addition, we may need to change pricing policies to accommodate government pricing guidelines for our contracts with federal, state, local, and foreign governments and government agencies. If we are unable to modify or develop pricing models and strategies that are attractive to existing and prospective customers, while enabling us to significantly grow our sales and revenue relative to our associated costs and expenses in a reasonable period of time, our business, financial condition, and results of operations may be adversely impacted.</w:t>
      </w:r>
    </w:p>
    <w:p>
      <w:pPr>
        <w:spacing w:after="0" w:line="170"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i w:val="1"/>
          <w:iCs w:val="1"/>
          <w:color w:val="auto"/>
        </w:rPr>
        <w:t>We depend on computing infrastructure operated by AWS, Microsoft, and other third parties to support some of our solutions and customers, and any errors, disruption, performance problems, or failure in their or our operational infrastructure could adversely affect our business, financial condition, and results of operations.</w:t>
      </w:r>
    </w:p>
    <w:p>
      <w:pPr>
        <w:spacing w:after="0" w:line="184" w:lineRule="exact"/>
        <w:rPr>
          <w:sz w:val="20"/>
          <w:szCs w:val="20"/>
          <w:color w:val="auto"/>
        </w:rPr>
      </w:pPr>
    </w:p>
    <w:p>
      <w:pPr>
        <w:ind w:right="40" w:firstLine="322"/>
        <w:spacing w:after="0" w:line="287" w:lineRule="auto"/>
        <w:rPr>
          <w:sz w:val="20"/>
          <w:szCs w:val="20"/>
          <w:color w:val="auto"/>
        </w:rPr>
      </w:pPr>
      <w:r>
        <w:rPr>
          <w:rFonts w:ascii="Arial" w:cs="Arial" w:eastAsia="Arial" w:hAnsi="Arial"/>
          <w:sz w:val="16"/>
          <w:szCs w:val="16"/>
          <w:color w:val="auto"/>
        </w:rPr>
        <w:t>We rely on the technology, infrastructure, and software applications, of certain third parties, such as AWS and Microsoft Azure, in order to host or operate some of certain key platform features or functions of our business. Additionally, we rely on third-party computer hardware and cloud capabilities in order to deliver our solutions and services. We do not have control over the operations of the facilities of the third parties that we use. If any of these third-party services experience errors, disruptions, security issues, or other performance deficiencies, if they are updated such that our solutions become incompatible, if these services, software, or hardware fail or become unavailable due to extended outages, interruptions, defects, or otherwise, or if they are no longer available on commercially reasonable terms or prices (or at all), these issues could result in errors or defects in our solutions, failure of our solutions to perform, decline in our revenue and margins, damage to our reputation and brand, exposure to legal or contractual liability, increase in our</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expenses, and interruption in our ability to manage our operations. In addition,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customers or third-party providers.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20" w:firstLine="322"/>
        <w:spacing w:after="0" w:line="274" w:lineRule="auto"/>
        <w:rPr>
          <w:sz w:val="20"/>
          <w:szCs w:val="20"/>
          <w:color w:val="auto"/>
        </w:rPr>
      </w:pPr>
      <w:r>
        <w:rPr>
          <w:rFonts w:ascii="Arial" w:cs="Arial" w:eastAsia="Arial" w:hAnsi="Arial"/>
          <w:sz w:val="17"/>
          <w:szCs w:val="17"/>
          <w:color w:val="auto"/>
        </w:rPr>
        <w:t>We may in the future experience, disruptions, failures, data loss, outages, and other performance problems with our infrastructure and cloud-based offerings due to a variety of factors, including infrastructure changes, introductions of new functionality, human or software errors, employee misconduct, capacity constraints, denial of service attacks, phishing attacks, computer viruses, malicious or destructive code, or other security-related incidents, and our disaster recovery planning may not be sufficient for all situations. If we experience disruptions, failures, data loss, outages, or other performance problems, our business, financial condition, and results of operations could be adversely affected.</w:t>
      </w:r>
    </w:p>
    <w:p>
      <w:pPr>
        <w:spacing w:after="0" w:line="173" w:lineRule="exact"/>
        <w:rPr>
          <w:sz w:val="20"/>
          <w:szCs w:val="20"/>
          <w:color w:val="auto"/>
        </w:rPr>
      </w:pPr>
    </w:p>
    <w:p>
      <w:pPr>
        <w:ind w:right="20" w:firstLine="322"/>
        <w:spacing w:after="0" w:line="268" w:lineRule="auto"/>
        <w:rPr>
          <w:sz w:val="20"/>
          <w:szCs w:val="20"/>
          <w:color w:val="auto"/>
        </w:rPr>
      </w:pPr>
      <w:r>
        <w:rPr>
          <w:rFonts w:ascii="Arial" w:cs="Arial" w:eastAsia="Arial" w:hAnsi="Arial"/>
          <w:sz w:val="17"/>
          <w:szCs w:val="17"/>
          <w:color w:val="auto"/>
        </w:rPr>
        <w:t>Our systems and the third-party systems upon which we and our customers rely are also vulnerable to damage or interruption from catastrophic occurrences such as earthquakes, floods, fires, power loss, telecommunication failures, cybersecurity threats, terrorist attacks, social unrest, natural disasters, public health crises such as the COVID-19 pandemic,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solutions,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spacing w:after="0" w:line="183" w:lineRule="exact"/>
        <w:rPr>
          <w:sz w:val="20"/>
          <w:szCs w:val="20"/>
          <w:color w:val="auto"/>
        </w:rPr>
      </w:pPr>
    </w:p>
    <w:p>
      <w:pPr>
        <w:ind w:right="60" w:firstLine="322"/>
        <w:spacing w:after="0" w:line="271" w:lineRule="auto"/>
        <w:rPr>
          <w:sz w:val="20"/>
          <w:szCs w:val="20"/>
          <w:color w:val="auto"/>
        </w:rPr>
      </w:pPr>
      <w:r>
        <w:rPr>
          <w:rFonts w:ascii="Arial" w:cs="Arial" w:eastAsia="Arial" w:hAnsi="Arial"/>
          <w:sz w:val="17"/>
          <w:szCs w:val="17"/>
          <w:color w:val="auto"/>
        </w:rPr>
        <w:t>Furthermore, our solutions are in many cases important or essential to our customers’ operations, including in some cases, their cybersecurity or oversight and compliance programs, and subject to service level agreements (“SLAs”). Any interruption in our service, whether as a result of an internal or third-party issue, could damage our brand and reputation, cause our customers to terminate or not renew their contracts with us or decrease use of our solutions and services, require us to indemnify our customers against certain losses, result in our issuing credit or paying penalties or fines, subject us to other losses or liabilities, cause our solutions to be perceived as unreliable or unsecure, and prevent us from gaining new or additional business from current or future customers, any of which could harm our business, financial condition, and results of operations.</w:t>
      </w:r>
    </w:p>
    <w:p>
      <w:pPr>
        <w:spacing w:after="0" w:line="179" w:lineRule="exact"/>
        <w:rPr>
          <w:sz w:val="20"/>
          <w:szCs w:val="20"/>
          <w:color w:val="auto"/>
        </w:rPr>
      </w:pPr>
    </w:p>
    <w:p>
      <w:pPr>
        <w:ind w:right="80" w:firstLine="322"/>
        <w:spacing w:after="0" w:line="269" w:lineRule="auto"/>
        <w:rPr>
          <w:sz w:val="20"/>
          <w:szCs w:val="20"/>
          <w:color w:val="auto"/>
        </w:rPr>
      </w:pPr>
      <w:r>
        <w:rPr>
          <w:rFonts w:ascii="Arial" w:cs="Arial" w:eastAsia="Arial" w:hAnsi="Arial"/>
          <w:sz w:val="17"/>
          <w:szCs w:val="17"/>
          <w:color w:val="auto"/>
        </w:rPr>
        <w:t>Moreover,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 The provisioning of additional cloud hosting capacity requires lead time. AWS, Microsoft Azure, and other third parties have no obligation to renew their agreements with us on commercially reasonable terms, or at all. If AWS, Microsoft Azure, or other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In that case, we could incur significant costs and experience possible service interruption in connection with doing so, or risk loss of customer contracts if they are unwilling to accept such a change.</w:t>
      </w:r>
    </w:p>
    <w:p>
      <w:pPr>
        <w:spacing w:after="0" w:line="180" w:lineRule="exact"/>
        <w:rPr>
          <w:sz w:val="20"/>
          <w:szCs w:val="20"/>
          <w:color w:val="auto"/>
        </w:rPr>
      </w:pPr>
    </w:p>
    <w:p>
      <w:pPr>
        <w:ind w:right="20" w:firstLine="322"/>
        <w:spacing w:after="0" w:line="261" w:lineRule="auto"/>
        <w:rPr>
          <w:sz w:val="20"/>
          <w:szCs w:val="20"/>
          <w:color w:val="auto"/>
        </w:rPr>
      </w:pPr>
      <w:r>
        <w:rPr>
          <w:rFonts w:ascii="Arial" w:cs="Arial" w:eastAsia="Arial" w:hAnsi="Arial"/>
          <w:sz w:val="18"/>
          <w:szCs w:val="18"/>
          <w:color w:val="auto"/>
        </w:rPr>
        <w:t>A failure to maintain our relationships with our third-party providers (or obtain adequate replacements), and to receive services from such providers that do not contain any material errors or defects, could adversely affect our ability to deliver effective products and solutions to our customers and adversely affect our business and results of operations.</w:t>
      </w:r>
    </w:p>
    <w:p>
      <w:pPr>
        <w:spacing w:after="0" w:line="184" w:lineRule="exact"/>
        <w:rPr>
          <w:sz w:val="20"/>
          <w:szCs w:val="20"/>
          <w:color w:val="auto"/>
        </w:rPr>
      </w:pPr>
    </w:p>
    <w:p>
      <w:pPr>
        <w:spacing w:after="0" w:line="377" w:lineRule="auto"/>
        <w:rPr>
          <w:sz w:val="20"/>
          <w:szCs w:val="20"/>
          <w:color w:val="auto"/>
        </w:rPr>
      </w:pPr>
      <w:r>
        <w:rPr>
          <w:rFonts w:ascii="Arial" w:cs="Arial" w:eastAsia="Arial" w:hAnsi="Arial"/>
          <w:sz w:val="15"/>
          <w:szCs w:val="15"/>
          <w:b w:val="1"/>
          <w:bCs w:val="1"/>
          <w:i w:val="1"/>
          <w:iCs w:val="1"/>
          <w:color w:val="auto"/>
        </w:rPr>
        <w:t>We are dependent on a few key customer contracts for a significant portion of our future revenue, and a significant reduction in services or delay in implementation to one or more of these contracts would reduce or delay our future revenue and could materially affect our anticipated operating results.</w:t>
      </w:r>
    </w:p>
    <w:p>
      <w:pPr>
        <w:spacing w:after="0" w:line="102" w:lineRule="exact"/>
        <w:rPr>
          <w:sz w:val="20"/>
          <w:szCs w:val="20"/>
          <w:color w:val="auto"/>
        </w:rPr>
      </w:pPr>
    </w:p>
    <w:p>
      <w:pPr>
        <w:ind w:right="60" w:firstLine="322"/>
        <w:spacing w:after="0" w:line="268" w:lineRule="auto"/>
        <w:rPr>
          <w:sz w:val="20"/>
          <w:szCs w:val="20"/>
          <w:color w:val="auto"/>
        </w:rPr>
      </w:pPr>
      <w:r>
        <w:rPr>
          <w:rFonts w:ascii="Arial" w:cs="Arial" w:eastAsia="Arial" w:hAnsi="Arial"/>
          <w:sz w:val="17"/>
          <w:szCs w:val="17"/>
          <w:color w:val="auto"/>
        </w:rPr>
        <w:t>A small number of our large customer contracts, including for instance, the TSA PreCheck enrollment program, are expected to comprise a significant portion of our future revenue. Our business will likely be harmed if any of our key customer contracts do not generate as much revenue as we forecast, and the termination or delay of a large contract or of multiple contracts could have a material adverse effect on our revenue and profitability. Adverse events affecting the programs subject to these contracts could also negatively affect our ability to process transactions under those contracts, which could adversely affect our revenue and results of operations. For example, the COVID-19 pandemic may adversely affect or disrupt the TSA PreCheck enrollment program, which could lead to further delays in the authorization and implementation of that program and changes in demand for that program. In addition, if the COVID-19 pandemic and associated protective or preventative measures expand, we may experience a material adverse effect on our business operations, revenues, financial condition, and ability to execute on business or contract opportunities; however, the ultimate impact is highly uncertain and subject to change.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305" w:lineRule="auto"/>
        <w:rPr>
          <w:sz w:val="20"/>
          <w:szCs w:val="20"/>
          <w:color w:val="auto"/>
        </w:rPr>
      </w:pPr>
      <w:r>
        <w:rPr>
          <w:rFonts w:ascii="Arial" w:cs="Arial" w:eastAsia="Arial" w:hAnsi="Arial"/>
          <w:sz w:val="17"/>
          <w:szCs w:val="17"/>
          <w:b w:val="1"/>
          <w:bCs w:val="1"/>
          <w:i w:val="1"/>
          <w:iCs w:val="1"/>
          <w:color w:val="auto"/>
        </w:rPr>
        <w:t>We will face risks associated with the growth of our business in new commercial markets and with new customer verticals, and we may neither be able to continue our organic growth nor have the necessary resources to dedicate to the overall growth of our business.</w:t>
      </w:r>
    </w:p>
    <w:p>
      <w:pPr>
        <w:spacing w:after="0" w:line="147" w:lineRule="exact"/>
        <w:rPr>
          <w:sz w:val="20"/>
          <w:szCs w:val="20"/>
          <w:color w:val="auto"/>
        </w:rPr>
      </w:pPr>
    </w:p>
    <w:p>
      <w:pPr>
        <w:ind w:right="60" w:firstLine="322"/>
        <w:spacing w:after="0" w:line="267" w:lineRule="auto"/>
        <w:rPr>
          <w:sz w:val="20"/>
          <w:szCs w:val="20"/>
          <w:color w:val="auto"/>
        </w:rPr>
      </w:pPr>
      <w:r>
        <w:rPr>
          <w:rFonts w:ascii="Arial" w:cs="Arial" w:eastAsia="Arial" w:hAnsi="Arial"/>
          <w:sz w:val="17"/>
          <w:szCs w:val="17"/>
          <w:color w:val="auto"/>
        </w:rPr>
        <w:t>We plan to expand our operations in new commercial markets, including those where we may have limited operating experience, and may be subject to increased business, technology and economic risks that could affect our financial results. In recent periods, we have increased our focus on commercial customers. In the future, we may increasingly focus on such customers, including in the banking, financial services, healthcare, pharmaceutical, manufacturing, telecommunication, airlines and aerospace, insurance, retail, transportation, shipping and logistics, and energy industries, as well as other critical infrastructure industries. Entering new verticals and expanding in the verticals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As we expand into and within new and emerging markets and heavily regulated industry verticals, we will likely face additional regulatory scrutiny, risks, and burdens from the governments and agencies which regulate those markets and industries. While this approach to expansion within new commercial markets and verticals has proven successful in the past, it is uncertain we will achieve the same penetration and organic growth in the future, and our reputation, business, financial condition, and results of operations could be negatively impacted.</w:t>
      </w:r>
    </w:p>
    <w:p>
      <w:pPr>
        <w:spacing w:after="0" w:line="18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i w:val="1"/>
          <w:iCs w:val="1"/>
          <w:color w:val="auto"/>
        </w:rPr>
        <w:t>In the future, we may seek to enter into other credit facilities to help fund our working capital needs. These credit facilities may expose us to additional risks associated with leverage and may inhibit our operating flexibility.</w:t>
      </w:r>
    </w:p>
    <w:p>
      <w:pPr>
        <w:spacing w:after="0" w:line="172" w:lineRule="exact"/>
        <w:rPr>
          <w:sz w:val="20"/>
          <w:szCs w:val="20"/>
          <w:color w:val="auto"/>
        </w:rPr>
      </w:pPr>
    </w:p>
    <w:p>
      <w:pPr>
        <w:ind w:right="220" w:firstLine="322"/>
        <w:spacing w:after="0" w:line="274" w:lineRule="auto"/>
        <w:rPr>
          <w:sz w:val="20"/>
          <w:szCs w:val="20"/>
          <w:color w:val="auto"/>
        </w:rPr>
      </w:pPr>
      <w:r>
        <w:rPr>
          <w:rFonts w:ascii="Arial" w:cs="Arial" w:eastAsia="Arial" w:hAnsi="Arial"/>
          <w:sz w:val="18"/>
          <w:szCs w:val="18"/>
          <w:color w:val="auto"/>
        </w:rPr>
        <w:t>We may seek to enter into other credit facilities with third-party lenders to help fund our business. Such credit facilities will likely require us to pay a commitment fee on the undrawn amount and will likely contain a number of affirmative and restrictive covenants.</w:t>
      </w:r>
    </w:p>
    <w:p>
      <w:pPr>
        <w:spacing w:after="0" w:line="172" w:lineRule="exact"/>
        <w:rPr>
          <w:sz w:val="20"/>
          <w:szCs w:val="20"/>
          <w:color w:val="auto"/>
        </w:rPr>
      </w:pPr>
    </w:p>
    <w:p>
      <w:pPr>
        <w:ind w:right="120" w:firstLine="322"/>
        <w:spacing w:after="0" w:line="255" w:lineRule="auto"/>
        <w:rPr>
          <w:sz w:val="20"/>
          <w:szCs w:val="20"/>
          <w:color w:val="auto"/>
        </w:rPr>
      </w:pPr>
      <w:r>
        <w:rPr>
          <w:rFonts w:ascii="Arial" w:cs="Arial" w:eastAsia="Arial" w:hAnsi="Arial"/>
          <w:sz w:val="18"/>
          <w:szCs w:val="18"/>
          <w:color w:val="auto"/>
        </w:rPr>
        <w:t>If we violate any such covenants, our lenders could accelerate the maturity of any debt outstanding and we may be prohibited from making any distributions to our stockholders. Such debt may be secured by our assets, including the stock we may own in subsidiaries and the rights we have under intercompany loan agreements that we may enter into in the future with our businesses. Our ability to meet our debt service obligations may be affected by events beyond our control and will depend primarily upon cash produced by our business. Any failure to comply with the terms of our indebtedness may have a material adverse effect on our financial condition.</w:t>
      </w:r>
    </w:p>
    <w:p>
      <w:pPr>
        <w:spacing w:after="0" w:line="189" w:lineRule="exact"/>
        <w:rPr>
          <w:sz w:val="20"/>
          <w:szCs w:val="20"/>
          <w:color w:val="auto"/>
        </w:rPr>
      </w:pPr>
    </w:p>
    <w:p>
      <w:pPr>
        <w:ind w:right="80" w:firstLine="322"/>
        <w:spacing w:after="0" w:line="309" w:lineRule="auto"/>
        <w:rPr>
          <w:sz w:val="20"/>
          <w:szCs w:val="20"/>
          <w:color w:val="auto"/>
        </w:rPr>
      </w:pPr>
      <w:r>
        <w:rPr>
          <w:rFonts w:ascii="Arial" w:cs="Arial" w:eastAsia="Arial" w:hAnsi="Arial"/>
          <w:sz w:val="16"/>
          <w:szCs w:val="16"/>
          <w:color w:val="auto"/>
        </w:rPr>
        <w:t>In addition, we expect that such credit facilities will bear interest at floating rates which will generally change as interest rates change. We will bear the risk that the rates that we are charged by our lenders will increase faster than we can grow the cash flow from our businesses, which could reduce profitability, materially adversely affect our ability to service our debt and cause us to breach covenants contained in our third-party credit facilities.</w:t>
      </w:r>
    </w:p>
    <w:p>
      <w:pPr>
        <w:spacing w:after="0" w:line="148"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b w:val="1"/>
          <w:bCs w:val="1"/>
          <w:i w:val="1"/>
          <w:iCs w:val="1"/>
          <w:color w:val="auto"/>
        </w:rPr>
        <w:t>A novel strain of coronavirus, COVID-19, as well as variants of this strain, may adversely affect our future business operations, financial condition and our ability to execute on business or contract opportunities.</w:t>
      </w:r>
    </w:p>
    <w:p>
      <w:pPr>
        <w:spacing w:after="0" w:line="172" w:lineRule="exact"/>
        <w:rPr>
          <w:sz w:val="20"/>
          <w:szCs w:val="20"/>
          <w:color w:val="auto"/>
        </w:rPr>
      </w:pPr>
    </w:p>
    <w:p>
      <w:pPr>
        <w:ind w:firstLine="322"/>
        <w:spacing w:after="0" w:line="261" w:lineRule="auto"/>
        <w:rPr>
          <w:sz w:val="20"/>
          <w:szCs w:val="20"/>
          <w:color w:val="auto"/>
        </w:rPr>
      </w:pPr>
      <w:r>
        <w:rPr>
          <w:rFonts w:ascii="Arial" w:cs="Arial" w:eastAsia="Arial" w:hAnsi="Arial"/>
          <w:sz w:val="18"/>
          <w:szCs w:val="18"/>
          <w:color w:val="auto"/>
        </w:rPr>
        <w:t>The COVID-19 pandemic disrupted the normal operations of many businesses and other organizations, including the temporary closure or scale-back of business operations and the imposition of either quarantine or remote work or meeting requirements for employees, either by government order or on a voluntary basis.</w:t>
      </w:r>
    </w:p>
    <w:p>
      <w:pPr>
        <w:spacing w:after="0" w:line="184" w:lineRule="exact"/>
        <w:rPr>
          <w:sz w:val="20"/>
          <w:szCs w:val="20"/>
          <w:color w:val="auto"/>
        </w:rPr>
      </w:pPr>
    </w:p>
    <w:p>
      <w:pPr>
        <w:ind w:firstLine="322"/>
        <w:spacing w:after="0" w:line="268" w:lineRule="auto"/>
        <w:rPr>
          <w:sz w:val="20"/>
          <w:szCs w:val="20"/>
          <w:color w:val="auto"/>
        </w:rPr>
      </w:pPr>
      <w:r>
        <w:rPr>
          <w:rFonts w:ascii="Arial" w:cs="Arial" w:eastAsia="Arial" w:hAnsi="Arial"/>
          <w:sz w:val="17"/>
          <w:szCs w:val="17"/>
          <w:color w:val="auto"/>
        </w:rPr>
        <w:t>The ongoing pandemic may adversely affect our customers’ ability to perform their missions and is, in many cases disrupting their operations. It may also result in a change in spending priorities on the part of our customers, which could precipitate the cancellation, delay or deferral of programs, contracts or business opportunities. It may also impact the ability of our subcontractors, partners, and suppliers to operate and fulfill their contractual obligations, and result in an increase in their costs and cause delays in performance. These supply chain effects, and the direct effect of the virus and the disruption on our operations, may negatively impact both our ability to meet customer demand and our revenue and profit margins. Our employees, in some cases, are working remotely due either to safety concerns or to customer-imposed limitations and using various technologies to perform their functions. On September 24, 2021, EO 14042 on Ensuring Adequate COVID Safety Protocols for Federal Contractors was issued requiring, amongst other things, all employees, sub-contractors and vendors working on certain federal contracts or who do work related to these federal contracts be fully vaccinated by December 8, 2021. This EO is currently under a stay issued by the federal courts.</w:t>
      </w:r>
    </w:p>
    <w:p>
      <w:pPr>
        <w:spacing w:after="0" w:line="183" w:lineRule="exact"/>
        <w:rPr>
          <w:sz w:val="20"/>
          <w:szCs w:val="20"/>
          <w:color w:val="auto"/>
        </w:rPr>
      </w:pPr>
    </w:p>
    <w:p>
      <w:pPr>
        <w:ind w:right="420" w:firstLine="322"/>
        <w:spacing w:after="0" w:line="305" w:lineRule="auto"/>
        <w:rPr>
          <w:sz w:val="20"/>
          <w:szCs w:val="20"/>
          <w:color w:val="auto"/>
        </w:rPr>
      </w:pPr>
      <w:r>
        <w:rPr>
          <w:rFonts w:ascii="Arial" w:cs="Arial" w:eastAsia="Arial" w:hAnsi="Arial"/>
          <w:sz w:val="17"/>
          <w:szCs w:val="17"/>
          <w:color w:val="auto"/>
        </w:rPr>
        <w:t>Additionally, the disruption and volatility in the global and domestic capital markets may increase the cost of capital and limit our ability to access capital. Both the health and economic aspects of the COVID-19 pandemic are highly fluid and the future course of each is uncertain.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60" w:firstLine="322"/>
        <w:spacing w:after="0" w:line="261" w:lineRule="auto"/>
        <w:rPr>
          <w:sz w:val="20"/>
          <w:szCs w:val="20"/>
          <w:color w:val="auto"/>
        </w:rPr>
      </w:pPr>
      <w:r>
        <w:rPr>
          <w:rFonts w:ascii="Arial" w:cs="Arial" w:eastAsia="Arial" w:hAnsi="Arial"/>
          <w:sz w:val="18"/>
          <w:szCs w:val="18"/>
          <w:color w:val="auto"/>
        </w:rPr>
        <w:t>For these reasons and other reasons that may come to light if the COVID-19 pandemic and associated protective or preventative measures expand, we may experience a material adverse effect on our business operations, revenues and financial condition, and our ability to execute on business or contract opportunities. However, its ultimate impact is highly uncertain and subject to change.</w:t>
      </w:r>
    </w:p>
    <w:p>
      <w:pPr>
        <w:spacing w:after="0" w:line="184" w:lineRule="exact"/>
        <w:rPr>
          <w:sz w:val="20"/>
          <w:szCs w:val="20"/>
          <w:color w:val="auto"/>
        </w:rPr>
      </w:pPr>
    </w:p>
    <w:p>
      <w:pPr>
        <w:ind w:right="800"/>
        <w:spacing w:after="0" w:line="274" w:lineRule="auto"/>
        <w:rPr>
          <w:sz w:val="20"/>
          <w:szCs w:val="20"/>
          <w:color w:val="auto"/>
        </w:rPr>
      </w:pPr>
      <w:r>
        <w:rPr>
          <w:rFonts w:ascii="Arial" w:cs="Arial" w:eastAsia="Arial" w:hAnsi="Arial"/>
          <w:sz w:val="18"/>
          <w:szCs w:val="18"/>
          <w:b w:val="1"/>
          <w:bCs w:val="1"/>
          <w:i w:val="1"/>
          <w:iCs w:val="1"/>
          <w:color w:val="auto"/>
        </w:rPr>
        <w:t>Our facilities or operations could be adversely affected by events outside of our control, such as natural disasters, wars or health epidemics or pandemics.</w:t>
      </w:r>
    </w:p>
    <w:p>
      <w:pPr>
        <w:spacing w:after="0" w:line="172" w:lineRule="exact"/>
        <w:rPr>
          <w:sz w:val="20"/>
          <w:szCs w:val="20"/>
          <w:color w:val="auto"/>
        </w:rPr>
      </w:pPr>
    </w:p>
    <w:p>
      <w:pPr>
        <w:ind w:right="80" w:firstLine="322"/>
        <w:spacing w:after="0" w:line="288" w:lineRule="auto"/>
        <w:rPr>
          <w:sz w:val="20"/>
          <w:szCs w:val="20"/>
          <w:color w:val="auto"/>
        </w:rPr>
      </w:pPr>
      <w:r>
        <w:rPr>
          <w:rFonts w:ascii="Arial" w:cs="Arial" w:eastAsia="Arial" w:hAnsi="Arial"/>
          <w:sz w:val="16"/>
          <w:szCs w:val="16"/>
          <w:color w:val="auto"/>
        </w:rPr>
        <w:t>We may be impacted by natural disasters, wars, terrorist attacks, power outages, health epidemics or pandemics, or other events outside of our control. If major disasters such as earthquakes, floods, hurricanes, tornadoes, fires, or other events occur, or our information system or communications network breaks down, operates improperly, or is unusable, our headquarters and other facilities may be seriously damaged, or we may have to stop or delay production and delivery of our solutions and services. Although we maintain crisis management and disaster response plans, such events could make it difficult or impossible for us to deliver our solutions and services to our customers, and could decrease demand for our offerings. We may incur shutdowns, delays, disruptions or expenses relating to such events outside of our control, which could have a material adverse impact on our business, operating results and financial condition. Because we do not carry insurance for all of these possible losses, and significant recovery time could be required to resume operations, our financial condition and operating results could be materially adversely affected by such an event outside of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enter into fixed-price and other contracts that could subject us to losses if we experience cost growth that cannot be billed to customers.</w:t>
      </w:r>
    </w:p>
    <w:p>
      <w:pPr>
        <w:spacing w:after="0" w:line="245" w:lineRule="exact"/>
        <w:rPr>
          <w:sz w:val="20"/>
          <w:szCs w:val="20"/>
          <w:color w:val="auto"/>
        </w:rPr>
      </w:pPr>
    </w:p>
    <w:p>
      <w:pPr>
        <w:ind w:firstLine="322"/>
        <w:spacing w:after="0" w:line="286" w:lineRule="auto"/>
        <w:rPr>
          <w:sz w:val="20"/>
          <w:szCs w:val="20"/>
          <w:color w:val="auto"/>
        </w:rPr>
      </w:pPr>
      <w:r>
        <w:rPr>
          <w:rFonts w:ascii="Arial" w:cs="Arial" w:eastAsia="Arial" w:hAnsi="Arial"/>
          <w:sz w:val="16"/>
          <w:szCs w:val="16"/>
          <w:color w:val="auto"/>
        </w:rPr>
        <w:t>Generally, our customer contracts are either fixed-priced or cost-reimbursable contracts. Under fixed-price contracts, which represented approximately 87.6% of our 2021 revenues, we receive a fixed price irrespective of the actual costs we incur and, consequently, we carry the burden of any cost overruns. Due to their nature, fixed-price contracts inherently have more risk than cost reimbursable contracts, particularly fixed-price development contracts where the costs to complete the development stage of the program can be highly variable, uncertain and difficult to estimate. Under cost-reimbursable contracts, subject to a contract-ceiling amount in certain cases, we are reimbursed for allowable costs and paid a fee, which may be fixed or performance based. If our costs exceed the contract ceiling and are not authorized by the customer or are not allowable under the contract or applicable regulations, we may not be able to obtain reimbursement for all such costs and our fees may be reduced or eliminated. Because many of our contracts involve advanced designs and innovative technologies, we may experience unforeseen technological difficulties and cost overruns. Under both types of contracts, if we are unable to control costs or if our initial cost estimates are incorrect, we can lose money on these contracts. In addition, some of our contracts have provisions relating to cost controls and audit rights, and if we fail to meet the terms specified in those contracts, we may not realize their full benefits. Lower earnings caused by cost overruns and cost controls would have a negative impact on our results of operations.</w:t>
      </w:r>
    </w:p>
    <w:p>
      <w:pPr>
        <w:spacing w:after="0" w:line="165"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b w:val="1"/>
          <w:bCs w:val="1"/>
          <w:i w:val="1"/>
          <w:iCs w:val="1"/>
          <w:color w:val="auto"/>
        </w:rPr>
        <w:t>We depend on third parties in order to fully perform under our contracts and the failure of a third party to perform could have an adverse impact on our earnings.</w:t>
      </w:r>
    </w:p>
    <w:p>
      <w:pPr>
        <w:spacing w:after="0" w:line="172" w:lineRule="exact"/>
        <w:rPr>
          <w:sz w:val="20"/>
          <w:szCs w:val="20"/>
          <w:color w:val="auto"/>
        </w:rPr>
      </w:pPr>
    </w:p>
    <w:p>
      <w:pPr>
        <w:ind w:right="60" w:firstLine="322"/>
        <w:spacing w:after="0" w:line="254" w:lineRule="auto"/>
        <w:rPr>
          <w:sz w:val="20"/>
          <w:szCs w:val="20"/>
          <w:color w:val="auto"/>
        </w:rPr>
      </w:pPr>
      <w:r>
        <w:rPr>
          <w:rFonts w:ascii="Arial" w:cs="Arial" w:eastAsia="Arial" w:hAnsi="Arial"/>
          <w:sz w:val="18"/>
          <w:szCs w:val="18"/>
          <w:color w:val="auto"/>
        </w:rPr>
        <w:t>We rely on subcontractors and other companies to provide raw materials, major components and subsystems for our products or to perform a portion of the services that we provide to our customers. Occasionally, we rely on only one or two sources of supply, which, if disrupted, could have an adverse effect on our ability to meet our commitments to customers. We depend on these subcontractors and vendors to fulfill their contractual obligations in a timely and satisfactory manner in full compliance with customer requirements. If one or more of our subcontractors or suppliers is unable to satisfactorily provide on a timely basis the agreed-upon supplies or perform the agreed-upon services, our ability to perform our obligations as a prime contractor may be adversely affected.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b w:val="1"/>
          <w:bCs w:val="1"/>
          <w:i w:val="1"/>
          <w:iCs w:val="1"/>
          <w:color w:val="auto"/>
        </w:rPr>
        <w:t>Our future profitability depends, in part, on our ability to develop new technologies and maintain a qualified workforce to meet the needs of our customers</w:t>
      </w:r>
      <w:r>
        <w:rPr>
          <w:rFonts w:ascii="Arial" w:cs="Arial" w:eastAsia="Arial" w:hAnsi="Arial"/>
          <w:sz w:val="18"/>
          <w:szCs w:val="18"/>
          <w:i w:val="1"/>
          <w:iCs w:val="1"/>
          <w:color w:val="auto"/>
        </w:rPr>
        <w:t>.</w:t>
      </w:r>
    </w:p>
    <w:p>
      <w:pPr>
        <w:spacing w:after="0" w:line="172" w:lineRule="exact"/>
        <w:rPr>
          <w:sz w:val="20"/>
          <w:szCs w:val="20"/>
          <w:color w:val="auto"/>
        </w:rPr>
      </w:pPr>
    </w:p>
    <w:p>
      <w:pPr>
        <w:ind w:right="60" w:firstLine="322"/>
        <w:spacing w:after="0" w:line="270" w:lineRule="auto"/>
        <w:rPr>
          <w:sz w:val="20"/>
          <w:szCs w:val="20"/>
          <w:color w:val="auto"/>
        </w:rPr>
      </w:pPr>
      <w:r>
        <w:rPr>
          <w:rFonts w:ascii="Arial" w:cs="Arial" w:eastAsia="Arial" w:hAnsi="Arial"/>
          <w:sz w:val="17"/>
          <w:szCs w:val="17"/>
          <w:color w:val="auto"/>
        </w:rPr>
        <w:t>Virtually all of the products we produce and sell are highly engineered and require sophisticated manufacturing and system integration techniques and capabilities. The government market in which we primarily operate is characterized by rapidly changing technologies. The product and program needs of our government and commercial customers change and evolve regularly. Accordingly, our future performance in part depends on our ability to identify emerging technological trends, develop and manufacture competitive products, and bring those products to market quickly at cost-effective prices. In addition, because of the highly specialized nature of our business, we must be able to hire and retain the skilled and appropriately qualified personnel necessary to perform the services required by our customers. If we are unable to develop new products that meet customers’ changing needs or successfully attract and retain qualified personnel, future sales and earnings may be adversely affected.</w:t>
      </w:r>
    </w:p>
    <w:p>
      <w:pPr>
        <w:spacing w:after="0" w:line="179"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b w:val="1"/>
          <w:bCs w:val="1"/>
          <w:i w:val="1"/>
          <w:iCs w:val="1"/>
          <w:color w:val="auto"/>
        </w:rPr>
        <w:t>Some of our security solutions have lengthy sales and implementation cycles, which could significantly impact our results of operations if projected orders are not realized</w:t>
      </w:r>
      <w:r>
        <w:rPr>
          <w:rFonts w:ascii="Arial" w:cs="Arial" w:eastAsia="Arial" w:hAnsi="Arial"/>
          <w:sz w:val="18"/>
          <w:szCs w:val="18"/>
          <w:i w:val="1"/>
          <w:iCs w:val="1"/>
          <w:color w:val="auto"/>
        </w:rPr>
        <w:t>.</w:t>
      </w:r>
    </w:p>
    <w:p>
      <w:pPr>
        <w:spacing w:after="0" w:line="172" w:lineRule="exact"/>
        <w:rPr>
          <w:sz w:val="20"/>
          <w:szCs w:val="20"/>
          <w:color w:val="auto"/>
        </w:rPr>
      </w:pPr>
    </w:p>
    <w:p>
      <w:pPr>
        <w:ind w:right="200" w:firstLine="322"/>
        <w:spacing w:after="0" w:line="271" w:lineRule="auto"/>
        <w:rPr>
          <w:sz w:val="20"/>
          <w:szCs w:val="20"/>
          <w:color w:val="auto"/>
        </w:rPr>
      </w:pPr>
      <w:r>
        <w:rPr>
          <w:rFonts w:ascii="Arial" w:cs="Arial" w:eastAsia="Arial" w:hAnsi="Arial"/>
          <w:sz w:val="17"/>
          <w:szCs w:val="17"/>
          <w:color w:val="auto"/>
        </w:rPr>
        <w:t>We market the majority of our security solutions directly to U.S. government customers. The sale and implementation of our services to these entities typically involves a lengthy education process and a significant technical evaluation and commitment of capital and other resources. This process is also subject to the risk of delays associated with customers’ internal budgeting and other procedures for approving large capital expenditures, deploying new technologies within their networks and testing and accepting new technologies that affect key operations. As a result, the sales and implementation cycles associated with certain of our services can be lengthy. Our quarterly and annual operating results could be materially harmed if orders forecasted for a specific customer for a particular quarter are not realized.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by cyber or other security threats or other disruptions.</w:t>
      </w:r>
    </w:p>
    <w:p>
      <w:pPr>
        <w:spacing w:after="0" w:line="222" w:lineRule="exact"/>
        <w:rPr>
          <w:sz w:val="20"/>
          <w:szCs w:val="20"/>
          <w:color w:val="auto"/>
        </w:rPr>
      </w:pPr>
    </w:p>
    <w:p>
      <w:pPr>
        <w:ind w:firstLine="322"/>
        <w:spacing w:after="0" w:line="285" w:lineRule="auto"/>
        <w:rPr>
          <w:sz w:val="20"/>
          <w:szCs w:val="20"/>
          <w:color w:val="auto"/>
        </w:rPr>
      </w:pPr>
      <w:r>
        <w:rPr>
          <w:rFonts w:ascii="Arial" w:cs="Arial" w:eastAsia="Arial" w:hAnsi="Arial"/>
          <w:sz w:val="16"/>
          <w:szCs w:val="16"/>
          <w:color w:val="auto"/>
        </w:rPr>
        <w:t>As a cybersecurity company and a U.S. defense contractor, we face cyber threats, threats to the physical security of our facilities and employees, and terrorist acts. We are also exposed to the potential for business disruptions associated with information technology failures, natural disasters, or public health or economic crises, such as that created by the COVID-19 pandemic. We routinely experience cybersecurity threats, threats to our information technology infrastructure and attempts to gain access to our sensitive information, as do our customers, suppliers, subcontractors and joint venture partners. We may experience similar security threats at customer sites that we operate and manage as a contractual requirement. Prior cyberattacks directed at us have not had a material impact on our financial results, and we believe our threat detection and mitigation processes and procedures are adequate. The threats we face vary from attacks common to most industries to more advanced and persistent, highly organized adversaries who target us because we protect national security information. If we are unable to protect sensitive information, our customers or governmental authorities could question the adequacy of our threat mitigation and detection processes and procedures. Due to the evolving nature of these security threats, however, the impact of any future incident cannot be predicted. The occurrence of any of these events could adversely affect our internal operations, the services we provide to our customers, loss of competitive advantages derived from our research and development efforts or other intellectual property, early obsolescence of our products and services, our future financial results, or our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our intellectual property, our revenues may be impacted adversely by the unauthorized use of our products and services.</w:t>
      </w:r>
    </w:p>
    <w:p>
      <w:pPr>
        <w:spacing w:after="0" w:line="257" w:lineRule="exact"/>
        <w:rPr>
          <w:sz w:val="20"/>
          <w:szCs w:val="20"/>
          <w:color w:val="auto"/>
        </w:rPr>
      </w:pPr>
    </w:p>
    <w:p>
      <w:pPr>
        <w:ind w:right="100" w:firstLine="322"/>
        <w:spacing w:after="0" w:line="270" w:lineRule="auto"/>
        <w:rPr>
          <w:sz w:val="20"/>
          <w:szCs w:val="20"/>
          <w:color w:val="auto"/>
        </w:rPr>
      </w:pPr>
      <w:r>
        <w:rPr>
          <w:rFonts w:ascii="Arial" w:cs="Arial" w:eastAsia="Arial" w:hAnsi="Arial"/>
          <w:sz w:val="17"/>
          <w:szCs w:val="17"/>
          <w:color w:val="auto"/>
        </w:rPr>
        <w:t>Our success depends on our internally developed technologies, patents and other intellectual property. Despite our precautions, it may be possible for a third party to copy or otherwise obtain and use our trade secrets or other forms of intellectual property without authorization. Furthermore, the laws of foreign countries may not protect our proprietary rights in those countries to the same extent U.S. law protects these rights in the United States. In addition, it is possible that others may independently develop substantially equivalent intellectual property. If we do not effectively protect our intellectual property, our business could suffer. In the future, we may have to resort to litigation to enforce our intellectual property rights, to protect our trade secrets or to determine the validity and scope of the proprietary rights of others. This type of litigation, regardless of its outcome, could result in substantial costs and diversion of management and technical resources.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0"/>
        <w:spacing w:after="0" w:line="274" w:lineRule="auto"/>
        <w:rPr>
          <w:sz w:val="20"/>
          <w:szCs w:val="20"/>
          <w:color w:val="auto"/>
        </w:rPr>
      </w:pPr>
      <w:r>
        <w:rPr>
          <w:rFonts w:ascii="Arial" w:cs="Arial" w:eastAsia="Arial" w:hAnsi="Arial"/>
          <w:sz w:val="18"/>
          <w:szCs w:val="18"/>
          <w:b w:val="1"/>
          <w:bCs w:val="1"/>
          <w:i w:val="1"/>
          <w:iCs w:val="1"/>
          <w:color w:val="auto"/>
        </w:rPr>
        <w:t>If we are unable to license third-party technology that is used in our products and services to perform key functions, the loss could have an adverse effect on our revenues.</w:t>
      </w:r>
    </w:p>
    <w:p>
      <w:pPr>
        <w:spacing w:after="0" w:line="172" w:lineRule="exact"/>
        <w:rPr>
          <w:sz w:val="20"/>
          <w:szCs w:val="20"/>
          <w:color w:val="auto"/>
        </w:rPr>
      </w:pPr>
    </w:p>
    <w:p>
      <w:pPr>
        <w:ind w:right="20" w:firstLine="322"/>
        <w:spacing w:after="0" w:line="271" w:lineRule="auto"/>
        <w:rPr>
          <w:sz w:val="20"/>
          <w:szCs w:val="20"/>
          <w:color w:val="auto"/>
        </w:rPr>
      </w:pPr>
      <w:r>
        <w:rPr>
          <w:rFonts w:ascii="Arial" w:cs="Arial" w:eastAsia="Arial" w:hAnsi="Arial"/>
          <w:sz w:val="17"/>
          <w:szCs w:val="17"/>
          <w:color w:val="auto"/>
        </w:rPr>
        <w:t>The third-party technology licenses used by us may not continue to be available on commercially reasonable terms or at all. Our business could suffer if we lost the right to use these technologies. A third party could claim that the licensed software infringes a patent or other proprietary right. Litigation between the licensor and a third party or between us and a third party could lead to royalty obligations for which we are not indemnified or for which indemnification is insufficient, or we may not be able to obtain any additional license on commercially reasonable terms or at all. The loss of, or our inability to obtain or maintain, any of these technology licenses could delay the introduction of new products or services until equivalent technology, if available, is identified, licensed and integrated. This could harm our business.</w:t>
      </w:r>
    </w:p>
    <w:p>
      <w:pPr>
        <w:spacing w:after="0" w:line="179"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b w:val="1"/>
          <w:bCs w:val="1"/>
          <w:i w:val="1"/>
          <w:iCs w:val="1"/>
          <w:color w:val="auto"/>
        </w:rPr>
        <w:t>Any potential future acquisitions, strategic investments, divestitures, mergers or joint ventures may subject us to significant risks, any of which could harm our business.</w:t>
      </w:r>
    </w:p>
    <w:p>
      <w:pPr>
        <w:spacing w:after="0" w:line="172" w:lineRule="exact"/>
        <w:rPr>
          <w:sz w:val="20"/>
          <w:szCs w:val="20"/>
          <w:color w:val="auto"/>
        </w:rPr>
      </w:pPr>
    </w:p>
    <w:p>
      <w:pPr>
        <w:ind w:right="360" w:firstLine="322"/>
        <w:spacing w:after="0" w:line="253" w:lineRule="auto"/>
        <w:rPr>
          <w:sz w:val="20"/>
          <w:szCs w:val="20"/>
          <w:color w:val="auto"/>
        </w:rPr>
      </w:pPr>
      <w:r>
        <w:rPr>
          <w:rFonts w:ascii="Arial" w:cs="Arial" w:eastAsia="Arial" w:hAnsi="Arial"/>
          <w:sz w:val="18"/>
          <w:szCs w:val="18"/>
          <w:color w:val="auto"/>
        </w:rPr>
        <w:t>Our long-term strategy may include identifying and acquiring, investing in or merging with suitable candidates on acceptable terms, or divesting of certain business lines or activities. In particular, over time, we may acquire, make investments in, or merge with providers of product offerings that complement our business or may terminate such activities. Mergers, acquisitions, and divestitures include a number of risks and present financial, managerial and operational challenges, including but not limited to:</w:t>
      </w:r>
    </w:p>
    <w:p>
      <w:pPr>
        <w:spacing w:after="0" w:line="1" w:lineRule="exact"/>
        <w:rPr>
          <w:sz w:val="20"/>
          <w:szCs w:val="20"/>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attention from running our existing business;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material weaknesses in internal control over financial reporting;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expenses including legal, administrative and compensation expenses related to newly hired or terminated employees;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to integrate the technology, personnel, customer base and business practices of the acquired company with us;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exposure to material liabilities not discovered in the due diligence process;</w:t>
      </w:r>
    </w:p>
    <w:p>
      <w:pPr>
        <w:spacing w:after="0" w:line="7" w:lineRule="exact"/>
        <w:rPr>
          <w:rFonts w:ascii="Arial" w:cs="Arial" w:eastAsia="Arial" w:hAnsi="Arial"/>
          <w:sz w:val="18"/>
          <w:szCs w:val="18"/>
          <w:color w:val="auto"/>
        </w:rPr>
      </w:pPr>
    </w:p>
    <w:p>
      <w:pPr>
        <w:ind w:left="660" w:right="800" w:hanging="331"/>
        <w:spacing w:after="0" w:line="24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adverse effects on reported operating results due to possible write-down of goodwill and other intangible assets associated with acquisitions; and</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Unavailability of acquisition financing or unavailability of such financing on reasonable terms.</w:t>
      </w:r>
    </w:p>
    <w:p>
      <w:pPr>
        <w:spacing w:after="0" w:line="208" w:lineRule="exact"/>
        <w:rPr>
          <w:sz w:val="20"/>
          <w:szCs w:val="20"/>
          <w:color w:val="auto"/>
        </w:rPr>
      </w:pPr>
    </w:p>
    <w:p>
      <w:pPr>
        <w:jc w:val="both"/>
        <w:ind w:right="220" w:firstLine="322"/>
        <w:spacing w:after="0" w:line="261" w:lineRule="auto"/>
        <w:rPr>
          <w:sz w:val="20"/>
          <w:szCs w:val="20"/>
          <w:color w:val="auto"/>
        </w:rPr>
      </w:pPr>
      <w:r>
        <w:rPr>
          <w:rFonts w:ascii="Arial" w:cs="Arial" w:eastAsia="Arial" w:hAnsi="Arial"/>
          <w:sz w:val="18"/>
          <w:szCs w:val="18"/>
          <w:color w:val="auto"/>
        </w:rPr>
        <w:t>Any acquired business, technology, service or product could significantly underperform relative to our expectations and may not achieve the benefits we expect from possible acquisitions. For all these reasons, our pursuit of an acquisition, investment, divestiture, merger, or joint venture could cause its actual results to differ materially from those anticipated.</w:t>
      </w:r>
    </w:p>
    <w:p>
      <w:pPr>
        <w:spacing w:after="0" w:line="184" w:lineRule="exact"/>
        <w:rPr>
          <w:sz w:val="20"/>
          <w:szCs w:val="20"/>
          <w:color w:val="auto"/>
        </w:rPr>
      </w:pPr>
    </w:p>
    <w:p>
      <w:pPr>
        <w:ind w:right="540"/>
        <w:spacing w:after="0" w:line="274" w:lineRule="auto"/>
        <w:rPr>
          <w:sz w:val="20"/>
          <w:szCs w:val="20"/>
          <w:color w:val="auto"/>
        </w:rPr>
      </w:pPr>
      <w:r>
        <w:rPr>
          <w:rFonts w:ascii="Arial" w:cs="Arial" w:eastAsia="Arial" w:hAnsi="Arial"/>
          <w:sz w:val="18"/>
          <w:szCs w:val="18"/>
          <w:b w:val="1"/>
          <w:bCs w:val="1"/>
          <w:i w:val="1"/>
          <w:iCs w:val="1"/>
          <w:color w:val="auto"/>
        </w:rPr>
        <w:t>Any failure in our delivery of high-quality technical support services may adversely affect our relationships with our customers and our financial results.</w:t>
      </w:r>
    </w:p>
    <w:p>
      <w:pPr>
        <w:spacing w:after="0" w:line="172" w:lineRule="exact"/>
        <w:rPr>
          <w:sz w:val="20"/>
          <w:szCs w:val="20"/>
          <w:color w:val="auto"/>
        </w:rPr>
      </w:pPr>
    </w:p>
    <w:p>
      <w:pPr>
        <w:ind w:right="160" w:firstLine="322"/>
        <w:spacing w:after="0" w:line="271" w:lineRule="auto"/>
        <w:rPr>
          <w:sz w:val="20"/>
          <w:szCs w:val="20"/>
          <w:color w:val="auto"/>
        </w:rPr>
      </w:pPr>
      <w:r>
        <w:rPr>
          <w:rFonts w:ascii="Arial" w:cs="Arial" w:eastAsia="Arial" w:hAnsi="Arial"/>
          <w:sz w:val="17"/>
          <w:szCs w:val="17"/>
          <w:color w:val="auto"/>
        </w:rPr>
        <w:t>Our customers depend on our support organization to resolve technical issues relating to our solutions and offerings. We may be unable to respond quickly enough to accommodate short-term increases in customer demand for support services. Increased customer demand for these services, without corresponding revenues, could increase costs and adversely affect our operating results. In addition, our sales process is highly dependent on our solutions and business reputation and on positive recommendations from our existing customers. Any failure to maintain high-quality technical support, or a market perception that we do not maintain high-quality support, could adversely affect our reputation, our ability to sell our offerings to existing and prospective customers, and our business, operating results and financial position.</w:t>
      </w:r>
    </w:p>
    <w:p>
      <w:pPr>
        <w:spacing w:after="0" w:line="17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i w:val="1"/>
          <w:iCs w:val="1"/>
          <w:color w:val="auto"/>
        </w:rPr>
        <w:t>We may lose key members of our management team, development and operations personnel, or subject matter experts, and may be unable to attract and retain employees we need to support our operations and growth.</w:t>
      </w:r>
    </w:p>
    <w:p>
      <w:pPr>
        <w:spacing w:after="0" w:line="172" w:lineRule="exact"/>
        <w:rPr>
          <w:sz w:val="20"/>
          <w:szCs w:val="20"/>
          <w:color w:val="auto"/>
        </w:rPr>
      </w:pPr>
    </w:p>
    <w:p>
      <w:pPr>
        <w:ind w:firstLine="322"/>
        <w:spacing w:after="0" w:line="255" w:lineRule="auto"/>
        <w:rPr>
          <w:sz w:val="20"/>
          <w:szCs w:val="20"/>
          <w:color w:val="auto"/>
        </w:rPr>
      </w:pPr>
      <w:r>
        <w:rPr>
          <w:rFonts w:ascii="Arial" w:cs="Arial" w:eastAsia="Arial" w:hAnsi="Arial"/>
          <w:sz w:val="18"/>
          <w:szCs w:val="18"/>
          <w:color w:val="auto"/>
        </w:rPr>
        <w:t>Our success depends substantially upon the continued services of our executive officers and other key members of management, particularly our chief executive officer. From time to time, there may be changes in our executive management team resulting from the hiring or departure of executives. Such changes in our executive management team may be disruptive to our business. We are also substantially dependent on the continued service of our existing development and operations personnel and subject matter experts because of the complexity of our services and technologies. The loss of one or more of our key employees or groups could seriously harm our business.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00" w:firstLine="322"/>
        <w:spacing w:after="0" w:line="252" w:lineRule="auto"/>
        <w:rPr>
          <w:sz w:val="20"/>
          <w:szCs w:val="20"/>
          <w:color w:val="auto"/>
        </w:rPr>
      </w:pPr>
      <w:r>
        <w:rPr>
          <w:rFonts w:ascii="Arial" w:cs="Arial" w:eastAsia="Arial" w:hAnsi="Arial"/>
          <w:sz w:val="18"/>
          <w:szCs w:val="18"/>
          <w:color w:val="auto"/>
        </w:rPr>
        <w:t>The technology industry is subject to substantial and continuous competition for engineers and other subject matter experts with high levels of experience in designing, developing and managing software, cybersecurity, and internet-related services, as well as competition for sales executives, data scientists and operations personnel. We may not be successful in attracting and retaining qualified personnel. We have from time to time experienced, and we expect to continue to experience, difficulty in hiring, developing, integrating and retaining highly skilled employees with appropriate qualifications. These difficulties may be amplified by evolving restrictions on immigration, travel, or the availability of visas for skilled technology workers. These difficulties may potentially be further amplified by the high cost of living in the Washington D.C. metropolitan area, where our headquarters and one of our other offices are located. If we fail to attract new personnel or fail to retain and motivate our current personnel, our business and future growth prospects could be severely harmed.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customers do not renew their subscriptions or contracts for our solutions and services, our revenue could decline and our business may suffer.</w:t>
      </w:r>
    </w:p>
    <w:p>
      <w:pPr>
        <w:spacing w:after="0" w:line="257" w:lineRule="exact"/>
        <w:rPr>
          <w:sz w:val="20"/>
          <w:szCs w:val="20"/>
          <w:color w:val="auto"/>
        </w:rPr>
      </w:pPr>
    </w:p>
    <w:p>
      <w:pPr>
        <w:ind w:right="100" w:firstLine="322"/>
        <w:spacing w:after="0" w:line="274" w:lineRule="auto"/>
        <w:rPr>
          <w:sz w:val="20"/>
          <w:szCs w:val="20"/>
          <w:color w:val="auto"/>
        </w:rPr>
      </w:pPr>
      <w:r>
        <w:rPr>
          <w:rFonts w:ascii="Arial" w:cs="Arial" w:eastAsia="Arial" w:hAnsi="Arial"/>
          <w:sz w:val="17"/>
          <w:szCs w:val="17"/>
          <w:color w:val="auto"/>
        </w:rPr>
        <w:t>Our customers have no obligation to renew or extend their subscriptions or contracts for our solutions or services after the expiration of the contractual period, which vary in length, and in the normal course of business, some customers have elected not to renew or extend. It is difficult to predict attrition rates given the varying needs of our customer base. Our attrition rates may increase or fluctuate as a result of a number of factors, including customer dissatisfaction with our services, customers’ spending levels, mix of customer base, decreases in the number of users at our customers, competition, pricing increases or changes and deteriorating general economic conditions or budgetary constraints.</w:t>
      </w:r>
    </w:p>
    <w:p>
      <w:pPr>
        <w:spacing w:after="0" w:line="173" w:lineRule="exact"/>
        <w:rPr>
          <w:sz w:val="20"/>
          <w:szCs w:val="20"/>
          <w:color w:val="auto"/>
        </w:rPr>
      </w:pPr>
    </w:p>
    <w:p>
      <w:pPr>
        <w:jc w:val="both"/>
        <w:ind w:right="40" w:firstLine="322"/>
        <w:spacing w:after="0" w:line="309" w:lineRule="auto"/>
        <w:rPr>
          <w:sz w:val="20"/>
          <w:szCs w:val="20"/>
          <w:color w:val="auto"/>
        </w:rPr>
      </w:pPr>
      <w:r>
        <w:rPr>
          <w:rFonts w:ascii="Arial" w:cs="Arial" w:eastAsia="Arial" w:hAnsi="Arial"/>
          <w:sz w:val="16"/>
          <w:szCs w:val="16"/>
          <w:color w:val="auto"/>
        </w:rPr>
        <w:t>Our future success also depends in part on our ability to sell additional features and services, more subscriptions or enhanced editions of our services to our current customers. This may also require increasingly sophisticated and costly sales efforts that are targeted at senior leaders. Similarly, the rate at which our customers purchase new or enhanced services depends on a number of factors, some of which are beyond our control.</w:t>
      </w:r>
    </w:p>
    <w:p>
      <w:pPr>
        <w:spacing w:after="0" w:line="148" w:lineRule="exact"/>
        <w:rPr>
          <w:sz w:val="20"/>
          <w:szCs w:val="20"/>
          <w:color w:val="auto"/>
        </w:rPr>
      </w:pPr>
    </w:p>
    <w:p>
      <w:pPr>
        <w:ind w:right="500" w:firstLine="322"/>
        <w:spacing w:after="0" w:line="274" w:lineRule="auto"/>
        <w:rPr>
          <w:sz w:val="20"/>
          <w:szCs w:val="20"/>
          <w:color w:val="auto"/>
        </w:rPr>
      </w:pPr>
      <w:r>
        <w:rPr>
          <w:rFonts w:ascii="Arial" w:cs="Arial" w:eastAsia="Arial" w:hAnsi="Arial"/>
          <w:sz w:val="18"/>
          <w:szCs w:val="18"/>
          <w:color w:val="auto"/>
        </w:rPr>
        <w:t>If customers do not renew or extend their subscriptions or contracts, do not purchase additional features or enhanced solutions, or if attrition rates increase, our business could be harmed.</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If our security measures or those of our third-party data center hosting facilities, cloud computing platform providers or third-party service partners, are inadequate, or if the underlying infrastructure of the internet is breached, or if unauthorized access to a customer’s data or our data or our IT systems is obtained, or if authorized access to our customer's data or our data or our IT systems is blocked or disabled, our services may be perceived as not being secure, customers may curtail or stop using our services, and we may incur significant reputational harm, legal exposure and liabilities, or a negative financial impact.</w:t>
      </w:r>
    </w:p>
    <w:p>
      <w:pPr>
        <w:spacing w:after="0" w:line="189" w:lineRule="exact"/>
        <w:rPr>
          <w:sz w:val="20"/>
          <w:szCs w:val="20"/>
          <w:color w:val="auto"/>
        </w:rPr>
      </w:pPr>
    </w:p>
    <w:p>
      <w:pPr>
        <w:ind w:right="60" w:firstLine="322"/>
        <w:spacing w:after="0" w:line="309" w:lineRule="auto"/>
        <w:rPr>
          <w:sz w:val="20"/>
          <w:szCs w:val="20"/>
          <w:color w:val="auto"/>
        </w:rPr>
      </w:pPr>
      <w:r>
        <w:rPr>
          <w:rFonts w:ascii="Arial" w:cs="Arial" w:eastAsia="Arial" w:hAnsi="Arial"/>
          <w:sz w:val="16"/>
          <w:szCs w:val="16"/>
          <w:color w:val="auto"/>
        </w:rPr>
        <w:t>Our services sometimes involve the storage and transmission of our customers’ and our customers' customers' proprietary and other sensitive data, including financial information and personally identifiable information. While we have security measures in place to protect our customers and our customers’ customers' data, our services and underlying infrastructure may in the future be materially breached or compromised as a result of the following:</w:t>
      </w:r>
    </w:p>
    <w:p>
      <w:pPr>
        <w:spacing w:after="0" w:line="148" w:lineRule="exact"/>
        <w:rPr>
          <w:sz w:val="20"/>
          <w:szCs w:val="20"/>
          <w:color w:val="auto"/>
        </w:rPr>
      </w:pPr>
    </w:p>
    <w:p>
      <w:pPr>
        <w:ind w:left="660" w:right="220" w:hanging="331"/>
        <w:spacing w:after="0" w:line="25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attempts to fraudulently induce employees or customers into disclosing sensitive information such as user names, passwords or other information to gain access to our customers’ data, our data or our IT systems;</w:t>
      </w: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by individuals or groups of hackers and sophisticated organizations, including state-sponsored organizations or nation-states;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Cyberattacks on our internally built infrastructure;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Vulnerabilities resulting from enhancements and updates to our existing solutions;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Vulnerabilities in the products or components across the broad ecosystem that our services operate in or are dependent on;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Vulnerabilities existing within newly acquired or integrated technologies and infrastructures;</w:t>
      </w:r>
    </w:p>
    <w:p>
      <w:pPr>
        <w:spacing w:after="0" w:line="7" w:lineRule="exact"/>
        <w:rPr>
          <w:rFonts w:ascii="Arial" w:cs="Arial" w:eastAsia="Arial" w:hAnsi="Arial"/>
          <w:sz w:val="18"/>
          <w:szCs w:val="18"/>
          <w:color w:val="auto"/>
        </w:rPr>
      </w:pPr>
    </w:p>
    <w:p>
      <w:pPr>
        <w:ind w:left="660" w:right="140" w:hanging="331"/>
        <w:spacing w:after="0" w:line="24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Attacks on, or vulnerabilities in, the many different underlying networks and services that power the internet that our products depend on, most of which are not under our control or the control of our vendors, partners, or customers; and</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or contractor errors or intentional acts that compromise our security systems.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00" w:firstLine="322"/>
        <w:spacing w:after="0" w:line="271" w:lineRule="auto"/>
        <w:rPr>
          <w:sz w:val="20"/>
          <w:szCs w:val="20"/>
          <w:color w:val="auto"/>
        </w:rPr>
      </w:pPr>
      <w:r>
        <w:rPr>
          <w:rFonts w:ascii="Arial" w:cs="Arial" w:eastAsia="Arial" w:hAnsi="Arial"/>
          <w:sz w:val="17"/>
          <w:szCs w:val="17"/>
          <w:color w:val="auto"/>
        </w:rPr>
        <w:t>These risks are mitigated, to the extent possible, by our ability to maintain and improve business and data governance policies, enhanced processes and internal security controls, including our ability to escalate and respond to known and potential risks. Although we have developed systems and processes designed to protect our customers’ and our customers’ customers’ sensitive data, as well as our data, we can provide no assurances that such measures will provide absolute security. In the normal course of business, we are the target of malicious cyberattack attempts. To date, any such attempts have not been material or significant to us, including to our reputation or business operations, or had a material financial impact, but there can be no assurance that future cyberattacks will not be material or significant.</w:t>
      </w:r>
    </w:p>
    <w:p>
      <w:pPr>
        <w:spacing w:after="0" w:line="179" w:lineRule="exact"/>
        <w:rPr>
          <w:sz w:val="20"/>
          <w:szCs w:val="20"/>
          <w:color w:val="auto"/>
        </w:rPr>
      </w:pPr>
    </w:p>
    <w:p>
      <w:pPr>
        <w:ind w:right="20" w:firstLine="322"/>
        <w:spacing w:after="0" w:line="271" w:lineRule="auto"/>
        <w:rPr>
          <w:sz w:val="20"/>
          <w:szCs w:val="20"/>
          <w:color w:val="auto"/>
        </w:rPr>
      </w:pPr>
      <w:r>
        <w:rPr>
          <w:rFonts w:ascii="Arial" w:cs="Arial" w:eastAsia="Arial" w:hAnsi="Arial"/>
          <w:sz w:val="17"/>
          <w:szCs w:val="17"/>
          <w:color w:val="auto"/>
        </w:rPr>
        <w:t>A security breach or incident could result in unauthorized parties obtaining access to, or the denial of authorized access to, our IT systems or data, or our customers' systems or data, including intellectual property, proprietary, sensitive, or other confidential information. A security breach could also result in a loss of confidence in the security of our services, damage our reputation, negatively impact our future sales, disrupt our business and lead to increases in insurance premiums and legal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deliver our services is dependent on the development and maintenance of the infrastructure of the internet by third parties.</w:t>
      </w:r>
    </w:p>
    <w:p>
      <w:pPr>
        <w:spacing w:after="0" w:line="234" w:lineRule="exact"/>
        <w:rPr>
          <w:sz w:val="20"/>
          <w:szCs w:val="20"/>
          <w:color w:val="auto"/>
        </w:rPr>
      </w:pPr>
    </w:p>
    <w:p>
      <w:pPr>
        <w:ind w:right="440" w:firstLine="322"/>
        <w:spacing w:after="0" w:line="257" w:lineRule="auto"/>
        <w:rPr>
          <w:sz w:val="20"/>
          <w:szCs w:val="20"/>
          <w:color w:val="auto"/>
        </w:rPr>
      </w:pPr>
      <w:r>
        <w:rPr>
          <w:rFonts w:ascii="Arial" w:cs="Arial" w:eastAsia="Arial" w:hAnsi="Arial"/>
          <w:sz w:val="18"/>
          <w:szCs w:val="18"/>
          <w:color w:val="auto"/>
        </w:rPr>
        <w:t>The internet’s infrastructure is comprised of many different networks and services that are highly fragmented and distributed by design. This infrastructure is run by a series of independent third-party organizations that work together to provide the infrastructure and supporting services of the internet under the governance of the Internet Corporation for Assigned Numbers and Names ("ICANN") and the Internet Assigned Numbers Authority ("IANA"), now an affiliate of ICANN.</w:t>
      </w:r>
    </w:p>
    <w:p>
      <w:pPr>
        <w:spacing w:after="0" w:line="187" w:lineRule="exact"/>
        <w:rPr>
          <w:sz w:val="20"/>
          <w:szCs w:val="20"/>
          <w:color w:val="auto"/>
        </w:rPr>
      </w:pPr>
    </w:p>
    <w:p>
      <w:pPr>
        <w:ind w:right="300" w:firstLine="322"/>
        <w:spacing w:after="0" w:line="274" w:lineRule="auto"/>
        <w:rPr>
          <w:sz w:val="20"/>
          <w:szCs w:val="20"/>
          <w:color w:val="auto"/>
        </w:rPr>
      </w:pPr>
      <w:r>
        <w:rPr>
          <w:rFonts w:ascii="Arial" w:cs="Arial" w:eastAsia="Arial" w:hAnsi="Arial"/>
          <w:sz w:val="17"/>
          <w:szCs w:val="17"/>
          <w:color w:val="auto"/>
        </w:rPr>
        <w:t>The internet has experienced a variety of outages and other delays as a result of damages to portions of its infrastructure, denial-of-service attacks or related cyber incidents, and it could face outages and delays in the future. These outages and delays could reduce the level of internet usage or result in fragmentation of the internet, resulting in multiple separate internets. These scenarios are not under our control and could reduce the availability of the internet to us or our customers for delivery of our internet-related services. Any resulting interruptions in our services or the ability of our customers to access our services could result in a loss of potential or existing customers and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customers outside the United States expose us to risks inherent in international operations.</w:t>
      </w:r>
    </w:p>
    <w:p>
      <w:pPr>
        <w:spacing w:after="0" w:line="222" w:lineRule="exact"/>
        <w:rPr>
          <w:sz w:val="20"/>
          <w:szCs w:val="20"/>
          <w:color w:val="auto"/>
        </w:rPr>
      </w:pPr>
    </w:p>
    <w:p>
      <w:pPr>
        <w:ind w:right="140" w:firstLine="322"/>
        <w:spacing w:after="0" w:line="274" w:lineRule="auto"/>
        <w:rPr>
          <w:sz w:val="20"/>
          <w:szCs w:val="20"/>
          <w:color w:val="auto"/>
        </w:rPr>
      </w:pPr>
      <w:r>
        <w:rPr>
          <w:rFonts w:ascii="Arial" w:cs="Arial" w:eastAsia="Arial" w:hAnsi="Arial"/>
          <w:sz w:val="18"/>
          <w:szCs w:val="18"/>
          <w:color w:val="auto"/>
        </w:rPr>
        <w:t>We sell our services outside the U.S. and are subject to risks and challenges associated with international business. The risks and challenges associated with sales to customers outside the U.S. or those that can affect international operations generally, include:</w:t>
      </w:r>
    </w:p>
    <w:p>
      <w:pPr>
        <w:spacing w:after="0" w:line="172" w:lineRule="exact"/>
        <w:rPr>
          <w:sz w:val="20"/>
          <w:szCs w:val="20"/>
          <w:color w:val="auto"/>
        </w:rPr>
      </w:pPr>
    </w:p>
    <w:p>
      <w:pPr>
        <w:ind w:left="640" w:hanging="31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Localization of our services, including translation into foreign languages and associated expenses;</w:t>
      </w:r>
    </w:p>
    <w:p>
      <w:pPr>
        <w:spacing w:after="0" w:line="22" w:lineRule="exact"/>
        <w:rPr>
          <w:rFonts w:ascii="Arial" w:cs="Arial" w:eastAsia="Arial" w:hAnsi="Arial"/>
          <w:sz w:val="18"/>
          <w:szCs w:val="18"/>
          <w:color w:val="auto"/>
        </w:rPr>
      </w:pPr>
    </w:p>
    <w:p>
      <w:pPr>
        <w:ind w:left="640" w:hanging="31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frameworks or business practices favoring local competitors;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Pressure on the creditworthiness of sovereign nations;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domestic and international tax environments;</w:t>
      </w:r>
    </w:p>
    <w:p>
      <w:pPr>
        <w:spacing w:after="0" w:line="7"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issues or political actions by sovereign nations, including nations with a controlled currency environment, which could result in decreased values of these balances or potential difficulties protecting our foreign assets or satisfying local obligations;</w:t>
      </w:r>
    </w:p>
    <w:p>
      <w:pPr>
        <w:spacing w:after="0" w:line="1" w:lineRule="exact"/>
        <w:rPr>
          <w:rFonts w:ascii="Arial" w:cs="Arial" w:eastAsia="Arial" w:hAnsi="Arial"/>
          <w:sz w:val="18"/>
          <w:szCs w:val="18"/>
          <w:color w:val="auto"/>
        </w:rPr>
      </w:pPr>
    </w:p>
    <w:p>
      <w:pPr>
        <w:ind w:left="660" w:right="280" w:hanging="331"/>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and controls, which may make our services more expensive for international customers and could add volatility to our operating results;</w:t>
      </w:r>
    </w:p>
    <w:p>
      <w:pPr>
        <w:spacing w:after="0" w:line="1" w:lineRule="exact"/>
        <w:rPr>
          <w:rFonts w:ascii="Arial" w:cs="Arial" w:eastAsia="Arial" w:hAnsi="Arial"/>
          <w:sz w:val="18"/>
          <w:szCs w:val="18"/>
          <w:color w:val="auto"/>
        </w:rPr>
      </w:pPr>
    </w:p>
    <w:p>
      <w:pPr>
        <w:ind w:left="660" w:right="460" w:hanging="331"/>
        <w:spacing w:after="0" w:line="280"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multiple, conflicting, ambiguous or evolving governmental laws and regulations, including employment, tax, privacy, anti-corruption, import/export, antitrust, data transfer, storage and protection, and industry-specific laws and regulations, including rules related to compliance by our third-party resellers and our ability to identify and respond timely to compliance issues when they occur;</w:t>
      </w:r>
    </w:p>
    <w:p>
      <w:pPr>
        <w:ind w:left="660" w:right="380" w:hanging="331"/>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Vetting and monitoring our third-party resellers in new and evolving markets to confirm they maintain standards consistent with our brand and reputation;</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public perception of governments in the regions where we operate or plan to operate;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Regional data privacy laws and other regulatory requirements;</w:t>
      </w:r>
    </w:p>
    <w:p>
      <w:pPr>
        <w:spacing w:after="0" w:line="7" w:lineRule="exact"/>
        <w:rPr>
          <w:rFonts w:ascii="Arial" w:cs="Arial" w:eastAsia="Arial" w:hAnsi="Arial"/>
          <w:sz w:val="18"/>
          <w:szCs w:val="18"/>
          <w:color w:val="auto"/>
        </w:rPr>
      </w:pPr>
    </w:p>
    <w:p>
      <w:pPr>
        <w:ind w:left="660" w:right="200" w:hanging="331"/>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pricing environments;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358" w:lineRule="exact"/>
        <w:rPr>
          <w:sz w:val="20"/>
          <w:szCs w:val="20"/>
          <w:color w:val="auto"/>
        </w:rPr>
      </w:pPr>
    </w:p>
    <w:p>
      <w:pPr>
        <w:ind w:left="640" w:hanging="31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or lesser protection of our intellectual property;</w:t>
      </w:r>
    </w:p>
    <w:p>
      <w:pPr>
        <w:spacing w:after="0" w:line="22" w:lineRule="exact"/>
        <w:rPr>
          <w:rFonts w:ascii="Arial" w:cs="Arial" w:eastAsia="Arial" w:hAnsi="Arial"/>
          <w:sz w:val="18"/>
          <w:szCs w:val="18"/>
          <w:color w:val="auto"/>
        </w:rPr>
      </w:pPr>
    </w:p>
    <w:p>
      <w:pPr>
        <w:ind w:left="640" w:hanging="31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accounts receivable payment cycles and other collection difficulties;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acts of war, terrorism, pandemics or security breaches;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economic and political conditions.</w:t>
      </w:r>
    </w:p>
    <w:p>
      <w:pPr>
        <w:spacing w:after="0" w:line="208" w:lineRule="exact"/>
        <w:rPr>
          <w:sz w:val="20"/>
          <w:szCs w:val="20"/>
          <w:color w:val="auto"/>
        </w:rPr>
      </w:pPr>
    </w:p>
    <w:p>
      <w:pPr>
        <w:ind w:right="20" w:firstLine="322"/>
        <w:spacing w:after="0" w:line="257" w:lineRule="auto"/>
        <w:rPr>
          <w:sz w:val="20"/>
          <w:szCs w:val="20"/>
          <w:color w:val="auto"/>
        </w:rPr>
      </w:pPr>
      <w:r>
        <w:rPr>
          <w:rFonts w:ascii="Arial" w:cs="Arial" w:eastAsia="Arial" w:hAnsi="Arial"/>
          <w:sz w:val="18"/>
          <w:szCs w:val="18"/>
          <w:color w:val="auto"/>
        </w:rPr>
        <w:t>Any of these factors could negatively impact our business and results of operations. The above factors may also negatively impact our ability to successfully expand into emerging market countries, where we have little or no operating experience, where it can be costly and challenging to establish and maintain operations, including hiring and managing required personnel, and difficult to promote our brand, and where we may not benefit from any first-to-market advantage or otherwise succeed.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a number of legal proceedings. We cannot predict the outcome of litigation and other contingencies with certainty.</w:t>
      </w:r>
    </w:p>
    <w:p>
      <w:pPr>
        <w:spacing w:after="0" w:line="234" w:lineRule="exact"/>
        <w:rPr>
          <w:sz w:val="20"/>
          <w:szCs w:val="20"/>
          <w:color w:val="auto"/>
        </w:rPr>
      </w:pPr>
    </w:p>
    <w:p>
      <w:pPr>
        <w:ind w:right="80" w:firstLine="322"/>
        <w:spacing w:after="0" w:line="294" w:lineRule="auto"/>
        <w:rPr>
          <w:sz w:val="20"/>
          <w:szCs w:val="20"/>
          <w:color w:val="auto"/>
        </w:rPr>
      </w:pPr>
      <w:r>
        <w:rPr>
          <w:rFonts w:ascii="Arial" w:cs="Arial" w:eastAsia="Arial" w:hAnsi="Arial"/>
          <w:sz w:val="16"/>
          <w:szCs w:val="16"/>
          <w:color w:val="auto"/>
        </w:rPr>
        <w:t>Our business may be adversely affected by the outcome of legal proceedings and other contingencies that cannot be predicted with certainty. As required by U.S. GAAP, we estimate loss contingencies and establish reserves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our current legal proceedings, see Note 18 - Commitments, Contingencies and Subsequent Events to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Economic Risk</w:t>
      </w:r>
    </w:p>
    <w:p>
      <w:pPr>
        <w:spacing w:after="0" w:line="226" w:lineRule="exact"/>
        <w:rPr>
          <w:sz w:val="20"/>
          <w:szCs w:val="20"/>
          <w:color w:val="auto"/>
        </w:rPr>
      </w:pPr>
    </w:p>
    <w:p>
      <w:pPr>
        <w:jc w:val="both"/>
        <w:ind w:right="760"/>
        <w:spacing w:after="0" w:line="261" w:lineRule="auto"/>
        <w:rPr>
          <w:sz w:val="20"/>
          <w:szCs w:val="20"/>
          <w:color w:val="auto"/>
        </w:rPr>
      </w:pPr>
      <w:r>
        <w:rPr>
          <w:rFonts w:ascii="Arial" w:cs="Arial" w:eastAsia="Arial" w:hAnsi="Arial"/>
          <w:sz w:val="18"/>
          <w:szCs w:val="18"/>
          <w:b w:val="1"/>
          <w:bCs w:val="1"/>
          <w:i w:val="1"/>
          <w:iCs w:val="1"/>
          <w:color w:val="auto"/>
        </w:rPr>
        <w:t>We depend on the U.S. government for a significant portion of our sales and a significant decline in U.S. government defense and intelligence community spending, or a reallocation of spending to other priorities, could have an adverse impact on our financial condition and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ind w:right="40" w:firstLine="322"/>
        <w:spacing w:after="0" w:line="288" w:lineRule="auto"/>
        <w:rPr>
          <w:sz w:val="20"/>
          <w:szCs w:val="20"/>
          <w:color w:val="auto"/>
        </w:rPr>
      </w:pPr>
      <w:r>
        <w:rPr>
          <w:rFonts w:ascii="Arial" w:cs="Arial" w:eastAsia="Arial" w:hAnsi="Arial"/>
          <w:sz w:val="16"/>
          <w:szCs w:val="16"/>
          <w:color w:val="auto"/>
        </w:rPr>
        <w:t>Our sales are highly concentrated with the U.S. government. The customer relationship with the U.S. government involves certain risks that are unique. The programs in which we participate must compete with other programs and policy imperatives during the budget and appropriations process. In each of the past three years, a substantial portion of our net sales was to the U.S. government, particularly the DoD. The U.S. government's defense spending has historically been cyclical. Defense budgets have received their strongest support when perceived threats to national security raise the level of concern over the country’s safety. As these threats subside, spending on the military tends to decrease. Rising budget deficits, increasing national debt, the cost of the global war on terrorism, increasing costs for entitlement programs, cost of new domestic initiatives, and the large and continued costs of combating the COVID-19 pandemic and addressing the health concerns and economic dislocation caused by COVID-19, continue to put pressure on all areas of discretionary spending, which could ultimately impact the defense budget and other aspects of federal discretionary spending.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seasonality of U.S. government spending.</w:t>
      </w:r>
    </w:p>
    <w:p>
      <w:pPr>
        <w:spacing w:after="0" w:line="222" w:lineRule="exact"/>
        <w:rPr>
          <w:sz w:val="20"/>
          <w:szCs w:val="20"/>
          <w:color w:val="auto"/>
        </w:rPr>
      </w:pPr>
    </w:p>
    <w:p>
      <w:pPr>
        <w:ind w:right="20" w:firstLine="322"/>
        <w:spacing w:after="0" w:line="294" w:lineRule="auto"/>
        <w:rPr>
          <w:sz w:val="20"/>
          <w:szCs w:val="20"/>
          <w:color w:val="auto"/>
        </w:rPr>
      </w:pPr>
      <w:r>
        <w:rPr>
          <w:rFonts w:ascii="Arial" w:cs="Arial" w:eastAsia="Arial" w:hAnsi="Arial"/>
          <w:sz w:val="16"/>
          <w:szCs w:val="16"/>
          <w:color w:val="auto"/>
        </w:rPr>
        <w:t>We derive a substantial portion of our revenues from U.S. government contracting, and as a result, we are subject to the annual seasonality of U.S. government purchasing. Because the U.S. government fiscal year ends on September 30, it is not uncommon for U.S. government agencies to award extra tasks in the weeks immediately prior to the end of its fiscal year in order to avoid the loss of unexpended fiscal year funds. As a result of this seasonality, we have historically experienced higher revenues in the third and fourth fiscal quarters, ending September 30 and December 31, respectively, with the pace of orders typically substantially reduced during the first and second fiscal quarters ending March 31 and June 30, respectively.</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U.S. government contracts are subject to competitive bidding, both upon initial issuance and re-competition. If we are unable to successfully compete in the bidding process or if we fail to win re-competitions, it could adversely affect our operating performance and lead to an unexpected loss of revenue.</w:t>
      </w:r>
    </w:p>
    <w:p>
      <w:pPr>
        <w:spacing w:after="0" w:line="184" w:lineRule="exact"/>
        <w:rPr>
          <w:sz w:val="20"/>
          <w:szCs w:val="20"/>
          <w:color w:val="auto"/>
        </w:rPr>
      </w:pPr>
    </w:p>
    <w:p>
      <w:pPr>
        <w:ind w:right="40" w:firstLine="322"/>
        <w:spacing w:after="0" w:line="261" w:lineRule="auto"/>
        <w:rPr>
          <w:sz w:val="20"/>
          <w:szCs w:val="20"/>
          <w:color w:val="auto"/>
        </w:rPr>
      </w:pPr>
      <w:r>
        <w:rPr>
          <w:rFonts w:ascii="Arial" w:cs="Arial" w:eastAsia="Arial" w:hAnsi="Arial"/>
          <w:sz w:val="18"/>
          <w:szCs w:val="18"/>
          <w:color w:val="auto"/>
        </w:rPr>
        <w:t>Many of our U.S. government contracts are awarded through a competitive bidding process upon initial award and renewal, and we expect that this will continue to be the case. There is often significant competition and pricing pressure as a result of this process. The competitive bidding process presents a number of risks, including the following:</w:t>
      </w:r>
    </w:p>
    <w:p>
      <w:pPr>
        <w:spacing w:after="0" w:line="184" w:lineRule="exact"/>
        <w:rPr>
          <w:sz w:val="20"/>
          <w:szCs w:val="20"/>
          <w:color w:val="auto"/>
        </w:rPr>
      </w:pPr>
    </w:p>
    <w:p>
      <w:pPr>
        <w:ind w:left="640" w:hanging="311"/>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expend substantial funds and time to prepare bids and proposals for contracts that may ultimately be awarded to one of our competitors;</w:t>
      </w:r>
    </w:p>
    <w:p>
      <w:pPr>
        <w:spacing w:after="0" w:line="45" w:lineRule="exact"/>
        <w:rPr>
          <w:rFonts w:ascii="Arial" w:cs="Arial" w:eastAsia="Arial" w:hAnsi="Arial"/>
          <w:sz w:val="16"/>
          <w:szCs w:val="16"/>
          <w:color w:val="auto"/>
        </w:rPr>
      </w:pPr>
    </w:p>
    <w:p>
      <w:pPr>
        <w:ind w:left="660" w:right="160" w:hanging="331"/>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accurately estimate the resources and costs that will be required to perform any contract we are awarded, which could result in substantial cost overruns;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358" w:lineRule="exact"/>
        <w:rPr>
          <w:sz w:val="20"/>
          <w:szCs w:val="20"/>
          <w:color w:val="auto"/>
        </w:rPr>
      </w:pPr>
    </w:p>
    <w:p>
      <w:pPr>
        <w:ind w:left="660" w:hanging="331"/>
        <w:spacing w:after="0" w:line="272"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encounter expense and delay if our competitors protest or challenge awards of contracts, and any such protest or challenge could result in a requirement to resubmit bids on modified specifications or in the termination, reduction or modification of the awarded contract;</w:t>
      </w:r>
    </w:p>
    <w:p>
      <w:pPr>
        <w:spacing w:after="0" w:line="1" w:lineRule="exact"/>
        <w:rPr>
          <w:rFonts w:ascii="Arial" w:cs="Arial" w:eastAsia="Arial" w:hAnsi="Arial"/>
          <w:sz w:val="17"/>
          <w:szCs w:val="17"/>
          <w:color w:val="auto"/>
        </w:rPr>
      </w:pPr>
    </w:p>
    <w:p>
      <w:pPr>
        <w:ind w:left="660" w:right="140" w:hanging="331"/>
        <w:spacing w:after="0" w:line="24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protest of contracts awarded to us may result in the delay of program performance and the generation of revenue while the protest is pending; and</w:t>
      </w:r>
    </w:p>
    <w:p>
      <w:pPr>
        <w:spacing w:after="0" w:line="1" w:lineRule="exact"/>
        <w:rPr>
          <w:rFonts w:ascii="Arial" w:cs="Arial" w:eastAsia="Arial" w:hAnsi="Arial"/>
          <w:sz w:val="18"/>
          <w:szCs w:val="18"/>
          <w:color w:val="auto"/>
        </w:rPr>
      </w:pPr>
    </w:p>
    <w:p>
      <w:pPr>
        <w:ind w:left="660" w:right="160" w:hanging="331"/>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are not given the opportunity to re-compete for U.S. government contracts previously awarded to us, we may incur expenses to protect such decision and ultimately may not succeed in competing for or winning such contract renewal.</w:t>
      </w:r>
    </w:p>
    <w:p>
      <w:pPr>
        <w:spacing w:after="0" w:line="186" w:lineRule="exact"/>
        <w:rPr>
          <w:sz w:val="20"/>
          <w:szCs w:val="20"/>
          <w:color w:val="auto"/>
        </w:rPr>
      </w:pPr>
    </w:p>
    <w:p>
      <w:pPr>
        <w:ind w:right="180" w:firstLine="322"/>
        <w:spacing w:after="0" w:line="257" w:lineRule="auto"/>
        <w:rPr>
          <w:sz w:val="20"/>
          <w:szCs w:val="20"/>
          <w:color w:val="auto"/>
        </w:rPr>
      </w:pPr>
      <w:r>
        <w:rPr>
          <w:rFonts w:ascii="Arial" w:cs="Arial" w:eastAsia="Arial" w:hAnsi="Arial"/>
          <w:sz w:val="18"/>
          <w:szCs w:val="18"/>
          <w:color w:val="auto"/>
        </w:rPr>
        <w:t>The U.S. government contracts for which we compete typically have multiple option periods, and if we fail to win a contract or a task order, we generally will be unable to compete again for that contract for several years. If we fail to win new contracts or to receive renewal contracts upon re-competition, it may result in additional costs and expenses and possible loss of revenue, and we will not have an opportunity to compete for these contract opportunities again until such contracts expire.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environment in which we operate is highly competitive and may impair our ability to achieve revenue growth.</w:t>
      </w:r>
    </w:p>
    <w:p>
      <w:pPr>
        <w:spacing w:after="0" w:line="222" w:lineRule="exact"/>
        <w:rPr>
          <w:sz w:val="20"/>
          <w:szCs w:val="20"/>
          <w:color w:val="auto"/>
        </w:rPr>
      </w:pPr>
    </w:p>
    <w:p>
      <w:pPr>
        <w:ind w:right="100" w:firstLine="322"/>
        <w:spacing w:after="0" w:line="291" w:lineRule="auto"/>
        <w:rPr>
          <w:sz w:val="20"/>
          <w:szCs w:val="20"/>
          <w:color w:val="auto"/>
        </w:rPr>
      </w:pPr>
      <w:r>
        <w:rPr>
          <w:rFonts w:ascii="Arial" w:cs="Arial" w:eastAsia="Arial" w:hAnsi="Arial"/>
          <w:sz w:val="16"/>
          <w:szCs w:val="16"/>
          <w:color w:val="auto"/>
        </w:rPr>
        <w:t>We operate in industry segments that are diverse. Based upon our current market analysis, there is no single company or small group of companies in a dominant competitive position. Some large competitors offer capabilities in a number of markets that overlap many of the same areas in which we offer services, while certain companies are focused upon only one or a few of such markets. Some of the firms that compete with us in multiple areas include: Northrop Grumman, Lockheed Martin and General Dynamics. In addition, we compete with smaller specialty companies, including risk and compliance management companies, organizational messaging companies, and security consulting organizations, and companies that provide secure network offerings. If we do not compete effectively, we may suffer price reductions, reduced gross margins, and loss of market share.</w:t>
      </w:r>
    </w:p>
    <w:p>
      <w:pPr>
        <w:spacing w:after="0" w:line="16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b w:val="1"/>
          <w:bCs w:val="1"/>
          <w:i w:val="1"/>
          <w:iCs w:val="1"/>
          <w:color w:val="auto"/>
        </w:rPr>
        <w:t>U.S. government contracts generally are not fully funded at inception and are subject to amendment or termination, which places a significant portion of our revenues at risk and could adversely impact our earnings</w:t>
      </w:r>
      <w:r>
        <w:rPr>
          <w:rFonts w:ascii="Arial" w:cs="Arial" w:eastAsia="Arial" w:hAnsi="Arial"/>
          <w:sz w:val="18"/>
          <w:szCs w:val="18"/>
          <w:i w:val="1"/>
          <w:iCs w:val="1"/>
          <w:color w:val="auto"/>
        </w:rPr>
        <w:t>.</w:t>
      </w:r>
    </w:p>
    <w:p>
      <w:pPr>
        <w:spacing w:after="0" w:line="172" w:lineRule="exact"/>
        <w:rPr>
          <w:sz w:val="20"/>
          <w:szCs w:val="20"/>
          <w:color w:val="auto"/>
        </w:rPr>
      </w:pPr>
    </w:p>
    <w:p>
      <w:pPr>
        <w:ind w:firstLine="322"/>
        <w:spacing w:after="0" w:line="266" w:lineRule="auto"/>
        <w:rPr>
          <w:sz w:val="20"/>
          <w:szCs w:val="20"/>
          <w:color w:val="auto"/>
        </w:rPr>
      </w:pPr>
      <w:r>
        <w:rPr>
          <w:rFonts w:ascii="Arial" w:cs="Arial" w:eastAsia="Arial" w:hAnsi="Arial"/>
          <w:sz w:val="17"/>
          <w:szCs w:val="17"/>
          <w:color w:val="auto"/>
        </w:rPr>
        <w:t>Our U.S. government sales are funded by customer budgets, which operate on an October-to-September fiscal year. In February of each year, the President of the United States presents to Congress the budget for the upcoming fiscal year. This budget proposes funding levels for every federal agency and is the result of months of policy and program reviews throughout the Executive branch. From February through September of each year, the appropriations and authorization committees of Congress review the President’s budget proposals and establish the funding levels for the upcoming fiscal year in appropriations and authorization legislation. Once these levels are enacted into law, the Executive Office of the President administers the funds to the agencies. There are two primary risks associated with this process. First, the process may be delayed or disrupted. Changes in congressional schedules, negotiations for program funding levels or unforeseen world events can interrupt the funding for a program or contract. Second, funds for multi-year contracts can be changed in subsequent years in the appropriations process. In addition, the U.S. government has increasingly relied on IDIQ contracts and other procurement vehicles that are subject to a competitive bidding and funding process even after the award of the basic contract, adding an element of uncertainty to future funding levels. Delays in the funding process or changes in funding or funding priorities can impact the timing of available funds or can lead to changes in program content or termination at the government’s convenience. The loss of anticipated funding or the termination of multiple or large programs could have an adverse effect on our future sales and earnings. The continuing health and economic crisis created by the COVID-19 pandemic and the substantial increase in federal spending devoted to addressing multiple aspects of the crisis may continue to cause changes in federal or agency spending priorities that might impact our customer’s willingness or ability to continue or extend our contracts or procure contracts which we otherwise, in the absence of the crisis, might have secured.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adversely affect our industry, business, operating results and financial condition.</w:t>
      </w:r>
    </w:p>
    <w:p>
      <w:pPr>
        <w:spacing w:after="0" w:line="222" w:lineRule="exact"/>
        <w:rPr>
          <w:sz w:val="20"/>
          <w:szCs w:val="20"/>
          <w:color w:val="auto"/>
        </w:rPr>
      </w:pPr>
    </w:p>
    <w:p>
      <w:pPr>
        <w:ind w:right="20" w:firstLine="322"/>
        <w:spacing w:after="0" w:line="268" w:lineRule="auto"/>
        <w:rPr>
          <w:sz w:val="20"/>
          <w:szCs w:val="20"/>
          <w:color w:val="auto"/>
        </w:rPr>
      </w:pPr>
      <w:r>
        <w:rPr>
          <w:rFonts w:ascii="Arial" w:cs="Arial" w:eastAsia="Arial" w:hAnsi="Arial"/>
          <w:sz w:val="17"/>
          <w:szCs w:val="17"/>
          <w:color w:val="auto"/>
        </w:rPr>
        <w:t>Our overall performance depends in part on worldwide economic and geopolitical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at any point in time. In addition, geopolitical developments, such as the recent invasion of Ukraine by Russia, can increase levels of political and economic unpredictability globally and increase the volatility of global financial markets. Moreover, these conditions can affect the rate of information technology spending and could adversely affect our customers’ ability or willingness to purchase our solutions and services, delay prospective customers’ purchasing decisions, reduce the value or duration of their subscription contracts, or affect attrition rates, all of which could adversely affect our future sales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w:t>
      </w:r>
      <w:r>
        <w:rPr>
          <w:rFonts w:ascii="Arial" w:cs="Arial" w:eastAsia="Arial" w:hAnsi="Arial"/>
          <w:sz w:val="18"/>
          <w:szCs w:val="18"/>
          <w:i w:val="1"/>
          <w:iCs w:val="1"/>
          <w:color w:val="auto"/>
        </w:rPr>
        <w:t>a</w:t>
      </w:r>
      <w:r>
        <w:rPr>
          <w:rFonts w:ascii="Arial" w:cs="Arial" w:eastAsia="Arial" w:hAnsi="Arial"/>
          <w:sz w:val="18"/>
          <w:szCs w:val="18"/>
          <w:b w:val="1"/>
          <w:bCs w:val="1"/>
          <w:i w:val="1"/>
          <w:iCs w:val="1"/>
          <w:color w:val="auto"/>
        </w:rPr>
        <w:t>te change may have a long-term impact on our business.</w:t>
      </w:r>
    </w:p>
    <w:p>
      <w:pPr>
        <w:spacing w:after="0" w:line="222" w:lineRule="exact"/>
        <w:rPr>
          <w:sz w:val="20"/>
          <w:szCs w:val="20"/>
          <w:color w:val="auto"/>
        </w:rPr>
      </w:pPr>
    </w:p>
    <w:p>
      <w:pPr>
        <w:ind w:right="20" w:firstLine="322"/>
        <w:spacing w:after="0" w:line="274" w:lineRule="auto"/>
        <w:rPr>
          <w:sz w:val="20"/>
          <w:szCs w:val="20"/>
          <w:color w:val="auto"/>
        </w:rPr>
      </w:pPr>
      <w:r>
        <w:rPr>
          <w:rFonts w:ascii="Arial" w:cs="Arial" w:eastAsia="Arial" w:hAnsi="Arial"/>
          <w:sz w:val="17"/>
          <w:szCs w:val="17"/>
          <w:color w:val="auto"/>
        </w:rPr>
        <w:t>There are inherent climate related risks wherever business is conducted. Access to clean water and reliable energy in the communities where we conduct our business, whether for our offices, vendors, customers or other stakeholders, is a priority. Any of our primary locations may be vulnerable to the adverse effects of climate change. Climate-related events, including the increasing frequency of extreme weather events and their impact on U.S. critical infrastructure, have the potential to disrupt our business, our third-party suppliers, or the operations and business of our customers, and may cause us to experience higher attrition, losses and additional costs to maintain or resume operations.</w:t>
      </w:r>
    </w:p>
    <w:p>
      <w:pPr>
        <w:spacing w:after="0" w:line="173"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results of operations and growth prospects.</w:t>
      </w:r>
    </w:p>
    <w:p>
      <w:pPr>
        <w:spacing w:after="0" w:line="172" w:lineRule="exact"/>
        <w:rPr>
          <w:sz w:val="20"/>
          <w:szCs w:val="20"/>
          <w:color w:val="auto"/>
        </w:rPr>
      </w:pPr>
    </w:p>
    <w:p>
      <w:pPr>
        <w:ind w:firstLine="322"/>
        <w:spacing w:after="0" w:line="287" w:lineRule="auto"/>
        <w:rPr>
          <w:sz w:val="20"/>
          <w:szCs w:val="20"/>
          <w:color w:val="auto"/>
        </w:rPr>
      </w:pPr>
      <w:r>
        <w:rPr>
          <w:rFonts w:ascii="Arial" w:cs="Arial" w:eastAsia="Arial" w:hAnsi="Arial"/>
          <w:sz w:val="16"/>
          <w:szCs w:val="16"/>
          <w:color w:val="auto"/>
        </w:rPr>
        <w:t>We prepare consolidated financial statements in accordance with U.S. GAAP. In particular, we make certain estimates and assumptions related to the adoption and interpretation of these principles including the recognition of our revenue and the accounting of our stock-based compensation expense with respect to our consolidated financial statements. If these assumptions turn out to be incorrect, our revenue or our stock-based compensation expense could materially differ from our expectations, which could have a material adverse effect on our financial results. A change in any of these principles or guidance, or in their interpretations or application to us, may have a significant effect on our reported results, as well as our processes and related controls, and may retroactively affect previously reported results or our forecasts, which may negatively impact our financial statements. For example, any recent new standards issued by the Financial Accounting Standards Board could materially impact our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 xml:space="preserve"> The adoption of these new standards may potentially require enhancements or changes in our processes or systems and may require significant time and cost on behalf of our financial management. This may, in turn, adversely affect our results of operations and growth prospects.</w:t>
      </w:r>
    </w:p>
    <w:p>
      <w:pPr>
        <w:spacing w:after="0" w:line="167" w:lineRule="exact"/>
        <w:rPr>
          <w:sz w:val="20"/>
          <w:szCs w:val="20"/>
          <w:color w:val="auto"/>
        </w:rPr>
      </w:pPr>
    </w:p>
    <w:p>
      <w:pPr>
        <w:ind w:right="160"/>
        <w:spacing w:after="0" w:line="305" w:lineRule="auto"/>
        <w:rPr>
          <w:sz w:val="20"/>
          <w:szCs w:val="20"/>
          <w:color w:val="auto"/>
        </w:rPr>
      </w:pPr>
      <w:r>
        <w:rPr>
          <w:rFonts w:ascii="Arial" w:cs="Arial" w:eastAsia="Arial" w:hAnsi="Arial"/>
          <w:sz w:val="17"/>
          <w:szCs w:val="17"/>
          <w:b w:val="1"/>
          <w:bCs w:val="1"/>
          <w:i w:val="1"/>
          <w:iCs w:val="1"/>
          <w:color w:val="auto"/>
        </w:rPr>
        <w:t>If our judgments or estimates relating to our critical accounting policies are based on assumptions that change or prove to be incorrect, our results of operations could fall below expectations of securities analysts and investors, resulting in a decline in our stock price.</w:t>
      </w:r>
    </w:p>
    <w:p>
      <w:pPr>
        <w:spacing w:after="0" w:line="147" w:lineRule="exact"/>
        <w:rPr>
          <w:sz w:val="20"/>
          <w:szCs w:val="20"/>
          <w:color w:val="auto"/>
        </w:rPr>
      </w:pPr>
    </w:p>
    <w:p>
      <w:pPr>
        <w:ind w:right="60" w:firstLine="322"/>
        <w:spacing w:after="0" w:line="288" w:lineRule="auto"/>
        <w:rPr>
          <w:sz w:val="20"/>
          <w:szCs w:val="20"/>
          <w:color w:val="auto"/>
        </w:rPr>
      </w:pPr>
      <w:r>
        <w:rPr>
          <w:rFonts w:ascii="Arial" w:cs="Arial" w:eastAsia="Arial" w:hAnsi="Arial"/>
          <w:sz w:val="16"/>
          <w:szCs w:val="16"/>
          <w:color w:val="auto"/>
        </w:rPr>
        <w:t>The preparation of our consolidated financial statements in conformity with U.S. GAAP requires management to make judgments, estimates, and assumptions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and equity, and the amount of revenue and expenses that are not readily apparent from other sources.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Significant judgments, estimates, and assumptions used in preparing our consolidated financial statements include, or may in the future include, those related to revenue recognition, stock-based compensation, common stock valuations, and income taxes.</w:t>
      </w: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2" w:name="page33"/>
    <w:bookmarkEnd w:id="3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6" w:lineRule="exact"/>
        <w:rPr>
          <w:sz w:val="20"/>
          <w:szCs w:val="20"/>
          <w:color w:val="auto"/>
        </w:rPr>
      </w:pPr>
    </w:p>
    <w:p>
      <w:pPr>
        <w:ind w:right="340"/>
        <w:spacing w:after="0" w:line="309" w:lineRule="auto"/>
        <w:rPr>
          <w:sz w:val="20"/>
          <w:szCs w:val="20"/>
          <w:color w:val="auto"/>
        </w:rPr>
      </w:pPr>
      <w:r>
        <w:rPr>
          <w:rFonts w:ascii="Arial" w:cs="Arial" w:eastAsia="Arial" w:hAnsi="Arial"/>
          <w:sz w:val="16"/>
          <w:szCs w:val="16"/>
          <w:b w:val="1"/>
          <w:bCs w:val="1"/>
          <w:i w:val="1"/>
          <w:iCs w:val="1"/>
          <w:color w:val="auto"/>
        </w:rPr>
        <w:t>Our business is subject to complex and evolving U.S. and non-U.S. laws and regulations regarding privacy, data protection and security, technology protection, and other matters. Many of these laws and regulations are subject to change and uncertain interpretation, and could result in claims, changes to our business practices, monetary penalties, increased cost of operations, or otherwise harm our business.</w:t>
      </w:r>
    </w:p>
    <w:p>
      <w:pPr>
        <w:spacing w:after="0" w:line="148" w:lineRule="exact"/>
        <w:rPr>
          <w:sz w:val="20"/>
          <w:szCs w:val="20"/>
          <w:color w:val="auto"/>
        </w:rPr>
      </w:pPr>
    </w:p>
    <w:p>
      <w:pPr>
        <w:ind w:right="60" w:firstLine="322"/>
        <w:spacing w:after="0" w:line="288" w:lineRule="auto"/>
        <w:rPr>
          <w:sz w:val="20"/>
          <w:szCs w:val="20"/>
          <w:color w:val="auto"/>
        </w:rPr>
      </w:pPr>
      <w:r>
        <w:rPr>
          <w:rFonts w:ascii="Arial" w:cs="Arial" w:eastAsia="Arial" w:hAnsi="Arial"/>
          <w:sz w:val="16"/>
          <w:szCs w:val="16"/>
          <w:color w:val="auto"/>
        </w:rPr>
        <w:t>We are subject to a variety of local, state, national, and international laws and directives and regulations in the United States and abroad that involve matters central to our business, including privacy and data protection, data security, data storage, retention, transfer and deletion, technology protection, and personal information. Foreign data protection, data security, privacy, and other laws and regulations can impose different obligations or be more restrictive than those in the United States. These U.S. federal and state and foreign laws and regulations, which, depending on the regime, may be enforced by private parties or government entities, are constantly evolving and can be subject to significant change, and they are likely to remain uncertain for the foreseeable future. In addition, the application, interpretation, and enforcement of these laws and regulations are often uncertain, and may be interpreted and applied inconsistently from country to country and inconsistently with our current policies and practices. A number of proposals are pending before U.S. federal, state, and foreign legislative and regulatory bodies that could significantly affect our business.</w:t>
      </w:r>
    </w:p>
    <w:p>
      <w:pPr>
        <w:spacing w:after="0" w:line="166" w:lineRule="exact"/>
        <w:rPr>
          <w:sz w:val="20"/>
          <w:szCs w:val="20"/>
          <w:color w:val="auto"/>
        </w:rPr>
      </w:pPr>
    </w:p>
    <w:p>
      <w:pPr>
        <w:ind w:right="200" w:firstLine="322"/>
        <w:spacing w:after="0" w:line="309" w:lineRule="auto"/>
        <w:rPr>
          <w:sz w:val="20"/>
          <w:szCs w:val="20"/>
          <w:color w:val="auto"/>
        </w:rPr>
      </w:pPr>
      <w:r>
        <w:rPr>
          <w:rFonts w:ascii="Arial" w:cs="Arial" w:eastAsia="Arial" w:hAnsi="Arial"/>
          <w:sz w:val="16"/>
          <w:szCs w:val="16"/>
          <w:color w:val="auto"/>
        </w:rPr>
        <w:t>The overarching complexity of privacy and data protection laws and regulations around the world pose a compliance challenge that could manifest in costs, damages, or liability in other forms as a result of failure to implement proper programmatic controls, failure to adhere to those controls, or the malicious or inadvertent breach of applicable privacy and data protection requirements by us, our employees, our business partners, or our customers.</w:t>
      </w:r>
    </w:p>
    <w:p>
      <w:pPr>
        <w:spacing w:after="0" w:line="148" w:lineRule="exact"/>
        <w:rPr>
          <w:sz w:val="20"/>
          <w:szCs w:val="20"/>
          <w:color w:val="auto"/>
        </w:rPr>
      </w:pPr>
    </w:p>
    <w:p>
      <w:pPr>
        <w:ind w:right="20" w:firstLine="322"/>
        <w:spacing w:after="0" w:line="299" w:lineRule="auto"/>
        <w:rPr>
          <w:sz w:val="20"/>
          <w:szCs w:val="20"/>
          <w:color w:val="auto"/>
        </w:rPr>
      </w:pPr>
      <w:r>
        <w:rPr>
          <w:rFonts w:ascii="Arial" w:cs="Arial" w:eastAsia="Arial" w:hAnsi="Arial"/>
          <w:sz w:val="16"/>
          <w:szCs w:val="16"/>
          <w:color w:val="auto"/>
        </w:rPr>
        <w:t>In addition to government regulation, self-regulatory standards and other industry standards may legally or contractually apply to us, be argued to apply to us, or we may elect to comply with such standards or to facilitate our customers’ compliance with such standards. Because privacy, data protection, and information security are critical competitive factors in our industry, we may make statements on our website, in marketing materials, or in other settings about our data security measures and our compliance with, or our ability to facilitate our customers’ compliance with, these standards.</w:t>
      </w:r>
    </w:p>
    <w:p>
      <w:pPr>
        <w:spacing w:after="0" w:line="157" w:lineRule="exact"/>
        <w:rPr>
          <w:sz w:val="20"/>
          <w:szCs w:val="20"/>
          <w:color w:val="auto"/>
        </w:rPr>
      </w:pPr>
    </w:p>
    <w:p>
      <w:pPr>
        <w:ind w:right="60" w:firstLine="322"/>
        <w:spacing w:after="0" w:line="285" w:lineRule="auto"/>
        <w:rPr>
          <w:sz w:val="20"/>
          <w:szCs w:val="20"/>
          <w:color w:val="auto"/>
        </w:rPr>
      </w:pPr>
      <w:r>
        <w:rPr>
          <w:rFonts w:ascii="Arial" w:cs="Arial" w:eastAsia="Arial" w:hAnsi="Arial"/>
          <w:sz w:val="16"/>
          <w:szCs w:val="16"/>
          <w:color w:val="auto"/>
        </w:rPr>
        <w:t>We also expect that there will continue to be new proposed laws and regulations concerning privacy, data protection, and information security, and we cannot yet determine the impact such future laws, regulations and standards, or amendments to or re-interpretations of existing laws and regulations, industry standards, or other obligations may have on our business. New laws, amendments to or re-interpretations of existing laws and regulations, industry standards, and contractual and other obligations may require us to incur additional costs and restrict our business operations. As these legal regimes relating to privacy, data protection, and information security continue to evolve, they may result in ever-increasing public scrutiny and escalating levels of enforcement and sanctions. Furthermore, because the interpretation and application of laws, standards, contractual obligations and other obligations relating to privacy, data protection, and information security are uncertain, these laws, standards, and contractual and other obligations may be interpreted and applied in a manner that is, or is alleged to be, inconsistent with our data management practices, our policies or procedures, or the features of our solutions. If so, in addition to the possibility of fines, lawsuits, and other claims, we could be required to fundamentally change our business activities and practices or modify our solutions, which could have an adverse effect on our business. We may be unable to make such changes and modifications in a commercially reasonable manner or at all, and our ability to fulfill existing obligations, make enhancements, or develop new solutions and features could be limited. Furthermore, the costs of compliance with, and other burdens imposed by, the laws, regulations, and policies that are applicable to the businesses of our customers may limit the use and adoption of, and reduce the overall demand for, our solutions.</w:t>
      </w:r>
    </w:p>
    <w:p>
      <w:pPr>
        <w:spacing w:after="0" w:line="166" w:lineRule="exact"/>
        <w:rPr>
          <w:sz w:val="20"/>
          <w:szCs w:val="20"/>
          <w:color w:val="auto"/>
        </w:rPr>
      </w:pPr>
    </w:p>
    <w:p>
      <w:pPr>
        <w:ind w:firstLine="322"/>
        <w:spacing w:after="0" w:line="268" w:lineRule="auto"/>
        <w:rPr>
          <w:sz w:val="20"/>
          <w:szCs w:val="20"/>
          <w:color w:val="auto"/>
        </w:rPr>
      </w:pPr>
      <w:r>
        <w:rPr>
          <w:rFonts w:ascii="Arial" w:cs="Arial" w:eastAsia="Arial" w:hAnsi="Arial"/>
          <w:sz w:val="17"/>
          <w:szCs w:val="17"/>
          <w:color w:val="auto"/>
        </w:rPr>
        <w:t>These existing and proposed laws and regulations can be costly to comply with and can make our solutions and services less effective or valuable, delay or impede the development of new products, result in negative publicity, increase our operating costs, require us to modify our data handling practices, limit our operations, impose substantial fines and penalties, require significant management time and attention, or put our data or technology at risk. Any failure or perceived failure by us or our solutions to comply with U.S., or applicable foreign laws, regulations, directives, policies, industry standards, or legal obligations relating to privacy, data protection, or information security, or any security incident that results in loss of or the unauthorized access to, or acquisition, use, release, or transfer of, personal information, personal data, or other customer or sensitive data or information may result in governmental investigations, inquiries, enforcement actions and prosecutions, private claims and litigation, indemnification or other contractual obligations, other remedies, including fines or demands that we modify or cease existing business practices, or adverse publicity, and related costs and liabilities, which could significantly and adversely affect our business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substantial oversight from federal agencies that have the authority to suspend our ability to bid on contracts</w:t>
      </w:r>
      <w:r>
        <w:rPr>
          <w:rFonts w:ascii="Arial" w:cs="Arial" w:eastAsia="Arial" w:hAnsi="Arial"/>
          <w:sz w:val="18"/>
          <w:szCs w:val="18"/>
          <w:i w:val="1"/>
          <w:iCs w:val="1"/>
          <w:color w:val="auto"/>
        </w:rPr>
        <w:t>.</w:t>
      </w:r>
    </w:p>
    <w:p>
      <w:pPr>
        <w:spacing w:after="0" w:line="222" w:lineRule="exact"/>
        <w:rPr>
          <w:sz w:val="20"/>
          <w:szCs w:val="20"/>
          <w:color w:val="auto"/>
        </w:rPr>
      </w:pPr>
    </w:p>
    <w:p>
      <w:pPr>
        <w:ind w:right="20" w:firstLine="322"/>
        <w:spacing w:after="0" w:line="253" w:lineRule="auto"/>
        <w:rPr>
          <w:sz w:val="20"/>
          <w:szCs w:val="20"/>
          <w:color w:val="auto"/>
        </w:rPr>
      </w:pPr>
      <w:r>
        <w:rPr>
          <w:rFonts w:ascii="Arial" w:cs="Arial" w:eastAsia="Arial" w:hAnsi="Arial"/>
          <w:sz w:val="18"/>
          <w:szCs w:val="18"/>
          <w:color w:val="auto"/>
        </w:rPr>
        <w:t>As a U.S. government contractor, we are subject to oversight by many agencies and entities of the U.S. government that may investigate and make inquiries of our business practices and conduct audits of contract performance and cost accounting. Depending on the results of any such audits and investigations, the U.S. government may make claims against us. Under U.S. government procurement regulations and practices, an indictment of a U.S. government contractor could result in that contractor being fined and/or suspended for a period of time from eligibility for bidding on, or for the award of, new U.S. government contracts. A conviction could result in debarment for a specified period of time. To the best of management’s knowledge, there are no pending investigations, inquiries, claims or audits against the Company likely to have a material adverse effect on our business or our consolidated results of operations, cash flows or financial position.</w:t>
      </w:r>
    </w:p>
    <w:p>
      <w:pPr>
        <w:spacing w:after="0" w:line="190"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and subject us to liability if we are not in full compliance with applicable laws.</w:t>
      </w:r>
    </w:p>
    <w:p>
      <w:pPr>
        <w:spacing w:after="0" w:line="172" w:lineRule="exact"/>
        <w:rPr>
          <w:sz w:val="20"/>
          <w:szCs w:val="20"/>
          <w:color w:val="auto"/>
        </w:rPr>
      </w:pPr>
    </w:p>
    <w:p>
      <w:pPr>
        <w:ind w:firstLine="322"/>
        <w:spacing w:after="0" w:line="253" w:lineRule="auto"/>
        <w:rPr>
          <w:sz w:val="20"/>
          <w:szCs w:val="20"/>
          <w:color w:val="auto"/>
        </w:rPr>
      </w:pPr>
      <w:r>
        <w:rPr>
          <w:rFonts w:ascii="Arial" w:cs="Arial" w:eastAsia="Arial" w:hAnsi="Arial"/>
          <w:sz w:val="18"/>
          <w:szCs w:val="18"/>
          <w:color w:val="auto"/>
        </w:rPr>
        <w:t>Some of our solutions are subject to export and import controls, including without limitation, the Department of State's Directorate of Defense Trade Controls, the Commerce Department’s Export Administration Regulations, U.S. Customs regulations and various economic and trade sanctions regulations established by the Treasury Department’s Office of Foreign Assets Control. If we fail to comply with these U.S. export control laws and import laws,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may be time-consuming, is not guaranteed and may result in the delay or loss of sales opportunities.</w:t>
      </w:r>
    </w:p>
    <w:p>
      <w:pPr>
        <w:spacing w:after="0" w:line="191" w:lineRule="exact"/>
        <w:rPr>
          <w:sz w:val="20"/>
          <w:szCs w:val="20"/>
          <w:color w:val="auto"/>
        </w:rPr>
      </w:pPr>
    </w:p>
    <w:p>
      <w:pPr>
        <w:ind w:right="20" w:firstLine="322"/>
        <w:spacing w:after="0" w:line="270" w:lineRule="auto"/>
        <w:rPr>
          <w:sz w:val="20"/>
          <w:szCs w:val="20"/>
          <w:color w:val="auto"/>
        </w:rPr>
      </w:pPr>
      <w:r>
        <w:rPr>
          <w:rFonts w:ascii="Arial" w:cs="Arial" w:eastAsia="Arial" w:hAnsi="Arial"/>
          <w:sz w:val="17"/>
          <w:szCs w:val="17"/>
          <w:color w:val="auto"/>
        </w:rPr>
        <w:t>Furthermore, the U.S. export control laws and economic sanctions laws prohibit the shipment of certain products and services to U.S. embargoed or sanctioned countries, governments and persons. Even though we take precautions to prevent our solutions from being provisioned or provided to U.S. sanctions targets in violation of applicable regulations, our solutions could be provisioned to those targets despite such precautions. Any such sales could have negative consequences, including government investigations, penalties and reputational harm. Changes in our solutions or changes in export and import regulations may create delays in the introduction, sale and deployment of our solutions in international markets or prevent the export or import of our solutions to certain countries, governments or persons altogether. Any decreased use of our solutions or limitation on our ability to export or sell our solutions may adversely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21" w:lineRule="exact"/>
        <w:rPr>
          <w:sz w:val="20"/>
          <w:szCs w:val="20"/>
          <w:color w:val="auto"/>
        </w:rPr>
      </w:pPr>
    </w:p>
    <w:p>
      <w:pPr>
        <w:ind w:right="660" w:firstLine="322"/>
        <w:spacing w:after="0" w:line="274" w:lineRule="auto"/>
        <w:rPr>
          <w:sz w:val="20"/>
          <w:szCs w:val="20"/>
          <w:color w:val="auto"/>
        </w:rPr>
      </w:pPr>
      <w:r>
        <w:rPr>
          <w:rFonts w:ascii="Arial" w:cs="Arial" w:eastAsia="Arial" w:hAnsi="Arial"/>
          <w:sz w:val="18"/>
          <w:szCs w:val="18"/>
          <w:color w:val="auto"/>
        </w:rPr>
        <w:t>We lease approximately 191,700 square feet of space for our corporate headquarters, integration facility, and primary service depot in Ashburn, Virginia. The lease expires in May 2029.</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lease additional office space in facilities located in Maryland and Nevada under various leases expiring through January 2024.</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current space is substantially adequate to meet our operating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21" w:lineRule="exact"/>
        <w:rPr>
          <w:sz w:val="20"/>
          <w:szCs w:val="20"/>
          <w:color w:val="auto"/>
        </w:rPr>
      </w:pPr>
    </w:p>
    <w:p>
      <w:pPr>
        <w:ind w:right="80" w:firstLine="322"/>
        <w:spacing w:after="0" w:line="274" w:lineRule="auto"/>
        <w:rPr>
          <w:sz w:val="20"/>
          <w:szCs w:val="20"/>
          <w:color w:val="auto"/>
        </w:rPr>
      </w:pPr>
      <w:r>
        <w:rPr>
          <w:rFonts w:ascii="Arial" w:cs="Arial" w:eastAsia="Arial" w:hAnsi="Arial"/>
          <w:sz w:val="18"/>
          <w:szCs w:val="18"/>
          <w:color w:val="auto"/>
        </w:rPr>
        <w:t>Information regarding legal proceedings may be found in Note 18 - Commitments, Contingencies and Subsequent Events to the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PART II</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33" w:lineRule="exact"/>
        <w:rPr>
          <w:sz w:val="20"/>
          <w:szCs w:val="20"/>
          <w:color w:val="auto"/>
        </w:rPr>
      </w:pPr>
    </w:p>
    <w:p>
      <w:pPr>
        <w:jc w:val="both"/>
        <w:ind w:right="220" w:firstLine="322"/>
        <w:spacing w:after="0" w:line="261" w:lineRule="auto"/>
        <w:rPr>
          <w:sz w:val="20"/>
          <w:szCs w:val="20"/>
          <w:color w:val="auto"/>
        </w:rPr>
      </w:pPr>
      <w:r>
        <w:rPr>
          <w:rFonts w:ascii="Arial" w:cs="Arial" w:eastAsia="Arial" w:hAnsi="Arial"/>
          <w:sz w:val="18"/>
          <w:szCs w:val="18"/>
          <w:color w:val="auto"/>
        </w:rPr>
        <w:t>Our common stock is traded on the Nasdaq Global Market under the symbol “TLS.” As of March 21, 2022, there were approximately 153 holders of record of Telos common stock. The number of shareholders of record of our common stock may not be representative of the number of beneficial owners due to shares that may be held by depositories, brokers or nominees.</w:t>
      </w:r>
    </w:p>
    <w:p>
      <w:pPr>
        <w:spacing w:after="0" w:line="184" w:lineRule="exact"/>
        <w:rPr>
          <w:sz w:val="20"/>
          <w:szCs w:val="20"/>
          <w:color w:val="auto"/>
        </w:rPr>
      </w:pPr>
    </w:p>
    <w:p>
      <w:pPr>
        <w:ind w:right="280" w:firstLine="322"/>
        <w:spacing w:after="0" w:line="274" w:lineRule="auto"/>
        <w:rPr>
          <w:sz w:val="20"/>
          <w:szCs w:val="20"/>
          <w:color w:val="auto"/>
        </w:rPr>
      </w:pPr>
      <w:r>
        <w:rPr>
          <w:rFonts w:ascii="Arial" w:cs="Arial" w:eastAsia="Arial" w:hAnsi="Arial"/>
          <w:sz w:val="18"/>
          <w:szCs w:val="18"/>
          <w:color w:val="auto"/>
        </w:rPr>
        <w:t>We did not sell any equity securities during the 12 months ended December 31, 2021, that were not registered under the Securities Act and were not previously disclosed on a Quarterly Report on Form 10-Q or a Current Report on Form 8-K.</w:t>
      </w:r>
    </w:p>
    <w:p>
      <w:pPr>
        <w:spacing w:after="0" w:line="172" w:lineRule="exact"/>
        <w:rPr>
          <w:sz w:val="20"/>
          <w:szCs w:val="20"/>
          <w:color w:val="auto"/>
        </w:rPr>
      </w:pPr>
    </w:p>
    <w:p>
      <w:pPr>
        <w:ind w:right="60" w:firstLine="322"/>
        <w:spacing w:after="0" w:line="274"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securities authorized for issuance under our stock-based compensation plan, see </w:t>
      </w:r>
      <w:hyperlink w:anchor="page77">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Stock-Based Compensation to the Consolidated Financial Statements contained in Item 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2"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of our filings under the Securities Act or the Exchange Act.</w:t>
      </w:r>
    </w:p>
    <w:p>
      <w:pPr>
        <w:spacing w:after="0" w:line="184" w:lineRule="exact"/>
        <w:rPr>
          <w:sz w:val="20"/>
          <w:szCs w:val="20"/>
          <w:color w:val="auto"/>
        </w:rPr>
      </w:pPr>
    </w:p>
    <w:p>
      <w:pPr>
        <w:ind w:firstLine="322"/>
        <w:spacing w:after="0" w:line="255" w:lineRule="auto"/>
        <w:rPr>
          <w:sz w:val="20"/>
          <w:szCs w:val="20"/>
          <w:color w:val="auto"/>
        </w:rPr>
      </w:pPr>
      <w:r>
        <w:rPr>
          <w:rFonts w:ascii="Arial" w:cs="Arial" w:eastAsia="Arial" w:hAnsi="Arial"/>
          <w:sz w:val="18"/>
          <w:szCs w:val="18"/>
          <w:color w:val="auto"/>
        </w:rPr>
        <w:t>The following graph compares the total cumulative return to stockholders on our common stock since our IPO price of $17.00 on November 19, 2020 (the date our common stock commenced trading on the NASDAQ National Market) to two indices: (i) the Standard &amp; Poor’s 500 Index, and (ii) the Russell 2000 Index. An investment of $100 (with reinvestment of all dividends) is assumed to have been made in our common stock and in each index at the market close on November 18, 2020, and its relative performance is tracked through December 31, 2021. The returns shown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128905</wp:posOffset>
            </wp:positionV>
            <wp:extent cx="4210050" cy="2539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10050"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21" w:lineRule="exact"/>
        <w:rPr>
          <w:sz w:val="20"/>
          <w:szCs w:val="20"/>
          <w:color w:val="auto"/>
        </w:rPr>
      </w:pPr>
    </w:p>
    <w:p>
      <w:pPr>
        <w:ind w:right="160"/>
        <w:spacing w:after="0" w:line="271" w:lineRule="auto"/>
        <w:rPr>
          <w:rFonts w:ascii="Arial" w:cs="Arial" w:eastAsia="Arial" w:hAnsi="Arial"/>
          <w:sz w:val="17"/>
          <w:szCs w:val="17"/>
          <w:i w:val="1"/>
          <w:iCs w:val="1"/>
          <w:color w:val="0000FF"/>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the related notes to consolidated financial statements included in Part II, Item 8 of this Annual Report on Form 10-K, ("10-K"). In addition to historical financial information, the following discussion and analysis contains forward-looking statements that involve risks, uncertainties and assumptions. Our actual results and timing of selected events in future periods may differ materially from those anticipated or implied in these forward-</w:t>
      </w:r>
      <w:hyperlink w:anchor="page2">
        <w:r>
          <w:rPr>
            <w:rFonts w:ascii="Arial" w:cs="Arial" w:eastAsia="Arial" w:hAnsi="Arial"/>
            <w:sz w:val="17"/>
            <w:szCs w:val="17"/>
            <w:i w:val="1"/>
            <w:iCs w:val="1"/>
            <w:color w:val="auto"/>
          </w:rPr>
          <w:t>looking statements as a result of many factors, including those discussed under Item 1A, "</w:t>
        </w:r>
        <w:r>
          <w:rPr>
            <w:rFonts w:ascii="Arial" w:cs="Arial" w:eastAsia="Arial" w:hAnsi="Arial"/>
            <w:sz w:val="17"/>
            <w:szCs w:val="17"/>
            <w:i w:val="1"/>
            <w:iCs w:val="1"/>
            <w:u w:val="single" w:color="auto"/>
            <w:color w:val="0000FF"/>
          </w:rPr>
          <w:t>Risk Factors</w:t>
        </w:r>
        <w:r>
          <w:rPr>
            <w:rFonts w:ascii="Arial" w:cs="Arial" w:eastAsia="Arial" w:hAnsi="Arial"/>
            <w:sz w:val="17"/>
            <w:szCs w:val="17"/>
            <w:i w:val="1"/>
            <w:iCs w:val="1"/>
            <w:color w:val="auto"/>
          </w:rPr>
          <w:t>," and elsewhere in this 10-K. See also "</w:t>
        </w:r>
        <w:r>
          <w:rPr>
            <w:rFonts w:ascii="Arial" w:cs="Arial" w:eastAsia="Arial" w:hAnsi="Arial"/>
            <w:sz w:val="17"/>
            <w:szCs w:val="17"/>
            <w:i w:val="1"/>
            <w:iCs w:val="1"/>
            <w:u w:val="single" w:color="auto"/>
            <w:color w:val="0000FF"/>
          </w:rPr>
          <w:t>Cautionary</w:t>
        </w:r>
      </w:hyperlink>
      <w:r>
        <w:rPr>
          <w:rFonts w:ascii="Arial" w:cs="Arial" w:eastAsia="Arial" w:hAnsi="Arial"/>
          <w:sz w:val="17"/>
          <w:szCs w:val="17"/>
          <w:i w:val="1"/>
          <w:iCs w:val="1"/>
          <w:color w:val="auto"/>
        </w:rPr>
        <w:t xml:space="preserve"> </w:t>
      </w:r>
      <w:hyperlink w:anchor="page2">
        <w:r>
          <w:rPr>
            <w:rFonts w:ascii="Arial" w:cs="Arial" w:eastAsia="Arial" w:hAnsi="Arial"/>
            <w:sz w:val="17"/>
            <w:szCs w:val="17"/>
            <w:i w:val="1"/>
            <w:iCs w:val="1"/>
            <w:u w:val="single" w:color="auto"/>
            <w:color w:val="0000FF"/>
          </w:rPr>
          <w:t>Note Regarding Forward-Looking Statements</w:t>
        </w:r>
        <w:r>
          <w:rPr>
            <w:rFonts w:ascii="Arial" w:cs="Arial" w:eastAsia="Arial" w:hAnsi="Arial"/>
            <w:sz w:val="17"/>
            <w:szCs w:val="17"/>
            <w:i w:val="1"/>
            <w:iCs w:val="1"/>
            <w:color w:val="000000"/>
          </w:rPr>
          <w:t>" at the beginning of this 10-K.</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26" w:lineRule="exact"/>
        <w:rPr>
          <w:sz w:val="20"/>
          <w:szCs w:val="20"/>
          <w:color w:val="auto"/>
        </w:rPr>
      </w:pPr>
    </w:p>
    <w:p>
      <w:pPr>
        <w:ind w:right="20" w:firstLine="322"/>
        <w:spacing w:after="0" w:line="255" w:lineRule="auto"/>
        <w:rPr>
          <w:sz w:val="20"/>
          <w:szCs w:val="20"/>
          <w:color w:val="auto"/>
        </w:rPr>
      </w:pPr>
      <w:r>
        <w:rPr>
          <w:rFonts w:ascii="Arial" w:cs="Arial" w:eastAsia="Arial" w:hAnsi="Arial"/>
          <w:sz w:val="18"/>
          <w:szCs w:val="18"/>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189" w:lineRule="exact"/>
        <w:rPr>
          <w:sz w:val="20"/>
          <w:szCs w:val="20"/>
          <w:color w:val="auto"/>
        </w:rPr>
      </w:pPr>
    </w:p>
    <w:p>
      <w:pPr>
        <w:ind w:right="160" w:firstLine="322"/>
        <w:spacing w:after="0" w:line="309" w:lineRule="auto"/>
        <w:rPr>
          <w:sz w:val="20"/>
          <w:szCs w:val="20"/>
          <w:color w:val="auto"/>
        </w:rPr>
      </w:pPr>
      <w:r>
        <w:rPr>
          <w:rFonts w:ascii="Arial" w:cs="Arial" w:eastAsia="Arial" w:hAnsi="Arial"/>
          <w:sz w:val="16"/>
          <w:szCs w:val="16"/>
          <w:color w:val="auto"/>
        </w:rPr>
        <w:t>For an overview of our operating segments, including a discussion of our major products and services and the reorganization of our segments into two operating segments, see our business segment discussion contained in Item 1. The segment information presented in this management's discussion and analysis for fiscal years 2020 and 2019 has been restated to conform with the changes to our operating structure in fiscal year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86" w:lineRule="exact"/>
        <w:rPr>
          <w:sz w:val="20"/>
          <w:szCs w:val="20"/>
          <w:color w:val="auto"/>
        </w:rPr>
      </w:pPr>
    </w:p>
    <w:p>
      <w:pPr>
        <w:ind w:right="20" w:firstLine="322"/>
        <w:spacing w:after="0" w:line="261" w:lineRule="auto"/>
        <w:rPr>
          <w:sz w:val="20"/>
          <w:szCs w:val="20"/>
          <w:color w:val="auto"/>
        </w:rPr>
      </w:pPr>
      <w:r>
        <w:rPr>
          <w:rFonts w:ascii="Arial" w:cs="Arial" w:eastAsia="Arial" w:hAnsi="Arial"/>
          <w:sz w:val="18"/>
          <w:szCs w:val="18"/>
          <w:color w:val="auto"/>
        </w:rPr>
        <w:t>Our business performance continues to be heavily affected by the overall level of U.S. government spending and the alignment of our solutions with the priorities of the U.S. government. U.S. government spending and contracts continue to be affected by the federal budget and appropriations process and related legislation.</w:t>
      </w:r>
    </w:p>
    <w:p>
      <w:pPr>
        <w:spacing w:after="0" w:line="157" w:lineRule="exact"/>
        <w:rPr>
          <w:sz w:val="20"/>
          <w:szCs w:val="20"/>
          <w:color w:val="auto"/>
        </w:rPr>
      </w:pPr>
    </w:p>
    <w:p>
      <w:pPr>
        <w:ind w:right="120" w:firstLine="322"/>
        <w:spacing w:after="0" w:line="255" w:lineRule="auto"/>
        <w:rPr>
          <w:sz w:val="20"/>
          <w:szCs w:val="20"/>
          <w:color w:val="auto"/>
        </w:rPr>
      </w:pPr>
      <w:r>
        <w:rPr>
          <w:rFonts w:ascii="Arial" w:cs="Arial" w:eastAsia="Arial" w:hAnsi="Arial"/>
          <w:sz w:val="18"/>
          <w:szCs w:val="18"/>
          <w:color w:val="auto"/>
        </w:rPr>
        <w:t>In fiscal years 2020 and 2021, the COVID-19 pandemic and associated economic dislocation in the United States resulted in an overwhelming federal response, including enactment of multiple significant and comprehensive emergency appropriations and economic stimulus measures. These were in addition to the annual appropriations legislation for FY 2021, which was not enacted into law until late December 2020. This was nearly three months after the beginning of the fiscal year, during which time the government operated under a series of Continuing Resolutions ("CRs"), which strictly limited new spending initiatives.</w:t>
      </w:r>
    </w:p>
    <w:p>
      <w:pPr>
        <w:spacing w:after="0" w:line="149" w:lineRule="exact"/>
        <w:rPr>
          <w:sz w:val="20"/>
          <w:szCs w:val="20"/>
          <w:color w:val="auto"/>
        </w:rPr>
      </w:pPr>
    </w:p>
    <w:p>
      <w:pPr>
        <w:ind w:firstLine="322"/>
        <w:spacing w:after="0" w:line="271" w:lineRule="auto"/>
        <w:rPr>
          <w:sz w:val="20"/>
          <w:szCs w:val="20"/>
          <w:color w:val="auto"/>
        </w:rPr>
      </w:pPr>
      <w:r>
        <w:rPr>
          <w:rFonts w:ascii="Arial" w:cs="Arial" w:eastAsia="Arial" w:hAnsi="Arial"/>
          <w:sz w:val="17"/>
          <w:szCs w:val="17"/>
          <w:color w:val="auto"/>
        </w:rPr>
        <w:t>Due to delays again this year in the passage of FY 2022 appropriations legislation, the federal government had been operating since October 1, 2021 under the terms of another series of CRs, which limited spending to the prior year’s funding levels and generally prohibited new spending initiatives and contract starts. But Congress finally reached agreement in March on FY 2022 appropriations legislation, which will allow our federal customers to finally operate under more normal conditions and with updated funding levels through the remainder of fiscal year 2022. Of note, the final FY 2022 appropriations bill provides $728.5 billion for the Department of Defense and related activities. This amount is $32.5 billion more than the FY 2021 enacted level, and is an increase above the level proposed last spring by President Biden for FY 2022.</w:t>
      </w:r>
    </w:p>
    <w:p>
      <w:pPr>
        <w:spacing w:after="0" w:line="179" w:lineRule="exact"/>
        <w:rPr>
          <w:sz w:val="20"/>
          <w:szCs w:val="20"/>
          <w:color w:val="auto"/>
        </w:rPr>
      </w:pPr>
    </w:p>
    <w:p>
      <w:pPr>
        <w:ind w:right="60" w:firstLine="322"/>
        <w:spacing w:after="0" w:line="261" w:lineRule="auto"/>
        <w:rPr>
          <w:sz w:val="20"/>
          <w:szCs w:val="20"/>
          <w:color w:val="auto"/>
        </w:rPr>
      </w:pPr>
      <w:r>
        <w:rPr>
          <w:rFonts w:ascii="Arial" w:cs="Arial" w:eastAsia="Arial" w:hAnsi="Arial"/>
          <w:sz w:val="18"/>
          <w:szCs w:val="18"/>
          <w:color w:val="auto"/>
        </w:rPr>
        <w:t>This delay in enacting final FY 2022 appropriations legislation has postponed submission to Congress of the President’s FY 2023 budget request, and could delay the congressional budget and appropriations process for the next fiscal year. These delays could, in turn, impact future planning by Telos and its government customers.</w:t>
      </w:r>
    </w:p>
    <w:p>
      <w:pPr>
        <w:spacing w:after="0" w:line="184" w:lineRule="exact"/>
        <w:rPr>
          <w:sz w:val="20"/>
          <w:szCs w:val="20"/>
          <w:color w:val="auto"/>
        </w:rPr>
      </w:pPr>
    </w:p>
    <w:p>
      <w:pPr>
        <w:ind w:right="480" w:firstLine="322"/>
        <w:spacing w:after="0" w:line="309" w:lineRule="auto"/>
        <w:rPr>
          <w:sz w:val="20"/>
          <w:szCs w:val="20"/>
          <w:color w:val="auto"/>
        </w:rPr>
      </w:pPr>
      <w:r>
        <w:rPr>
          <w:rFonts w:ascii="Arial" w:cs="Arial" w:eastAsia="Arial" w:hAnsi="Arial"/>
          <w:sz w:val="16"/>
          <w:szCs w:val="16"/>
          <w:color w:val="auto"/>
        </w:rPr>
        <w:t>In November 2021, Congress gave final approval to and the President signed into law a multi-year, $1.2 trillion infrastructure package, the Infrastructure Investment and Jobs Act, which contains a number of provisions dealing with cybersecurity and provides funding for state and local government cybersecurity grant. We believe these provisions could ultimately result in an increased need for solutions and services provided by Telos.</w:t>
      </w:r>
    </w:p>
    <w:p>
      <w:pPr>
        <w:spacing w:after="0" w:line="148" w:lineRule="exact"/>
        <w:rPr>
          <w:sz w:val="20"/>
          <w:szCs w:val="20"/>
          <w:color w:val="auto"/>
        </w:rPr>
      </w:pPr>
    </w:p>
    <w:p>
      <w:pPr>
        <w:ind w:right="200" w:firstLine="322"/>
        <w:spacing w:after="0" w:line="284" w:lineRule="auto"/>
        <w:rPr>
          <w:sz w:val="20"/>
          <w:szCs w:val="20"/>
          <w:color w:val="auto"/>
        </w:rPr>
      </w:pPr>
      <w:r>
        <w:rPr>
          <w:rFonts w:ascii="Arial" w:cs="Arial" w:eastAsia="Arial" w:hAnsi="Arial"/>
          <w:sz w:val="17"/>
          <w:szCs w:val="17"/>
          <w:color w:val="auto"/>
        </w:rPr>
        <w:t>At the same time, such large increases in federal spending, following the enormous emergency spending packages during the pandemic and their resulting increases in the budget deficit will necessarily factor into future federal budget planning and spending decisions, affecting to an unknown degree the government contracts that we hold and the federal procurement for which we would otherwise compete.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firstLine="322"/>
        <w:spacing w:after="0" w:line="271" w:lineRule="auto"/>
        <w:rPr>
          <w:sz w:val="20"/>
          <w:szCs w:val="20"/>
          <w:color w:val="auto"/>
        </w:rPr>
      </w:pPr>
      <w:r>
        <w:rPr>
          <w:rFonts w:ascii="Arial" w:cs="Arial" w:eastAsia="Arial" w:hAnsi="Arial"/>
          <w:sz w:val="17"/>
          <w:szCs w:val="17"/>
          <w:color w:val="auto"/>
        </w:rPr>
        <w:t>Despite the pandemic’s resultant massive shift to teleworking by federal employees and contractors, the government has successfully maintained the continuity of services as has Telos. More recently, as the government has proceeded to develop and implement its reopening process, and to make adjustments based on changing circumstances, officials have said they will seek to continue to maximize the use of teleworking by federal employees. This stance has continued during the most recent, renewed surge of COVID-19 variant transmission. As such, with much of the business of government still being conducted by federal employees working remotely through the use of information technology systems, we believe there will continue to be a need on the part of the government for the types of solutions and services provided by Telos.</w:t>
      </w:r>
    </w:p>
    <w:p>
      <w:pPr>
        <w:spacing w:after="0" w:line="179" w:lineRule="exact"/>
        <w:rPr>
          <w:sz w:val="20"/>
          <w:szCs w:val="20"/>
          <w:color w:val="auto"/>
        </w:rPr>
      </w:pPr>
    </w:p>
    <w:p>
      <w:pPr>
        <w:ind w:firstLine="322"/>
        <w:spacing w:after="0" w:line="271" w:lineRule="auto"/>
        <w:rPr>
          <w:sz w:val="20"/>
          <w:szCs w:val="20"/>
          <w:color w:val="auto"/>
        </w:rPr>
      </w:pPr>
      <w:r>
        <w:rPr>
          <w:rFonts w:ascii="Arial" w:cs="Arial" w:eastAsia="Arial" w:hAnsi="Arial"/>
          <w:sz w:val="17"/>
          <w:szCs w:val="17"/>
          <w:color w:val="auto"/>
        </w:rPr>
        <w:t>President Biden’s May 12, 2021 Executive Order on “Improving the Nation’s Cybersecurity” acknowledged the severity and scope of the cybersecurity challenges facing the public and private sectors, the American people and our economy. It gave the following direction for federal departments and agencies to modernize government cybersecurity: move more rapidly to adopt secure cloud services; adopt multi-factor authentication; push for increased use of zero trust architecture; and improve the security and integrity of the software supply chain, with a priority on addressing critical software. The executive order also called for improving communications with cloud service providers through automation and standardization of messages at each stage of the FedRAMP process, and for other changes in an effort to accelerate and improve the process.</w:t>
      </w:r>
    </w:p>
    <w:p>
      <w:pPr>
        <w:spacing w:after="0" w:line="179" w:lineRule="exact"/>
        <w:rPr>
          <w:sz w:val="20"/>
          <w:szCs w:val="20"/>
          <w:color w:val="auto"/>
        </w:rPr>
      </w:pPr>
    </w:p>
    <w:p>
      <w:pPr>
        <w:ind w:right="420" w:firstLine="322"/>
        <w:spacing w:after="0" w:line="261" w:lineRule="auto"/>
        <w:rPr>
          <w:sz w:val="20"/>
          <w:szCs w:val="20"/>
          <w:color w:val="auto"/>
        </w:rPr>
      </w:pPr>
      <w:r>
        <w:rPr>
          <w:rFonts w:ascii="Arial" w:cs="Arial" w:eastAsia="Arial" w:hAnsi="Arial"/>
          <w:sz w:val="18"/>
          <w:szCs w:val="18"/>
          <w:color w:val="auto"/>
        </w:rPr>
        <w:t>Subsequently, federal agencies, including the Cybersecurity &amp; Infrastructure Security Agency ("CISA") and the TSA, which have specific responsibilities for various aspects of government and private sector cybersecurity, have taken steps to enhance public sector and critical infrastructure cybersecurity and to accelerate adoption of zero trust architecture throughout the federal government.</w:t>
      </w:r>
    </w:p>
    <w:p>
      <w:pPr>
        <w:spacing w:after="0" w:line="184" w:lineRule="exact"/>
        <w:rPr>
          <w:sz w:val="20"/>
          <w:szCs w:val="20"/>
          <w:color w:val="auto"/>
        </w:rPr>
      </w:pPr>
    </w:p>
    <w:p>
      <w:pPr>
        <w:ind w:right="20" w:firstLine="322"/>
        <w:spacing w:after="0" w:line="255" w:lineRule="auto"/>
        <w:rPr>
          <w:sz w:val="20"/>
          <w:szCs w:val="20"/>
          <w:color w:val="auto"/>
        </w:rPr>
      </w:pPr>
      <w:r>
        <w:rPr>
          <w:rFonts w:ascii="Arial" w:cs="Arial" w:eastAsia="Arial" w:hAnsi="Arial"/>
          <w:sz w:val="18"/>
          <w:szCs w:val="18"/>
          <w:color w:val="auto"/>
        </w:rPr>
        <w:t>Pursuant to the cybersecurity executive order, the Biden Administration is putting emphasis on greater use of automation in the FedRAMP process, and on supply chain risk management, which are also focus areas for Telos. NIST is developing a Ransomware profile, based on the NIST Cybersecurity Framework, which is specifically intended to help organizations manage ransomware-related risk, and Telos solutions will support this. Finally on FedRAMP, this process is now being adopted at the state level, and we believe this StateRAMP effort will expand the market for Telos’ FedRAMP offerings.</w:t>
      </w:r>
    </w:p>
    <w:p>
      <w:pPr>
        <w:spacing w:after="0" w:line="189" w:lineRule="exact"/>
        <w:rPr>
          <w:sz w:val="20"/>
          <w:szCs w:val="20"/>
          <w:color w:val="auto"/>
        </w:rPr>
      </w:pPr>
    </w:p>
    <w:p>
      <w:pPr>
        <w:ind w:right="40" w:firstLine="322"/>
        <w:spacing w:after="0" w:line="253" w:lineRule="auto"/>
        <w:rPr>
          <w:sz w:val="20"/>
          <w:szCs w:val="20"/>
          <w:color w:val="auto"/>
        </w:rPr>
      </w:pPr>
      <w:r>
        <w:rPr>
          <w:rFonts w:ascii="Arial" w:cs="Arial" w:eastAsia="Arial" w:hAnsi="Arial"/>
          <w:sz w:val="18"/>
          <w:szCs w:val="18"/>
          <w:color w:val="auto"/>
        </w:rPr>
        <w:t>Also to carry out that executive order, CISA last fall issued a draft of its Zero Trust Maturity Model to serve as a road map for agencies as they develop and implement zero trust architecture. Subsequently, the Office of Management and Budget on January 26, 2022 released its final Zero Trust Architecture Strategy for federal agencies, the goals of which are organized using CISA’s Zero Trust Maturity Model. Agencies will be required to meet specific zero trust security goals by the end of FY 2024, and they must develop, within 60 days of the strategy’s issuance, zero trust migration plans that meet the requirements of this strategy and include budget planning for those efforts. Further, CISA has indicated it intends to update its draft Zero Trust Maturity Model in order to better align programs and services, including its Continuous Diagnostics and Mitigation ("CDM") program, with government-wide adoption of zero-trust security architectures in 2022.</w:t>
      </w:r>
    </w:p>
    <w:p>
      <w:pPr>
        <w:spacing w:after="0" w:line="190" w:lineRule="exact"/>
        <w:rPr>
          <w:sz w:val="20"/>
          <w:szCs w:val="20"/>
          <w:color w:val="auto"/>
        </w:rPr>
      </w:pPr>
    </w:p>
    <w:p>
      <w:pPr>
        <w:ind w:right="80" w:firstLine="322"/>
        <w:spacing w:after="0" w:line="261" w:lineRule="auto"/>
        <w:rPr>
          <w:sz w:val="20"/>
          <w:szCs w:val="20"/>
          <w:color w:val="auto"/>
        </w:rPr>
      </w:pPr>
      <w:r>
        <w:rPr>
          <w:rFonts w:ascii="Arial" w:cs="Arial" w:eastAsia="Arial" w:hAnsi="Arial"/>
          <w:sz w:val="18"/>
          <w:szCs w:val="18"/>
          <w:color w:val="auto"/>
        </w:rPr>
        <w:t>In addition, a national security memorandum signed by President Biden on January 19, 2022 established guidelines for applying parts of his May 2021 cybersecurity executive order to the national security systems of the Defense Department and Intelligence Community, including pushing for adoption of zero trust architecture and other cybersecurity improvements.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Landscape</w:t>
      </w:r>
    </w:p>
    <w:p>
      <w:pPr>
        <w:spacing w:after="0" w:line="222" w:lineRule="exact"/>
        <w:rPr>
          <w:sz w:val="20"/>
          <w:szCs w:val="20"/>
          <w:color w:val="auto"/>
        </w:rPr>
      </w:pPr>
    </w:p>
    <w:p>
      <w:pPr>
        <w:ind w:firstLine="322"/>
        <w:spacing w:after="0" w:line="309" w:lineRule="auto"/>
        <w:rPr>
          <w:sz w:val="20"/>
          <w:szCs w:val="20"/>
          <w:color w:val="auto"/>
        </w:rPr>
      </w:pPr>
      <w:r>
        <w:rPr>
          <w:rFonts w:ascii="Arial" w:cs="Arial" w:eastAsia="Arial" w:hAnsi="Arial"/>
          <w:sz w:val="16"/>
          <w:szCs w:val="16"/>
          <w:color w:val="auto"/>
        </w:rPr>
        <w:t>Over the past few years, continued and increasingly damaging ransomware and other cyberattacks against federal, state and local governments, the K-12 and higher education sectors, and private sector enterprises have resulted in intensified efforts to better defend against such attacks. The growing demand for these solutions continues to provide Telos with the privilege of offering our expertise to protect these vitally important organizations.</w:t>
      </w:r>
    </w:p>
    <w:p>
      <w:pPr>
        <w:spacing w:after="0" w:line="148" w:lineRule="exact"/>
        <w:rPr>
          <w:sz w:val="20"/>
          <w:szCs w:val="20"/>
          <w:color w:val="auto"/>
        </w:rPr>
      </w:pPr>
    </w:p>
    <w:p>
      <w:pPr>
        <w:ind w:right="20" w:firstLine="322"/>
        <w:spacing w:after="0" w:line="257" w:lineRule="auto"/>
        <w:rPr>
          <w:sz w:val="20"/>
          <w:szCs w:val="20"/>
          <w:color w:val="auto"/>
        </w:rPr>
      </w:pPr>
      <w:r>
        <w:rPr>
          <w:rFonts w:ascii="Arial" w:cs="Arial" w:eastAsia="Arial" w:hAnsi="Arial"/>
          <w:sz w:val="18"/>
          <w:szCs w:val="18"/>
          <w:color w:val="auto"/>
        </w:rPr>
        <w:t>Ransomware remains arguably the most severe cyber threat to enterprises in the commercial and SLED sectors. Our Xacta offering empowers these organizations and institutions to maintain a strong cyber risk posture to minimize the risk of ransomware gaining a foothold in their IT environment. Should ransomware get loose in the enterprise network, Telos Ghost, our virtual obfuscation network offering, can hide vital resources from view to prevent the payload from reaching them.</w:t>
      </w:r>
    </w:p>
    <w:p>
      <w:pPr>
        <w:spacing w:after="0" w:line="187" w:lineRule="exact"/>
        <w:rPr>
          <w:sz w:val="20"/>
          <w:szCs w:val="20"/>
          <w:color w:val="auto"/>
        </w:rPr>
      </w:pPr>
    </w:p>
    <w:p>
      <w:pPr>
        <w:ind w:right="20" w:firstLine="322"/>
        <w:spacing w:after="0" w:line="257" w:lineRule="auto"/>
        <w:rPr>
          <w:sz w:val="20"/>
          <w:szCs w:val="20"/>
          <w:color w:val="auto"/>
        </w:rPr>
      </w:pPr>
      <w:r>
        <w:rPr>
          <w:rFonts w:ascii="Arial" w:cs="Arial" w:eastAsia="Arial" w:hAnsi="Arial"/>
          <w:sz w:val="18"/>
          <w:szCs w:val="18"/>
          <w:color w:val="auto"/>
        </w:rPr>
        <w:t>Critical infrastructure and industrial IoT are among the categories at greatest risk of cyberattacks. Energy, utilities, transportation, and food supply were among the critical infrastructure sectors that experienced high-profile breaches or ransomware attacks over the past year. Telos Ghost can hide critical IoT and ICS from the public internet to keep them from being compromised. Telos Ghost can also cordon off financial data, medical records, intellectual property, and other crown-jewel assets from visibility or accessibility by adversaries.</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322"/>
        <w:spacing w:after="0" w:line="254" w:lineRule="auto"/>
        <w:rPr>
          <w:sz w:val="20"/>
          <w:szCs w:val="20"/>
          <w:color w:val="auto"/>
        </w:rPr>
      </w:pPr>
      <w:r>
        <w:rPr>
          <w:rFonts w:ascii="Arial" w:cs="Arial" w:eastAsia="Arial" w:hAnsi="Arial"/>
          <w:sz w:val="18"/>
          <w:szCs w:val="18"/>
          <w:color w:val="auto"/>
        </w:rPr>
        <w:t>Telos Ghost is a complement to zero trust security, creating an additional layer of defense against intruders by hiding critical resources and users in an anonymous undiscoverable network. As noted above, it protects the crown-jewel assets of critical infrastructure from unauthorized access. Xacta streamlines and automates the critical processes of the leading cybersecurity standards and frameworks, in particular FedRAMP, allowing all process participants to collaborate within the same Xacta application to attain a FedRAMP Authority to Operate. Xacta is also a trailblazer in adopting the Open Security Controls Assessment Language, a multi-format framework adopted by FedRAMP to allow security professionals to automate security assessment, auditing, and continuous monitoring processes.</w:t>
      </w:r>
    </w:p>
    <w:p>
      <w:pPr>
        <w:spacing w:after="0" w:line="189" w:lineRule="exact"/>
        <w:rPr>
          <w:sz w:val="20"/>
          <w:szCs w:val="20"/>
          <w:color w:val="auto"/>
        </w:rPr>
      </w:pPr>
    </w:p>
    <w:p>
      <w:pPr>
        <w:ind w:right="40" w:firstLine="322"/>
        <w:spacing w:after="0" w:line="299" w:lineRule="auto"/>
        <w:rPr>
          <w:sz w:val="20"/>
          <w:szCs w:val="20"/>
          <w:color w:val="auto"/>
        </w:rPr>
      </w:pPr>
      <w:r>
        <w:rPr>
          <w:rFonts w:ascii="Arial" w:cs="Arial" w:eastAsia="Arial" w:hAnsi="Arial"/>
          <w:sz w:val="16"/>
          <w:szCs w:val="16"/>
          <w:color w:val="auto"/>
        </w:rPr>
        <w:t>The Cyber Incident Reporting for Critical Infrastructure Act of 2022, which was signed into law March 15, will require critical infrastructure owners and operators as well as federal agencies to report to CISA significant cyber incidents within 72 hours and any ransomware payments made within 24 hours. Telos believes that such threat of having to make such disclosures will make organizations even more sensitive to boosting their cybersecurity posture, and that our Xacta solution will help illuminate their risk profile so that they can better understand the issues and address those issues proactively.</w:t>
      </w:r>
    </w:p>
    <w:p>
      <w:pPr>
        <w:spacing w:after="0" w:line="157" w:lineRule="exact"/>
        <w:rPr>
          <w:sz w:val="20"/>
          <w:szCs w:val="20"/>
          <w:color w:val="auto"/>
        </w:rPr>
      </w:pPr>
    </w:p>
    <w:p>
      <w:pPr>
        <w:ind w:right="120" w:firstLine="322"/>
        <w:spacing w:after="0" w:line="255" w:lineRule="auto"/>
        <w:rPr>
          <w:sz w:val="20"/>
          <w:szCs w:val="20"/>
          <w:color w:val="auto"/>
        </w:rPr>
      </w:pPr>
      <w:r>
        <w:rPr>
          <w:rFonts w:ascii="Arial" w:cs="Arial" w:eastAsia="Arial" w:hAnsi="Arial"/>
          <w:sz w:val="18"/>
          <w:szCs w:val="18"/>
          <w:color w:val="auto"/>
        </w:rPr>
        <w:t>Government mandates and initiatives to assure stronger security in highly regulated industries, as noted above, also lead to opportunities for Xacta. An update to the research study Telos conducted last year reveals that audit fatigue continues to burden these organizations, with automation solutions being recognized as the most effective remedy for the many repetitive and redundant tasks that security compliance requires. Xacta streamlines, harmonizes, and automates the security controls and processes that comprise the leading cybersecurity standards and frameworks, in on-premises, cloud, hybrid, and multi-cloud environments.</w:t>
      </w:r>
    </w:p>
    <w:p>
      <w:pPr>
        <w:spacing w:after="0" w:line="189" w:lineRule="exact"/>
        <w:rPr>
          <w:sz w:val="20"/>
          <w:szCs w:val="20"/>
          <w:color w:val="auto"/>
        </w:rPr>
      </w:pPr>
    </w:p>
    <w:p>
      <w:pPr>
        <w:ind w:right="220" w:firstLine="322"/>
        <w:spacing w:after="0" w:line="257" w:lineRule="auto"/>
        <w:rPr>
          <w:sz w:val="20"/>
          <w:szCs w:val="20"/>
          <w:color w:val="auto"/>
        </w:rPr>
      </w:pPr>
      <w:r>
        <w:rPr>
          <w:rFonts w:ascii="Arial" w:cs="Arial" w:eastAsia="Arial" w:hAnsi="Arial"/>
          <w:sz w:val="18"/>
          <w:szCs w:val="18"/>
          <w:color w:val="auto"/>
        </w:rPr>
        <w:t>The Securities and Exchange Commission has also recently proposed new, mandatory cyber risk management and cybersecurity incident reporting requirements for publicly traded companies. Telos believes this will make sure companies have in place a sound cyber risk management strategy based on recognized best practices, such as the National Institute of Standards and Technology Cybersecurity Framework (NIST CSF), and Telos solutions will support this.</w:t>
      </w:r>
    </w:p>
    <w:p>
      <w:pPr>
        <w:spacing w:after="0" w:line="187" w:lineRule="exact"/>
        <w:rPr>
          <w:sz w:val="20"/>
          <w:szCs w:val="20"/>
          <w:color w:val="auto"/>
        </w:rPr>
      </w:pPr>
    </w:p>
    <w:p>
      <w:pPr>
        <w:ind w:right="140" w:firstLine="322"/>
        <w:spacing w:after="0" w:line="255" w:lineRule="auto"/>
        <w:rPr>
          <w:sz w:val="20"/>
          <w:szCs w:val="20"/>
          <w:color w:val="auto"/>
        </w:rPr>
      </w:pPr>
      <w:r>
        <w:rPr>
          <w:rFonts w:ascii="Arial" w:cs="Arial" w:eastAsia="Arial" w:hAnsi="Arial"/>
          <w:sz w:val="18"/>
          <w:szCs w:val="18"/>
          <w:color w:val="auto"/>
        </w:rPr>
        <w:t>Finally, as a whole, the COVID-19 pandemic has resulted in the acceleration of digital transformation and cloud adoption within the government and beyond, which could increase demand for Xacta and Telos Ghost. Xacta is engineered to manage risk and compliance of complex cloud and multi-cloud environments, a key capability for federal agencies and regulated industries that need to gain and maintain compliance with cloud-specific security regulations. Telos Ghost is a cloud-native, as-as-service offering that delivers network obfuscation and managed attribution capabilities on a global scale to support the cloud-enabled enterprise.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2" w:lineRule="exact"/>
        <w:rPr>
          <w:sz w:val="20"/>
          <w:szCs w:val="20"/>
          <w:color w:val="auto"/>
        </w:rPr>
      </w:pPr>
    </w:p>
    <w:p>
      <w:pPr>
        <w:ind w:right="140" w:firstLine="322"/>
        <w:spacing w:after="0" w:line="277" w:lineRule="auto"/>
        <w:rPr>
          <w:sz w:val="20"/>
          <w:szCs w:val="20"/>
          <w:color w:val="auto"/>
        </w:rPr>
      </w:pPr>
      <w:r>
        <w:rPr>
          <w:rFonts w:ascii="Arial" w:cs="Arial" w:eastAsia="Arial" w:hAnsi="Arial"/>
          <w:sz w:val="17"/>
          <w:szCs w:val="17"/>
          <w:color w:val="auto"/>
        </w:rPr>
        <w:t>The COVID-19 global pandemic has continued to create significant and unprecedented challenges, and during these highly uncertain times, our top priority remains the health and safety of our employees, customers and suppliers, thereby securing the financial well-being of the Company and supporting business continuity. We are continuing to monitor the most recent outbreak of COVID-19, to work with our stakeholders to assess further possible implications to our business, supply chain and customers, and to take actions in an effort to mitigate any adverse consequences.</w:t>
      </w:r>
    </w:p>
    <w:p>
      <w:pPr>
        <w:spacing w:after="0" w:line="171" w:lineRule="exact"/>
        <w:rPr>
          <w:sz w:val="20"/>
          <w:szCs w:val="20"/>
          <w:color w:val="auto"/>
        </w:rPr>
      </w:pPr>
    </w:p>
    <w:p>
      <w:pPr>
        <w:ind w:right="220" w:firstLine="322"/>
        <w:spacing w:after="0" w:line="284" w:lineRule="auto"/>
        <w:rPr>
          <w:sz w:val="20"/>
          <w:szCs w:val="20"/>
          <w:color w:val="auto"/>
        </w:rPr>
      </w:pPr>
      <w:r>
        <w:rPr>
          <w:rFonts w:ascii="Arial" w:cs="Arial" w:eastAsia="Arial" w:hAnsi="Arial"/>
          <w:sz w:val="17"/>
          <w:szCs w:val="17"/>
          <w:color w:val="auto"/>
        </w:rPr>
        <w:t>Despite the pandemic's resultant shift to teleworking by federal employees and contractors, the government has successfully maintained continuity of services. With much of the business of government continuing to be conducted remotely through the use of information technology systems, we believe there will continue to be a need on the part of the government for the types of solutions and services provided by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Challenges and Risks</w:t>
      </w:r>
    </w:p>
    <w:p>
      <w:pPr>
        <w:spacing w:after="0" w:line="226" w:lineRule="exact"/>
        <w:rPr>
          <w:sz w:val="20"/>
          <w:szCs w:val="20"/>
          <w:color w:val="auto"/>
        </w:rPr>
      </w:pPr>
    </w:p>
    <w:p>
      <w:pPr>
        <w:ind w:right="80" w:firstLine="322"/>
        <w:spacing w:after="0" w:line="287" w:lineRule="auto"/>
        <w:rPr>
          <w:sz w:val="20"/>
          <w:szCs w:val="20"/>
          <w:color w:val="auto"/>
        </w:rPr>
      </w:pPr>
      <w:r>
        <w:rPr>
          <w:rFonts w:ascii="Arial" w:cs="Arial" w:eastAsia="Arial" w:hAnsi="Arial"/>
          <w:sz w:val="16"/>
          <w:szCs w:val="16"/>
          <w:color w:val="auto"/>
        </w:rPr>
        <w:t>We derive a substantial portion of our revenues from contracts and subcontracts with the U.S. government. Our revenues are generated from a number of contract vehicles and task orders. Over the past several years we have sought to diversify and improve our operating margins through an evolution of our business from an emphasis on product reselling to that of an advanced solutions technologies provider. To that end, although we continue to offer resold products through our contract vehicles, we have focused on selling solutions and outsourcing product sales, as well as designing and delivering Telos manufactured and branded technologies. We believe our contract portfolio is characterized as having low to moderate financial risk due to the limited number of long-term fixed-price development contracts. Our firm fixed-price activities consist principally of contracts for the products and services at established contract prices. Our time-and-material contracts generally allow the pass-through of allowable costs plus a profit margin. For 2021, 2020, and 2019, the Company’s revenue derived from firm fixed-price contracts was 87.6%, 84.3%, and 82.7%, respectively; cost-plus contracts revenue was 7.3%, 8.2%, and 8.2%, respectively; and time-and-material contracts was 5.1%, 7.5%, and 9.1%, respectively.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322"/>
        <w:spacing w:after="0" w:line="277" w:lineRule="auto"/>
        <w:rPr>
          <w:sz w:val="20"/>
          <w:szCs w:val="20"/>
          <w:color w:val="auto"/>
        </w:rPr>
      </w:pPr>
      <w:r>
        <w:rPr>
          <w:rFonts w:ascii="Arial" w:cs="Arial" w:eastAsia="Arial" w:hAnsi="Arial"/>
          <w:sz w:val="17"/>
          <w:szCs w:val="17"/>
          <w:color w:val="auto"/>
        </w:rPr>
        <w:t>Our business performance is affected by the overall level of U.S. government spending and the alignment of our offerings and capabilities with the budget priorities of the U.S. government. Adverse changes in fiscal and economic conditions could materially impact our business. Some changes that could have an adverse impact our business include the implementation of future spending reductions and government shutdown. Currently, the federal government is operating under the terms of the CR, until the individual appropriations bills are enacted.</w:t>
      </w:r>
    </w:p>
    <w:p>
      <w:pPr>
        <w:spacing w:after="0" w:line="171" w:lineRule="exact"/>
        <w:rPr>
          <w:sz w:val="20"/>
          <w:szCs w:val="20"/>
          <w:color w:val="auto"/>
        </w:rPr>
      </w:pPr>
    </w:p>
    <w:p>
      <w:pPr>
        <w:jc w:val="both"/>
        <w:ind w:right="300" w:firstLine="322"/>
        <w:spacing w:after="0" w:line="309" w:lineRule="auto"/>
        <w:rPr>
          <w:sz w:val="20"/>
          <w:szCs w:val="20"/>
          <w:color w:val="auto"/>
        </w:rPr>
      </w:pPr>
      <w:r>
        <w:rPr>
          <w:rFonts w:ascii="Arial" w:cs="Arial" w:eastAsia="Arial" w:hAnsi="Arial"/>
          <w:sz w:val="16"/>
          <w:szCs w:val="16"/>
          <w:color w:val="auto"/>
        </w:rPr>
        <w:t>Despite the budget and competitive pressure affecting the industry, we believe we are well-positioned to expand existing customer relationships and benefit from opportunities that we have not previously pursued. In fiscal 2021, we reported revenue growth driven by strong demands for our advanced security solutions, and won and retained large-scale and long-term contracts. Further, we continue to grow our sales channel and partner programs.</w:t>
      </w:r>
    </w:p>
    <w:p>
      <w:pPr>
        <w:spacing w:after="0" w:line="148" w:lineRule="exact"/>
        <w:rPr>
          <w:sz w:val="20"/>
          <w:szCs w:val="20"/>
          <w:color w:val="auto"/>
        </w:rPr>
      </w:pPr>
    </w:p>
    <w:p>
      <w:pPr>
        <w:ind w:firstLine="322"/>
        <w:spacing w:after="0" w:line="286" w:lineRule="auto"/>
        <w:rPr>
          <w:sz w:val="20"/>
          <w:szCs w:val="20"/>
          <w:color w:val="auto"/>
        </w:rPr>
      </w:pPr>
      <w:r>
        <w:rPr>
          <w:rFonts w:ascii="Arial" w:cs="Arial" w:eastAsia="Arial" w:hAnsi="Arial"/>
          <w:sz w:val="16"/>
          <w:szCs w:val="16"/>
          <w:color w:val="auto"/>
        </w:rPr>
        <w:t>The U.S. government has increasingly relied on contracts that are subject to a competitive bidding process (including indefinite delivery, IDIQ, GSA schedules, and other multi-award contracts), which has resulted in greater competition and increased pricing pressure. To cite some of our existing contracts, we provide different solutions and are party to contracts of varying revenue types under the Network-Centric Solutions ("NETCENTS")-2 contracts to the U.S. Air Force. NETCENTS-2 are IDIQ and GWAC, therefore any government customer may utilize the NETCENTS-2 vehicles to meet its purchasing needs. Consequently, revenue earned on the underlying NETCENTS-2 delivery orders varies from period to period according to the customer and solution mix for the products and services delivered during a particular period, unlike a standalone contract with one separately identified customer. The contracts themselves do not fund any orders and they state that the contracts are for an indefinite delivery and indefinite quantity. The majority of our task/delivery orders have periods of performance of less than 12 months, which contributes to the variances between interim and annual reporting periods. We have also been awarded other IDIQ/GWACs, including the Department of Homeland Security’s EAGLE II, GSA Alliant 2, and blanket purchase agreements under our GSA schedule. We expect that a majority of the business that we seek in the foreseeable future will be awarded through a competitive bidding process.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226" w:lineRule="exact"/>
        <w:rPr>
          <w:sz w:val="20"/>
          <w:szCs w:val="20"/>
          <w:color w:val="auto"/>
        </w:rPr>
      </w:pPr>
    </w:p>
    <w:p>
      <w:pPr>
        <w:ind w:right="20" w:firstLine="322"/>
        <w:spacing w:after="0" w:line="253"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 gross profit, and Adjusted EBITDA. We evaluate our results of operations by considering the drivers causing changes in these measures. We evaluate significant trends and fluctuations on our contract portfolio over time due to contract awards and completions, changes in customer requirements and changes in the volume of product and software sales. Changes in costs of revenue as a percentage of revenue other than from revenue volume or cost mix are driven by changes in the compensation expense and other allocated costs and or cumulative revenue adjustments due to changes in estimates. Changes in operating cash flows are driven by changes in cash generated through delivery of products and services, fluctuations in current assets and liabilities and the impact of changes in the timing of cash receipts or disbursements.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Overview</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results of operations and certain consolidated financial data as a percentage of sales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w w:val="94"/>
              </w:rPr>
              <w:t>Years Ended December 31,</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6"/>
          </w:tcPr>
          <w:p>
            <w:pPr>
              <w:jc w:val="right"/>
              <w:ind w:right="960"/>
              <w:spacing w:after="0"/>
              <w:rPr>
                <w:sz w:val="20"/>
                <w:szCs w:val="20"/>
                <w:color w:val="auto"/>
              </w:rPr>
            </w:pPr>
            <w:r>
              <w:rPr>
                <w:rFonts w:ascii="Arial" w:cs="Arial" w:eastAsia="Arial" w:hAnsi="Arial"/>
                <w:sz w:val="14"/>
                <w:szCs w:val="14"/>
                <w:color w:val="auto"/>
              </w:rPr>
              <w:t>(dollar amounts in thousands)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159,218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156,404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117,497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67.1 %</w:t>
            </w:r>
          </w:p>
        </w:tc>
        <w:tc>
          <w:tcPr>
            <w:tcW w:w="0" w:type="dxa"/>
            <w:vAlign w:val="bottom"/>
          </w:tcPr>
          <w:p>
            <w:pPr>
              <w:spacing w:after="0"/>
              <w:rPr>
                <w:sz w:val="1"/>
                <w:szCs w:val="1"/>
                <w:color w:val="auto"/>
              </w:rPr>
            </w:pPr>
          </w:p>
        </w:tc>
      </w:tr>
      <w:tr>
        <w:trPr>
          <w:trHeight w:val="174"/>
        </w:trPr>
        <w:tc>
          <w:tcPr>
            <w:tcW w:w="27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6"/>
              </w:rPr>
              <w:t>Selling, general and administrative</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127,493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52.6 %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62,123</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47,319</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0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(41,464)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00" w:type="dxa"/>
            <w:vAlign w:val="bottom"/>
          </w:tcPr>
          <w:p>
            <w:pPr>
              <w:ind w:left="340"/>
              <w:spacing w:after="0" w:line="175" w:lineRule="exact"/>
              <w:rPr>
                <w:sz w:val="20"/>
                <w:szCs w:val="20"/>
                <w:color w:val="auto"/>
              </w:rPr>
            </w:pPr>
            <w:r>
              <w:rPr>
                <w:rFonts w:ascii="Arial" w:cs="Arial" w:eastAsia="Arial" w:hAnsi="Arial"/>
                <w:sz w:val="18"/>
                <w:szCs w:val="18"/>
                <w:color w:val="auto"/>
              </w:rPr>
              <w:t>Gain on redemption of public</w:t>
            </w:r>
          </w:p>
        </w:tc>
        <w:tc>
          <w:tcPr>
            <w:tcW w:w="360" w:type="dxa"/>
            <w:vAlign w:val="bottom"/>
          </w:tcPr>
          <w:p>
            <w:pPr>
              <w:spacing w:after="0"/>
              <w:rPr>
                <w:sz w:val="15"/>
                <w:szCs w:val="15"/>
                <w:color w:val="auto"/>
              </w:rPr>
            </w:pPr>
          </w:p>
        </w:tc>
        <w:tc>
          <w:tcPr>
            <w:tcW w:w="1460" w:type="dxa"/>
            <w:vAlign w:val="bottom"/>
            <w:gridSpan w:val="3"/>
            <w:vMerge w:val="restart"/>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14,012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3"/>
            <w:vMerge w:val="restart"/>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8"/>
        </w:trPr>
        <w:tc>
          <w:tcPr>
            <w:tcW w:w="270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00" w:type="dxa"/>
            <w:vAlign w:val="bottom"/>
            <w:shd w:val="clear" w:color="auto" w:fill="CCEEFF"/>
          </w:tcPr>
          <w:p>
            <w:pPr>
              <w:ind w:left="340"/>
              <w:spacing w:after="0" w:line="175" w:lineRule="exact"/>
              <w:rPr>
                <w:sz w:val="20"/>
                <w:szCs w:val="20"/>
                <w:color w:val="auto"/>
              </w:rPr>
            </w:pPr>
            <w:r>
              <w:rPr>
                <w:rFonts w:ascii="Arial" w:cs="Arial" w:eastAsia="Arial" w:hAnsi="Arial"/>
                <w:sz w:val="18"/>
                <w:szCs w:val="18"/>
                <w:color w:val="auto"/>
              </w:rPr>
              <w:t>Non-operating (expense)</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w:t>
            </w: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(Loss) income before income taxes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2"/>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(43,134)</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4"/>
        </w:trPr>
        <w:tc>
          <w:tcPr>
            <w:tcW w:w="2700" w:type="dxa"/>
            <w:vAlign w:val="bottom"/>
          </w:tcPr>
          <w:p>
            <w:pPr>
              <w:ind w:left="20"/>
              <w:spacing w:after="0" w:line="175" w:lineRule="exact"/>
              <w:rPr>
                <w:sz w:val="20"/>
                <w:szCs w:val="20"/>
                <w:color w:val="auto"/>
              </w:rPr>
            </w:pPr>
            <w:r>
              <w:rPr>
                <w:rFonts w:ascii="Arial" w:cs="Arial" w:eastAsia="Arial" w:hAnsi="Arial"/>
                <w:sz w:val="18"/>
                <w:szCs w:val="18"/>
                <w:color w:val="auto"/>
              </w:rPr>
              <w:t>Less: Net income attributable to</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480" w:type="dxa"/>
            <w:vAlign w:val="bottom"/>
            <w:vMerge w:val="restart"/>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(4,264)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7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Net (loss) income attributable to</w:t>
            </w:r>
          </w:p>
        </w:tc>
        <w:tc>
          <w:tcPr>
            <w:tcW w:w="3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(43,134)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0.9 %  $</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1"/>
        </w:trPr>
        <w:tc>
          <w:tcPr>
            <w:tcW w:w="2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Telos Corporation</w:t>
            </w:r>
          </w:p>
        </w:tc>
        <w:tc>
          <w:tcPr>
            <w:tcW w:w="3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Results</w:t>
      </w:r>
    </w:p>
    <w:p>
      <w:pPr>
        <w:spacing w:after="0" w:line="222" w:lineRule="exact"/>
        <w:rPr>
          <w:sz w:val="20"/>
          <w:szCs w:val="20"/>
          <w:color w:val="auto"/>
        </w:rPr>
      </w:pPr>
    </w:p>
    <w:p>
      <w:pPr>
        <w:ind w:right="40" w:firstLine="322"/>
        <w:spacing w:after="0" w:line="257" w:lineRule="auto"/>
        <w:rPr>
          <w:sz w:val="20"/>
          <w:szCs w:val="20"/>
          <w:color w:val="auto"/>
        </w:rPr>
      </w:pPr>
      <w:r>
        <w:rPr>
          <w:rFonts w:ascii="Arial" w:cs="Arial" w:eastAsia="Arial" w:hAnsi="Arial"/>
          <w:sz w:val="18"/>
          <w:szCs w:val="18"/>
          <w:color w:val="auto"/>
        </w:rPr>
        <w:t>Revenue increased by $62.5 million or 34.7% in 2021 compared to 2020. Revenue, excluding the contract with the U.S. Census Bureau of $5.4 million in 2021 and $31.0 million in 2020, grew 59.2% year-over-year. Revenue increased by $20.7 million or 13.0% in 2020 compared to 2019. The increase in revenue is attributable to new awards and net increase in volume on various projects within the business groups. Sales may vary from period to period according to the solution mix and timing of deliverables for a particular period.</w:t>
      </w:r>
    </w:p>
    <w:p>
      <w:pPr>
        <w:spacing w:after="0" w:line="187" w:lineRule="exact"/>
        <w:rPr>
          <w:sz w:val="20"/>
          <w:szCs w:val="20"/>
          <w:color w:val="auto"/>
        </w:rPr>
      </w:pPr>
    </w:p>
    <w:p>
      <w:pPr>
        <w:ind w:right="140" w:firstLine="322"/>
        <w:spacing w:after="0" w:line="261" w:lineRule="auto"/>
        <w:rPr>
          <w:sz w:val="20"/>
          <w:szCs w:val="20"/>
          <w:color w:val="auto"/>
        </w:rPr>
      </w:pPr>
      <w:r>
        <w:rPr>
          <w:rFonts w:ascii="Arial" w:cs="Arial" w:eastAsia="Arial" w:hAnsi="Arial"/>
          <w:sz w:val="18"/>
          <w:szCs w:val="18"/>
          <w:color w:val="auto"/>
        </w:rPr>
        <w:t>Cost of sales increased by $38.9 million or 33.1% in 2021 compared to 2020. Cost of sales increased by $10.6 million or 9.9% in 2020 compared to 2019. The changes in the cost of sales are directly driven by the change in mix and nature of the programs and an increase in stock-based compensation of $2.6 million in 2021 (none in the comparative prior years).</w:t>
      </w:r>
    </w:p>
    <w:p>
      <w:pPr>
        <w:spacing w:after="0" w:line="184" w:lineRule="exact"/>
        <w:rPr>
          <w:sz w:val="20"/>
          <w:szCs w:val="20"/>
          <w:color w:val="auto"/>
        </w:rPr>
      </w:pPr>
    </w:p>
    <w:p>
      <w:pPr>
        <w:ind w:firstLine="322"/>
        <w:spacing w:after="0" w:line="309" w:lineRule="auto"/>
        <w:rPr>
          <w:sz w:val="20"/>
          <w:szCs w:val="20"/>
          <w:color w:val="auto"/>
        </w:rPr>
      </w:pPr>
      <w:r>
        <w:rPr>
          <w:rFonts w:ascii="Arial" w:cs="Arial" w:eastAsia="Arial" w:hAnsi="Arial"/>
          <w:sz w:val="16"/>
          <w:szCs w:val="16"/>
          <w:color w:val="auto"/>
        </w:rPr>
        <w:t>Gross profit increased by 37.8% to $86.0 million for 2021 from $62.4 million for 2020. Gross profit increased by 19.2% to $62.4 million for 2020 from $52.3 million for 2019. Gross margin increased to 35.5% for 2021 from 34.7% for 2020. Gross margin increased due to growth in high margin contracts. Gross margin increased to 34.7% for 2020 from 32.9% for 2019. The change in the gross margin is due to various mix of contracts in all line of business.</w:t>
      </w:r>
    </w:p>
    <w:p>
      <w:pPr>
        <w:spacing w:after="0" w:line="148" w:lineRule="exact"/>
        <w:rPr>
          <w:sz w:val="20"/>
          <w:szCs w:val="20"/>
          <w:color w:val="auto"/>
        </w:rPr>
      </w:pPr>
    </w:p>
    <w:p>
      <w:pPr>
        <w:ind w:firstLine="322"/>
        <w:spacing w:after="0" w:line="294" w:lineRule="auto"/>
        <w:rPr>
          <w:sz w:val="20"/>
          <w:szCs w:val="20"/>
          <w:color w:val="auto"/>
        </w:rPr>
      </w:pPr>
      <w:r>
        <w:rPr>
          <w:rFonts w:ascii="Arial" w:cs="Arial" w:eastAsia="Arial" w:hAnsi="Arial"/>
          <w:sz w:val="16"/>
          <w:szCs w:val="16"/>
          <w:color w:val="auto"/>
        </w:rPr>
        <w:t>Selling, general, and administrative ("SG&amp;A") expenses increased by 105.2% in 2021 compared to 2020. This is primarily attributable to an increase in stock-based compensation of $57.6 million, labor cost of $15.0 million, outside services of $4.4 million, insurance cost of $1.1 million and trade show cost of $1.2 million, offset by the decrease in bonus cost of $12.1 million and capitalization of research and development costs of $3.3 million. SG&amp;A expenses increased by 31.3% in 2020 compared to 2019. Such increase is primarily attributable to increases in bonuses of $6.3 million, outside services of $5.9 million, labor costs of $5.9 million, and $0.6 million in legal fees, offset by capitalization of research and development costs of $4.2 million.</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320" w:firstLine="322"/>
        <w:spacing w:after="0" w:line="274" w:lineRule="auto"/>
        <w:rPr>
          <w:sz w:val="20"/>
          <w:szCs w:val="20"/>
          <w:color w:val="auto"/>
        </w:rPr>
      </w:pPr>
      <w:r>
        <w:rPr>
          <w:rFonts w:ascii="Arial" w:cs="Arial" w:eastAsia="Arial" w:hAnsi="Arial"/>
          <w:sz w:val="18"/>
          <w:szCs w:val="18"/>
          <w:color w:val="auto"/>
        </w:rPr>
        <w:t>Other expenses of $0.9 million in 2021 was primarily for the settlement of outstanding litigation compared to other income of $13.8 million in 2020 primarily related to the gain on redemption of the public preferred stock upon the closing of our IPO in November 2020.</w:t>
      </w:r>
    </w:p>
    <w:p>
      <w:pPr>
        <w:spacing w:after="0" w:line="172" w:lineRule="exact"/>
        <w:rPr>
          <w:sz w:val="20"/>
          <w:szCs w:val="20"/>
          <w:color w:val="auto"/>
        </w:rPr>
      </w:pPr>
    </w:p>
    <w:p>
      <w:pPr>
        <w:ind w:right="80" w:firstLine="322"/>
        <w:spacing w:after="0" w:line="299" w:lineRule="auto"/>
        <w:rPr>
          <w:rFonts w:ascii="Arial" w:cs="Arial" w:eastAsia="Arial" w:hAnsi="Arial"/>
          <w:sz w:val="16"/>
          <w:szCs w:val="16"/>
          <w:color w:val="0000FF"/>
        </w:rPr>
      </w:pPr>
      <w:r>
        <w:rPr>
          <w:rFonts w:ascii="Arial" w:cs="Arial" w:eastAsia="Arial" w:hAnsi="Arial"/>
          <w:sz w:val="16"/>
          <w:szCs w:val="16"/>
          <w:color w:val="auto"/>
        </w:rPr>
        <w:t xml:space="preserve">Interest expense decreased by 89.3% to $0.8 million for 2021 primarily due to the repayment of a senior term loan held by EnCap (as defined under </w:t>
      </w:r>
      <w:hyperlink w:anchor="page72">
        <w:r>
          <w:rPr>
            <w:rFonts w:ascii="Arial" w:cs="Arial" w:eastAsia="Arial" w:hAnsi="Arial"/>
            <w:sz w:val="16"/>
            <w:szCs w:val="16"/>
            <w:u w:val="single" w:color="auto"/>
            <w:color w:val="0000FF"/>
          </w:rPr>
          <w:t>Note 7</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Debt Obligations), subordinated debt, and redemption of public preferred stock upon the closing of our IPO in November 2020. Interest expense</w:t>
      </w:r>
      <w:r>
        <w:rPr>
          <w:rFonts w:ascii="Arial" w:cs="Arial" w:eastAsia="Arial" w:hAnsi="Arial"/>
          <w:sz w:val="16"/>
          <w:szCs w:val="16"/>
          <w:color w:val="0000FF"/>
        </w:rPr>
        <w:t xml:space="preserve"> </w:t>
      </w:r>
      <w:r>
        <w:rPr>
          <w:rFonts w:ascii="Arial" w:cs="Arial" w:eastAsia="Arial" w:hAnsi="Arial"/>
          <w:sz w:val="16"/>
          <w:szCs w:val="16"/>
          <w:color w:val="000000"/>
        </w:rPr>
        <w:t>decreased by 2.8% to $7.3 million for 2020 from $7.5 million for 2019, primarily due to decreases in public preferred stock interest as a result of such stock redemption, and interest on an equipment purchase arrangement, offset by an increase in interest on the senior term loan with EnCap.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tcPr>
          <w:p>
            <w:pPr>
              <w:ind w:left="320"/>
              <w:spacing w:after="0"/>
              <w:rPr>
                <w:sz w:val="20"/>
                <w:szCs w:val="20"/>
                <w:color w:val="auto"/>
              </w:rPr>
            </w:pPr>
            <w:r>
              <w:rPr>
                <w:rFonts w:ascii="Arial" w:cs="Arial" w:eastAsia="Arial" w:hAnsi="Arial"/>
                <w:sz w:val="18"/>
                <w:szCs w:val="18"/>
                <w:color w:val="auto"/>
              </w:rPr>
              <w:t>Components of interest expense are as follows: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9"/>
        </w:trPr>
        <w:tc>
          <w:tcPr>
            <w:tcW w:w="7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2"/>
        </w:trPr>
        <w:tc>
          <w:tcPr>
            <w:tcW w:w="7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2019</w:t>
            </w:r>
          </w:p>
        </w:tc>
      </w:tr>
      <w:tr>
        <w:trPr>
          <w:trHeight w:val="222"/>
        </w:trPr>
        <w:tc>
          <w:tcPr>
            <w:tcW w:w="7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20" w:type="dxa"/>
            <w:vAlign w:val="bottom"/>
            <w:gridSpan w:val="6"/>
          </w:tcPr>
          <w:p>
            <w:pPr>
              <w:jc w:val="center"/>
              <w:ind w:left="31"/>
              <w:spacing w:after="0"/>
              <w:rPr>
                <w:sz w:val="20"/>
                <w:szCs w:val="20"/>
                <w:color w:val="auto"/>
              </w:rPr>
            </w:pPr>
            <w:r>
              <w:rPr>
                <w:rFonts w:ascii="Arial" w:cs="Arial" w:eastAsia="Arial" w:hAnsi="Arial"/>
                <w:sz w:val="18"/>
                <w:szCs w:val="18"/>
                <w:color w:val="auto"/>
                <w:w w:val="88"/>
              </w:rPr>
              <w:t>(amounts in thousands)</w:t>
            </w:r>
          </w:p>
        </w:tc>
        <w:tc>
          <w:tcPr>
            <w:tcW w:w="1020" w:type="dxa"/>
            <w:vAlign w:val="bottom"/>
          </w:tcPr>
          <w:p>
            <w:pPr>
              <w:spacing w:after="0"/>
              <w:rPr>
                <w:sz w:val="19"/>
                <w:szCs w:val="19"/>
                <w:color w:val="auto"/>
              </w:rPr>
            </w:pPr>
          </w:p>
        </w:tc>
      </w:tr>
      <w:tr>
        <w:trPr>
          <w:trHeight w:val="228"/>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subordinated note interest incurred</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28"/>
        </w:trPr>
        <w:tc>
          <w:tcPr>
            <w:tcW w:w="7100" w:type="dxa"/>
            <w:vAlign w:val="bottom"/>
          </w:tcPr>
          <w:p>
            <w:pPr>
              <w:ind w:left="20"/>
              <w:spacing w:after="0"/>
              <w:rPr>
                <w:sz w:val="20"/>
                <w:szCs w:val="20"/>
                <w:color w:val="auto"/>
              </w:rPr>
            </w:pPr>
            <w:r>
              <w:rPr>
                <w:rFonts w:ascii="Arial" w:cs="Arial" w:eastAsia="Arial" w:hAnsi="Arial"/>
                <w:sz w:val="18"/>
                <w:szCs w:val="18"/>
                <w:color w:val="auto"/>
              </w:rPr>
              <w:t>Preferred stock interest accrued</w:t>
            </w:r>
          </w:p>
        </w:tc>
        <w:tc>
          <w:tcPr>
            <w:tcW w:w="8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3,823</w:t>
            </w:r>
          </w:p>
        </w:tc>
      </w:tr>
      <w:tr>
        <w:trPr>
          <w:trHeight w:val="247"/>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right="320" w:firstLine="322"/>
        <w:spacing w:after="0" w:line="305" w:lineRule="auto"/>
        <w:rPr>
          <w:sz w:val="20"/>
          <w:szCs w:val="20"/>
          <w:color w:val="auto"/>
        </w:rPr>
      </w:pPr>
      <w:r>
        <w:rPr>
          <w:rFonts w:ascii="Arial" w:cs="Arial" w:eastAsia="Arial" w:hAnsi="Arial"/>
          <w:sz w:val="17"/>
          <w:szCs w:val="17"/>
          <w:color w:val="auto"/>
        </w:rPr>
        <w:t>Income tax benefit was $28,000 for 2021, compared to $46,000 for 2020, primarily due to an increase in state income taxes. Income tax benefit was $46,000 for 2020, compared to $104,000 for 2019, primarily attributable to administrative practice release of certain FIN48 liability.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2" w:lineRule="exact"/>
        <w:rPr>
          <w:sz w:val="20"/>
          <w:szCs w:val="20"/>
          <w:color w:val="auto"/>
        </w:rPr>
      </w:pPr>
    </w:p>
    <w:p>
      <w:pPr>
        <w:ind w:right="60" w:firstLine="322"/>
        <w:spacing w:after="0" w:line="274" w:lineRule="auto"/>
        <w:rPr>
          <w:sz w:val="20"/>
          <w:szCs w:val="20"/>
          <w:color w:val="auto"/>
        </w:rPr>
      </w:pPr>
      <w:r>
        <w:rPr>
          <w:rFonts w:ascii="Arial" w:cs="Arial" w:eastAsia="Arial" w:hAnsi="Arial"/>
          <w:sz w:val="18"/>
          <w:szCs w:val="18"/>
          <w:color w:val="auto"/>
        </w:rPr>
        <w:t>The accounting policies of each business segment are the same as those followed by the Company as a whole. Management evaluates business segment performance based on gross profit.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20"/>
                <w:szCs w:val="20"/>
                <w:color w:val="auto"/>
              </w:rPr>
            </w:pPr>
            <w:r>
              <w:rPr>
                <w:rFonts w:ascii="Arial" w:cs="Arial" w:eastAsia="Arial" w:hAnsi="Arial"/>
                <w:sz w:val="18"/>
                <w:szCs w:val="18"/>
                <w:i w:val="1"/>
                <w:iCs w:val="1"/>
                <w:color w:val="auto"/>
              </w:rPr>
              <w:t>Security Solutions Segment:</w:t>
            </w: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69"/>
        </w:trPr>
        <w:tc>
          <w:tcPr>
            <w:tcW w:w="41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5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22"/>
        </w:trPr>
        <w:tc>
          <w:tcPr>
            <w:tcW w:w="4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154"/>
              <w:spacing w:after="0"/>
              <w:rPr>
                <w:sz w:val="20"/>
                <w:szCs w:val="20"/>
                <w:color w:val="auto"/>
              </w:rPr>
            </w:pPr>
            <w:r>
              <w:rPr>
                <w:rFonts w:ascii="Arial" w:cs="Arial" w:eastAsia="Arial" w:hAnsi="Arial"/>
                <w:sz w:val="18"/>
                <w:szCs w:val="18"/>
                <w:b w:val="1"/>
                <w:bCs w:val="1"/>
                <w:color w:val="auto"/>
                <w:w w:val="89"/>
              </w:rPr>
              <w:t>2020</w:t>
            </w:r>
          </w:p>
        </w:tc>
        <w:tc>
          <w:tcPr>
            <w:tcW w:w="5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2019</w:t>
            </w:r>
          </w:p>
        </w:tc>
      </w:tr>
      <w:tr>
        <w:trPr>
          <w:trHeight w:val="178"/>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jc w:val="center"/>
              <w:ind w:right="174"/>
              <w:spacing w:after="0"/>
              <w:rPr>
                <w:sz w:val="20"/>
                <w:szCs w:val="20"/>
                <w:color w:val="auto"/>
              </w:rPr>
            </w:pPr>
            <w:r>
              <w:rPr>
                <w:rFonts w:ascii="Arial" w:cs="Arial" w:eastAsia="Arial" w:hAnsi="Arial"/>
                <w:sz w:val="14"/>
                <w:szCs w:val="14"/>
                <w:color w:val="auto"/>
                <w:w w:val="92"/>
              </w:rPr>
              <w:t>(dollar amounts in thousands)</w:t>
            </w:r>
          </w:p>
        </w:tc>
        <w:tc>
          <w:tcPr>
            <w:tcW w:w="5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3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20" w:type="dxa"/>
            <w:vAlign w:val="bottom"/>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8"/>
              </w:rPr>
              <w:t>123,534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117,312</w:t>
            </w:r>
          </w:p>
        </w:tc>
        <w:tc>
          <w:tcPr>
            <w:tcW w:w="5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101,923</w:t>
            </w:r>
          </w:p>
        </w:tc>
      </w:tr>
      <w:tr>
        <w:trPr>
          <w:trHeight w:val="228"/>
        </w:trPr>
        <w:tc>
          <w:tcPr>
            <w:tcW w:w="41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20" w:type="dxa"/>
            <w:vAlign w:val="bottom"/>
          </w:tcPr>
          <w:p>
            <w:pPr>
              <w:jc w:val="right"/>
              <w:ind w:right="121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64,904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74"/>
              <w:spacing w:after="0"/>
              <w:rPr>
                <w:sz w:val="20"/>
                <w:szCs w:val="20"/>
                <w:color w:val="auto"/>
              </w:rPr>
            </w:pPr>
            <w:r>
              <w:rPr>
                <w:rFonts w:ascii="Arial" w:cs="Arial" w:eastAsia="Arial" w:hAnsi="Arial"/>
                <w:sz w:val="18"/>
                <w:szCs w:val="18"/>
                <w:color w:val="auto"/>
              </w:rPr>
              <w:t>50,458</w:t>
            </w:r>
          </w:p>
        </w:tc>
        <w:tc>
          <w:tcPr>
            <w:tcW w:w="5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1"/>
              <w:spacing w:after="0"/>
              <w:rPr>
                <w:sz w:val="20"/>
                <w:szCs w:val="20"/>
                <w:color w:val="auto"/>
              </w:rPr>
            </w:pPr>
            <w:r>
              <w:rPr>
                <w:rFonts w:ascii="Arial" w:cs="Arial" w:eastAsia="Arial" w:hAnsi="Arial"/>
                <w:sz w:val="18"/>
                <w:szCs w:val="18"/>
                <w:color w:val="auto"/>
              </w:rPr>
              <w:t>42,056</w:t>
            </w:r>
          </w:p>
        </w:tc>
      </w:tr>
      <w:tr>
        <w:trPr>
          <w:trHeight w:val="22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2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43.0 %</w:t>
            </w: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r>
    </w:tbl>
    <w:p>
      <w:pPr>
        <w:spacing w:after="0" w:line="294" w:lineRule="exact"/>
        <w:rPr>
          <w:sz w:val="20"/>
          <w:szCs w:val="20"/>
          <w:color w:val="auto"/>
        </w:rPr>
      </w:pPr>
    </w:p>
    <w:p>
      <w:pPr>
        <w:ind w:right="240" w:firstLine="322"/>
        <w:spacing w:after="0" w:line="257" w:lineRule="auto"/>
        <w:rPr>
          <w:sz w:val="20"/>
          <w:szCs w:val="20"/>
          <w:color w:val="auto"/>
        </w:rPr>
      </w:pPr>
      <w:r>
        <w:rPr>
          <w:rFonts w:ascii="Arial" w:cs="Arial" w:eastAsia="Arial" w:hAnsi="Arial"/>
          <w:sz w:val="18"/>
          <w:szCs w:val="18"/>
          <w:color w:val="auto"/>
        </w:rPr>
        <w:t>Revenue increased by 5.3% in 2021 compared to 2020. This increase was driven by higher sales of Telos ID and Information Assurance offerings. Revenue, excluding the contract with the U.S. Census Bureau of $5.4 million in 2021 and $31.0 million in 2020, grew 36.9% year-over-year. Gross profit increased by 28.6% to $64.9 million in 2021, with a reported gross margin of 52.5% for 2021. The increase in profitability in 2021 was due to growth in high margin revenues primarily in Telos ID.</w:t>
      </w:r>
    </w:p>
    <w:p>
      <w:pPr>
        <w:spacing w:after="0" w:line="187" w:lineRule="exact"/>
        <w:rPr>
          <w:sz w:val="20"/>
          <w:szCs w:val="20"/>
          <w:color w:val="auto"/>
        </w:rPr>
      </w:pPr>
    </w:p>
    <w:p>
      <w:pPr>
        <w:ind w:firstLine="322"/>
        <w:spacing w:after="0" w:line="257" w:lineRule="auto"/>
        <w:rPr>
          <w:sz w:val="20"/>
          <w:szCs w:val="20"/>
          <w:color w:val="auto"/>
        </w:rPr>
      </w:pPr>
      <w:r>
        <w:rPr>
          <w:rFonts w:ascii="Arial" w:cs="Arial" w:eastAsia="Arial" w:hAnsi="Arial"/>
          <w:sz w:val="18"/>
          <w:szCs w:val="18"/>
          <w:color w:val="auto"/>
        </w:rPr>
        <w:t>Revenue increased by 15.1% in 2020 compared to 2019. The increase was driven primarily by $8.1 million in sales of offerings in Telos ID on the contract with the U.S. Census and $7.3 million in sales of offerings related to the contract with the U.S. government agency for our Telos Ghost managed intelligence support solution in Secure Communications. Gross profit increased by 20.0% to $50.5 million in 2020, with a reported gross margin of 43.0% in 2020 from 41.3% in 2019, due to various changes in the mix of various contracts.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20"/>
                <w:szCs w:val="20"/>
                <w:color w:val="auto"/>
              </w:rPr>
            </w:pPr>
            <w:r>
              <w:rPr>
                <w:rFonts w:ascii="Arial" w:cs="Arial" w:eastAsia="Arial" w:hAnsi="Arial"/>
                <w:sz w:val="18"/>
                <w:szCs w:val="18"/>
                <w:i w:val="1"/>
                <w:iCs w:val="1"/>
                <w:color w:val="auto"/>
              </w:rPr>
              <w:t>Secure Networks Segment:</w:t>
            </w: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69"/>
        </w:trPr>
        <w:tc>
          <w:tcPr>
            <w:tcW w:w="41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5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22"/>
        </w:trPr>
        <w:tc>
          <w:tcPr>
            <w:tcW w:w="4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154"/>
              <w:spacing w:after="0"/>
              <w:rPr>
                <w:sz w:val="20"/>
                <w:szCs w:val="20"/>
                <w:color w:val="auto"/>
              </w:rPr>
            </w:pPr>
            <w:r>
              <w:rPr>
                <w:rFonts w:ascii="Arial" w:cs="Arial" w:eastAsia="Arial" w:hAnsi="Arial"/>
                <w:sz w:val="18"/>
                <w:szCs w:val="18"/>
                <w:b w:val="1"/>
                <w:bCs w:val="1"/>
                <w:color w:val="auto"/>
                <w:w w:val="89"/>
              </w:rPr>
              <w:t>2020</w:t>
            </w:r>
          </w:p>
        </w:tc>
        <w:tc>
          <w:tcPr>
            <w:tcW w:w="5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2019</w:t>
            </w:r>
          </w:p>
        </w:tc>
      </w:tr>
      <w:tr>
        <w:trPr>
          <w:trHeight w:val="178"/>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jc w:val="center"/>
              <w:ind w:right="174"/>
              <w:spacing w:after="0"/>
              <w:rPr>
                <w:sz w:val="20"/>
                <w:szCs w:val="20"/>
                <w:color w:val="auto"/>
              </w:rPr>
            </w:pPr>
            <w:r>
              <w:rPr>
                <w:rFonts w:ascii="Arial" w:cs="Arial" w:eastAsia="Arial" w:hAnsi="Arial"/>
                <w:sz w:val="14"/>
                <w:szCs w:val="14"/>
                <w:color w:val="auto"/>
                <w:w w:val="92"/>
              </w:rPr>
              <w:t>(dollar amounts in thousands)</w:t>
            </w:r>
          </w:p>
        </w:tc>
        <w:tc>
          <w:tcPr>
            <w:tcW w:w="5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3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20" w:type="dxa"/>
            <w:vAlign w:val="bottom"/>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8"/>
              </w:rPr>
              <w:t>118,899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62,605</w:t>
            </w:r>
          </w:p>
        </w:tc>
        <w:tc>
          <w:tcPr>
            <w:tcW w:w="5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57,295</w:t>
            </w:r>
          </w:p>
        </w:tc>
      </w:tr>
      <w:tr>
        <w:trPr>
          <w:trHeight w:val="228"/>
        </w:trPr>
        <w:tc>
          <w:tcPr>
            <w:tcW w:w="41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20" w:type="dxa"/>
            <w:vAlign w:val="bottom"/>
          </w:tcPr>
          <w:p>
            <w:pPr>
              <w:jc w:val="right"/>
              <w:ind w:right="121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21,125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74"/>
              <w:spacing w:after="0"/>
              <w:rPr>
                <w:sz w:val="20"/>
                <w:szCs w:val="20"/>
                <w:color w:val="auto"/>
              </w:rPr>
            </w:pPr>
            <w:r>
              <w:rPr>
                <w:rFonts w:ascii="Arial" w:cs="Arial" w:eastAsia="Arial" w:hAnsi="Arial"/>
                <w:sz w:val="18"/>
                <w:szCs w:val="18"/>
                <w:color w:val="auto"/>
              </w:rPr>
              <w:t>11,962</w:t>
            </w:r>
          </w:p>
        </w:tc>
        <w:tc>
          <w:tcPr>
            <w:tcW w:w="5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1"/>
              <w:spacing w:after="0"/>
              <w:rPr>
                <w:sz w:val="20"/>
                <w:szCs w:val="20"/>
                <w:color w:val="auto"/>
              </w:rPr>
            </w:pPr>
            <w:r>
              <w:rPr>
                <w:rFonts w:ascii="Arial" w:cs="Arial" w:eastAsia="Arial" w:hAnsi="Arial"/>
                <w:sz w:val="18"/>
                <w:szCs w:val="18"/>
                <w:color w:val="auto"/>
              </w:rPr>
              <w:t>10,288</w:t>
            </w:r>
          </w:p>
        </w:tc>
      </w:tr>
      <w:tr>
        <w:trPr>
          <w:trHeight w:val="22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2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r>
    </w:tbl>
    <w:p>
      <w:pPr>
        <w:spacing w:after="0" w:line="294" w:lineRule="exact"/>
        <w:rPr>
          <w:sz w:val="20"/>
          <w:szCs w:val="20"/>
          <w:color w:val="auto"/>
        </w:rPr>
      </w:pPr>
    </w:p>
    <w:p>
      <w:pPr>
        <w:ind w:right="200" w:firstLine="322"/>
        <w:spacing w:after="0" w:line="261" w:lineRule="auto"/>
        <w:rPr>
          <w:sz w:val="20"/>
          <w:szCs w:val="20"/>
          <w:color w:val="auto"/>
        </w:rPr>
      </w:pPr>
      <w:r>
        <w:rPr>
          <w:rFonts w:ascii="Arial" w:cs="Arial" w:eastAsia="Arial" w:hAnsi="Arial"/>
          <w:sz w:val="18"/>
          <w:szCs w:val="18"/>
          <w:color w:val="auto"/>
        </w:rPr>
        <w:t>Revenue increased by 89.9% in 2021 compared to 2020. The increase resulted from various contracts with the DoD, primarily in our Secure Mobility Solution offerings. Gross profit increased by 76.6% to $21.1 million in 2021, with a reported gross margin of 17.8% in 2021 from 19.1% in 2020, due to various changes in the mix of contracts.</w:t>
      </w:r>
    </w:p>
    <w:p>
      <w:pPr>
        <w:spacing w:after="0" w:line="184" w:lineRule="exact"/>
        <w:rPr>
          <w:sz w:val="20"/>
          <w:szCs w:val="20"/>
          <w:color w:val="auto"/>
        </w:rPr>
      </w:pPr>
    </w:p>
    <w:p>
      <w:pPr>
        <w:jc w:val="both"/>
        <w:ind w:right="240" w:firstLine="322"/>
        <w:spacing w:after="0" w:line="261" w:lineRule="auto"/>
        <w:rPr>
          <w:sz w:val="20"/>
          <w:szCs w:val="20"/>
          <w:color w:val="auto"/>
        </w:rPr>
      </w:pPr>
      <w:r>
        <w:rPr>
          <w:rFonts w:ascii="Arial" w:cs="Arial" w:eastAsia="Arial" w:hAnsi="Arial"/>
          <w:sz w:val="18"/>
          <w:szCs w:val="18"/>
          <w:color w:val="auto"/>
        </w:rPr>
        <w:t>The revenue increased by 9.3% in 2020, compared to 2019, which was the result of various DoD contracts, in both our Secure Mobility and Network Management / Defense Enterprise Solutions offerings. Gross profit increase by 16.3% to $12.0 million in 2020, with a reported gross margin of 19.1% in 2020 from 18.0% in 2019, due to various changes in the mix of various contracts.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w:t>
      </w:r>
    </w:p>
    <w:p>
      <w:pPr>
        <w:spacing w:after="0" w:line="222" w:lineRule="exact"/>
        <w:rPr>
          <w:sz w:val="20"/>
          <w:szCs w:val="20"/>
          <w:color w:val="auto"/>
        </w:rPr>
      </w:pPr>
    </w:p>
    <w:p>
      <w:pPr>
        <w:ind w:right="260" w:firstLine="322"/>
        <w:spacing w:after="0" w:line="309" w:lineRule="auto"/>
        <w:rPr>
          <w:sz w:val="20"/>
          <w:szCs w:val="20"/>
          <w:color w:val="auto"/>
        </w:rPr>
      </w:pPr>
      <w:r>
        <w:rPr>
          <w:rFonts w:ascii="Arial" w:cs="Arial" w:eastAsia="Arial" w:hAnsi="Arial"/>
          <w:sz w:val="16"/>
          <w:szCs w:val="16"/>
          <w:color w:val="auto"/>
        </w:rPr>
        <w:t>The Company's total assets as of December 31, 2021 and 2020 were $246.1 million and $183.8 million, respectively. The increase in total assets was primarily attributable to an increase in cash and cash equivalents provided by the follow-on offering, an increase in accounts receivables due to higher revenue generation, additional capital expenditures and an increase in intangible assets and goodwill as a result of the acquisition of DFT during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w:t>
      </w:r>
    </w:p>
    <w:p>
      <w:pPr>
        <w:spacing w:after="0" w:line="222" w:lineRule="exact"/>
        <w:rPr>
          <w:sz w:val="20"/>
          <w:szCs w:val="20"/>
          <w:color w:val="auto"/>
        </w:rPr>
      </w:pPr>
    </w:p>
    <w:p>
      <w:pPr>
        <w:jc w:val="center"/>
        <w:ind w:right="60"/>
        <w:spacing w:after="0" w:line="339" w:lineRule="auto"/>
        <w:rPr>
          <w:sz w:val="20"/>
          <w:szCs w:val="20"/>
          <w:color w:val="auto"/>
        </w:rPr>
      </w:pPr>
      <w:r>
        <w:rPr>
          <w:rFonts w:ascii="Arial" w:cs="Arial" w:eastAsia="Arial" w:hAnsi="Arial"/>
          <w:sz w:val="16"/>
          <w:szCs w:val="16"/>
          <w:color w:val="auto"/>
        </w:rPr>
        <w:t>The Company's total liabilities as of December 31, 2021 were $65.8 million compared to $56.7 million in 2020. The increase in total liabilities was primarily attributable to the increase in accounts payable and other accrued liabilities as a result of the increase in the cost of sales as of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222" w:lineRule="exact"/>
        <w:rPr>
          <w:sz w:val="20"/>
          <w:szCs w:val="20"/>
          <w:color w:val="auto"/>
        </w:rPr>
      </w:pPr>
    </w:p>
    <w:p>
      <w:pPr>
        <w:ind w:right="40" w:firstLine="322"/>
        <w:spacing w:after="0" w:line="257" w:lineRule="auto"/>
        <w:rPr>
          <w:sz w:val="20"/>
          <w:szCs w:val="20"/>
          <w:color w:val="auto"/>
        </w:rPr>
      </w:pPr>
      <w:r>
        <w:rPr>
          <w:rFonts w:ascii="Arial" w:cs="Arial" w:eastAsia="Arial" w:hAnsi="Arial"/>
          <w:sz w:val="18"/>
          <w:szCs w:val="18"/>
          <w:color w:val="auto"/>
        </w:rPr>
        <w:t>As of December 31, 2021, the Company had total equity of $180.3 million compared to $127.1 million in 2020. The increase in equity is primarily driven by the follow-on offering that raised $64.3 million and stock-based compensation of $60.2 million, offset by the repurchase of the common stock and outstanding warrants held by EnCap for $1.3 million and $26.9 million, respectively. The Company reported a net loss of $43.1 million for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6" w:lineRule="exact"/>
        <w:rPr>
          <w:sz w:val="20"/>
          <w:szCs w:val="20"/>
          <w:color w:val="auto"/>
        </w:rPr>
      </w:pPr>
    </w:p>
    <w:p>
      <w:pPr>
        <w:ind w:right="80" w:firstLine="322"/>
        <w:spacing w:after="0" w:line="269" w:lineRule="auto"/>
        <w:rPr>
          <w:sz w:val="20"/>
          <w:szCs w:val="20"/>
          <w:color w:val="auto"/>
        </w:rPr>
      </w:pPr>
      <w:r>
        <w:rPr>
          <w:rFonts w:ascii="Arial" w:cs="Arial" w:eastAsia="Arial" w:hAnsi="Arial"/>
          <w:sz w:val="17"/>
          <w:szCs w:val="17"/>
          <w:color w:val="auto"/>
        </w:rPr>
        <w:t>In addition to our results determined in accordance with U.S. GAAP, we believe the non-GAAP financial measures of Enterprise EBITDA, Adjusted EBITDA, Adjusted Net Income (Loss), Adjusted Earnings Per Share ("EPS")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firstLine="322"/>
        <w:spacing w:after="0" w:line="271" w:lineRule="auto"/>
        <w:rPr>
          <w:sz w:val="20"/>
          <w:szCs w:val="20"/>
          <w:color w:val="auto"/>
        </w:rPr>
      </w:pPr>
      <w:r>
        <w:rPr>
          <w:rFonts w:ascii="Arial" w:cs="Arial" w:eastAsia="Arial" w:hAnsi="Arial"/>
          <w:sz w:val="17"/>
          <w:szCs w:val="17"/>
          <w:color w:val="auto"/>
        </w:rPr>
        <w:t>We use the following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EBITDA and Adjusted EBITDA</w:t>
      </w:r>
    </w:p>
    <w:p>
      <w:pPr>
        <w:spacing w:after="0" w:line="222" w:lineRule="exact"/>
        <w:rPr>
          <w:sz w:val="20"/>
          <w:szCs w:val="20"/>
          <w:color w:val="auto"/>
        </w:rPr>
      </w:pPr>
    </w:p>
    <w:p>
      <w:pPr>
        <w:ind w:right="80" w:firstLine="322"/>
        <w:spacing w:after="0" w:line="255" w:lineRule="auto"/>
        <w:rPr>
          <w:sz w:val="20"/>
          <w:szCs w:val="20"/>
          <w:color w:val="auto"/>
        </w:rPr>
      </w:pPr>
      <w:r>
        <w:rPr>
          <w:rFonts w:ascii="Arial" w:cs="Arial" w:eastAsia="Arial" w:hAnsi="Arial"/>
          <w:sz w:val="18"/>
          <w:szCs w:val="18"/>
          <w:color w:val="auto"/>
        </w:rPr>
        <w:t>Both Enterprise EBITDA and Adjusted EBITDA are supplemental measures of operating performance that are not made under GAAP and do not represent, and should not be considered as, an alternative to net loss as determined by GAAP. We define Enterprise EBITDA as net (loss) income attributable to Telos Corporation, adjusted for net (loss) income attributable to non-controlling interest, non-operating (income) expense, interest expense, provision for (benefit from) income taxes, and depreciation and amortization. We define Adjusted EBITDA as Enterprise EBITDA, adjusted for transaction gains/losses/expenses related to our IPO and stock-based compensation expense.</w:t>
      </w:r>
    </w:p>
    <w:p>
      <w:pPr>
        <w:spacing w:after="0" w:line="189" w:lineRule="exact"/>
        <w:rPr>
          <w:sz w:val="20"/>
          <w:szCs w:val="20"/>
          <w:color w:val="auto"/>
        </w:rPr>
      </w:pPr>
    </w:p>
    <w:p>
      <w:pPr>
        <w:ind w:right="520" w:firstLine="322"/>
        <w:spacing w:after="0" w:line="274" w:lineRule="auto"/>
        <w:rPr>
          <w:sz w:val="20"/>
          <w:szCs w:val="20"/>
          <w:color w:val="auto"/>
        </w:rPr>
      </w:pPr>
      <w:r>
        <w:rPr>
          <w:rFonts w:ascii="Arial" w:cs="Arial" w:eastAsia="Arial" w:hAnsi="Arial"/>
          <w:sz w:val="18"/>
          <w:szCs w:val="18"/>
          <w:color w:val="auto"/>
        </w:rPr>
        <w:t>A reconciliation of net loss attributable to Telos Corporation to Enterprise EBITDA and Adjusted EBITDA, the most directly comparable GAAP measure, is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Years Ended 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2019</w:t>
            </w:r>
          </w:p>
        </w:tc>
      </w:tr>
      <w:tr>
        <w:trPr>
          <w:trHeight w:val="222"/>
        </w:trPr>
        <w:tc>
          <w:tcPr>
            <w:tcW w:w="7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6"/>
          </w:tcPr>
          <w:p>
            <w:pPr>
              <w:jc w:val="right"/>
              <w:ind w:right="171"/>
              <w:spacing w:after="0"/>
              <w:rPr>
                <w:sz w:val="20"/>
                <w:szCs w:val="20"/>
                <w:color w:val="auto"/>
              </w:rPr>
            </w:pPr>
            <w:r>
              <w:rPr>
                <w:rFonts w:ascii="Arial" w:cs="Arial" w:eastAsia="Arial" w:hAnsi="Arial"/>
                <w:sz w:val="18"/>
                <w:szCs w:val="18"/>
                <w:color w:val="auto"/>
              </w:rPr>
              <w:t>(amount in thousands)</w:t>
            </w:r>
          </w:p>
        </w:tc>
        <w:tc>
          <w:tcPr>
            <w:tcW w:w="1020" w:type="dxa"/>
            <w:vAlign w:val="bottom"/>
          </w:tcPr>
          <w:p>
            <w:pPr>
              <w:spacing w:after="0"/>
              <w:rPr>
                <w:sz w:val="19"/>
                <w:szCs w:val="19"/>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Telos Corporation</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r>
      <w:tr>
        <w:trPr>
          <w:trHeight w:val="228"/>
        </w:trPr>
        <w:tc>
          <w:tcPr>
            <w:tcW w:w="70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4,264</w:t>
            </w:r>
          </w:p>
        </w:tc>
      </w:tr>
      <w:tr>
        <w:trPr>
          <w:trHeight w:val="228"/>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8"/>
        </w:trPr>
        <w:tc>
          <w:tcPr>
            <w:tcW w:w="7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7,467</w:t>
            </w:r>
          </w:p>
        </w:tc>
      </w:tr>
      <w:tr>
        <w:trPr>
          <w:trHeight w:val="228"/>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r>
      <w:tr>
        <w:trPr>
          <w:trHeight w:val="222"/>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EBITDA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w:t>
            </w:r>
          </w:p>
        </w:tc>
      </w:tr>
      <w:tr>
        <w:trPr>
          <w:trHeight w:val="208"/>
        </w:trPr>
        <w:tc>
          <w:tcPr>
            <w:tcW w:w="7040" w:type="dxa"/>
            <w:vAlign w:val="bottom"/>
          </w:tcPr>
          <w:p>
            <w:pPr>
              <w:ind w:left="20"/>
              <w:spacing w:after="0"/>
              <w:rPr>
                <w:sz w:val="20"/>
                <w:szCs w:val="20"/>
                <w:color w:val="auto"/>
              </w:rPr>
            </w:pPr>
            <w:r>
              <w:rPr>
                <w:rFonts w:ascii="Arial" w:cs="Arial" w:eastAsia="Arial" w:hAnsi="Arial"/>
                <w:sz w:val="18"/>
                <w:szCs w:val="18"/>
                <w:color w:val="auto"/>
              </w:rPr>
              <w:t>Transaction related gains/losses/expenses: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related legal and accounting</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040" w:type="dxa"/>
            <w:vAlign w:val="bottom"/>
          </w:tcPr>
          <w:p>
            <w:pPr>
              <w:ind w:left="340"/>
              <w:spacing w:after="0"/>
              <w:rPr>
                <w:sz w:val="20"/>
                <w:szCs w:val="20"/>
                <w:color w:val="auto"/>
              </w:rPr>
            </w:pPr>
            <w:r>
              <w:rPr>
                <w:rFonts w:ascii="Arial" w:cs="Arial" w:eastAsia="Arial" w:hAnsi="Arial"/>
                <w:sz w:val="18"/>
                <w:szCs w:val="18"/>
                <w:color w:val="auto"/>
              </w:rPr>
              <w:t>Transaction related bonus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redemption of public preferred stock</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040" w:type="dxa"/>
            <w:vAlign w:val="bottom"/>
          </w:tcPr>
          <w:p>
            <w:pPr>
              <w:ind w:left="340"/>
              <w:spacing w:after="0"/>
              <w:rPr>
                <w:sz w:val="20"/>
                <w:szCs w:val="20"/>
                <w:color w:val="auto"/>
              </w:rPr>
            </w:pPr>
            <w:r>
              <w:rPr>
                <w:rFonts w:ascii="Arial" w:cs="Arial" w:eastAsia="Arial" w:hAnsi="Arial"/>
                <w:sz w:val="18"/>
                <w:szCs w:val="18"/>
                <w:color w:val="auto"/>
              </w:rPr>
              <w:t>Transaction related non-operating income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senior term loan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040" w:type="dxa"/>
            <w:vAlign w:val="bottom"/>
          </w:tcPr>
          <w:p>
            <w:pPr>
              <w:ind w:left="340"/>
              <w:spacing w:after="0"/>
              <w:rPr>
                <w:sz w:val="20"/>
                <w:szCs w:val="20"/>
                <w:color w:val="auto"/>
              </w:rPr>
            </w:pPr>
            <w:r>
              <w:rPr>
                <w:rFonts w:ascii="Arial" w:cs="Arial" w:eastAsia="Arial" w:hAnsi="Arial"/>
                <w:sz w:val="18"/>
                <w:szCs w:val="18"/>
                <w:color w:val="auto"/>
              </w:rPr>
              <w:t>Loss on extinguishment of subordinated debt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040" w:type="dxa"/>
            <w:vAlign w:val="bottom"/>
          </w:tcPr>
          <w:p>
            <w:pPr>
              <w:ind w:left="20"/>
              <w:spacing w:after="0"/>
              <w:rPr>
                <w:sz w:val="20"/>
                <w:szCs w:val="20"/>
                <w:color w:val="auto"/>
              </w:rPr>
            </w:pPr>
            <w:r>
              <w:rPr>
                <w:rFonts w:ascii="Arial" w:cs="Arial" w:eastAsia="Arial" w:hAnsi="Arial"/>
                <w:sz w:val="18"/>
                <w:szCs w:val="18"/>
                <w:color w:val="auto"/>
              </w:rPr>
              <w:t>Total transaction related gains/losses/expenses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9,997</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EPS</w:t>
      </w:r>
    </w:p>
    <w:p>
      <w:pPr>
        <w:spacing w:after="0" w:line="222" w:lineRule="exact"/>
        <w:rPr>
          <w:sz w:val="20"/>
          <w:szCs w:val="20"/>
          <w:color w:val="auto"/>
        </w:rPr>
      </w:pPr>
    </w:p>
    <w:p>
      <w:pPr>
        <w:ind w:firstLine="322"/>
        <w:spacing w:after="0" w:line="255" w:lineRule="auto"/>
        <w:rPr>
          <w:sz w:val="20"/>
          <w:szCs w:val="20"/>
          <w:color w:val="auto"/>
        </w:rPr>
      </w:pPr>
      <w:r>
        <w:rPr>
          <w:rFonts w:ascii="Arial" w:cs="Arial" w:eastAsia="Arial" w:hAnsi="Arial"/>
          <w:sz w:val="18"/>
          <w:szCs w:val="18"/>
          <w:color w:val="auto"/>
        </w:rPr>
        <w:t>Adjusted Net Income (Loss) and Adjusted EPS are supplemental measures of operating performance that are not made under GAAP and do not represent, and should not be considered as, alternatives to net income (loss) as determined by GAAP. We define Adjusted Net Income (Loss) as net income (loss) attributable to Telos Corporation, adjusted for non-operating expense (income), transaction-related gains/losses/expenses, and stock-based compensation expense. We define Adjusted EPS as Adjusted Net Income (Loss) divided by the weighted-average number of common shares outstanding for the period.</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reconciliation of net (loss) income attributable to Telos Corporation to Adjusted Net Income (Loss) and Adjusted EPS, the most directly comparable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GAAP measure,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Years Ended December 31,</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Adjusted Net</w:t>
            </w:r>
          </w:p>
        </w:tc>
        <w:tc>
          <w:tcPr>
            <w:tcW w:w="160" w:type="dxa"/>
            <w:vAlign w:val="bottom"/>
          </w:tcPr>
          <w:p>
            <w:pPr>
              <w:spacing w:after="0"/>
              <w:rPr>
                <w:sz w:val="14"/>
                <w:szCs w:val="14"/>
                <w:color w:val="auto"/>
              </w:rPr>
            </w:pPr>
          </w:p>
        </w:tc>
        <w:tc>
          <w:tcPr>
            <w:tcW w:w="960" w:type="dxa"/>
            <w:vAlign w:val="bottom"/>
          </w:tcPr>
          <w:p>
            <w:pPr>
              <w:jc w:val="center"/>
              <w:ind w:right="51"/>
              <w:spacing w:after="0" w:line="168" w:lineRule="exact"/>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Adjusted Net</w:t>
            </w:r>
          </w:p>
        </w:tc>
        <w:tc>
          <w:tcPr>
            <w:tcW w:w="160" w:type="dxa"/>
            <w:vAlign w:val="bottom"/>
          </w:tcPr>
          <w:p>
            <w:pPr>
              <w:spacing w:after="0"/>
              <w:rPr>
                <w:sz w:val="14"/>
                <w:szCs w:val="14"/>
                <w:color w:val="auto"/>
              </w:rPr>
            </w:pPr>
          </w:p>
        </w:tc>
        <w:tc>
          <w:tcPr>
            <w:tcW w:w="980" w:type="dxa"/>
            <w:vAlign w:val="bottom"/>
          </w:tcPr>
          <w:p>
            <w:pPr>
              <w:jc w:val="center"/>
              <w:ind w:right="71"/>
              <w:spacing w:after="0" w:line="168" w:lineRule="exact"/>
              <w:rPr>
                <w:sz w:val="20"/>
                <w:szCs w:val="20"/>
                <w:color w:val="auto"/>
              </w:rPr>
            </w:pPr>
            <w:r>
              <w:rPr>
                <w:rFonts w:ascii="Arial" w:cs="Arial" w:eastAsia="Arial" w:hAnsi="Arial"/>
                <w:sz w:val="18"/>
                <w:szCs w:val="18"/>
                <w:b w:val="1"/>
                <w:bCs w:val="1"/>
                <w:color w:val="auto"/>
                <w:w w:val="90"/>
              </w:rPr>
              <w:t>Adjusted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Adjusted Net</w:t>
            </w:r>
          </w:p>
        </w:tc>
        <w:tc>
          <w:tcPr>
            <w:tcW w:w="160" w:type="dxa"/>
            <w:vAlign w:val="bottom"/>
          </w:tcPr>
          <w:p>
            <w:pPr>
              <w:spacing w:after="0"/>
              <w:rPr>
                <w:sz w:val="14"/>
                <w:szCs w:val="14"/>
                <w:color w:val="auto"/>
              </w:rPr>
            </w:pPr>
          </w:p>
        </w:tc>
        <w:tc>
          <w:tcPr>
            <w:tcW w:w="980" w:type="dxa"/>
            <w:vAlign w:val="bottom"/>
          </w:tcPr>
          <w:p>
            <w:pPr>
              <w:jc w:val="right"/>
              <w:ind w:right="131"/>
              <w:spacing w:after="0" w:line="168" w:lineRule="exact"/>
              <w:rPr>
                <w:sz w:val="20"/>
                <w:szCs w:val="20"/>
                <w:color w:val="auto"/>
              </w:rPr>
            </w:pPr>
            <w:r>
              <w:rPr>
                <w:rFonts w:ascii="Arial" w:cs="Arial" w:eastAsia="Arial" w:hAnsi="Arial"/>
                <w:sz w:val="18"/>
                <w:szCs w:val="18"/>
                <w:b w:val="1"/>
                <w:bCs w:val="1"/>
                <w:color w:val="auto"/>
                <w:w w:val="96"/>
              </w:rPr>
              <w:t>Adjusted</w:t>
            </w: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40" w:type="dxa"/>
            <w:vAlign w:val="bottom"/>
            <w:gridSpan w:val="3"/>
          </w:tcPr>
          <w:p>
            <w:pPr>
              <w:jc w:val="center"/>
              <w:ind w:right="100"/>
              <w:spacing w:after="0" w:line="175" w:lineRule="exact"/>
              <w:rPr>
                <w:sz w:val="20"/>
                <w:szCs w:val="20"/>
                <w:color w:val="auto"/>
              </w:rPr>
            </w:pPr>
            <w:r>
              <w:rPr>
                <w:rFonts w:ascii="Arial" w:cs="Arial" w:eastAsia="Arial" w:hAnsi="Arial"/>
                <w:sz w:val="18"/>
                <w:szCs w:val="18"/>
                <w:b w:val="1"/>
                <w:bCs w:val="1"/>
                <w:color w:val="auto"/>
                <w:w w:val="91"/>
              </w:rPr>
              <w:t>Earnings Per</w:t>
            </w:r>
          </w:p>
        </w:tc>
        <w:tc>
          <w:tcPr>
            <w:tcW w:w="1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20" w:type="dxa"/>
            <w:vAlign w:val="bottom"/>
            <w:gridSpan w:val="3"/>
          </w:tcPr>
          <w:p>
            <w:pPr>
              <w:jc w:val="center"/>
              <w:ind w:right="80"/>
              <w:spacing w:after="0" w:line="175" w:lineRule="exact"/>
              <w:rPr>
                <w:sz w:val="20"/>
                <w:szCs w:val="20"/>
                <w:color w:val="auto"/>
              </w:rPr>
            </w:pPr>
            <w:r>
              <w:rPr>
                <w:rFonts w:ascii="Arial" w:cs="Arial" w:eastAsia="Arial" w:hAnsi="Arial"/>
                <w:sz w:val="18"/>
                <w:szCs w:val="18"/>
                <w:b w:val="1"/>
                <w:bCs w:val="1"/>
                <w:color w:val="auto"/>
                <w:w w:val="91"/>
              </w:rPr>
              <w:t>Earnings Per</w:t>
            </w:r>
          </w:p>
        </w:tc>
        <w:tc>
          <w:tcPr>
            <w:tcW w:w="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140" w:type="dxa"/>
            <w:vAlign w:val="bottom"/>
            <w:gridSpan w:val="2"/>
          </w:tcPr>
          <w:p>
            <w:pPr>
              <w:jc w:val="right"/>
              <w:spacing w:after="0" w:line="175" w:lineRule="exact"/>
              <w:rPr>
                <w:sz w:val="20"/>
                <w:szCs w:val="20"/>
                <w:color w:val="auto"/>
              </w:rPr>
            </w:pPr>
            <w:r>
              <w:rPr>
                <w:rFonts w:ascii="Arial" w:cs="Arial" w:eastAsia="Arial" w:hAnsi="Arial"/>
                <w:sz w:val="18"/>
                <w:szCs w:val="18"/>
                <w:b w:val="1"/>
                <w:bCs w:val="1"/>
                <w:color w:val="auto"/>
                <w:w w:val="95"/>
              </w:rPr>
              <w:t>Earnings Per</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Share</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19"/>
                <w:szCs w:val="19"/>
                <w:color w:val="auto"/>
              </w:rPr>
            </w:pPr>
          </w:p>
        </w:tc>
        <w:tc>
          <w:tcPr>
            <w:tcW w:w="980" w:type="dxa"/>
            <w:vAlign w:val="bottom"/>
          </w:tcPr>
          <w:p>
            <w:pPr>
              <w:jc w:val="right"/>
              <w:ind w:right="251"/>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71"/>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71"/>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71"/>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GAAP measure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8"/>
        </w:trPr>
        <w:tc>
          <w:tcPr>
            <w:tcW w:w="27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Non-operating expense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74"/>
        </w:trPr>
        <w:tc>
          <w:tcPr>
            <w:tcW w:w="2780" w:type="dxa"/>
            <w:vAlign w:val="bottom"/>
          </w:tcPr>
          <w:p>
            <w:pPr>
              <w:ind w:left="220"/>
              <w:spacing w:after="0" w:line="175" w:lineRule="exact"/>
              <w:rPr>
                <w:sz w:val="20"/>
                <w:szCs w:val="20"/>
                <w:color w:val="auto"/>
              </w:rPr>
            </w:pPr>
            <w:r>
              <w:rPr>
                <w:rFonts w:ascii="Arial" w:cs="Arial" w:eastAsia="Arial" w:hAnsi="Arial"/>
                <w:sz w:val="18"/>
                <w:szCs w:val="18"/>
                <w:color w:val="auto"/>
                <w:w w:val="96"/>
              </w:rPr>
              <w:t>Transaction related gains/losses/</w:t>
            </w:r>
          </w:p>
        </w:tc>
        <w:tc>
          <w:tcPr>
            <w:tcW w:w="16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(8,007)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78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220"/>
              <w:spacing w:after="0" w:line="175" w:lineRule="exact"/>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60,231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80" w:type="dxa"/>
            <w:vAlign w:val="bottom"/>
          </w:tcPr>
          <w:p>
            <w:pPr>
              <w:ind w:left="20"/>
              <w:spacing w:after="0"/>
              <w:rPr>
                <w:sz w:val="20"/>
                <w:szCs w:val="20"/>
                <w:color w:val="auto"/>
              </w:rPr>
            </w:pPr>
            <w:r>
              <w:rPr>
                <w:rFonts w:ascii="Arial" w:cs="Arial" w:eastAsia="Arial" w:hAnsi="Arial"/>
                <w:sz w:val="18"/>
                <w:szCs w:val="18"/>
                <w:color w:val="auto"/>
              </w:rPr>
              <w:t>Adjusted non-GAAP measure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7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shares of common</w:t>
            </w:r>
          </w:p>
        </w:tc>
        <w:tc>
          <w:tcPr>
            <w:tcW w:w="16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66,374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42,877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stock outstanding, diluted</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2" w:lineRule="exact"/>
        <w:rPr>
          <w:sz w:val="20"/>
          <w:szCs w:val="20"/>
          <w:color w:val="auto"/>
        </w:rPr>
      </w:pPr>
    </w:p>
    <w:p>
      <w:pPr>
        <w:ind w:right="100" w:firstLine="322"/>
        <w:spacing w:after="0" w:line="257" w:lineRule="auto"/>
        <w:rPr>
          <w:sz w:val="20"/>
          <w:szCs w:val="20"/>
          <w:color w:val="auto"/>
        </w:rPr>
      </w:pPr>
      <w:r>
        <w:rPr>
          <w:rFonts w:ascii="Arial" w:cs="Arial" w:eastAsia="Arial" w:hAnsi="Arial"/>
          <w:sz w:val="18"/>
          <w:szCs w:val="18"/>
          <w:color w:val="auto"/>
        </w:rPr>
        <w:t>Free cash flow, as reconciled in the table below, is a non-GAAP financial measure defined as net cash provided by or 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Years Ended December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b w:val="1"/>
                <w:bCs w:val="1"/>
                <w:color w:val="auto"/>
              </w:rPr>
              <w:t>2019</w:t>
            </w:r>
          </w:p>
        </w:tc>
      </w:tr>
      <w:tr>
        <w:trPr>
          <w:trHeight w:val="222"/>
        </w:trPr>
        <w:tc>
          <w:tcPr>
            <w:tcW w:w="4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operating activities</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88"/>
              </w:rPr>
              <w:t>7,262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w:t>
            </w:r>
          </w:p>
        </w:tc>
      </w:tr>
      <w:tr>
        <w:trPr>
          <w:trHeight w:val="228"/>
        </w:trPr>
        <w:tc>
          <w:tcPr>
            <w:tcW w:w="45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8"/>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991"/>
              <w:spacing w:after="0"/>
              <w:rPr>
                <w:sz w:val="20"/>
                <w:szCs w:val="20"/>
                <w:color w:val="auto"/>
              </w:rPr>
            </w:pPr>
            <w:r>
              <w:rPr>
                <w:rFonts w:ascii="Arial" w:cs="Arial" w:eastAsia="Arial" w:hAnsi="Arial"/>
                <w:sz w:val="18"/>
                <w:szCs w:val="18"/>
                <w:color w:val="auto"/>
                <w:w w:val="91"/>
              </w:rPr>
              <w:t>(3,201)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r>
      <w:tr>
        <w:trPr>
          <w:trHeight w:val="228"/>
        </w:trPr>
        <w:tc>
          <w:tcPr>
            <w:tcW w:w="4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Capitalized software development costs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991"/>
              <w:spacing w:after="0"/>
              <w:rPr>
                <w:sz w:val="20"/>
                <w:szCs w:val="20"/>
                <w:color w:val="auto"/>
              </w:rPr>
            </w:pPr>
            <w:r>
              <w:rPr>
                <w:rFonts w:ascii="Arial" w:cs="Arial" w:eastAsia="Arial" w:hAnsi="Arial"/>
                <w:sz w:val="18"/>
                <w:szCs w:val="18"/>
                <w:color w:val="auto"/>
                <w:w w:val="91"/>
              </w:rPr>
              <w:t>(9,968)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r>
      <w:tr>
        <w:trPr>
          <w:trHeight w:val="24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center"/>
              <w:ind w:left="991"/>
              <w:spacing w:after="0"/>
              <w:rPr>
                <w:sz w:val="20"/>
                <w:szCs w:val="20"/>
                <w:color w:val="auto"/>
              </w:rPr>
            </w:pPr>
            <w:r>
              <w:rPr>
                <w:rFonts w:ascii="Arial" w:cs="Arial" w:eastAsia="Arial" w:hAnsi="Arial"/>
                <w:sz w:val="18"/>
                <w:szCs w:val="18"/>
                <w:color w:val="auto"/>
                <w:w w:val="91"/>
              </w:rPr>
              <w:t>(5,907)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0" w:firstLine="322"/>
        <w:spacing w:after="0" w:line="287" w:lineRule="auto"/>
        <w:rPr>
          <w:sz w:val="20"/>
          <w:szCs w:val="20"/>
          <w:color w:val="auto"/>
        </w:rPr>
      </w:pPr>
      <w:r>
        <w:rPr>
          <w:rFonts w:ascii="Arial" w:cs="Arial" w:eastAsia="Arial" w:hAnsi="Arial"/>
          <w:sz w:val="16"/>
          <w:szCs w:val="16"/>
          <w:color w:val="auto"/>
        </w:rPr>
        <w:t>Each of Enterprise EBITDA, Adjusted EBITDA, Adjusted Net Income (Loss), Adjusted EPS and Free Cash Flow has limitations as an analytical tool, and you should not consider any of them in isolation, or as a substitute for analysis of our results as reported under GAAP. Among other limitations, each of Enterprise EBITDA, Adjusted EBITDA, Adjusted Net Income (Loss), Adjusted EPS and Free Cash Flow does not reflect our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Adjusted EBITDA, Adjusted Net Income (Loss), Adjusted EPS and Free Cash Flow differently than we do, which limits its usefulness as a comparative measure. Because of these limitations, neither Enterprise EBITDA, Adjusted EBITDA, Adjusted Net Income (Loss), Adjusted EPS nor Free Cash Flow should be considered as a replacement for net income (loss), earnings per share or net cash flows provided by operating activities, as determined by GAAP, or as a measure of our profitability. We compensate for these limitations by relying primarily on our GAAP results and using non-GAAP measures only for supplemental purposes.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ind w:right="40" w:firstLine="322"/>
        <w:spacing w:after="0" w:line="269" w:lineRule="auto"/>
        <w:rPr>
          <w:sz w:val="20"/>
          <w:szCs w:val="20"/>
          <w:color w:val="auto"/>
        </w:rPr>
      </w:pPr>
      <w:r>
        <w:rPr>
          <w:rFonts w:ascii="Arial" w:cs="Arial" w:eastAsia="Arial" w:hAnsi="Arial"/>
          <w:sz w:val="17"/>
          <w:szCs w:val="17"/>
          <w:color w:val="auto"/>
        </w:rPr>
        <w:t>While a variety of factors related to sources and uses of cash, such as timeliness of accounts receivable collections, vendor credit terms, or significant collateral requirements, ultimately impact our liquidity, such factors may or may not have a direct impact on our liquidity. For example, a contractual requirement to post collateral for a duration of several months, depending on the materiality of the amount, could have an immediate negative effect on our liquidity, as such a circumstance would utilize cash resources without a near-term cash inflow back to us. Likewise, the release of such collateral could have a corresponding positive effect on our liquidity, as it would represent an addition to our cash resources without any corresponding near-term cash outflow. Similarly, a slow-down of payments from a customer, group of customers or government payment office would not have an immediate and direct effect on our availability unless the slowdown was material in amount and over an extended period of time. Any of these examples would have an impact on our cash resources and therefore our liquidity.</w:t>
      </w:r>
    </w:p>
    <w:p>
      <w:pPr>
        <w:spacing w:after="0" w:line="180" w:lineRule="exact"/>
        <w:rPr>
          <w:sz w:val="20"/>
          <w:szCs w:val="20"/>
          <w:color w:val="auto"/>
        </w:rPr>
      </w:pPr>
    </w:p>
    <w:p>
      <w:pPr>
        <w:ind w:right="180" w:firstLine="322"/>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Upon the closing of the IPO in November 2020, we issued 17.2 million shares of our common stock at a price of $17.00 per share, generating net proceeds of approximately $272.8 million. We used approximately $108.9 million of the net proceeds in connection with the exchangeable redeemable preferred stock conversion (see </w:t>
      </w:r>
      <w:hyperlink w:anchor="page74">
        <w:r>
          <w:rPr>
            <w:rFonts w:ascii="Arial" w:cs="Arial" w:eastAsia="Arial" w:hAnsi="Arial"/>
            <w:sz w:val="18"/>
            <w:szCs w:val="18"/>
            <w:u w:val="single" w:color="auto"/>
            <w:color w:val="0000FF"/>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 Exchangeable Redeemable Preferred Stock Conversion), $30.0 million to fund our acquisition of the outstanding Class B Units of Telos ID (see </w:t>
      </w:r>
      <w:hyperlink w:anchor="page75">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 Non-controlling Interests / Purchase of Telos ID), and $21.0 million to repay our outstanding senior term loan and subordinated debt (see </w:t>
      </w:r>
      <w:hyperlink w:anchor="page72">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Debt Obligations).</w:t>
      </w:r>
    </w:p>
    <w:p>
      <w:pPr>
        <w:spacing w:after="0" w:line="189" w:lineRule="exact"/>
        <w:rPr>
          <w:rFonts w:ascii="Arial" w:cs="Arial" w:eastAsia="Arial" w:hAnsi="Arial"/>
          <w:sz w:val="18"/>
          <w:szCs w:val="18"/>
          <w:color w:val="auto"/>
        </w:rPr>
      </w:pPr>
    </w:p>
    <w:p>
      <w:pPr>
        <w:ind w:right="60" w:firstLine="322"/>
        <w:spacing w:after="0" w:line="254" w:lineRule="auto"/>
        <w:rPr>
          <w:sz w:val="20"/>
          <w:szCs w:val="20"/>
          <w:color w:val="auto"/>
        </w:rPr>
      </w:pPr>
      <w:r>
        <w:rPr>
          <w:rFonts w:ascii="Arial" w:cs="Arial" w:eastAsia="Arial" w:hAnsi="Arial"/>
          <w:sz w:val="18"/>
          <w:szCs w:val="18"/>
          <w:color w:val="auto"/>
        </w:rPr>
        <w:t>On April 6, 2021, we completed our follow-on offering of 9.1 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warrants to purchase 900,970 shares of our common stock owned by EnCap (see Note 7 - Debt Obligations). Further, on July 30, 2021, we used approximately $5.9 million of the net proceeds to acquire the assets of DFT (see Note 4 - Acquisition).</w:t>
      </w:r>
    </w:p>
    <w:p>
      <w:pPr>
        <w:spacing w:after="0" w:line="189" w:lineRule="exact"/>
        <w:rPr>
          <w:rFonts w:ascii="Arial" w:cs="Arial" w:eastAsia="Arial" w:hAnsi="Arial"/>
          <w:sz w:val="18"/>
          <w:szCs w:val="18"/>
          <w:color w:val="auto"/>
        </w:rPr>
      </w:pPr>
    </w:p>
    <w:p>
      <w:pPr>
        <w:ind w:right="80" w:firstLine="322"/>
        <w:spacing w:after="0" w:line="255" w:lineRule="auto"/>
        <w:rPr>
          <w:sz w:val="20"/>
          <w:szCs w:val="20"/>
          <w:color w:val="auto"/>
        </w:rPr>
      </w:pPr>
      <w:r>
        <w:rPr>
          <w:rFonts w:ascii="Arial" w:cs="Arial" w:eastAsia="Arial" w:hAnsi="Arial"/>
          <w:sz w:val="18"/>
          <w:szCs w:val="18"/>
          <w:color w:val="auto"/>
        </w:rPr>
        <w:t>We intend to use the remaining net proceeds of the IPO and the follow-on offering for general corporate purposes. We also may use a portion of the net proceeds to acquire complementary businesses, products, services, or technologies. The amounts and timing of our actual use of the net proceeds will vary depending on numerous factors. Proceeds held by us are invested in short-term investments until needed for the uses described above. We currently anticipate that we will retain all available funds for use in the operations and expansion of our business, and we do not anticipate paying any cash dividends on our common stock in the foreseeable future.</w:t>
      </w:r>
    </w:p>
    <w:p>
      <w:pPr>
        <w:spacing w:after="0" w:line="189" w:lineRule="exact"/>
        <w:rPr>
          <w:rFonts w:ascii="Arial" w:cs="Arial" w:eastAsia="Arial" w:hAnsi="Arial"/>
          <w:sz w:val="18"/>
          <w:szCs w:val="18"/>
          <w:color w:val="auto"/>
        </w:rPr>
      </w:pPr>
    </w:p>
    <w:p>
      <w:pPr>
        <w:ind w:firstLine="322"/>
        <w:spacing w:after="0" w:line="261" w:lineRule="auto"/>
        <w:rPr>
          <w:sz w:val="20"/>
          <w:szCs w:val="20"/>
          <w:color w:val="auto"/>
        </w:rPr>
      </w:pPr>
      <w:r>
        <w:rPr>
          <w:rFonts w:ascii="Arial" w:cs="Arial" w:eastAsia="Arial" w:hAnsi="Arial"/>
          <w:sz w:val="18"/>
          <w:szCs w:val="18"/>
          <w:color w:val="auto"/>
        </w:rPr>
        <w:t>Our overall financial position and liquidity are strong. Our working capital was $140.8 million and $105.2 million as of December 31, 2021 and 2020, respectively. Although no assurances can be given, we expect that funds generated from operations are sufficient to maintain the liquidity we require to meet our operating, investing and financing needs for the next 12 months.</w:t>
      </w:r>
    </w:p>
    <w:p>
      <w:pPr>
        <w:spacing w:after="0" w:line="184" w:lineRule="exact"/>
        <w:rPr>
          <w:rFonts w:ascii="Arial" w:cs="Arial" w:eastAsia="Arial" w:hAnsi="Arial"/>
          <w:sz w:val="18"/>
          <w:szCs w:val="18"/>
          <w:color w:val="auto"/>
        </w:rPr>
      </w:pPr>
    </w:p>
    <w:p>
      <w:pPr>
        <w:jc w:val="both"/>
        <w:ind w:right="60" w:firstLine="322"/>
        <w:spacing w:after="0" w:line="284" w:lineRule="auto"/>
        <w:rPr>
          <w:sz w:val="20"/>
          <w:szCs w:val="20"/>
          <w:color w:val="auto"/>
        </w:rPr>
      </w:pPr>
      <w:r>
        <w:rPr>
          <w:rFonts w:ascii="Arial" w:cs="Arial" w:eastAsia="Arial" w:hAnsi="Arial"/>
          <w:sz w:val="17"/>
          <w:szCs w:val="17"/>
          <w:color w:val="auto"/>
        </w:rPr>
        <w:t>We ended fiscal year 2021 with a cash and cash equivalent balance of $126.6 million compared to $106.0 million at the end of 2020. We place a strong emphasis on cash flow generation. This focus gives us the flexibility for capital deployment while preserving a strong balance sheet to position us for future opportunities. We believe we have adequate funds on hand to execute our financial and operating strategy.</w:t>
      </w:r>
    </w:p>
    <w:p>
      <w:pPr>
        <w:spacing w:after="0" w:line="165" w:lineRule="exact"/>
        <w:rPr>
          <w:rFonts w:ascii="Arial" w:cs="Arial" w:eastAsia="Arial" w:hAnsi="Arial"/>
          <w:sz w:val="18"/>
          <w:szCs w:val="18"/>
          <w:color w:val="auto"/>
        </w:rPr>
      </w:pPr>
    </w:p>
    <w:p>
      <w:pPr>
        <w:ind w:right="640" w:firstLine="322"/>
        <w:spacing w:after="0" w:line="274" w:lineRule="auto"/>
        <w:rPr>
          <w:sz w:val="20"/>
          <w:szCs w:val="20"/>
          <w:color w:val="auto"/>
        </w:rPr>
      </w:pPr>
      <w:r>
        <w:rPr>
          <w:rFonts w:ascii="Arial" w:cs="Arial" w:eastAsia="Arial" w:hAnsi="Arial"/>
          <w:sz w:val="18"/>
          <w:szCs w:val="18"/>
          <w:color w:val="auto"/>
        </w:rPr>
        <w:t>The following is a discussion of our major operating, investing and financing activities in fiscal years 2021, 2020 and 2019, as classified on the Consolidated Statements of Cash Flows in Part II, Item 8.</w:t>
      </w:r>
    </w:p>
    <w:p>
      <w:pPr>
        <w:spacing w:after="0" w:line="172" w:lineRule="exact"/>
        <w:rPr>
          <w:rFonts w:ascii="Arial" w:cs="Arial" w:eastAsia="Arial" w:hAnsi="Arial"/>
          <w:sz w:val="18"/>
          <w:szCs w:val="18"/>
          <w:color w:val="auto"/>
        </w:rPr>
      </w:pPr>
    </w:p>
    <w:p>
      <w:pPr>
        <w:ind w:right="60" w:firstLine="322"/>
        <w:spacing w:after="0" w:line="268" w:lineRule="auto"/>
        <w:rPr>
          <w:sz w:val="20"/>
          <w:szCs w:val="20"/>
          <w:color w:val="auto"/>
        </w:rPr>
      </w:pPr>
      <w:r>
        <w:rPr>
          <w:rFonts w:ascii="Arial" w:cs="Arial" w:eastAsia="Arial" w:hAnsi="Arial"/>
          <w:sz w:val="17"/>
          <w:szCs w:val="17"/>
          <w:color w:val="auto"/>
        </w:rPr>
        <w:t>Net cash provided by operating activities was $7.3 million in 2021 compared to cash used in operating activities of $2.1 million in 2020 and cash provided by operating activities of $11.8 million in 2019. Cash provided by operating activities is primarily driven by our operating income, the timing of receipt of customer payments, the timing of payments to vendors and employees, and the timing of inventory turnover, adjusted for certain non-cash items that do not impact cash flows from operating activities. Additionally, cash used in operating activities also includes dividends from preferred stock recorded as interest expense of $3.4 million and $3.8 million for 2020 and 2019, respectively. In 2021, net loss was $43.1 million, which included $60.2 million of stock-based compensation, and $5.6 million of depreciation and amortization ($1.9 million of which was amortization of intangible assets). In 2020, net income was $6.8 million, which included $14.0 million of gain related to the redemption of public preferred stock, and $5.4 million of depreciation and amortization ($1.7 million of which was amortization of intangible assets). In 2019, net loss was $2.1 million, which included $5.0 million of depreciation and amortization ($1.8 million of which was amortization of intangible assets).</w:t>
      </w: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0" w:firstLine="322"/>
        <w:spacing w:after="0" w:line="255" w:lineRule="auto"/>
        <w:rPr>
          <w:sz w:val="20"/>
          <w:szCs w:val="20"/>
          <w:color w:val="auto"/>
        </w:rPr>
      </w:pPr>
      <w:r>
        <w:rPr>
          <w:rFonts w:ascii="Arial" w:cs="Arial" w:eastAsia="Arial" w:hAnsi="Arial"/>
          <w:sz w:val="18"/>
          <w:szCs w:val="18"/>
          <w:color w:val="auto"/>
        </w:rPr>
        <w:t>Net cash used in investing activities for the years ended December 31, 2021, 2020, and 2019 was $19.1 million, $7.5 million, and $6.5 million, respectively. Our investing activities include cash paid for capital expenditure and business acquisition. Capital expenditures for the year ended December 31, 2021, 2020, and 2019, consisted of the capitalization of software development costs of $10.0 million, $6.7 million, and $2.4 million, respectively, and the purchases of property and equipment of $3.2 million, $0.8 million, and $4.1 million, respectively. In 2021, we paid $5.9 million of cash for the acquisition completed in July 2021.</w:t>
      </w:r>
    </w:p>
    <w:p>
      <w:pPr>
        <w:spacing w:after="0" w:line="189" w:lineRule="exact"/>
        <w:rPr>
          <w:sz w:val="20"/>
          <w:szCs w:val="20"/>
          <w:color w:val="auto"/>
        </w:rPr>
      </w:pPr>
    </w:p>
    <w:p>
      <w:pPr>
        <w:ind w:right="20" w:firstLine="322"/>
        <w:spacing w:after="0" w:line="252" w:lineRule="auto"/>
        <w:rPr>
          <w:sz w:val="20"/>
          <w:szCs w:val="20"/>
          <w:color w:val="auto"/>
        </w:rPr>
      </w:pPr>
      <w:r>
        <w:rPr>
          <w:rFonts w:ascii="Arial" w:cs="Arial" w:eastAsia="Arial" w:hAnsi="Arial"/>
          <w:sz w:val="18"/>
          <w:szCs w:val="18"/>
          <w:color w:val="auto"/>
        </w:rPr>
        <w:t>Cash provided by financing activities for the years ended December 31, 2021, 2020 and 2019 was $32.3 million, $108.9 million, and $1.4 million, respectively. The financing activities in 2021 is primarily attributable to the proceeds from the follow-on offering that generated $64.3 million of net proceeds, reduced by $26.9 million used to repurchase the outstanding warrants held by EnCap, $1.3 million to repurchase the common stock held by EnCap, repayments of $1.3 million under finance leases, and $2.4 million final cash distribution to the Class B Member of Telos ID. The financing activities in 2020 consisted of net proceeds of $272.8 million from the initial public offering, offset by $108.9 million redemption of the public preferred stock, $17.4 million payoff of senior term loan, $30.0 million purchase of Telos ID membership interest, distributions of $2.7 million to the Class B Member of Telos ID, $3.7 million payoff of subordinated debt, and repayments of $1.2 million under finance leases. The financing activities in 2019 consisted of net proceeds of $4.9 million from the EnCap senior term loan, distributions of $2.4 million to the Class B Member of Telos ID, and repayments of $1.1 million under finance leases.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2" w:lineRule="exact"/>
        <w:rPr>
          <w:sz w:val="20"/>
          <w:szCs w:val="20"/>
          <w:color w:val="auto"/>
        </w:rPr>
      </w:pPr>
    </w:p>
    <w:p>
      <w:pPr>
        <w:jc w:val="both"/>
        <w:ind w:right="180" w:firstLine="322"/>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Company does not have any other contractual obligations at December 31, 2021, except for the commitments on the existing lease obligations, as described under </w:t>
      </w:r>
      <w:hyperlink w:anchor="page85">
        <w:r>
          <w:rPr>
            <w:rFonts w:ascii="Arial" w:cs="Arial" w:eastAsia="Arial" w:hAnsi="Arial"/>
            <w:sz w:val="18"/>
            <w:szCs w:val="18"/>
            <w:u w:val="single" w:color="auto"/>
            <w:color w:val="0000FF"/>
          </w:rPr>
          <w:t>Note 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Commitments, Contingencies and Subsequent Events, to the Consolidated Financial Statements. The following summarizes our obligations at December 31, 2021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Payments due by Period</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2"/>
        </w:trPr>
        <w:tc>
          <w:tcPr>
            <w:tcW w:w="4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9"/>
                <w:szCs w:val="19"/>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w w:val="93"/>
              </w:rPr>
              <w:t>2023 - 2025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w w:val="93"/>
              </w:rPr>
              <w:t>2026 - 2028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w w:val="89"/>
              </w:rPr>
              <w:t>2029 and later</w:t>
            </w:r>
          </w:p>
        </w:tc>
      </w:tr>
      <w:tr>
        <w:trPr>
          <w:trHeight w:val="248"/>
        </w:trPr>
        <w:tc>
          <w:tcPr>
            <w:tcW w:w="4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28"/>
        </w:trPr>
        <w:tc>
          <w:tcPr>
            <w:tcW w:w="42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28"/>
        </w:trPr>
        <w:tc>
          <w:tcPr>
            <w:tcW w:w="422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545"/>
        </w:trPr>
        <w:tc>
          <w:tcPr>
            <w:tcW w:w="4220" w:type="dxa"/>
            <w:vAlign w:val="bottom"/>
          </w:tcPr>
          <w:p>
            <w:pPr>
              <w:ind w:left="2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Includes interest expense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4"/>
                <w:szCs w:val="24"/>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bl>
    <w:p>
      <w:pPr>
        <w:ind w:firstLine="7"/>
        <w:spacing w:after="0" w:line="310" w:lineRule="auto"/>
        <w:tabs>
          <w:tab w:leader="none" w:pos="164"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Includes operating lease right-of-use obligations and short-term leases with terms of 12 months or less. We have various lease agreements for property and equipment that, pursuant to ASC 842, “Leases,” require us to record the present value of the minimum lease payments for such equipment and property.</w:t>
      </w:r>
    </w:p>
    <w:p>
      <w:pPr>
        <w:spacing w:after="0" w:line="137" w:lineRule="exact"/>
        <w:rPr>
          <w:sz w:val="20"/>
          <w:szCs w:val="20"/>
          <w:color w:val="auto"/>
        </w:rPr>
      </w:pPr>
    </w:p>
    <w:p>
      <w:pPr>
        <w:ind w:right="100" w:firstLine="322"/>
        <w:spacing w:after="0" w:line="261" w:lineRule="auto"/>
        <w:rPr>
          <w:sz w:val="20"/>
          <w:szCs w:val="20"/>
          <w:color w:val="auto"/>
        </w:rPr>
      </w:pPr>
      <w:r>
        <w:rPr>
          <w:rFonts w:ascii="Arial" w:cs="Arial" w:eastAsia="Arial" w:hAnsi="Arial"/>
          <w:sz w:val="18"/>
          <w:szCs w:val="18"/>
          <w:color w:val="auto"/>
        </w:rPr>
        <w:t>In addition, there were no outstanding commitments that were considered material for capital expenditures on December 31, 2021. We presently anticipate capital expenditures of approximately $11.5 million in 2022; however, there can be no assurance that this level of capital expenditures will occur. We believe that the available cash will be sufficient to fund our projected capital expenditures for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6" w:lineRule="exact"/>
        <w:rPr>
          <w:sz w:val="20"/>
          <w:szCs w:val="20"/>
          <w:color w:val="auto"/>
        </w:rPr>
      </w:pPr>
    </w:p>
    <w:p>
      <w:pPr>
        <w:ind w:right="20" w:firstLine="322"/>
        <w:spacing w:after="0" w:line="288"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in certain circumstances that affect the amounts reported in the consolidated financial statements. In preparing these financial statements, management has made its best estimates and judgments of certain amounts included in the consolidated financial statements, giving due consideration to materiality. Management evaluates these estimates and assumptions on an ongoing basis. Our estimates and assumptions have been prepared on the basis of the most current reasonably available information, and may change in the future as more current information is available. 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as a result, actual results could differ from those estimates.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firstLine="322"/>
        <w:spacing w:after="0" w:line="257" w:lineRule="auto"/>
        <w:rPr>
          <w:sz w:val="20"/>
          <w:szCs w:val="20"/>
          <w:color w:val="auto"/>
        </w:rPr>
      </w:pPr>
      <w:r>
        <w:rPr>
          <w:rFonts w:ascii="Arial" w:cs="Arial" w:eastAsia="Arial" w:hAnsi="Arial"/>
          <w:sz w:val="18"/>
          <w:szCs w:val="18"/>
          <w:color w:val="auto"/>
        </w:rPr>
        <w:t>The following is a summary of the most critical accounting policies used and the discussion is intended to bring to the attention of readers of those accounting policies that management believes are critical in the preparation of our consolidated financial statements and other financial disclosures. It is not intended to be a comprehensive list of all significant accounting policies that are more fully described in the notes to consolidated financial statements contained within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2" w:lineRule="exact"/>
        <w:rPr>
          <w:sz w:val="20"/>
          <w:szCs w:val="20"/>
          <w:color w:val="auto"/>
        </w:rPr>
      </w:pPr>
    </w:p>
    <w:p>
      <w:pPr>
        <w:ind w:right="20" w:firstLine="322"/>
        <w:spacing w:after="0" w:line="286" w:lineRule="auto"/>
        <w:rPr>
          <w:sz w:val="20"/>
          <w:szCs w:val="20"/>
          <w:color w:val="auto"/>
        </w:rPr>
      </w:pPr>
      <w:r>
        <w:rPr>
          <w:rFonts w:ascii="Arial" w:cs="Arial" w:eastAsia="Arial" w:hAnsi="Arial"/>
          <w:sz w:val="16"/>
          <w:szCs w:val="16"/>
          <w:color w:val="auto"/>
        </w:rPr>
        <w:t>We account for revenue in accordance with ASC Topic 606, “Revenue from Contracts with Customers.” The unit of account in ASC 606 is a performance obligation.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 The standalone selling price is either based on estimated or actual costs plus a reasonable profit margin or the observable price of a good or service when Telos sells that good or service separately in similar circumstances and to similar customers. The transaction price for our contracts represents our best estimate of the consideration we will receive and includes assumptions regarding variable consideration, as applicable. The transaction price is allocated to each distinct performance obligation within the contract and recognized as revenue when, or as, the performance obligation is satisfied.</w:t>
      </w:r>
    </w:p>
    <w:p>
      <w:pPr>
        <w:spacing w:after="0" w:line="170" w:lineRule="exact"/>
        <w:rPr>
          <w:sz w:val="20"/>
          <w:szCs w:val="20"/>
          <w:color w:val="auto"/>
        </w:rPr>
      </w:pPr>
    </w:p>
    <w:p>
      <w:pPr>
        <w:jc w:val="both"/>
        <w:ind w:right="180" w:firstLine="322"/>
        <w:spacing w:after="0" w:line="309" w:lineRule="auto"/>
        <w:rPr>
          <w:sz w:val="20"/>
          <w:szCs w:val="20"/>
          <w:color w:val="auto"/>
        </w:rPr>
      </w:pPr>
      <w:r>
        <w:rPr>
          <w:rFonts w:ascii="Arial" w:cs="Arial" w:eastAsia="Arial" w:hAnsi="Arial"/>
          <w:sz w:val="16"/>
          <w:szCs w:val="16"/>
          <w:color w:val="auto"/>
        </w:rPr>
        <w:t>Our contracts may also include various types of variable considerations such as claims (i.e., indirect rate or other equitable adjustments) or incentive fees and we include estimated amounts in the transaction price to the extent it is probable that a significant reversal of cumulative revenue recognized will not occur. The estimated amounts are based on an assessment of our anticipated performance and all other information that is reasonably available to us.</w:t>
      </w:r>
    </w:p>
    <w:p>
      <w:pPr>
        <w:spacing w:after="0" w:line="148" w:lineRule="exact"/>
        <w:rPr>
          <w:sz w:val="20"/>
          <w:szCs w:val="20"/>
          <w:color w:val="auto"/>
        </w:rPr>
      </w:pPr>
    </w:p>
    <w:p>
      <w:pPr>
        <w:ind w:firstLine="322"/>
        <w:spacing w:after="0" w:line="288" w:lineRule="auto"/>
        <w:rPr>
          <w:sz w:val="20"/>
          <w:szCs w:val="20"/>
          <w:color w:val="auto"/>
        </w:rPr>
      </w:pPr>
      <w:r>
        <w:rPr>
          <w:rFonts w:ascii="Arial" w:cs="Arial" w:eastAsia="Arial" w:hAnsi="Arial"/>
          <w:sz w:val="16"/>
          <w:szCs w:val="16"/>
          <w:color w:val="auto"/>
        </w:rPr>
        <w:t>For contracts where revenue is recognized over time, we recognized revenue based on progress towards completion of the performance obligation, using costs incurred to date relative to total estimated cost at completion to measure progress on a proportional performance basis for our contracts. Due to the nature of the work required to be performed on certain contracts,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166" w:lineRule="exact"/>
        <w:rPr>
          <w:sz w:val="20"/>
          <w:szCs w:val="20"/>
          <w:color w:val="auto"/>
        </w:rPr>
      </w:pPr>
    </w:p>
    <w:p>
      <w:pPr>
        <w:ind w:firstLine="322"/>
        <w:spacing w:after="0" w:line="254" w:lineRule="auto"/>
        <w:rPr>
          <w:sz w:val="20"/>
          <w:szCs w:val="20"/>
          <w:color w:val="auto"/>
        </w:rPr>
      </w:pPr>
      <w:r>
        <w:rPr>
          <w:rFonts w:ascii="Arial" w:cs="Arial" w:eastAsia="Arial" w:hAnsi="Arial"/>
          <w:sz w:val="18"/>
          <w:szCs w:val="18"/>
          <w:color w:val="auto"/>
        </w:rPr>
        <w:t>For contracts where revenue is recognized over time, we recognized changes in estimated contract revenues, costs and profits using the cumulative catch-up method of accounting, wherein we recognize the cumulative effect of changes on current and prior periods with the impact of the change from inception-to-date recorded in the current period. In cases when the total expected costs exceed total estimated revenue for a performance obligation, we recognize the anticipated losses on contracts in full in the period in which the losses become known. The impact of adjustments in contract estimates on our operating income can be reflected in either revenue or operating costs and expenses. The aggregate net changes in contract estimates increased our operating income by $0.2 million in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2" w:lineRule="exact"/>
        <w:rPr>
          <w:sz w:val="20"/>
          <w:szCs w:val="20"/>
          <w:color w:val="auto"/>
        </w:rPr>
      </w:pPr>
    </w:p>
    <w:p>
      <w:pPr>
        <w:ind w:right="120" w:firstLine="322"/>
        <w:spacing w:after="0" w:line="309" w:lineRule="auto"/>
        <w:rPr>
          <w:sz w:val="20"/>
          <w:szCs w:val="20"/>
          <w:color w:val="auto"/>
        </w:rPr>
      </w:pPr>
      <w:r>
        <w:rPr>
          <w:rFonts w:ascii="Arial" w:cs="Arial" w:eastAsia="Arial" w:hAnsi="Arial"/>
          <w:sz w:val="16"/>
          <w:szCs w:val="16"/>
          <w:color w:val="auto"/>
        </w:rPr>
        <w:t>We accounted for the acquisition transaction in accordance with ASC 805, "Business Combination". We recorded all tangible and intangible assets acquired and liabilities assumed at fair value as of the acquisition date, which is determined using the cost, market or income approach. The excess amount of the aggregate purchase consideration paid over the fair value of the net assets acquired and liabilities assumed is recorded as goodwill.</w:t>
      </w:r>
    </w:p>
    <w:p>
      <w:pPr>
        <w:spacing w:after="0" w:line="148" w:lineRule="exact"/>
        <w:rPr>
          <w:sz w:val="20"/>
          <w:szCs w:val="20"/>
          <w:color w:val="auto"/>
        </w:rPr>
      </w:pPr>
    </w:p>
    <w:p>
      <w:pPr>
        <w:ind w:right="20" w:firstLine="322"/>
        <w:spacing w:after="0" w:line="261" w:lineRule="auto"/>
        <w:rPr>
          <w:sz w:val="20"/>
          <w:szCs w:val="20"/>
          <w:color w:val="auto"/>
        </w:rPr>
      </w:pPr>
      <w:r>
        <w:rPr>
          <w:rFonts w:ascii="Arial" w:cs="Arial" w:eastAsia="Arial" w:hAnsi="Arial"/>
          <w:sz w:val="18"/>
          <w:szCs w:val="18"/>
          <w:color w:val="auto"/>
        </w:rPr>
        <w:t>The preliminary valuations are based on the information that exists as of the acquisition date and available to us. During the measurement period that shall not exceed one year from the acquisition date, we may adjust the preliminary purchase price allocation to reflect new information that we subsequently obtained regarding facts and circumstances that existed as of the acquisition date.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2" w:lineRule="exact"/>
        <w:rPr>
          <w:sz w:val="20"/>
          <w:szCs w:val="20"/>
          <w:color w:val="auto"/>
        </w:rPr>
      </w:pPr>
    </w:p>
    <w:p>
      <w:pPr>
        <w:ind w:right="20" w:firstLine="322"/>
        <w:spacing w:after="0" w:line="277" w:lineRule="auto"/>
        <w:rPr>
          <w:sz w:val="20"/>
          <w:szCs w:val="20"/>
          <w:color w:val="auto"/>
        </w:rPr>
      </w:pPr>
      <w:r>
        <w:rPr>
          <w:rFonts w:ascii="Arial" w:cs="Arial" w:eastAsia="Arial" w:hAnsi="Arial"/>
          <w:sz w:val="17"/>
          <w:szCs w:val="17"/>
          <w:color w:val="auto"/>
        </w:rPr>
        <w:t>We evaluate the impairment of goodwill and other long-lived assets in accordance with ASC 350, “Intangibles – Goodwill and Other.” Management annually reviews goodwill and other long-lived assets for impairment or whenever events or changes in circumstances indicate the carrying amount may not be recoverable. If we determine that the carrying value of the goodwill and other long-lived assets may not be recoverable, we will record an impairment charge for the amount by which the carrying value of the goodwill and other long-lived assets exceeds its fair value.</w:t>
      </w:r>
    </w:p>
    <w:p>
      <w:pPr>
        <w:spacing w:after="0" w:line="171" w:lineRule="exact"/>
        <w:rPr>
          <w:sz w:val="20"/>
          <w:szCs w:val="20"/>
          <w:color w:val="auto"/>
        </w:rPr>
      </w:pPr>
    </w:p>
    <w:p>
      <w:pPr>
        <w:ind w:firstLine="322"/>
        <w:spacing w:after="0" w:line="293" w:lineRule="auto"/>
        <w:rPr>
          <w:sz w:val="20"/>
          <w:szCs w:val="20"/>
          <w:color w:val="auto"/>
        </w:rPr>
      </w:pPr>
      <w:r>
        <w:rPr>
          <w:rFonts w:ascii="Arial" w:cs="Arial" w:eastAsia="Arial" w:hAnsi="Arial"/>
          <w:sz w:val="16"/>
          <w:szCs w:val="16"/>
          <w:color w:val="auto"/>
        </w:rPr>
        <w:t>Goodwill is not amortized, but rather tested for potential impairment as of December 31 each year. The goodwill impairment test is performed at the reporting unit level. Accounting requirements provide that a reporting entity may perform an optional qualitative assessment on an annual basis to determine whether events occurred or circumstances changed that would more likely than not reduce the fair value of a reporting unit below its carrying amount. If an initial qualitative assessment identifies that it is more likely than not that the fair value of a reporting unit is less than its carrying amount, or the optional</w:t>
      </w:r>
    </w:p>
    <w:p>
      <w:pPr>
        <w:spacing w:after="0" w:line="1"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qualitative assessment is not performed, a quantitative analysis is performed. The Company performs the quantitative goodwill impairment test by calculating the fair value of the reporting unit and comparing 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148" w:lineRule="exact"/>
        <w:rPr>
          <w:sz w:val="20"/>
          <w:szCs w:val="20"/>
          <w:color w:val="auto"/>
        </w:rPr>
      </w:pPr>
    </w:p>
    <w:p>
      <w:pPr>
        <w:ind w:right="100" w:firstLine="322"/>
        <w:spacing w:after="0" w:line="274" w:lineRule="auto"/>
        <w:rPr>
          <w:sz w:val="20"/>
          <w:szCs w:val="20"/>
          <w:color w:val="auto"/>
        </w:rPr>
      </w:pPr>
      <w:r>
        <w:rPr>
          <w:rFonts w:ascii="Arial" w:cs="Arial" w:eastAsia="Arial" w:hAnsi="Arial"/>
          <w:sz w:val="17"/>
          <w:szCs w:val="17"/>
          <w:color w:val="auto"/>
        </w:rPr>
        <w:t>We measure fair value based on a discounted cash flow method, which requires management's judgment with respect to forecasted revenue, operating margins, capital expenditures, and selection and use of an appropriate discount rate commensurate with the risk inherent in each of our reporting units' current business models. We utilized the weighted average cost of capital as derived by certain assumptions specific to our facts and circumstances as the discount rate. Our estimate of cash flows and discount rate are subject to change due to the economic environment. In addition, the estimate of the total fair value of our reporting units is compared to the market capitalization of the Company.</w:t>
      </w:r>
    </w:p>
    <w:p>
      <w:pPr>
        <w:spacing w:after="0" w:line="173" w:lineRule="exact"/>
        <w:rPr>
          <w:sz w:val="20"/>
          <w:szCs w:val="20"/>
          <w:color w:val="auto"/>
        </w:rPr>
      </w:pPr>
    </w:p>
    <w:p>
      <w:pPr>
        <w:ind w:right="80" w:firstLine="322"/>
        <w:spacing w:after="0" w:line="299" w:lineRule="auto"/>
        <w:rPr>
          <w:sz w:val="20"/>
          <w:szCs w:val="20"/>
          <w:color w:val="auto"/>
        </w:rPr>
      </w:pPr>
      <w:r>
        <w:rPr>
          <w:rFonts w:ascii="Arial" w:cs="Arial" w:eastAsia="Arial" w:hAnsi="Arial"/>
          <w:sz w:val="16"/>
          <w:szCs w:val="16"/>
          <w:color w:val="auto"/>
        </w:rPr>
        <w:t>We amortized intangible assets over their respective estimated useful lives, and reviewed them for impairment whenever events or changes in business circumstances indicate the carrying value may not be recoverable. We completed the required annual impairment test of goodwill for all reporting units and other long-lived assets as of December 31, 2021, resulting in no impairments. Based on our qualitative assessment, we concluded that it was more-likely-than-not that the estimated value of the reporting units exceeded its carrying value and thus, we did not proceed to the two-step goodwill impairment test.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2" w:lineRule="exact"/>
        <w:rPr>
          <w:sz w:val="20"/>
          <w:szCs w:val="20"/>
          <w:color w:val="auto"/>
        </w:rPr>
      </w:pPr>
    </w:p>
    <w:p>
      <w:pPr>
        <w:ind w:right="160" w:firstLine="322"/>
        <w:spacing w:after="0" w:line="291" w:lineRule="auto"/>
        <w:rPr>
          <w:sz w:val="20"/>
          <w:szCs w:val="20"/>
          <w:color w:val="auto"/>
        </w:rPr>
      </w:pPr>
      <w:r>
        <w:rPr>
          <w:rFonts w:ascii="Arial" w:cs="Arial" w:eastAsia="Arial" w:hAnsi="Arial"/>
          <w:sz w:val="16"/>
          <w:szCs w:val="16"/>
          <w:color w:val="auto"/>
        </w:rPr>
        <w:t>We account for income taxes in accordance with ASC 740, “Income Taxes.” Our income tax expense, deferred tax assets and liabilities, and liabilities for unrecognized tax benefits reflect our best estimate of current and future taxes to be paid. We record net deferred assets to the extent we believe these assets will more likely than not be realized. The realizability of net deferred tax assets is based on all available evidence, including future taxable income projections, tax planning strategies, and reversal of taxable temporary differences. We regularly review our deferred tax assets for recoverability and establish a valuation allowance when management believes it is more likely than not such asset will not be recovered, taking into consideration historical operating results, expectations of future earnings, tax planning strategies and the expected timing of the reversals of existing temporary differences.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6" w:lineRule="exact"/>
        <w:rPr>
          <w:sz w:val="20"/>
          <w:szCs w:val="20"/>
          <w:color w:val="auto"/>
        </w:rPr>
      </w:pPr>
    </w:p>
    <w:p>
      <w:pPr>
        <w:ind w:right="340" w:firstLine="322"/>
        <w:spacing w:after="0" w:line="274"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Overview and Summary of Significant Accounting Policies of the consolidated financial statements for a discussion of recently issued accounting pronouncements.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Consolidated Financial Statements and Supplementary Data</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TELOS CORPORATION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3"/>
              </w:rPr>
              <w:t>Page</w:t>
            </w:r>
          </w:p>
        </w:tc>
      </w:tr>
      <w:tr>
        <w:trPr>
          <w:trHeight w:val="47"/>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r>
      <w:tr>
        <w:trPr>
          <w:trHeight w:val="248"/>
        </w:trPr>
        <w:tc>
          <w:tcPr>
            <w:tcW w:w="20" w:type="dxa"/>
            <w:vAlign w:val="bottom"/>
            <w:shd w:val="clear" w:color="auto" w:fill="CCEEFF"/>
          </w:tcPr>
          <w:p>
            <w:pPr>
              <w:spacing w:after="0"/>
              <w:rPr>
                <w:sz w:val="21"/>
                <w:szCs w:val="21"/>
                <w:color w:val="auto"/>
              </w:rPr>
            </w:pPr>
          </w:p>
        </w:tc>
        <w:tc>
          <w:tcPr>
            <w:tcW w:w="10520" w:type="dxa"/>
            <w:vAlign w:val="bottom"/>
            <w:gridSpan w:val="8"/>
            <w:shd w:val="clear" w:color="auto" w:fill="CCEEFF"/>
          </w:tcPr>
          <w:p>
            <w:pPr>
              <w:spacing w:after="0" w:line="201" w:lineRule="exact"/>
              <w:rPr>
                <w:rFonts w:ascii="Arial" w:cs="Arial" w:eastAsia="Arial" w:hAnsi="Arial"/>
                <w:sz w:val="18"/>
                <w:szCs w:val="18"/>
                <w:color w:val="0000FF"/>
              </w:rPr>
            </w:pPr>
            <w:hyperlink w:anchor="page49">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(BDO</w:t>
            </w:r>
            <w:r>
              <w:rPr>
                <w:rFonts w:ascii="Arial" w:cs="Arial" w:eastAsia="Arial" w:hAnsi="Arial"/>
                <w:sz w:val="18"/>
                <w:szCs w:val="18"/>
                <w:color w:val="0000FF"/>
              </w:rPr>
              <w:t xml:space="preserve"> </w:t>
            </w:r>
            <w:r>
              <w:rPr>
                <w:rFonts w:ascii="Arial" w:cs="Arial" w:eastAsia="Arial" w:hAnsi="Arial"/>
                <w:sz w:val="18"/>
                <w:szCs w:val="18"/>
                <w:color w:val="000000"/>
              </w:rPr>
              <w:t>USA, LLP; McLean, VA; PCAOB ID#243)</w:t>
            </w:r>
          </w:p>
        </w:tc>
        <w:tc>
          <w:tcPr>
            <w:tcW w:w="680" w:type="dxa"/>
            <w:vAlign w:val="bottom"/>
            <w:gridSpan w:val="2"/>
            <w:shd w:val="clear" w:color="auto" w:fill="CCEEFF"/>
          </w:tcPr>
          <w:p>
            <w:pPr>
              <w:jc w:val="right"/>
              <w:ind w:right="20"/>
              <w:spacing w:after="0" w:line="201" w:lineRule="exact"/>
              <w:rPr>
                <w:rFonts w:ascii="Arial" w:cs="Arial" w:eastAsia="Arial" w:hAnsi="Arial"/>
                <w:sz w:val="18"/>
                <w:szCs w:val="18"/>
                <w:color w:val="auto"/>
              </w:rPr>
            </w:pPr>
            <w:hyperlink w:anchor="page49">
              <w:r>
                <w:rPr>
                  <w:rFonts w:ascii="Arial" w:cs="Arial" w:eastAsia="Arial" w:hAnsi="Arial"/>
                  <w:sz w:val="18"/>
                  <w:szCs w:val="18"/>
                  <w:color w:val="auto"/>
                </w:rPr>
                <w:t>50</w:t>
              </w:r>
            </w:hyperlink>
          </w:p>
        </w:tc>
      </w:tr>
      <w:tr>
        <w:trPr>
          <w:trHeight w:val="255"/>
        </w:trPr>
        <w:tc>
          <w:tcPr>
            <w:tcW w:w="20" w:type="dxa"/>
            <w:vAlign w:val="bottom"/>
            <w:tcBorders>
              <w:top w:val="single" w:sz="8" w:color="CCEEFF"/>
            </w:tcBorders>
          </w:tcPr>
          <w:p>
            <w:pPr>
              <w:spacing w:after="0"/>
              <w:rPr>
                <w:sz w:val="22"/>
                <w:szCs w:val="22"/>
                <w:color w:val="auto"/>
              </w:rPr>
            </w:pPr>
          </w:p>
        </w:tc>
        <w:tc>
          <w:tcPr>
            <w:tcW w:w="3140" w:type="dxa"/>
            <w:vAlign w:val="bottom"/>
            <w:tcBorders>
              <w:top w:val="single" w:sz="8" w:color="0000FF"/>
            </w:tcBorders>
          </w:tcPr>
          <w:p>
            <w:pPr>
              <w:spacing w:after="0"/>
              <w:rPr>
                <w:sz w:val="22"/>
                <w:szCs w:val="22"/>
                <w:color w:val="auto"/>
              </w:rPr>
            </w:pPr>
          </w:p>
        </w:tc>
        <w:tc>
          <w:tcPr>
            <w:tcW w:w="1060" w:type="dxa"/>
            <w:vAlign w:val="bottom"/>
            <w:tcBorders>
              <w:top w:val="single" w:sz="8" w:color="0000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22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36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48"/>
        </w:trPr>
        <w:tc>
          <w:tcPr>
            <w:tcW w:w="20" w:type="dxa"/>
            <w:vAlign w:val="bottom"/>
            <w:shd w:val="clear" w:color="auto" w:fill="CCEEFF"/>
          </w:tcPr>
          <w:p>
            <w:pPr>
              <w:spacing w:after="0"/>
              <w:rPr>
                <w:sz w:val="21"/>
                <w:szCs w:val="21"/>
                <w:color w:val="auto"/>
              </w:rPr>
            </w:pPr>
          </w:p>
        </w:tc>
        <w:tc>
          <w:tcPr>
            <w:tcW w:w="10520" w:type="dxa"/>
            <w:vAlign w:val="bottom"/>
            <w:gridSpan w:val="8"/>
            <w:shd w:val="clear" w:color="auto" w:fill="CCEEFF"/>
          </w:tcPr>
          <w:p>
            <w:pPr>
              <w:spacing w:after="0" w:line="201" w:lineRule="exact"/>
              <w:rPr>
                <w:rFonts w:ascii="Arial" w:cs="Arial" w:eastAsia="Arial" w:hAnsi="Arial"/>
                <w:sz w:val="18"/>
                <w:szCs w:val="18"/>
                <w:color w:val="0000FF"/>
              </w:rPr>
            </w:pPr>
            <w:hyperlink w:anchor="page50">
              <w:r>
                <w:rPr>
                  <w:rFonts w:ascii="Arial" w:cs="Arial" w:eastAsia="Arial" w:hAnsi="Arial"/>
                  <w:sz w:val="18"/>
                  <w:szCs w:val="18"/>
                  <w:color w:val="0000FF"/>
                </w:rPr>
                <w:t>Report of Independent Registered Public Accounting Firm</w:t>
              </w:r>
            </w:hyperlink>
          </w:p>
        </w:tc>
        <w:tc>
          <w:tcPr>
            <w:tcW w:w="680" w:type="dxa"/>
            <w:vAlign w:val="bottom"/>
            <w:gridSpan w:val="2"/>
            <w:shd w:val="clear" w:color="auto" w:fill="CCEEFF"/>
          </w:tcPr>
          <w:p>
            <w:pPr>
              <w:jc w:val="right"/>
              <w:ind w:right="20"/>
              <w:spacing w:after="0" w:line="201" w:lineRule="exact"/>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68"/>
        </w:trPr>
        <w:tc>
          <w:tcPr>
            <w:tcW w:w="20" w:type="dxa"/>
            <w:vAlign w:val="bottom"/>
            <w:tcBorders>
              <w:top w:val="single" w:sz="8" w:color="CCEEFF"/>
            </w:tcBorders>
          </w:tcPr>
          <w:p>
            <w:pPr>
              <w:spacing w:after="0"/>
              <w:rPr>
                <w:sz w:val="23"/>
                <w:szCs w:val="23"/>
                <w:color w:val="auto"/>
              </w:rPr>
            </w:pPr>
          </w:p>
        </w:tc>
        <w:tc>
          <w:tcPr>
            <w:tcW w:w="314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48"/>
        </w:trPr>
        <w:tc>
          <w:tcPr>
            <w:tcW w:w="20" w:type="dxa"/>
            <w:vAlign w:val="bottom"/>
            <w:shd w:val="clear" w:color="auto" w:fill="CCEEFF"/>
          </w:tcPr>
          <w:p>
            <w:pPr>
              <w:spacing w:after="0"/>
              <w:rPr>
                <w:sz w:val="21"/>
                <w:szCs w:val="21"/>
                <w:color w:val="auto"/>
              </w:rPr>
            </w:pPr>
          </w:p>
        </w:tc>
        <w:tc>
          <w:tcPr>
            <w:tcW w:w="10520" w:type="dxa"/>
            <w:vAlign w:val="bottom"/>
            <w:gridSpan w:val="8"/>
            <w:shd w:val="clear" w:color="auto" w:fill="CCEEFF"/>
          </w:tcPr>
          <w:p>
            <w:pPr>
              <w:spacing w:after="0" w:line="201" w:lineRule="exact"/>
              <w:rPr>
                <w:rFonts w:ascii="Arial" w:cs="Arial" w:eastAsia="Arial" w:hAnsi="Arial"/>
                <w:sz w:val="18"/>
                <w:szCs w:val="18"/>
                <w:color w:val="0000FF"/>
              </w:rPr>
            </w:pPr>
            <w:hyperlink w:anchor="page51">
              <w:r>
                <w:rPr>
                  <w:rFonts w:ascii="Arial" w:cs="Arial" w:eastAsia="Arial" w:hAnsi="Arial"/>
                  <w:sz w:val="18"/>
                  <w:szCs w:val="18"/>
                  <w:color w:val="0000FF"/>
                </w:rPr>
                <w:t>Consolidated Statements of Operations for the Years Ended December 31, 2021, 2020 and 2019</w:t>
              </w:r>
            </w:hyperlink>
          </w:p>
        </w:tc>
        <w:tc>
          <w:tcPr>
            <w:tcW w:w="680" w:type="dxa"/>
            <w:vAlign w:val="bottom"/>
            <w:gridSpan w:val="2"/>
            <w:shd w:val="clear" w:color="auto" w:fill="CCEEFF"/>
          </w:tcPr>
          <w:p>
            <w:pPr>
              <w:jc w:val="right"/>
              <w:ind w:right="20"/>
              <w:spacing w:after="0" w:line="201" w:lineRule="exact"/>
              <w:rPr>
                <w:rFonts w:ascii="Arial" w:cs="Arial" w:eastAsia="Arial" w:hAnsi="Arial"/>
                <w:sz w:val="18"/>
                <w:szCs w:val="18"/>
                <w:color w:val="auto"/>
              </w:rPr>
            </w:pPr>
            <w:hyperlink w:anchor="page51">
              <w:r>
                <w:rPr>
                  <w:rFonts w:ascii="Arial" w:cs="Arial" w:eastAsia="Arial" w:hAnsi="Arial"/>
                  <w:sz w:val="18"/>
                  <w:szCs w:val="18"/>
                  <w:color w:val="auto"/>
                </w:rPr>
                <w:t>52</w:t>
              </w:r>
            </w:hyperlink>
          </w:p>
        </w:tc>
      </w:tr>
      <w:tr>
        <w:trPr>
          <w:trHeight w:val="255"/>
        </w:trPr>
        <w:tc>
          <w:tcPr>
            <w:tcW w:w="20" w:type="dxa"/>
            <w:vAlign w:val="bottom"/>
            <w:tcBorders>
              <w:top w:val="single" w:sz="8" w:color="CCEEFF"/>
            </w:tcBorders>
          </w:tcPr>
          <w:p>
            <w:pPr>
              <w:spacing w:after="0"/>
              <w:rPr>
                <w:sz w:val="22"/>
                <w:szCs w:val="22"/>
                <w:color w:val="auto"/>
              </w:rPr>
            </w:pPr>
          </w:p>
        </w:tc>
        <w:tc>
          <w:tcPr>
            <w:tcW w:w="3140" w:type="dxa"/>
            <w:vAlign w:val="bottom"/>
            <w:tcBorders>
              <w:top w:val="single" w:sz="8" w:color="0000FF"/>
            </w:tcBorders>
          </w:tcPr>
          <w:p>
            <w:pPr>
              <w:spacing w:after="0"/>
              <w:rPr>
                <w:sz w:val="22"/>
                <w:szCs w:val="22"/>
                <w:color w:val="auto"/>
              </w:rPr>
            </w:pPr>
          </w:p>
        </w:tc>
        <w:tc>
          <w:tcPr>
            <w:tcW w:w="10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4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36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48"/>
        </w:trPr>
        <w:tc>
          <w:tcPr>
            <w:tcW w:w="20" w:type="dxa"/>
            <w:vAlign w:val="bottom"/>
            <w:shd w:val="clear" w:color="auto" w:fill="CCEEFF"/>
          </w:tcPr>
          <w:p>
            <w:pPr>
              <w:spacing w:after="0"/>
              <w:rPr>
                <w:sz w:val="21"/>
                <w:szCs w:val="21"/>
                <w:color w:val="auto"/>
              </w:rPr>
            </w:pPr>
          </w:p>
        </w:tc>
        <w:tc>
          <w:tcPr>
            <w:tcW w:w="10520" w:type="dxa"/>
            <w:vAlign w:val="bottom"/>
            <w:gridSpan w:val="8"/>
            <w:shd w:val="clear" w:color="auto" w:fill="CCEEFF"/>
          </w:tcPr>
          <w:p>
            <w:pPr>
              <w:spacing w:after="0" w:line="201" w:lineRule="exact"/>
              <w:rPr>
                <w:rFonts w:ascii="Arial" w:cs="Arial" w:eastAsia="Arial" w:hAnsi="Arial"/>
                <w:sz w:val="18"/>
                <w:szCs w:val="18"/>
                <w:color w:val="0000FF"/>
              </w:rPr>
            </w:pPr>
            <w:hyperlink w:anchor="page52">
              <w:r>
                <w:rPr>
                  <w:rFonts w:ascii="Arial" w:cs="Arial" w:eastAsia="Arial" w:hAnsi="Arial"/>
                  <w:sz w:val="18"/>
                  <w:szCs w:val="18"/>
                  <w:color w:val="0000FF"/>
                </w:rPr>
                <w:t>Consolidated Statements of Comprehensive (Loss) Income for the Years Ended December 31, 2021, 2020 and 2019</w:t>
              </w:r>
            </w:hyperlink>
          </w:p>
        </w:tc>
        <w:tc>
          <w:tcPr>
            <w:tcW w:w="680" w:type="dxa"/>
            <w:vAlign w:val="bottom"/>
            <w:gridSpan w:val="2"/>
            <w:shd w:val="clear" w:color="auto" w:fill="CCEEFF"/>
          </w:tcPr>
          <w:p>
            <w:pPr>
              <w:jc w:val="right"/>
              <w:ind w:right="20"/>
              <w:spacing w:after="0" w:line="201" w:lineRule="exact"/>
              <w:rPr>
                <w:rFonts w:ascii="Arial" w:cs="Arial" w:eastAsia="Arial" w:hAnsi="Arial"/>
                <w:sz w:val="18"/>
                <w:szCs w:val="18"/>
                <w:color w:val="auto"/>
              </w:rPr>
            </w:pPr>
            <w:hyperlink w:anchor="page52">
              <w:r>
                <w:rPr>
                  <w:rFonts w:ascii="Arial" w:cs="Arial" w:eastAsia="Arial" w:hAnsi="Arial"/>
                  <w:sz w:val="18"/>
                  <w:szCs w:val="18"/>
                  <w:color w:val="auto"/>
                </w:rPr>
                <w:t>53</w:t>
              </w:r>
            </w:hyperlink>
          </w:p>
        </w:tc>
      </w:tr>
      <w:tr>
        <w:trPr>
          <w:trHeight w:val="255"/>
        </w:trPr>
        <w:tc>
          <w:tcPr>
            <w:tcW w:w="20" w:type="dxa"/>
            <w:vAlign w:val="bottom"/>
            <w:tcBorders>
              <w:top w:val="single" w:sz="8" w:color="CCEEFF"/>
            </w:tcBorders>
          </w:tcPr>
          <w:p>
            <w:pPr>
              <w:spacing w:after="0"/>
              <w:rPr>
                <w:sz w:val="22"/>
                <w:szCs w:val="22"/>
                <w:color w:val="auto"/>
              </w:rPr>
            </w:pPr>
          </w:p>
        </w:tc>
        <w:tc>
          <w:tcPr>
            <w:tcW w:w="3140" w:type="dxa"/>
            <w:vAlign w:val="bottom"/>
            <w:tcBorders>
              <w:top w:val="single" w:sz="8" w:color="0000FF"/>
            </w:tcBorders>
          </w:tcPr>
          <w:p>
            <w:pPr>
              <w:spacing w:after="0"/>
              <w:rPr>
                <w:sz w:val="22"/>
                <w:szCs w:val="22"/>
                <w:color w:val="auto"/>
              </w:rPr>
            </w:pPr>
          </w:p>
        </w:tc>
        <w:tc>
          <w:tcPr>
            <w:tcW w:w="10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360" w:type="dxa"/>
            <w:vAlign w:val="bottom"/>
            <w:tcBorders>
              <w:top w:val="single" w:sz="8" w:color="0000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48"/>
        </w:trPr>
        <w:tc>
          <w:tcPr>
            <w:tcW w:w="20" w:type="dxa"/>
            <w:vAlign w:val="bottom"/>
            <w:shd w:val="clear" w:color="auto" w:fill="CCEEFF"/>
          </w:tcPr>
          <w:p>
            <w:pPr>
              <w:spacing w:after="0"/>
              <w:rPr>
                <w:sz w:val="21"/>
                <w:szCs w:val="21"/>
                <w:color w:val="auto"/>
              </w:rPr>
            </w:pPr>
          </w:p>
        </w:tc>
        <w:tc>
          <w:tcPr>
            <w:tcW w:w="10520" w:type="dxa"/>
            <w:vAlign w:val="bottom"/>
            <w:gridSpan w:val="8"/>
            <w:shd w:val="clear" w:color="auto" w:fill="CCEEFF"/>
          </w:tcPr>
          <w:p>
            <w:pPr>
              <w:spacing w:after="0" w:line="201" w:lineRule="exact"/>
              <w:rPr>
                <w:rFonts w:ascii="Arial" w:cs="Arial" w:eastAsia="Arial" w:hAnsi="Arial"/>
                <w:sz w:val="18"/>
                <w:szCs w:val="18"/>
                <w:color w:val="0000FF"/>
              </w:rPr>
            </w:pPr>
            <w:hyperlink w:anchor="page53">
              <w:r>
                <w:rPr>
                  <w:rFonts w:ascii="Arial" w:cs="Arial" w:eastAsia="Arial" w:hAnsi="Arial"/>
                  <w:sz w:val="18"/>
                  <w:szCs w:val="18"/>
                  <w:color w:val="0000FF"/>
                </w:rPr>
                <w:t>Consolidated Balance Sheets as of December 31, 2021 and 2020</w:t>
              </w:r>
            </w:hyperlink>
          </w:p>
        </w:tc>
        <w:tc>
          <w:tcPr>
            <w:tcW w:w="680" w:type="dxa"/>
            <w:vAlign w:val="bottom"/>
            <w:gridSpan w:val="2"/>
            <w:shd w:val="clear" w:color="auto" w:fill="CCEEFF"/>
          </w:tcPr>
          <w:p>
            <w:pPr>
              <w:jc w:val="right"/>
              <w:ind w:right="20"/>
              <w:spacing w:after="0" w:line="201" w:lineRule="exact"/>
              <w:rPr>
                <w:rFonts w:ascii="Arial" w:cs="Arial" w:eastAsia="Arial" w:hAnsi="Arial"/>
                <w:sz w:val="18"/>
                <w:szCs w:val="18"/>
                <w:color w:val="auto"/>
              </w:rPr>
            </w:pPr>
            <w:hyperlink w:anchor="page53">
              <w:r>
                <w:rPr>
                  <w:rFonts w:ascii="Arial" w:cs="Arial" w:eastAsia="Arial" w:hAnsi="Arial"/>
                  <w:sz w:val="18"/>
                  <w:szCs w:val="18"/>
                  <w:color w:val="auto"/>
                </w:rPr>
                <w:t>54</w:t>
              </w:r>
            </w:hyperlink>
          </w:p>
        </w:tc>
      </w:tr>
      <w:tr>
        <w:trPr>
          <w:trHeight w:val="255"/>
        </w:trPr>
        <w:tc>
          <w:tcPr>
            <w:tcW w:w="20" w:type="dxa"/>
            <w:vAlign w:val="bottom"/>
            <w:tcBorders>
              <w:top w:val="single" w:sz="8" w:color="CCEEFF"/>
            </w:tcBorders>
          </w:tcPr>
          <w:p>
            <w:pPr>
              <w:spacing w:after="0"/>
              <w:rPr>
                <w:sz w:val="22"/>
                <w:szCs w:val="22"/>
                <w:color w:val="auto"/>
              </w:rPr>
            </w:pPr>
          </w:p>
        </w:tc>
        <w:tc>
          <w:tcPr>
            <w:tcW w:w="3140" w:type="dxa"/>
            <w:vAlign w:val="bottom"/>
            <w:tcBorders>
              <w:top w:val="single" w:sz="8" w:color="0000FF"/>
            </w:tcBorders>
          </w:tcPr>
          <w:p>
            <w:pPr>
              <w:spacing w:after="0"/>
              <w:rPr>
                <w:sz w:val="22"/>
                <w:szCs w:val="22"/>
                <w:color w:val="auto"/>
              </w:rPr>
            </w:pPr>
          </w:p>
        </w:tc>
        <w:tc>
          <w:tcPr>
            <w:tcW w:w="10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36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48"/>
        </w:trPr>
        <w:tc>
          <w:tcPr>
            <w:tcW w:w="20" w:type="dxa"/>
            <w:vAlign w:val="bottom"/>
            <w:shd w:val="clear" w:color="auto" w:fill="CCEEFF"/>
          </w:tcPr>
          <w:p>
            <w:pPr>
              <w:spacing w:after="0"/>
              <w:rPr>
                <w:sz w:val="21"/>
                <w:szCs w:val="21"/>
                <w:color w:val="auto"/>
              </w:rPr>
            </w:pPr>
          </w:p>
        </w:tc>
        <w:tc>
          <w:tcPr>
            <w:tcW w:w="10520" w:type="dxa"/>
            <w:vAlign w:val="bottom"/>
            <w:gridSpan w:val="8"/>
            <w:shd w:val="clear" w:color="auto" w:fill="CCEEFF"/>
          </w:tcPr>
          <w:p>
            <w:pPr>
              <w:spacing w:after="0" w:line="201" w:lineRule="exact"/>
              <w:rPr>
                <w:rFonts w:ascii="Arial" w:cs="Arial" w:eastAsia="Arial" w:hAnsi="Arial"/>
                <w:sz w:val="18"/>
                <w:szCs w:val="18"/>
                <w:color w:val="0000FF"/>
              </w:rPr>
            </w:pPr>
            <w:hyperlink w:anchor="page55">
              <w:r>
                <w:rPr>
                  <w:rFonts w:ascii="Arial" w:cs="Arial" w:eastAsia="Arial" w:hAnsi="Arial"/>
                  <w:sz w:val="18"/>
                  <w:szCs w:val="18"/>
                  <w:color w:val="0000FF"/>
                </w:rPr>
                <w:t>Consolidated Statements of Cash Flows for the Years Ended December 31, 2021, 2020 and 2019</w:t>
              </w:r>
            </w:hyperlink>
          </w:p>
        </w:tc>
        <w:tc>
          <w:tcPr>
            <w:tcW w:w="680" w:type="dxa"/>
            <w:vAlign w:val="bottom"/>
            <w:gridSpan w:val="2"/>
            <w:shd w:val="clear" w:color="auto" w:fill="CCEEFF"/>
          </w:tcPr>
          <w:p>
            <w:pPr>
              <w:jc w:val="right"/>
              <w:ind w:right="20"/>
              <w:spacing w:after="0" w:line="201" w:lineRule="exact"/>
              <w:rPr>
                <w:rFonts w:ascii="Arial" w:cs="Arial" w:eastAsia="Arial" w:hAnsi="Arial"/>
                <w:sz w:val="18"/>
                <w:szCs w:val="18"/>
                <w:color w:val="auto"/>
              </w:rPr>
            </w:pPr>
            <w:hyperlink w:anchor="page55">
              <w:r>
                <w:rPr>
                  <w:rFonts w:ascii="Arial" w:cs="Arial" w:eastAsia="Arial" w:hAnsi="Arial"/>
                  <w:sz w:val="18"/>
                  <w:szCs w:val="18"/>
                  <w:color w:val="auto"/>
                </w:rPr>
                <w:t>56</w:t>
              </w:r>
            </w:hyperlink>
          </w:p>
        </w:tc>
      </w:tr>
      <w:tr>
        <w:trPr>
          <w:trHeight w:val="255"/>
        </w:trPr>
        <w:tc>
          <w:tcPr>
            <w:tcW w:w="20" w:type="dxa"/>
            <w:vAlign w:val="bottom"/>
            <w:tcBorders>
              <w:top w:val="single" w:sz="8" w:color="CCEEFF"/>
            </w:tcBorders>
          </w:tcPr>
          <w:p>
            <w:pPr>
              <w:spacing w:after="0"/>
              <w:rPr>
                <w:sz w:val="22"/>
                <w:szCs w:val="22"/>
                <w:color w:val="auto"/>
              </w:rPr>
            </w:pPr>
          </w:p>
        </w:tc>
        <w:tc>
          <w:tcPr>
            <w:tcW w:w="3140" w:type="dxa"/>
            <w:vAlign w:val="bottom"/>
            <w:tcBorders>
              <w:top w:val="single" w:sz="8" w:color="0000FF"/>
            </w:tcBorders>
          </w:tcPr>
          <w:p>
            <w:pPr>
              <w:spacing w:after="0"/>
              <w:rPr>
                <w:sz w:val="22"/>
                <w:szCs w:val="22"/>
                <w:color w:val="auto"/>
              </w:rPr>
            </w:pPr>
          </w:p>
        </w:tc>
        <w:tc>
          <w:tcPr>
            <w:tcW w:w="10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36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48"/>
        </w:trPr>
        <w:tc>
          <w:tcPr>
            <w:tcW w:w="20" w:type="dxa"/>
            <w:vAlign w:val="bottom"/>
            <w:shd w:val="clear" w:color="auto" w:fill="CCEEFF"/>
          </w:tcPr>
          <w:p>
            <w:pPr>
              <w:spacing w:after="0"/>
              <w:rPr>
                <w:sz w:val="21"/>
                <w:szCs w:val="21"/>
                <w:color w:val="auto"/>
              </w:rPr>
            </w:pPr>
          </w:p>
        </w:tc>
        <w:tc>
          <w:tcPr>
            <w:tcW w:w="10520" w:type="dxa"/>
            <w:vAlign w:val="bottom"/>
            <w:gridSpan w:val="8"/>
            <w:shd w:val="clear" w:color="auto" w:fill="CCEEFF"/>
          </w:tcPr>
          <w:p>
            <w:pPr>
              <w:spacing w:after="0" w:line="201" w:lineRule="exact"/>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Changes in Stockholders' Equity (Deficit) for the Years Ended December 31, 2021, 2020 and 2019</w:t>
              </w:r>
            </w:hyperlink>
          </w:p>
        </w:tc>
        <w:tc>
          <w:tcPr>
            <w:tcW w:w="680" w:type="dxa"/>
            <w:vAlign w:val="bottom"/>
            <w:gridSpan w:val="2"/>
            <w:shd w:val="clear" w:color="auto" w:fill="CCEEFF"/>
          </w:tcPr>
          <w:p>
            <w:pPr>
              <w:jc w:val="right"/>
              <w:ind w:right="20"/>
              <w:spacing w:after="0" w:line="201" w:lineRule="exact"/>
              <w:rPr>
                <w:rFonts w:ascii="Arial" w:cs="Arial" w:eastAsia="Arial" w:hAnsi="Arial"/>
                <w:sz w:val="18"/>
                <w:szCs w:val="18"/>
                <w:color w:val="auto"/>
              </w:rPr>
            </w:pPr>
            <w:hyperlink w:anchor="page57">
              <w:r>
                <w:rPr>
                  <w:rFonts w:ascii="Arial" w:cs="Arial" w:eastAsia="Arial" w:hAnsi="Arial"/>
                  <w:sz w:val="18"/>
                  <w:szCs w:val="18"/>
                  <w:color w:val="auto"/>
                </w:rPr>
                <w:t>58</w:t>
              </w:r>
            </w:hyperlink>
          </w:p>
        </w:tc>
      </w:tr>
      <w:tr>
        <w:trPr>
          <w:trHeight w:val="255"/>
        </w:trPr>
        <w:tc>
          <w:tcPr>
            <w:tcW w:w="20" w:type="dxa"/>
            <w:vAlign w:val="bottom"/>
            <w:tcBorders>
              <w:top w:val="single" w:sz="8" w:color="CCEEFF"/>
            </w:tcBorders>
          </w:tcPr>
          <w:p>
            <w:pPr>
              <w:spacing w:after="0"/>
              <w:rPr>
                <w:sz w:val="22"/>
                <w:szCs w:val="22"/>
                <w:color w:val="auto"/>
              </w:rPr>
            </w:pPr>
          </w:p>
        </w:tc>
        <w:tc>
          <w:tcPr>
            <w:tcW w:w="3140" w:type="dxa"/>
            <w:vAlign w:val="bottom"/>
            <w:tcBorders>
              <w:top w:val="single" w:sz="8" w:color="0000FF"/>
            </w:tcBorders>
          </w:tcPr>
          <w:p>
            <w:pPr>
              <w:spacing w:after="0"/>
              <w:rPr>
                <w:sz w:val="22"/>
                <w:szCs w:val="22"/>
                <w:color w:val="auto"/>
              </w:rPr>
            </w:pPr>
          </w:p>
        </w:tc>
        <w:tc>
          <w:tcPr>
            <w:tcW w:w="10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36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01"/>
        </w:trPr>
        <w:tc>
          <w:tcPr>
            <w:tcW w:w="20" w:type="dxa"/>
            <w:vAlign w:val="bottom"/>
            <w:shd w:val="clear" w:color="auto" w:fill="CCEEFF"/>
          </w:tcPr>
          <w:p>
            <w:pPr>
              <w:spacing w:after="0"/>
              <w:rPr>
                <w:sz w:val="17"/>
                <w:szCs w:val="17"/>
                <w:color w:val="auto"/>
              </w:rPr>
            </w:pPr>
          </w:p>
        </w:tc>
        <w:tc>
          <w:tcPr>
            <w:tcW w:w="10520" w:type="dxa"/>
            <w:vAlign w:val="bottom"/>
            <w:gridSpan w:val="8"/>
            <w:shd w:val="clear" w:color="auto" w:fill="CCEEFF"/>
          </w:tcPr>
          <w:p>
            <w:pPr>
              <w:spacing w:after="0" w:line="201" w:lineRule="exact"/>
              <w:rPr>
                <w:rFonts w:ascii="Arial" w:cs="Arial" w:eastAsia="Arial" w:hAnsi="Arial"/>
                <w:sz w:val="18"/>
                <w:szCs w:val="18"/>
                <w:color w:val="0000FF"/>
              </w:rPr>
            </w:pPr>
            <w:hyperlink w:anchor="page58">
              <w:r>
                <w:rPr>
                  <w:rFonts w:ascii="Arial" w:cs="Arial" w:eastAsia="Arial" w:hAnsi="Arial"/>
                  <w:sz w:val="18"/>
                  <w:szCs w:val="18"/>
                  <w:color w:val="0000FF"/>
                </w:rPr>
                <w:t>Notes to Consolidated Financial Statements</w:t>
              </w:r>
            </w:hyperlink>
          </w:p>
        </w:tc>
        <w:tc>
          <w:tcPr>
            <w:tcW w:w="680" w:type="dxa"/>
            <w:vAlign w:val="bottom"/>
            <w:gridSpan w:val="2"/>
            <w:shd w:val="clear" w:color="auto" w:fill="CCEEFF"/>
          </w:tcPr>
          <w:p>
            <w:pPr>
              <w:jc w:val="right"/>
              <w:ind w:right="20"/>
              <w:spacing w:after="0" w:line="201" w:lineRule="exact"/>
              <w:rPr>
                <w:rFonts w:ascii="Arial" w:cs="Arial" w:eastAsia="Arial" w:hAnsi="Arial"/>
                <w:sz w:val="18"/>
                <w:szCs w:val="18"/>
                <w:color w:val="auto"/>
              </w:rPr>
            </w:pPr>
            <w:hyperlink w:anchor="page58">
              <w:r>
                <w:rPr>
                  <w:rFonts w:ascii="Arial" w:cs="Arial" w:eastAsia="Arial" w:hAnsi="Arial"/>
                  <w:sz w:val="18"/>
                  <w:szCs w:val="18"/>
                  <w:color w:val="auto"/>
                </w:rPr>
                <w:t>59</w:t>
              </w:r>
            </w:hyperlink>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Shareholders and Board of Directors</w:t>
      </w:r>
    </w:p>
    <w:p>
      <w:pPr>
        <w:spacing w:after="0" w:line="220" w:lineRule="auto"/>
        <w:rPr>
          <w:sz w:val="20"/>
          <w:szCs w:val="20"/>
          <w:color w:val="auto"/>
        </w:rPr>
      </w:pPr>
      <w:r>
        <w:rPr>
          <w:rFonts w:ascii="Arial" w:cs="Arial" w:eastAsia="Arial" w:hAnsi="Arial"/>
          <w:sz w:val="14"/>
          <w:szCs w:val="14"/>
          <w:color w:val="auto"/>
        </w:rPr>
        <w:t>Telos Corporation</w:t>
      </w:r>
    </w:p>
    <w:p>
      <w:pPr>
        <w:spacing w:after="0"/>
        <w:rPr>
          <w:sz w:val="20"/>
          <w:szCs w:val="20"/>
          <w:color w:val="auto"/>
        </w:rPr>
      </w:pPr>
      <w:r>
        <w:rPr>
          <w:rFonts w:ascii="Arial" w:cs="Arial" w:eastAsia="Arial" w:hAnsi="Arial"/>
          <w:sz w:val="14"/>
          <w:szCs w:val="14"/>
          <w:color w:val="auto"/>
        </w:rPr>
        <w:t>Ashburn, Virginia</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Consolidated Financial Statements</w:t>
      </w:r>
    </w:p>
    <w:p>
      <w:pPr>
        <w:spacing w:after="0" w:line="232"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color w:val="auto"/>
        </w:rPr>
        <w:t>We have audited the accompanying consolidated balance sheets of Telos Corporation (the “Company”) and subsidiaries as of December 31, 2021, and 2020, the related consolidated statements of operations, comprehensive income (loss), changes in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and subsidiaries at December 31, 2021 and 2020, and the results of its operations and its cash flows for each of the three years in the period ended December 31, 2021</w:t>
      </w:r>
      <w:r>
        <w:rPr>
          <w:rFonts w:ascii="Arial" w:cs="Arial" w:eastAsia="Arial" w:hAnsi="Arial"/>
          <w:sz w:val="14"/>
          <w:szCs w:val="14"/>
          <w:b w:val="1"/>
          <w:bCs w:val="1"/>
          <w:color w:val="auto"/>
        </w:rPr>
        <w:t>,</w:t>
      </w:r>
      <w:r>
        <w:rPr>
          <w:rFonts w:ascii="Arial" w:cs="Arial" w:eastAsia="Arial" w:hAnsi="Arial"/>
          <w:sz w:val="14"/>
          <w:szCs w:val="14"/>
          <w:color w:val="auto"/>
        </w:rPr>
        <w:t xml:space="preserve"> in conformity with accounting principles generally accepted in the United States of America.</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(“COSO”) and our report dated March 28, 2022 expressed an adverse opinion thereon.</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32" w:lineRule="exact"/>
        <w:rPr>
          <w:sz w:val="20"/>
          <w:szCs w:val="20"/>
          <w:color w:val="auto"/>
        </w:rPr>
      </w:pPr>
    </w:p>
    <w:p>
      <w:pPr>
        <w:jc w:val="both"/>
        <w:ind w:right="40"/>
        <w:spacing w:after="0" w:line="236"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760"/>
        <w:spacing w:after="0" w:line="25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1"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232" w:lineRule="exact"/>
        <w:rPr>
          <w:sz w:val="20"/>
          <w:szCs w:val="20"/>
          <w:color w:val="auto"/>
        </w:rPr>
      </w:pPr>
    </w:p>
    <w:p>
      <w:pPr>
        <w:ind w:right="160"/>
        <w:spacing w:after="0" w:line="254"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Revenue Recognition – Estimated Costs to Complete</w:t>
      </w:r>
    </w:p>
    <w:p>
      <w:pPr>
        <w:ind w:right="300"/>
        <w:spacing w:after="0" w:line="228" w:lineRule="auto"/>
        <w:rPr>
          <w:sz w:val="20"/>
          <w:szCs w:val="20"/>
          <w:color w:val="auto"/>
        </w:rPr>
      </w:pPr>
      <w:r>
        <w:rPr>
          <w:rFonts w:ascii="Arial" w:cs="Arial" w:eastAsia="Arial" w:hAnsi="Arial"/>
          <w:sz w:val="14"/>
          <w:szCs w:val="14"/>
          <w:color w:val="auto"/>
        </w:rPr>
        <w:t>As described in Note 2 to the consolidated financial statements, the Company recognizes certain revenue attributable to fixed-price contracts over time. For these revenue contracts, revenue is recognized based on the extent of progress towards completion of the performance obligation. The Company generally accounts for these revenue contracts using the cost-to-cost measure of progress. Under the cost-to-cost measure of progress, the estimation of progress toward completion is subject to many variables and requires significant judgment. The revisions in contract estimates can materially affect the Company’s operating results.</w:t>
      </w:r>
    </w:p>
    <w:p>
      <w:pPr>
        <w:spacing w:after="0" w:line="208" w:lineRule="exact"/>
        <w:rPr>
          <w:sz w:val="20"/>
          <w:szCs w:val="20"/>
          <w:color w:val="auto"/>
        </w:rPr>
      </w:pPr>
    </w:p>
    <w:p>
      <w:pPr>
        <w:ind w:right="300"/>
        <w:spacing w:after="0" w:line="236" w:lineRule="auto"/>
        <w:rPr>
          <w:sz w:val="20"/>
          <w:szCs w:val="20"/>
          <w:color w:val="auto"/>
        </w:rPr>
      </w:pPr>
      <w:r>
        <w:rPr>
          <w:rFonts w:ascii="Arial" w:cs="Arial" w:eastAsia="Arial" w:hAnsi="Arial"/>
          <w:sz w:val="14"/>
          <w:szCs w:val="14"/>
          <w:color w:val="auto"/>
        </w:rPr>
        <w:t>We identified estimated costs to complete revenue contracts as a critical audit matter. Auditing the Company’s estimate of total contract costs at completion is especially challenging due to the judgmental and subjective nature of the estimation of remaining costs to complete, including material, labor and subcontracting costs. Auditing these elements involved especially subjective auditor judgment due to the nature and extent of audit effort required to address these matters.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included:</w:t>
      </w:r>
    </w:p>
    <w:p>
      <w:pPr>
        <w:ind w:left="640" w:hanging="311"/>
        <w:spacing w:after="0" w:line="237" w:lineRule="auto"/>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Evaluating the reasonableness of a sample of project budgets for projects completed during the year through a retrospective review against actual performance at project completion.</w:t>
      </w:r>
    </w:p>
    <w:p>
      <w:pPr>
        <w:ind w:left="660" w:right="100" w:hanging="331"/>
        <w:spacing w:after="0" w:line="220"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Assessing the reasonableness of the estimated costs to complete for a sample of open projects through: (i) evaluating the reasonableness of project budgets and the nature of costs required to complete open projects, (ii) assessing the status of completion of respective projects through testing of a sample of project costs incurred to date, (iii) evaluating the reasonableness of project status by performing inquiries of project managers and assessing the nature of activities required to complete open projects, and (iv) performing retrospective review for open projects and investigating budget to actual variances (if any).</w:t>
      </w:r>
    </w:p>
    <w:p>
      <w:pPr>
        <w:ind w:left="640" w:hanging="311"/>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Assessing the reasonableness of changes in estimated costs to complete at year end and investigating reasons for changes in expected costs and project margins.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 BDO USA, LLP</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2007.</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McLean, Virginia</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March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Shareholders and Board of Directors</w:t>
      </w:r>
    </w:p>
    <w:p>
      <w:pPr>
        <w:spacing w:after="0" w:line="220" w:lineRule="auto"/>
        <w:rPr>
          <w:sz w:val="20"/>
          <w:szCs w:val="20"/>
          <w:color w:val="auto"/>
        </w:rPr>
      </w:pPr>
      <w:r>
        <w:rPr>
          <w:rFonts w:ascii="Arial" w:cs="Arial" w:eastAsia="Arial" w:hAnsi="Arial"/>
          <w:sz w:val="14"/>
          <w:szCs w:val="14"/>
          <w:color w:val="auto"/>
        </w:rPr>
        <w:t>Telos Corporation</w:t>
      </w:r>
    </w:p>
    <w:p>
      <w:pPr>
        <w:spacing w:after="0"/>
        <w:rPr>
          <w:sz w:val="20"/>
          <w:szCs w:val="20"/>
          <w:color w:val="auto"/>
        </w:rPr>
      </w:pPr>
      <w:r>
        <w:rPr>
          <w:rFonts w:ascii="Arial" w:cs="Arial" w:eastAsia="Arial" w:hAnsi="Arial"/>
          <w:sz w:val="14"/>
          <w:szCs w:val="14"/>
          <w:color w:val="auto"/>
        </w:rPr>
        <w:t>Ashburn, Virginia</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232"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 xml:space="preserve">We have audited Telos Corporation’s (the “Company’s”) internal control over financial reporting as of December 31, 2021, based on criteria established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(2013) </w:t>
      </w:r>
      <w:r>
        <w:rPr>
          <w:rFonts w:ascii="Arial" w:cs="Arial" w:eastAsia="Arial" w:hAnsi="Arial"/>
          <w:sz w:val="14"/>
          <w:szCs w:val="14"/>
          <w:color w:val="auto"/>
        </w:rPr>
        <w:t>issued by the Committee of Sponsoring Organizations of the Treadway Commission (the “COSO criteria”). In our opinion, the Company did not maintain, in all material</w:t>
      </w:r>
      <w:r>
        <w:rPr>
          <w:rFonts w:ascii="Arial" w:cs="Arial" w:eastAsia="Arial" w:hAnsi="Arial"/>
          <w:sz w:val="14"/>
          <w:szCs w:val="14"/>
          <w:i w:val="1"/>
          <w:iCs w:val="1"/>
          <w:color w:val="auto"/>
        </w:rPr>
        <w:t xml:space="preserve"> </w:t>
      </w:r>
      <w:r>
        <w:rPr>
          <w:rFonts w:ascii="Arial" w:cs="Arial" w:eastAsia="Arial" w:hAnsi="Arial"/>
          <w:sz w:val="14"/>
          <w:szCs w:val="14"/>
          <w:color w:val="auto"/>
        </w:rPr>
        <w:t>respects, effective internal control over financial reporting as of December 31, 2021, based on the COSO criteria.</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We do not express an opinion or any other form of assurance on management’s statements referring to any corrective actions taken by the Company after the date of management’s assessment.</w:t>
      </w:r>
    </w:p>
    <w:p>
      <w:pPr>
        <w:spacing w:after="0" w:line="240" w:lineRule="exact"/>
        <w:rPr>
          <w:sz w:val="20"/>
          <w:szCs w:val="20"/>
          <w:color w:val="auto"/>
        </w:rPr>
      </w:pPr>
    </w:p>
    <w:p>
      <w:pPr>
        <w:ind w:right="60"/>
        <w:spacing w:after="0" w:line="232"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2021 and 2020, the related consolidated statements of operations and comprehensive income (loss), changes in stockholders’ equity, and cash flows for each of the three years in the period ended December 31, 2021, and the related notes (collectively referred to as “the consolidated financial statements”)” and our report dated March 28, 2022 expressed an unqualified opinion thereon.</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32" w:lineRule="exact"/>
        <w:rPr>
          <w:sz w:val="20"/>
          <w:szCs w:val="20"/>
          <w:color w:val="auto"/>
        </w:rPr>
      </w:pPr>
    </w:p>
    <w:p>
      <w:pPr>
        <w:ind w:right="20"/>
        <w:spacing w:after="0" w:line="232"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9"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Several material weaknesses regarding management’s failure to design and maintain controls have been identified and described in management’s assessment. The material weaknesses related to:</w:t>
      </w:r>
    </w:p>
    <w:p>
      <w:pPr>
        <w:spacing w:after="0" w:line="210" w:lineRule="exact"/>
        <w:rPr>
          <w:sz w:val="20"/>
          <w:szCs w:val="20"/>
          <w:color w:val="auto"/>
        </w:rPr>
      </w:pPr>
    </w:p>
    <w:p>
      <w:pPr>
        <w:ind w:right="100" w:firstLine="7"/>
        <w:spacing w:after="0" w:line="243" w:lineRule="auto"/>
        <w:tabs>
          <w:tab w:leader="none" w:pos="155"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control environment, a) not maintaining an appropriate control environment, inclusive of structure and responsibility, and monitoring activities by appropriately qualified resources with the knowledge, experience, and training important to the Company’s financial reporting to ensure compliance with generally accepted accounting principles requirements, and b) inadequate mechanisms and oversight to ensure accountability for the performance of controls; 2) inappropriately designed information technology general controls (“ITGCs”) in the areas of user access, change management, safe guarding of assets, and segregation of duties, including controls over the recording of journal entries, related to certain information technology systems that support the Company’s financial reporting process. 3) control activities a) recording of revenue in accordance with ASC Topic 606, “Revenue from Contracts with Customers.” b) accounting for software development costs in accordance with ASC Topic 985-20, “Software – Costs of Software to be Sold, Leased, or Marketed”, and ASC Topic 350-40, “Internal Use Software.” c) review of completeness and accuracy of stock based award compensation expense, and review of the key inputs and assumptions utilized in third-party valuations, d) preparation and review of projected financial information utilized in the valuation of the business combination, e) financial statement close process to ensure the consistent execution, accuracy, and timely review of account reconciliations, as well as review of the statement of cash flows, and f) coding of transactions within the purchase to disbursement business process.</w:t>
      </w:r>
    </w:p>
    <w:p>
      <w:pPr>
        <w:spacing w:after="0" w:line="208"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color w:val="auto"/>
        </w:rPr>
        <w:t>These material weaknesses were considered in determining the nature, timing, and extent of audit tests applied in our audit of the 2021 financial statements, and this report does not affect our report dated March 28, 2022 on those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232"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ind w:right="400"/>
        <w:spacing w:after="0" w:line="288"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/s/ BDO USA, LLP</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McLean, Virginia</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March 28, 2022</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TELOS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gridSpan w:val="4"/>
          </w:tcPr>
          <w:p>
            <w:pPr>
              <w:ind w:left="3680"/>
              <w:spacing w:after="0"/>
              <w:rPr>
                <w:sz w:val="20"/>
                <w:szCs w:val="20"/>
                <w:color w:val="auto"/>
              </w:rPr>
            </w:pPr>
            <w:r>
              <w:rPr>
                <w:rFonts w:ascii="Arial" w:cs="Arial" w:eastAsia="Arial" w:hAnsi="Arial"/>
                <w:sz w:val="18"/>
                <w:szCs w:val="18"/>
                <w:b w:val="1"/>
                <w:bCs w:val="1"/>
                <w:color w:val="auto"/>
                <w:w w:val="94"/>
              </w:rPr>
              <w:t>(amounts in thousands, except earnings per share data)</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tcPr>
          <w:p>
            <w:pPr>
              <w:ind w:left="22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221,548</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161,180</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143,581</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22"/>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159,218</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tcPr>
          <w:p>
            <w:pPr>
              <w:ind w:left="220"/>
              <w:spacing w:after="0"/>
              <w:rPr>
                <w:sz w:val="20"/>
                <w:szCs w:val="20"/>
                <w:color w:val="auto"/>
              </w:rPr>
            </w:pPr>
            <w:r>
              <w:rPr>
                <w:rFonts w:ascii="Arial" w:cs="Arial" w:eastAsia="Arial" w:hAnsi="Arial"/>
                <w:sz w:val="18"/>
                <w:szCs w:val="18"/>
                <w:color w:val="auto"/>
              </w:rPr>
              <w:t>Cost of sales – Services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143,357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98,772</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 Products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0" w:type="dxa"/>
            <w:vAlign w:val="bottom"/>
          </w:tcPr>
          <w:p>
            <w:pPr>
              <w:spacing w:after="0"/>
              <w:rPr>
                <w:sz w:val="1"/>
                <w:szCs w:val="1"/>
                <w:color w:val="auto"/>
              </w:rPr>
            </w:pPr>
          </w:p>
        </w:tc>
      </w:tr>
      <w:tr>
        <w:trPr>
          <w:trHeight w:val="222"/>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106,874</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30,721</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47,319</w:t>
            </w:r>
          </w:p>
        </w:tc>
        <w:tc>
          <w:tcPr>
            <w:tcW w:w="0" w:type="dxa"/>
            <w:vAlign w:val="bottom"/>
          </w:tcPr>
          <w:p>
            <w:pPr>
              <w:spacing w:after="0"/>
              <w:rPr>
                <w:sz w:val="1"/>
                <w:szCs w:val="1"/>
                <w:color w:val="auto"/>
              </w:rPr>
            </w:pPr>
          </w:p>
        </w:tc>
      </w:tr>
      <w:tr>
        <w:trPr>
          <w:trHeight w:val="222"/>
        </w:trPr>
        <w:tc>
          <w:tcPr>
            <w:tcW w:w="670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tcPr>
          <w:p>
            <w:pPr>
              <w:ind w:left="220"/>
              <w:spacing w:after="0"/>
              <w:rPr>
                <w:sz w:val="20"/>
                <w:szCs w:val="20"/>
                <w:color w:val="auto"/>
              </w:rPr>
            </w:pPr>
            <w:r>
              <w:rPr>
                <w:rFonts w:ascii="Arial" w:cs="Arial" w:eastAsia="Arial" w:hAnsi="Arial"/>
                <w:sz w:val="18"/>
                <w:szCs w:val="18"/>
                <w:color w:val="auto"/>
              </w:rPr>
              <w:t>Gain on redemption of public preferred stock</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(expense)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income taxes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47"/>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Telos Corporation</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earnings per share attributable to Telos Corporation,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(0.65)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 per share attributable to Telos Corporation, diluted</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of common stock outstanding,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66,374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41,642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37,729</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of common stock outstanding, diluted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TELOS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Borders>
              <w:bottom w:val="single" w:sz="8" w:color="auto"/>
            </w:tcBorders>
          </w:tcPr>
          <w:p>
            <w:pPr>
              <w:spacing w:after="0"/>
              <w:rPr>
                <w:sz w:val="20"/>
                <w:szCs w:val="20"/>
                <w:color w:val="auto"/>
              </w:rPr>
            </w:pPr>
          </w:p>
        </w:tc>
      </w:tr>
      <w:tr>
        <w:trPr>
          <w:trHeight w:val="235"/>
        </w:trPr>
        <w:tc>
          <w:tcPr>
            <w:tcW w:w="6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22"/>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8"/>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Telos Corporation</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TELOS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0" w:type="dxa"/>
            <w:vAlign w:val="bottom"/>
          </w:tcPr>
          <w:p>
            <w:pPr>
              <w:spacing w:after="0"/>
              <w:rPr>
                <w:sz w:val="20"/>
                <w:szCs w:val="20"/>
                <w:color w:val="auto"/>
              </w:rPr>
            </w:pPr>
          </w:p>
        </w:tc>
        <w:tc>
          <w:tcPr>
            <w:tcW w:w="3960" w:type="dxa"/>
            <w:vAlign w:val="bottom"/>
            <w:gridSpan w:val="2"/>
          </w:tcPr>
          <w:p>
            <w:pPr>
              <w:jc w:val="right"/>
              <w:ind w:right="2511"/>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9"/>
        </w:trPr>
        <w:tc>
          <w:tcPr>
            <w:tcW w:w="4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27"/>
        </w:trPr>
        <w:tc>
          <w:tcPr>
            <w:tcW w:w="46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60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94"/>
              </w:rPr>
              <w:t>2020</w:t>
            </w: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8"/>
        </w:trPr>
        <w:tc>
          <w:tcPr>
            <w:tcW w:w="46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9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126,562</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106,045</w:t>
            </w:r>
          </w:p>
        </w:tc>
      </w:tr>
      <w:tr>
        <w:trPr>
          <w:trHeight w:val="228"/>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3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30,913</w:t>
            </w:r>
          </w:p>
        </w:tc>
      </w:tr>
      <w:tr>
        <w:trPr>
          <w:trHeight w:val="228"/>
        </w:trPr>
        <w:tc>
          <w:tcPr>
            <w:tcW w:w="46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3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3,311</w:t>
            </w:r>
          </w:p>
        </w:tc>
      </w:tr>
      <w:tr>
        <w:trPr>
          <w:trHeight w:val="228"/>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3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r>
      <w:tr>
        <w:trPr>
          <w:trHeight w:val="228"/>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3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r>
      <w:tr>
        <w:trPr>
          <w:trHeight w:val="222"/>
        </w:trPr>
        <w:tc>
          <w:tcPr>
            <w:tcW w:w="4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144,114</w:t>
            </w:r>
          </w:p>
        </w:tc>
      </w:tr>
      <w:tr>
        <w:trPr>
          <w:trHeight w:val="228"/>
        </w:trPr>
        <w:tc>
          <w:tcPr>
            <w:tcW w:w="46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Furniture and equipment</w:t>
            </w:r>
          </w:p>
        </w:tc>
        <w:tc>
          <w:tcPr>
            <w:tcW w:w="3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r>
      <w:tr>
        <w:trPr>
          <w:trHeight w:val="228"/>
        </w:trPr>
        <w:tc>
          <w:tcPr>
            <w:tcW w:w="4600" w:type="dxa"/>
            <w:vAlign w:val="bottom"/>
          </w:tcPr>
          <w:p>
            <w:pPr>
              <w:ind w:left="340"/>
              <w:spacing w:after="0"/>
              <w:rPr>
                <w:sz w:val="20"/>
                <w:szCs w:val="20"/>
                <w:color w:val="auto"/>
              </w:rPr>
            </w:pPr>
            <w:r>
              <w:rPr>
                <w:rFonts w:ascii="Arial" w:cs="Arial" w:eastAsia="Arial" w:hAnsi="Arial"/>
                <w:sz w:val="18"/>
                <w:szCs w:val="18"/>
                <w:color w:val="auto"/>
              </w:rPr>
              <w:t>Leasehold improvements</w:t>
            </w:r>
          </w:p>
        </w:tc>
        <w:tc>
          <w:tcPr>
            <w:tcW w:w="3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2,669</w:t>
            </w:r>
          </w:p>
        </w:tc>
      </w:tr>
      <w:tr>
        <w:trPr>
          <w:trHeight w:val="228"/>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 right-of-use assets</w:t>
            </w:r>
          </w:p>
        </w:tc>
        <w:tc>
          <w:tcPr>
            <w:tcW w:w="3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30,791</w:t>
            </w:r>
          </w:p>
        </w:tc>
      </w:tr>
      <w:tr>
        <w:trPr>
          <w:trHeight w:val="222"/>
        </w:trPr>
        <w:tc>
          <w:tcPr>
            <w:tcW w:w="46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47,034</w:t>
            </w:r>
          </w:p>
        </w:tc>
      </w:tr>
      <w:tr>
        <w:trPr>
          <w:trHeight w:val="228"/>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3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(32,057)</w:t>
            </w:r>
          </w:p>
        </w:tc>
      </w:tr>
      <w:tr>
        <w:trPr>
          <w:trHeight w:val="222"/>
        </w:trPr>
        <w:tc>
          <w:tcPr>
            <w:tcW w:w="4600" w:type="dxa"/>
            <w:vAlign w:val="bottom"/>
          </w:tcPr>
          <w:p>
            <w:pPr>
              <w:ind w:left="660"/>
              <w:spacing w:after="0"/>
              <w:rPr>
                <w:sz w:val="20"/>
                <w:szCs w:val="20"/>
                <w:color w:val="auto"/>
              </w:rPr>
            </w:pPr>
            <w:r>
              <w:rPr>
                <w:rFonts w:ascii="Arial" w:cs="Arial" w:eastAsia="Arial" w:hAnsi="Arial"/>
                <w:sz w:val="18"/>
                <w:szCs w:val="18"/>
                <w:color w:val="auto"/>
              </w:rPr>
              <w:t>Net property and equipment</w:t>
            </w:r>
          </w:p>
        </w:tc>
        <w:tc>
          <w:tcPr>
            <w:tcW w:w="3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14,977</w:t>
            </w:r>
          </w:p>
        </w:tc>
      </w:tr>
      <w:tr>
        <w:trPr>
          <w:trHeight w:val="22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28"/>
        </w:trPr>
        <w:tc>
          <w:tcPr>
            <w:tcW w:w="4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14,916</w:t>
            </w:r>
          </w:p>
        </w:tc>
      </w:tr>
      <w:tr>
        <w:trPr>
          <w:trHeight w:val="22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w:t>
            </w:r>
          </w:p>
        </w:tc>
      </w:tr>
      <w:tr>
        <w:trPr>
          <w:trHeight w:val="22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47"/>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183,817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TELOS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par value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40" w:type="dxa"/>
            <w:vAlign w:val="bottom"/>
          </w:tcPr>
          <w:p>
            <w:pPr>
              <w:ind w:left="220"/>
              <w:spacing w:after="0"/>
              <w:rPr>
                <w:sz w:val="20"/>
                <w:szCs w:val="20"/>
                <w:color w:val="auto"/>
              </w:rPr>
            </w:pPr>
            <w:r>
              <w:rPr>
                <w:rFonts w:ascii="Arial" w:cs="Arial" w:eastAsia="Arial" w:hAnsi="Arial"/>
                <w:sz w:val="18"/>
                <w:szCs w:val="18"/>
                <w:color w:val="auto"/>
              </w:rPr>
              <w:t>Accounts payable and other accrued liabilities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34,548</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28"/>
        </w:trPr>
        <w:tc>
          <w:tcPr>
            <w:tcW w:w="8240" w:type="dxa"/>
            <w:vAlign w:val="bottom"/>
          </w:tcPr>
          <w:p>
            <w:pPr>
              <w:ind w:left="220"/>
              <w:spacing w:after="0"/>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obligations – short-term</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8"/>
        </w:trPr>
        <w:tc>
          <w:tcPr>
            <w:tcW w:w="8240" w:type="dxa"/>
            <w:vAlign w:val="bottom"/>
          </w:tcPr>
          <w:p>
            <w:pPr>
              <w:ind w:left="220"/>
              <w:spacing w:after="0"/>
              <w:rPr>
                <w:sz w:val="20"/>
                <w:szCs w:val="20"/>
                <w:color w:val="auto"/>
              </w:rPr>
            </w:pPr>
            <w:r>
              <w:rPr>
                <w:rFonts w:ascii="Arial" w:cs="Arial" w:eastAsia="Arial" w:hAnsi="Arial"/>
                <w:sz w:val="18"/>
                <w:szCs w:val="18"/>
                <w:color w:val="auto"/>
              </w:rPr>
              <w:t>Operating lease obligations – short-term</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22"/>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50,941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38,946</w:t>
            </w:r>
          </w:p>
        </w:tc>
        <w:tc>
          <w:tcPr>
            <w:tcW w:w="0" w:type="dxa"/>
            <w:vAlign w:val="bottom"/>
          </w:tcPr>
          <w:p>
            <w:pPr>
              <w:spacing w:after="0"/>
              <w:rPr>
                <w:sz w:val="1"/>
                <w:szCs w:val="1"/>
                <w:color w:val="auto"/>
              </w:rPr>
            </w:pPr>
          </w:p>
        </w:tc>
      </w:tr>
      <w:tr>
        <w:trPr>
          <w:trHeight w:val="255"/>
        </w:trPr>
        <w:tc>
          <w:tcPr>
            <w:tcW w:w="8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color w:val="auto"/>
              </w:rPr>
              <w:t>Finance lease obligations - long-term</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 - long-term</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22"/>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56,713</w:t>
            </w:r>
          </w:p>
        </w:tc>
        <w:tc>
          <w:tcPr>
            <w:tcW w:w="0" w:type="dxa"/>
            <w:vAlign w:val="bottom"/>
          </w:tcPr>
          <w:p>
            <w:pPr>
              <w:spacing w:after="0"/>
              <w:rPr>
                <w:sz w:val="1"/>
                <w:szCs w:val="1"/>
                <w:color w:val="auto"/>
              </w:rPr>
            </w:pPr>
          </w:p>
        </w:tc>
      </w:tr>
      <w:tr>
        <w:trPr>
          <w:trHeight w:val="248"/>
        </w:trPr>
        <w:tc>
          <w:tcPr>
            <w:tcW w:w="8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60"/>
              <w:spacing w:after="0" w:line="175" w:lineRule="exact"/>
              <w:rPr>
                <w:sz w:val="20"/>
                <w:szCs w:val="20"/>
                <w:color w:val="auto"/>
              </w:rPr>
            </w:pPr>
            <w:r>
              <w:rPr>
                <w:rFonts w:ascii="Arial" w:cs="Arial" w:eastAsia="Arial" w:hAnsi="Arial"/>
                <w:sz w:val="18"/>
                <w:szCs w:val="18"/>
                <w:color w:val="auto"/>
                <w:w w:val="91"/>
              </w:rPr>
              <w:t>Common stock, $0.001 par value, 250,000,000 shares authorized, 66,767,450 shares and 64,625,071 shares</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issued and outstanding as of December 31, 2021 and 2020, respectively</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367,153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270,800</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8"/>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(143,843)</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127,104</w:t>
            </w:r>
          </w:p>
        </w:tc>
        <w:tc>
          <w:tcPr>
            <w:tcW w:w="0" w:type="dxa"/>
            <w:vAlign w:val="bottom"/>
          </w:tcPr>
          <w:p>
            <w:pPr>
              <w:spacing w:after="0"/>
              <w:rPr>
                <w:sz w:val="1"/>
                <w:szCs w:val="1"/>
                <w:color w:val="auto"/>
              </w:rPr>
            </w:pPr>
          </w:p>
        </w:tc>
      </w:tr>
      <w:tr>
        <w:trPr>
          <w:trHeight w:val="222"/>
        </w:trPr>
        <w:tc>
          <w:tcPr>
            <w:tcW w:w="824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183,817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TELOS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08"/>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19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2"/>
        </w:trPr>
        <w:tc>
          <w:tcPr>
            <w:tcW w:w="6700" w:type="dxa"/>
            <w:vAlign w:val="bottom"/>
          </w:tcPr>
          <w:p>
            <w:pPr>
              <w:ind w:left="14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(43,134)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6,841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(2,137)</w:t>
            </w:r>
          </w:p>
        </w:tc>
      </w:tr>
      <w:tr>
        <w:trPr>
          <w:trHeight w:val="218"/>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income to cash provided by (used in)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Gain on redemption of public preferred stock</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loss on early extinguishment of debt and other transactions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60,231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Dividends from preferred stock recorded as interest expense</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4,972</w:t>
            </w: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inventory obsolescence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Provision for (benefit from) doubtful accounts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doubtful non-trade receivables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461</w:t>
            </w: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(benefit from) deferred income tax</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Loss on disposal of fixed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1"/>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 of discount on acquisition holdback</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(Increase) decrease in accounts receivable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6,186</w:t>
            </w:r>
          </w:p>
        </w:tc>
      </w:tr>
      <w:tr>
        <w:trPr>
          <w:trHeight w:val="212"/>
        </w:trPr>
        <w:tc>
          <w:tcPr>
            <w:tcW w:w="6700" w:type="dxa"/>
            <w:vAlign w:val="bottom"/>
          </w:tcPr>
          <w:p>
            <w:pPr>
              <w:ind w:left="660"/>
              <w:spacing w:after="0"/>
              <w:rPr>
                <w:sz w:val="20"/>
                <w:szCs w:val="20"/>
                <w:color w:val="auto"/>
              </w:rPr>
            </w:pPr>
            <w:r>
              <w:rPr>
                <w:rFonts w:ascii="Arial" w:cs="Arial" w:eastAsia="Arial" w:hAnsi="Arial"/>
                <w:sz w:val="16"/>
                <w:szCs w:val="16"/>
                <w:color w:val="auto"/>
              </w:rPr>
              <w:t>Decrease (increase) in inventories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18"/>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Increase in prepaid expenses, other current assets and 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r>
      <w:tr>
        <w:trPr>
          <w:trHeight w:val="212"/>
        </w:trPr>
        <w:tc>
          <w:tcPr>
            <w:tcW w:w="6700" w:type="dxa"/>
            <w:vAlign w:val="bottom"/>
          </w:tcPr>
          <w:p>
            <w:pPr>
              <w:ind w:left="660"/>
              <w:spacing w:after="0"/>
              <w:rPr>
                <w:sz w:val="20"/>
                <w:szCs w:val="20"/>
                <w:color w:val="auto"/>
              </w:rPr>
            </w:pPr>
            <w:r>
              <w:rPr>
                <w:rFonts w:ascii="Arial" w:cs="Arial" w:eastAsia="Arial" w:hAnsi="Arial"/>
                <w:sz w:val="16"/>
                <w:szCs w:val="16"/>
                <w:color w:val="auto"/>
              </w:rPr>
              <w:t>Increase (decrease) in accounts payable and other accrued payables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(6,730)</w:t>
            </w:r>
          </w:p>
        </w:tc>
      </w:tr>
      <w:tr>
        <w:trPr>
          <w:trHeight w:val="218"/>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(Decrease) increase in accrued compensation and benefits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r>
      <w:tr>
        <w:trPr>
          <w:trHeight w:val="212"/>
        </w:trPr>
        <w:tc>
          <w:tcPr>
            <w:tcW w:w="6700" w:type="dxa"/>
            <w:vAlign w:val="bottom"/>
          </w:tcPr>
          <w:p>
            <w:pPr>
              <w:ind w:left="660"/>
              <w:spacing w:after="0"/>
              <w:rPr>
                <w:sz w:val="20"/>
                <w:szCs w:val="20"/>
                <w:color w:val="auto"/>
              </w:rPr>
            </w:pPr>
            <w:r>
              <w:rPr>
                <w:rFonts w:ascii="Arial" w:cs="Arial" w:eastAsia="Arial" w:hAnsi="Arial"/>
                <w:sz w:val="16"/>
                <w:szCs w:val="16"/>
                <w:color w:val="auto"/>
              </w:rPr>
              <w:t>Increase (decrease) in contract liabilities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1,106</w:t>
            </w:r>
          </w:p>
        </w:tc>
      </w:tr>
      <w:tr>
        <w:trPr>
          <w:trHeight w:val="218"/>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(Decrease) increase in other current liabilities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2,379</w:t>
            </w:r>
          </w:p>
        </w:tc>
      </w:tr>
      <w:tr>
        <w:trPr>
          <w:trHeight w:val="205"/>
        </w:trPr>
        <w:tc>
          <w:tcPr>
            <w:tcW w:w="6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Cash provided by (used in)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11,816</w:t>
            </w:r>
          </w:p>
        </w:tc>
      </w:tr>
      <w:tr>
        <w:trPr>
          <w:trHeight w:val="19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6700" w:type="dxa"/>
            <w:vAlign w:val="bottom"/>
          </w:tcPr>
          <w:p>
            <w:pPr>
              <w:ind w:left="460"/>
              <w:spacing w:after="0"/>
              <w:rPr>
                <w:sz w:val="20"/>
                <w:szCs w:val="20"/>
                <w:color w:val="auto"/>
              </w:rPr>
            </w:pPr>
            <w:r>
              <w:rPr>
                <w:rFonts w:ascii="Arial" w:cs="Arial" w:eastAsia="Arial" w:hAnsi="Arial"/>
                <w:sz w:val="16"/>
                <w:szCs w:val="16"/>
                <w:color w:val="auto"/>
              </w:rPr>
              <w:t>Cash paid for acquisition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Capitalized software development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w:t>
            </w:r>
          </w:p>
        </w:tc>
      </w:tr>
      <w:tr>
        <w:trPr>
          <w:trHeight w:val="212"/>
        </w:trPr>
        <w:tc>
          <w:tcPr>
            <w:tcW w:w="6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(4,090)</w:t>
            </w:r>
          </w:p>
        </w:tc>
      </w:tr>
      <w:tr>
        <w:trPr>
          <w:trHeight w:val="211"/>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(19,094)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(6,532)</w:t>
            </w:r>
          </w:p>
        </w:tc>
      </w:tr>
      <w:tr>
        <w:trPr>
          <w:trHeight w:val="192"/>
        </w:trPr>
        <w:tc>
          <w:tcPr>
            <w:tcW w:w="67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700" w:type="dxa"/>
            <w:vAlign w:val="bottom"/>
          </w:tcPr>
          <w:p>
            <w:pPr>
              <w:ind w:left="460"/>
              <w:spacing w:after="0"/>
              <w:rPr>
                <w:sz w:val="20"/>
                <w:szCs w:val="20"/>
                <w:color w:val="auto"/>
              </w:rPr>
            </w:pPr>
            <w:r>
              <w:rPr>
                <w:rFonts w:ascii="Arial" w:cs="Arial" w:eastAsia="Arial" w:hAnsi="Arial"/>
                <w:sz w:val="16"/>
                <w:szCs w:val="16"/>
                <w:color w:val="auto"/>
              </w:rPr>
              <w:t>Repurchase of outstanding warrants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(26,894)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Redemption of public preferred stock</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(108,878)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 of Telos ID membership interest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Payment of senior term loan</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Payment of subordinated debt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Proceeds from senior term loan</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4,881</w:t>
            </w: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Payments under finance lease obligations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r>
      <w:tr>
        <w:trPr>
          <w:trHeight w:val="212"/>
        </w:trPr>
        <w:tc>
          <w:tcPr>
            <w:tcW w:w="6700" w:type="dxa"/>
            <w:vAlign w:val="bottom"/>
          </w:tcPr>
          <w:p>
            <w:pPr>
              <w:ind w:left="460"/>
              <w:spacing w:after="0"/>
              <w:rPr>
                <w:sz w:val="20"/>
                <w:szCs w:val="20"/>
                <w:color w:val="auto"/>
              </w:rPr>
            </w:pPr>
            <w:r>
              <w:rPr>
                <w:rFonts w:ascii="Arial" w:cs="Arial" w:eastAsia="Arial" w:hAnsi="Arial"/>
                <w:sz w:val="16"/>
                <w:szCs w:val="16"/>
                <w:color w:val="auto"/>
              </w:rPr>
              <w:t>Amendment fee paid to lender</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Distributions to Telos ID Class B member – 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w:t>
            </w:r>
          </w:p>
        </w:tc>
      </w:tr>
      <w:tr>
        <w:trPr>
          <w:trHeight w:val="205"/>
        </w:trPr>
        <w:tc>
          <w:tcPr>
            <w:tcW w:w="6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Cash provided by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108,859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in cash and cash equivalents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w:t>
            </w:r>
          </w:p>
        </w:tc>
      </w:tr>
      <w:tr>
        <w:trPr>
          <w:trHeight w:val="21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the year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106,045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year</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126,562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106,045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TELOS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31"/>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460"/>
              <w:spacing w:after="0"/>
              <w:rPr>
                <w:sz w:val="20"/>
                <w:szCs w:val="20"/>
                <w:color w:val="auto"/>
              </w:rPr>
            </w:pPr>
            <w:r>
              <w:rPr>
                <w:rFonts w:ascii="Arial" w:cs="Arial" w:eastAsia="Arial" w:hAnsi="Arial"/>
                <w:sz w:val="16"/>
                <w:szCs w:val="16"/>
                <w:color w:val="auto"/>
              </w:rPr>
              <w:t>Cash paid during the year for:</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Interest</w:t>
            </w:r>
          </w:p>
        </w:tc>
        <w:tc>
          <w:tcPr>
            <w:tcW w:w="10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6"/>
                <w:szCs w:val="16"/>
                <w:color w:val="auto"/>
              </w:rPr>
              <w:t>Income taxes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ind w:right="791"/>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6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Acquisition holdback</w:t>
            </w:r>
          </w:p>
        </w:tc>
        <w:tc>
          <w:tcPr>
            <w:tcW w:w="100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6"/>
                <w:szCs w:val="16"/>
                <w:color w:val="auto"/>
              </w:rPr>
              <w:t>Operating lease ROU assets obtained in exchange for operating lease liabilities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ind w:right="791"/>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Dividends from preferred stock recorded as interest expense</w:t>
            </w:r>
          </w:p>
        </w:tc>
        <w:tc>
          <w:tcPr>
            <w:tcW w:w="10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vMerge w:val="restart"/>
          </w:tcPr>
          <w:p>
            <w:pPr>
              <w:ind w:left="540"/>
              <w:spacing w:after="0"/>
              <w:rPr>
                <w:sz w:val="20"/>
                <w:szCs w:val="20"/>
                <w:color w:val="auto"/>
              </w:rPr>
            </w:pPr>
            <w:r>
              <w:rPr>
                <w:rFonts w:ascii="Arial" w:cs="Arial" w:eastAsia="Arial" w:hAnsi="Arial"/>
                <w:sz w:val="16"/>
                <w:szCs w:val="16"/>
                <w:color w:val="auto"/>
              </w:rPr>
              <w:t>Common stock issued on redemption of public preferred stock</w:t>
            </w:r>
          </w:p>
        </w:tc>
        <w:tc>
          <w:tcPr>
            <w:tcW w:w="1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tcBorders>
              <w:top w:val="single" w:sz="8" w:color="CCEEFF"/>
            </w:tcBorders>
            <w:vMerge w:val="continue"/>
          </w:tcPr>
          <w:p>
            <w:pPr>
              <w:spacing w:after="0"/>
              <w:rPr>
                <w:sz w:val="17"/>
                <w:szCs w:val="17"/>
                <w:color w:val="auto"/>
              </w:rPr>
            </w:pPr>
          </w:p>
        </w:tc>
        <w:tc>
          <w:tcPr>
            <w:tcW w:w="1000" w:type="dxa"/>
            <w:vAlign w:val="bottom"/>
            <w:tcBorders>
              <w:top w:val="single" w:sz="8" w:color="auto"/>
              <w:bottom w:val="single" w:sz="8" w:color="auto"/>
            </w:tcBorders>
          </w:tcPr>
          <w:p>
            <w:pPr>
              <w:jc w:val="right"/>
              <w:ind w:right="791"/>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19,213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Common stock issued on purchase of Telos ID membership interest</w:t>
            </w:r>
          </w:p>
        </w:tc>
        <w:tc>
          <w:tcPr>
            <w:tcW w:w="10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vMerge w:val="restart"/>
          </w:tcPr>
          <w:p>
            <w:pPr>
              <w:ind w:left="540"/>
              <w:spacing w:after="0"/>
              <w:rPr>
                <w:sz w:val="20"/>
                <w:szCs w:val="20"/>
                <w:color w:val="auto"/>
              </w:rPr>
            </w:pPr>
            <w:r>
              <w:rPr>
                <w:rFonts w:ascii="Arial" w:cs="Arial" w:eastAsia="Arial" w:hAnsi="Arial"/>
                <w:sz w:val="16"/>
                <w:szCs w:val="16"/>
                <w:color w:val="auto"/>
              </w:rPr>
              <w:t>Distributions to Telos ID Class B member – non-controlling interest</w:t>
            </w:r>
          </w:p>
        </w:tc>
        <w:tc>
          <w:tcPr>
            <w:tcW w:w="1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tcBorders>
              <w:top w:val="single" w:sz="8" w:color="CCEEFF"/>
            </w:tcBorders>
            <w:vMerge w:val="continue"/>
          </w:tcPr>
          <w:p>
            <w:pPr>
              <w:spacing w:after="0"/>
              <w:rPr>
                <w:sz w:val="17"/>
                <w:szCs w:val="17"/>
                <w:color w:val="auto"/>
              </w:rPr>
            </w:pPr>
          </w:p>
        </w:tc>
        <w:tc>
          <w:tcPr>
            <w:tcW w:w="1000" w:type="dxa"/>
            <w:vAlign w:val="bottom"/>
            <w:tcBorders>
              <w:top w:val="single" w:sz="8" w:color="auto"/>
              <w:bottom w:val="single" w:sz="8" w:color="auto"/>
            </w:tcBorders>
          </w:tcPr>
          <w:p>
            <w:pPr>
              <w:jc w:val="right"/>
              <w:ind w:right="791"/>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2,436</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Debt issuance costs and prepayment of interest on senior term loan</w:t>
            </w:r>
          </w:p>
        </w:tc>
        <w:tc>
          <w:tcPr>
            <w:tcW w:w="10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right="180"/>
        <w:spacing w:after="0" w:line="234" w:lineRule="auto"/>
        <w:rPr>
          <w:sz w:val="20"/>
          <w:szCs w:val="20"/>
          <w:color w:val="auto"/>
        </w:rPr>
      </w:pPr>
      <w:r>
        <w:rPr>
          <w:rFonts w:ascii="Arial" w:cs="Arial" w:eastAsia="Arial" w:hAnsi="Arial"/>
          <w:sz w:val="18"/>
          <w:szCs w:val="18"/>
          <w:color w:val="auto"/>
        </w:rPr>
        <w:t>Balance December 31, 2018</w:t>
      </w:r>
    </w:p>
    <w:p>
      <w:pPr>
        <w:ind w:left="20"/>
        <w:spacing w:after="0"/>
        <w:rPr>
          <w:sz w:val="20"/>
          <w:szCs w:val="20"/>
          <w:color w:val="auto"/>
        </w:rPr>
      </w:pPr>
      <w:r>
        <w:rPr>
          <w:rFonts w:ascii="Arial" w:cs="Arial" w:eastAsia="Arial" w:hAnsi="Arial"/>
          <w:sz w:val="18"/>
          <w:szCs w:val="18"/>
          <w:color w:val="auto"/>
        </w:rPr>
        <w:t>Net (loss) income</w:t>
      </w:r>
    </w:p>
    <w:p>
      <w:pPr>
        <w:spacing w:after="0" w:line="21" w:lineRule="exact"/>
        <w:rPr>
          <w:sz w:val="20"/>
          <w:szCs w:val="20"/>
          <w:color w:val="auto"/>
        </w:rPr>
      </w:pPr>
    </w:p>
    <w:p>
      <w:pPr>
        <w:ind w:left="20" w:right="560"/>
        <w:spacing w:after="0" w:line="262" w:lineRule="auto"/>
        <w:rPr>
          <w:sz w:val="20"/>
          <w:szCs w:val="20"/>
          <w:color w:val="auto"/>
        </w:rPr>
      </w:pPr>
      <w:r>
        <w:rPr>
          <w:rFonts w:ascii="Arial" w:cs="Arial" w:eastAsia="Arial" w:hAnsi="Arial"/>
          <w:sz w:val="16"/>
          <w:szCs w:val="16"/>
          <w:color w:val="auto"/>
        </w:rPr>
        <w:t>Foreign currency translation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Distributions</w:t>
      </w:r>
    </w:p>
    <w:p>
      <w:pPr>
        <w:spacing w:after="0" w:line="21" w:lineRule="exact"/>
        <w:rPr>
          <w:sz w:val="20"/>
          <w:szCs w:val="20"/>
          <w:color w:val="auto"/>
        </w:rPr>
      </w:pPr>
    </w:p>
    <w:p>
      <w:pPr>
        <w:ind w:left="20" w:right="180"/>
        <w:spacing w:after="0" w:line="233" w:lineRule="auto"/>
        <w:rPr>
          <w:sz w:val="20"/>
          <w:szCs w:val="20"/>
          <w:color w:val="auto"/>
        </w:rPr>
      </w:pPr>
      <w:r>
        <w:rPr>
          <w:rFonts w:ascii="Arial" w:cs="Arial" w:eastAsia="Arial" w:hAnsi="Arial"/>
          <w:sz w:val="18"/>
          <w:szCs w:val="18"/>
          <w:color w:val="auto"/>
        </w:rPr>
        <w:t>Balance December 31, 2019</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33" w:lineRule="exact"/>
        <w:rPr>
          <w:sz w:val="20"/>
          <w:szCs w:val="20"/>
          <w:color w:val="auto"/>
        </w:rPr>
      </w:pPr>
    </w:p>
    <w:p>
      <w:pPr>
        <w:ind w:left="20"/>
        <w:spacing w:after="0" w:line="218" w:lineRule="auto"/>
        <w:rPr>
          <w:sz w:val="20"/>
          <w:szCs w:val="20"/>
          <w:color w:val="auto"/>
        </w:rPr>
      </w:pPr>
      <w:r>
        <w:rPr>
          <w:rFonts w:ascii="Arial" w:cs="Arial" w:eastAsia="Arial" w:hAnsi="Arial"/>
          <w:sz w:val="18"/>
          <w:szCs w:val="18"/>
          <w:color w:val="auto"/>
        </w:rPr>
        <w:t>Issuance of common stock upon conversion of Class A and Class B common stock</w:t>
      </w:r>
    </w:p>
    <w:p>
      <w:pPr>
        <w:spacing w:after="0" w:line="1" w:lineRule="exact"/>
        <w:rPr>
          <w:sz w:val="20"/>
          <w:szCs w:val="20"/>
          <w:color w:val="auto"/>
        </w:rPr>
      </w:pPr>
    </w:p>
    <w:p>
      <w:pPr>
        <w:ind w:left="20" w:right="320"/>
        <w:spacing w:after="0" w:line="233" w:lineRule="auto"/>
        <w:rPr>
          <w:sz w:val="20"/>
          <w:szCs w:val="20"/>
          <w:color w:val="auto"/>
        </w:rPr>
      </w:pPr>
      <w:r>
        <w:rPr>
          <w:rFonts w:ascii="Arial" w:cs="Arial" w:eastAsia="Arial" w:hAnsi="Arial"/>
          <w:sz w:val="18"/>
          <w:szCs w:val="18"/>
          <w:color w:val="auto"/>
        </w:rPr>
        <w:t>Issuance of common stock</w:t>
      </w:r>
    </w:p>
    <w:p>
      <w:pPr>
        <w:spacing w:after="0" w:line="1" w:lineRule="exact"/>
        <w:rPr>
          <w:sz w:val="20"/>
          <w:szCs w:val="20"/>
          <w:color w:val="auto"/>
        </w:rPr>
      </w:pPr>
    </w:p>
    <w:p>
      <w:pPr>
        <w:ind w:left="20" w:right="300"/>
        <w:spacing w:after="0" w:line="262" w:lineRule="auto"/>
        <w:rPr>
          <w:sz w:val="20"/>
          <w:szCs w:val="20"/>
          <w:color w:val="auto"/>
        </w:rPr>
      </w:pPr>
      <w:r>
        <w:rPr>
          <w:rFonts w:ascii="Arial" w:cs="Arial" w:eastAsia="Arial" w:hAnsi="Arial"/>
          <w:sz w:val="16"/>
          <w:szCs w:val="16"/>
          <w:color w:val="auto"/>
        </w:rPr>
        <w:t>Purchase of Telos ID membership interest</w:t>
      </w:r>
    </w:p>
    <w:p>
      <w:pPr>
        <w:spacing w:after="0" w:line="1" w:lineRule="exact"/>
        <w:rPr>
          <w:sz w:val="20"/>
          <w:szCs w:val="20"/>
          <w:color w:val="auto"/>
        </w:rPr>
      </w:pPr>
    </w:p>
    <w:p>
      <w:pPr>
        <w:ind w:left="20" w:right="560"/>
        <w:spacing w:after="0" w:line="262" w:lineRule="auto"/>
        <w:rPr>
          <w:sz w:val="20"/>
          <w:szCs w:val="20"/>
          <w:color w:val="auto"/>
        </w:rPr>
      </w:pPr>
      <w:r>
        <w:rPr>
          <w:rFonts w:ascii="Arial" w:cs="Arial" w:eastAsia="Arial" w:hAnsi="Arial"/>
          <w:sz w:val="16"/>
          <w:szCs w:val="16"/>
          <w:color w:val="auto"/>
        </w:rPr>
        <w:t>Foreign currency translation gain</w:t>
      </w:r>
    </w:p>
    <w:p>
      <w:pPr>
        <w:spacing w:after="0" w:line="1" w:lineRule="exact"/>
        <w:rPr>
          <w:sz w:val="20"/>
          <w:szCs w:val="20"/>
          <w:color w:val="auto"/>
        </w:rPr>
      </w:pPr>
    </w:p>
    <w:p>
      <w:pPr>
        <w:ind w:left="20" w:right="800"/>
        <w:spacing w:after="0" w:line="262" w:lineRule="auto"/>
        <w:rPr>
          <w:sz w:val="20"/>
          <w:szCs w:val="20"/>
          <w:color w:val="auto"/>
        </w:rPr>
      </w:pPr>
      <w:r>
        <w:rPr>
          <w:rFonts w:ascii="Arial" w:cs="Arial" w:eastAsia="Arial" w:hAnsi="Arial"/>
          <w:sz w:val="16"/>
          <w:szCs w:val="16"/>
          <w:color w:val="auto"/>
        </w:rPr>
        <w:t>Stock-based compensation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Distributions</w:t>
      </w:r>
    </w:p>
    <w:p>
      <w:pPr>
        <w:spacing w:after="0" w:line="21" w:lineRule="exact"/>
        <w:rPr>
          <w:sz w:val="20"/>
          <w:szCs w:val="20"/>
          <w:color w:val="auto"/>
        </w:rPr>
      </w:pPr>
    </w:p>
    <w:p>
      <w:pPr>
        <w:ind w:left="20" w:right="180"/>
        <w:spacing w:after="0" w:line="233" w:lineRule="auto"/>
        <w:rPr>
          <w:sz w:val="20"/>
          <w:szCs w:val="20"/>
          <w:color w:val="auto"/>
        </w:rPr>
      </w:pPr>
      <w:r>
        <w:rPr>
          <w:rFonts w:ascii="Arial" w:cs="Arial" w:eastAsia="Arial" w:hAnsi="Arial"/>
          <w:sz w:val="18"/>
          <w:szCs w:val="18"/>
          <w:color w:val="auto"/>
        </w:rPr>
        <w:t>Balance December 31, 2020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33" w:lineRule="exact"/>
        <w:rPr>
          <w:sz w:val="20"/>
          <w:szCs w:val="20"/>
          <w:color w:val="auto"/>
        </w:rPr>
      </w:pPr>
    </w:p>
    <w:p>
      <w:pPr>
        <w:ind w:left="20" w:right="320"/>
        <w:spacing w:after="0" w:line="234" w:lineRule="auto"/>
        <w:rPr>
          <w:sz w:val="20"/>
          <w:szCs w:val="20"/>
          <w:color w:val="auto"/>
        </w:rPr>
      </w:pPr>
      <w:r>
        <w:rPr>
          <w:rFonts w:ascii="Arial" w:cs="Arial" w:eastAsia="Arial" w:hAnsi="Arial"/>
          <w:sz w:val="18"/>
          <w:szCs w:val="18"/>
          <w:color w:val="auto"/>
        </w:rPr>
        <w:t>Issuance of common stock</w:t>
      </w:r>
    </w:p>
    <w:p>
      <w:pPr>
        <w:ind w:left="20" w:right="560"/>
        <w:spacing w:after="0" w:line="262" w:lineRule="auto"/>
        <w:rPr>
          <w:sz w:val="20"/>
          <w:szCs w:val="20"/>
          <w:color w:val="auto"/>
        </w:rPr>
      </w:pPr>
      <w:r>
        <w:rPr>
          <w:rFonts w:ascii="Arial" w:cs="Arial" w:eastAsia="Arial" w:hAnsi="Arial"/>
          <w:sz w:val="16"/>
          <w:szCs w:val="16"/>
          <w:color w:val="auto"/>
        </w:rPr>
        <w:t>Foreign currency translation loss</w:t>
      </w:r>
    </w:p>
    <w:p>
      <w:pPr>
        <w:spacing w:after="0" w:line="1" w:lineRule="exact"/>
        <w:rPr>
          <w:sz w:val="20"/>
          <w:szCs w:val="20"/>
          <w:color w:val="auto"/>
        </w:rPr>
      </w:pPr>
    </w:p>
    <w:p>
      <w:pPr>
        <w:ind w:left="20" w:right="800"/>
        <w:spacing w:after="0" w:line="262" w:lineRule="auto"/>
        <w:rPr>
          <w:sz w:val="20"/>
          <w:szCs w:val="20"/>
          <w:color w:val="auto"/>
        </w:rPr>
      </w:pPr>
      <w:r>
        <w:rPr>
          <w:rFonts w:ascii="Arial" w:cs="Arial" w:eastAsia="Arial" w:hAnsi="Arial"/>
          <w:sz w:val="16"/>
          <w:szCs w:val="16"/>
          <w:color w:val="auto"/>
        </w:rPr>
        <w:t>Stock-based compensation</w:t>
      </w:r>
    </w:p>
    <w:p>
      <w:pPr>
        <w:spacing w:after="0" w:line="1" w:lineRule="exact"/>
        <w:rPr>
          <w:sz w:val="20"/>
          <w:szCs w:val="20"/>
          <w:color w:val="auto"/>
        </w:rPr>
      </w:pPr>
    </w:p>
    <w:p>
      <w:pPr>
        <w:ind w:left="20" w:right="300"/>
        <w:spacing w:after="0" w:line="262" w:lineRule="auto"/>
        <w:rPr>
          <w:sz w:val="20"/>
          <w:szCs w:val="20"/>
          <w:color w:val="auto"/>
        </w:rPr>
      </w:pPr>
      <w:r>
        <w:rPr>
          <w:rFonts w:ascii="Arial" w:cs="Arial" w:eastAsia="Arial" w:hAnsi="Arial"/>
          <w:sz w:val="16"/>
          <w:szCs w:val="16"/>
          <w:color w:val="auto"/>
        </w:rPr>
        <w:t>Repurchase of outstanding warrants</w:t>
      </w:r>
    </w:p>
    <w:p>
      <w:pPr>
        <w:spacing w:after="0" w:line="1" w:lineRule="exact"/>
        <w:rPr>
          <w:sz w:val="20"/>
          <w:szCs w:val="20"/>
          <w:color w:val="auto"/>
        </w:rPr>
      </w:pPr>
    </w:p>
    <w:p>
      <w:pPr>
        <w:ind w:left="20" w:right="100"/>
        <w:spacing w:after="0" w:line="233" w:lineRule="auto"/>
        <w:rPr>
          <w:sz w:val="20"/>
          <w:szCs w:val="20"/>
          <w:color w:val="auto"/>
        </w:rPr>
      </w:pPr>
      <w:r>
        <w:rPr>
          <w:rFonts w:ascii="Arial" w:cs="Arial" w:eastAsia="Arial" w:hAnsi="Arial"/>
          <w:sz w:val="18"/>
          <w:szCs w:val="18"/>
          <w:color w:val="auto"/>
        </w:rPr>
        <w:t>Repurchase of common stock</w:t>
      </w:r>
    </w:p>
    <w:p>
      <w:pPr>
        <w:spacing w:after="0" w:line="1" w:lineRule="exact"/>
        <w:rPr>
          <w:sz w:val="20"/>
          <w:szCs w:val="20"/>
          <w:color w:val="auto"/>
        </w:rPr>
      </w:pPr>
    </w:p>
    <w:p>
      <w:pPr>
        <w:ind w:left="20" w:right="180"/>
        <w:spacing w:after="0" w:line="233" w:lineRule="auto"/>
        <w:rPr>
          <w:sz w:val="20"/>
          <w:szCs w:val="20"/>
          <w:color w:val="auto"/>
        </w:rPr>
      </w:pPr>
      <w:r>
        <w:rPr>
          <w:rFonts w:ascii="Arial" w:cs="Arial" w:eastAsia="Arial" w:hAnsi="Arial"/>
          <w:sz w:val="18"/>
          <w:szCs w:val="18"/>
          <w:color w:val="auto"/>
        </w:rPr>
        <w:t>Balance December 31, 2021</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6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7"/>
              </w:rPr>
              <w:t>Class A Common Stock</w:t>
            </w:r>
          </w:p>
        </w:tc>
        <w:tc>
          <w:tcPr>
            <w:tcW w:w="15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7"/>
              </w:rPr>
              <w:t>Class B Common Stock</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500" w:type="dxa"/>
            <w:vAlign w:val="bottom"/>
            <w:gridSpan w:val="5"/>
            <w:vMerge w:val="continue"/>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54"/>
        </w:trPr>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restart"/>
          </w:tcPr>
          <w:p>
            <w:pPr>
              <w:jc w:val="center"/>
              <w:ind w:right="200"/>
              <w:spacing w:after="0" w:line="121" w:lineRule="exact"/>
              <w:rPr>
                <w:sz w:val="20"/>
                <w:szCs w:val="20"/>
                <w:color w:val="auto"/>
              </w:rPr>
            </w:pPr>
            <w:r>
              <w:rPr>
                <w:rFonts w:ascii="Arial" w:cs="Arial" w:eastAsia="Arial" w:hAnsi="Arial"/>
                <w:sz w:val="14"/>
                <w:szCs w:val="14"/>
                <w:b w:val="1"/>
                <w:bCs w:val="1"/>
                <w:color w:val="auto"/>
                <w:w w:val="92"/>
              </w:rPr>
              <w:t>Paid–in</w:t>
            </w:r>
          </w:p>
        </w:tc>
        <w:tc>
          <w:tcPr>
            <w:tcW w:w="1080" w:type="dxa"/>
            <w:vAlign w:val="bottom"/>
            <w:gridSpan w:val="3"/>
            <w:vMerge w:val="restart"/>
          </w:tcPr>
          <w:p>
            <w:pPr>
              <w:ind w:left="40"/>
              <w:spacing w:after="0" w:line="121" w:lineRule="exact"/>
              <w:rPr>
                <w:sz w:val="20"/>
                <w:szCs w:val="20"/>
                <w:color w:val="auto"/>
              </w:rPr>
            </w:pPr>
            <w:r>
              <w:rPr>
                <w:rFonts w:ascii="Arial" w:cs="Arial" w:eastAsia="Arial" w:hAnsi="Arial"/>
                <w:sz w:val="14"/>
                <w:szCs w:val="14"/>
                <w:b w:val="1"/>
                <w:bCs w:val="1"/>
                <w:color w:val="auto"/>
                <w:w w:val="97"/>
              </w:rPr>
              <w:t>Comprehensive</w:t>
            </w:r>
          </w:p>
        </w:tc>
        <w:tc>
          <w:tcPr>
            <w:tcW w:w="960" w:type="dxa"/>
            <w:vAlign w:val="bottom"/>
            <w:gridSpan w:val="2"/>
            <w:vMerge w:val="restart"/>
          </w:tcPr>
          <w:p>
            <w:pPr>
              <w:ind w:left="40"/>
              <w:spacing w:after="0" w:line="121"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3"/>
            <w:vMerge w:val="restart"/>
          </w:tcPr>
          <w:p>
            <w:pPr>
              <w:ind w:left="40"/>
              <w:spacing w:after="0" w:line="121"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4"/>
                <w:szCs w:val="4"/>
                <w:color w:val="auto"/>
              </w:rPr>
            </w:pPr>
          </w:p>
        </w:tc>
        <w:tc>
          <w:tcPr>
            <w:tcW w:w="760" w:type="dxa"/>
            <w:vAlign w:val="bottom"/>
            <w:vMerge w:val="restart"/>
          </w:tcPr>
          <w:p>
            <w:pPr>
              <w:jc w:val="center"/>
              <w:ind w:right="33"/>
              <w:spacing w:after="0" w:line="121"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47"/>
        </w:trPr>
        <w:tc>
          <w:tcPr>
            <w:tcW w:w="6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4"/>
                <w:szCs w:val="4"/>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4"/>
                <w:szCs w:val="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304"/>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45,143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24"/>
                <w:szCs w:val="24"/>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4,310</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 (139,129)</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2,621</w:t>
            </w: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3"/>
              </w:rPr>
              <w:t>(132,103)</w:t>
            </w:r>
          </w:p>
        </w:tc>
        <w:tc>
          <w:tcPr>
            <w:tcW w:w="0" w:type="dxa"/>
            <w:vAlign w:val="bottom"/>
          </w:tcPr>
          <w:p>
            <w:pPr>
              <w:spacing w:after="0"/>
              <w:rPr>
                <w:sz w:val="1"/>
                <w:szCs w:val="1"/>
                <w:color w:val="auto"/>
              </w:rPr>
            </w:pPr>
          </w:p>
        </w:tc>
      </w:tr>
      <w:tr>
        <w:trPr>
          <w:trHeight w:val="309"/>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309"/>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2"/>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(2,371)</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302"/>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45,143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24"/>
                <w:szCs w:val="24"/>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4,310</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 (145,530)</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4,514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(136,622)</w:t>
            </w:r>
          </w:p>
        </w:tc>
        <w:tc>
          <w:tcPr>
            <w:tcW w:w="0" w:type="dxa"/>
            <w:vAlign w:val="bottom"/>
          </w:tcPr>
          <w:p>
            <w:pPr>
              <w:spacing w:after="0"/>
              <w:rPr>
                <w:sz w:val="1"/>
                <w:szCs w:val="1"/>
                <w:color w:val="auto"/>
              </w:rPr>
            </w:pPr>
          </w:p>
        </w:tc>
      </w:tr>
      <w:tr>
        <w:trPr>
          <w:trHeight w:val="80"/>
        </w:trPr>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482"/>
        </w:trPr>
        <w:tc>
          <w:tcPr>
            <w:tcW w:w="680" w:type="dxa"/>
            <w:vAlign w:val="bottom"/>
          </w:tcPr>
          <w:p>
            <w:pPr>
              <w:jc w:val="right"/>
              <w:spacing w:after="0"/>
              <w:rPr>
                <w:sz w:val="20"/>
                <w:szCs w:val="20"/>
                <w:color w:val="auto"/>
              </w:rPr>
            </w:pPr>
            <w:r>
              <w:rPr>
                <w:rFonts w:ascii="Arial" w:cs="Arial" w:eastAsia="Arial" w:hAnsi="Arial"/>
                <w:sz w:val="18"/>
                <w:szCs w:val="18"/>
                <w:color w:val="auto"/>
              </w:rPr>
              <w:t>39,003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1"/>
              </w:rPr>
              <w:t>(4,038)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77"/>
        </w:trPr>
        <w:tc>
          <w:tcPr>
            <w:tcW w:w="680" w:type="dxa"/>
            <w:vAlign w:val="bottom"/>
          </w:tcPr>
          <w:p>
            <w:pPr>
              <w:jc w:val="right"/>
              <w:spacing w:after="0"/>
              <w:rPr>
                <w:sz w:val="20"/>
                <w:szCs w:val="20"/>
                <w:color w:val="auto"/>
              </w:rPr>
            </w:pPr>
            <w:r>
              <w:rPr>
                <w:rFonts w:ascii="Arial" w:cs="Arial" w:eastAsia="Arial" w:hAnsi="Arial"/>
                <w:sz w:val="18"/>
                <w:szCs w:val="18"/>
                <w:color w:val="auto"/>
              </w:rPr>
              <w:t>25,622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291,997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292,022</w:t>
            </w:r>
          </w:p>
        </w:tc>
        <w:tc>
          <w:tcPr>
            <w:tcW w:w="0" w:type="dxa"/>
            <w:vAlign w:val="bottom"/>
          </w:tcPr>
          <w:p>
            <w:pPr>
              <w:spacing w:after="0"/>
              <w:rPr>
                <w:sz w:val="1"/>
                <w:szCs w:val="1"/>
                <w:color w:val="auto"/>
              </w:rPr>
            </w:pPr>
          </w:p>
        </w:tc>
      </w:tr>
      <w:tr>
        <w:trPr>
          <w:trHeight w:val="94"/>
        </w:trPr>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(25,511)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94"/>
              </w:rPr>
              <w:t>(4,489)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403"/>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3"/>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2"/>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(5,179)</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302"/>
        </w:trPr>
        <w:tc>
          <w:tcPr>
            <w:tcW w:w="680" w:type="dxa"/>
            <w:vAlign w:val="bottom"/>
          </w:tcPr>
          <w:p>
            <w:pPr>
              <w:jc w:val="right"/>
              <w:spacing w:after="0"/>
              <w:rPr>
                <w:sz w:val="20"/>
                <w:szCs w:val="20"/>
                <w:color w:val="auto"/>
              </w:rPr>
            </w:pPr>
            <w:r>
              <w:rPr>
                <w:rFonts w:ascii="Arial" w:cs="Arial" w:eastAsia="Arial" w:hAnsi="Arial"/>
                <w:sz w:val="18"/>
                <w:szCs w:val="18"/>
                <w:color w:val="auto"/>
              </w:rPr>
              <w:t>64,625</w:t>
            </w:r>
          </w:p>
        </w:tc>
        <w:tc>
          <w:tcPr>
            <w:tcW w:w="8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270,800</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 (143,843)</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127,104</w:t>
            </w:r>
          </w:p>
        </w:tc>
        <w:tc>
          <w:tcPr>
            <w:tcW w:w="0" w:type="dxa"/>
            <w:vAlign w:val="bottom"/>
          </w:tcPr>
          <w:p>
            <w:pPr>
              <w:spacing w:after="0"/>
              <w:rPr>
                <w:sz w:val="1"/>
                <w:szCs w:val="1"/>
                <w:color w:val="auto"/>
              </w:rPr>
            </w:pPr>
          </w:p>
        </w:tc>
      </w:tr>
      <w:tr>
        <w:trPr>
          <w:trHeight w:val="80"/>
        </w:trPr>
        <w:tc>
          <w:tcPr>
            <w:tcW w:w="7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8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(43,134)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(43,134)</w:t>
            </w:r>
          </w:p>
        </w:tc>
        <w:tc>
          <w:tcPr>
            <w:tcW w:w="0" w:type="dxa"/>
            <w:vAlign w:val="bottom"/>
          </w:tcPr>
          <w:p>
            <w:pPr>
              <w:spacing w:after="0"/>
              <w:rPr>
                <w:sz w:val="1"/>
                <w:szCs w:val="1"/>
                <w:color w:val="auto"/>
              </w:rPr>
            </w:pPr>
          </w:p>
        </w:tc>
      </w:tr>
      <w:tr>
        <w:trPr>
          <w:trHeight w:val="308"/>
        </w:trPr>
        <w:tc>
          <w:tcPr>
            <w:tcW w:w="680" w:type="dxa"/>
            <w:vAlign w:val="bottom"/>
          </w:tcPr>
          <w:p>
            <w:pPr>
              <w:jc w:val="right"/>
              <w:spacing w:after="0"/>
              <w:rPr>
                <w:sz w:val="20"/>
                <w:szCs w:val="20"/>
                <w:color w:val="auto"/>
              </w:rPr>
            </w:pPr>
            <w:r>
              <w:rPr>
                <w:rFonts w:ascii="Arial" w:cs="Arial" w:eastAsia="Arial" w:hAnsi="Arial"/>
                <w:sz w:val="18"/>
                <w:szCs w:val="18"/>
                <w:color w:val="auto"/>
              </w:rPr>
              <w:t>2,050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64,267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64,269</w:t>
            </w:r>
          </w:p>
        </w:tc>
        <w:tc>
          <w:tcPr>
            <w:tcW w:w="0" w:type="dxa"/>
            <w:vAlign w:val="bottom"/>
          </w:tcPr>
          <w:p>
            <w:pPr>
              <w:spacing w:after="0"/>
              <w:rPr>
                <w:sz w:val="1"/>
                <w:szCs w:val="1"/>
                <w:color w:val="auto"/>
              </w:rPr>
            </w:pPr>
          </w:p>
        </w:tc>
      </w:tr>
      <w:tr>
        <w:trPr>
          <w:trHeight w:val="403"/>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03"/>
        </w:trPr>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60,231</w:t>
            </w:r>
          </w:p>
        </w:tc>
        <w:tc>
          <w:tcPr>
            <w:tcW w:w="0" w:type="dxa"/>
            <w:vAlign w:val="bottom"/>
          </w:tcPr>
          <w:p>
            <w:pPr>
              <w:spacing w:after="0"/>
              <w:rPr>
                <w:sz w:val="1"/>
                <w:szCs w:val="1"/>
                <w:color w:val="auto"/>
              </w:rPr>
            </w:pPr>
          </w:p>
        </w:tc>
      </w:tr>
      <w:tr>
        <w:trPr>
          <w:trHeight w:val="403"/>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(26,894)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(26,894)</w:t>
            </w:r>
          </w:p>
        </w:tc>
        <w:tc>
          <w:tcPr>
            <w:tcW w:w="0" w:type="dxa"/>
            <w:vAlign w:val="bottom"/>
          </w:tcPr>
          <w:p>
            <w:pPr>
              <w:spacing w:after="0"/>
              <w:rPr>
                <w:sz w:val="1"/>
                <w:szCs w:val="1"/>
                <w:color w:val="auto"/>
              </w:rPr>
            </w:pPr>
          </w:p>
        </w:tc>
      </w:tr>
      <w:tr>
        <w:trPr>
          <w:trHeight w:val="403"/>
        </w:trPr>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94"/>
        </w:trPr>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680" w:type="dxa"/>
            <w:vAlign w:val="bottom"/>
          </w:tcPr>
          <w:p>
            <w:pPr>
              <w:jc w:val="right"/>
              <w:spacing w:after="0"/>
              <w:rPr>
                <w:sz w:val="20"/>
                <w:szCs w:val="20"/>
                <w:color w:val="auto"/>
              </w:rPr>
            </w:pPr>
            <w:r>
              <w:rPr>
                <w:rFonts w:ascii="Arial" w:cs="Arial" w:eastAsia="Arial" w:hAnsi="Arial"/>
                <w:sz w:val="18"/>
                <w:szCs w:val="18"/>
                <w:color w:val="auto"/>
              </w:rPr>
              <w:t>66,767</w:t>
            </w:r>
          </w:p>
        </w:tc>
        <w:tc>
          <w:tcPr>
            <w:tcW w:w="8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367,153</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 (186,977)</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180,254</w:t>
            </w:r>
          </w:p>
        </w:tc>
        <w:tc>
          <w:tcPr>
            <w:tcW w:w="0" w:type="dxa"/>
            <w:vAlign w:val="bottom"/>
          </w:tcPr>
          <w:p>
            <w:pPr>
              <w:spacing w:after="0"/>
              <w:rPr>
                <w:sz w:val="1"/>
                <w:szCs w:val="1"/>
                <w:color w:val="auto"/>
              </w:rPr>
            </w:pPr>
          </w:p>
        </w:tc>
      </w:tr>
      <w:tr>
        <w:trPr>
          <w:trHeight w:val="67"/>
        </w:trPr>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-1201420</wp:posOffset>
            </wp:positionH>
            <wp:positionV relativeFrom="paragraph">
              <wp:posOffset>-4814570</wp:posOffset>
            </wp:positionV>
            <wp:extent cx="7132955" cy="255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-4413885</wp:posOffset>
            </wp:positionV>
            <wp:extent cx="7132955" cy="255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-4013200</wp:posOffset>
            </wp:positionV>
            <wp:extent cx="7132955" cy="255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-3604260</wp:posOffset>
            </wp:positionV>
            <wp:extent cx="7132955" cy="4775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477520"/>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-2871470</wp:posOffset>
            </wp:positionV>
            <wp:extent cx="7132955" cy="255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-2360295</wp:posOffset>
            </wp:positionV>
            <wp:extent cx="7132955" cy="255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-1959610</wp:posOffset>
            </wp:positionV>
            <wp:extent cx="7132955" cy="255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-1550670</wp:posOffset>
            </wp:positionV>
            <wp:extent cx="7132955" cy="255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-1038860</wp:posOffset>
            </wp:positionV>
            <wp:extent cx="7132955" cy="255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-527685</wp:posOffset>
            </wp:positionV>
            <wp:extent cx="7132955" cy="255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255905"/>
                    </a:xfrm>
                    <a:prstGeom prst="rect">
                      <a:avLst/>
                    </a:prstGeom>
                    <a:noFill/>
                  </pic:spPr>
                </pic:pic>
              </a:graphicData>
            </a:graphic>
          </wp:anchor>
        </w:drawing>
      </w:r>
    </w:p>
    <w:p>
      <w:pPr>
        <w:spacing w:after="0" w:line="2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69215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1820" w:space="80"/>
            <w:col w:w="93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TELOS CORPORATION</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Summary of Significant Accounting Policies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2" w:lineRule="exact"/>
        <w:rPr>
          <w:sz w:val="20"/>
          <w:szCs w:val="20"/>
          <w:color w:val="auto"/>
        </w:rPr>
      </w:pPr>
    </w:p>
    <w:p>
      <w:pPr>
        <w:ind w:right="140" w:firstLine="322"/>
        <w:spacing w:after="0" w:line="294" w:lineRule="auto"/>
        <w:rPr>
          <w:sz w:val="20"/>
          <w:szCs w:val="20"/>
          <w:color w:val="auto"/>
        </w:rPr>
      </w:pPr>
      <w:r>
        <w:rPr>
          <w:rFonts w:ascii="Arial" w:cs="Arial" w:eastAsia="Arial" w:hAnsi="Arial"/>
          <w:sz w:val="16"/>
          <w:szCs w:val="16"/>
          <w:color w:val="auto"/>
        </w:rPr>
        <w:t>Telos Corporation, together with its subsidiaries, (the “Company” or “Telos” or “We”), a Maryland corporation, is a leading provider of cyber, cloud and enterprise security solutions for the world's most security-conscious organizations. We own all of the issued and outstanding share capital of Xacta Corporation, a subsidiary that develops, markets and sells government-validated secure enterprise solutions to government and commercial customers. We also own all of the issued and outstanding share capital of Ubiquity.com, Inc., a holding company for Xacta Corporation. We hold a 100% ownership interest in Telos Identity Management Solutions, LLC (“Telos ID”), Teloworks, Inc. (“Teloworks”) and Telos APAC Pte. Ltd. ("Telos APAC").</w:t>
      </w:r>
    </w:p>
    <w:p>
      <w:pPr>
        <w:spacing w:after="0" w:line="161" w:lineRule="exact"/>
        <w:rPr>
          <w:sz w:val="20"/>
          <w:szCs w:val="20"/>
          <w:color w:val="auto"/>
        </w:rPr>
      </w:pPr>
    </w:p>
    <w:p>
      <w:pPr>
        <w:ind w:right="280" w:firstLine="322"/>
        <w:spacing w:after="0" w:line="309" w:lineRule="auto"/>
        <w:rPr>
          <w:sz w:val="20"/>
          <w:szCs w:val="20"/>
          <w:color w:val="auto"/>
        </w:rPr>
      </w:pPr>
      <w:r>
        <w:rPr>
          <w:rFonts w:ascii="Arial" w:cs="Arial" w:eastAsia="Arial" w:hAnsi="Arial"/>
          <w:sz w:val="16"/>
          <w:szCs w:val="16"/>
          <w:color w:val="auto"/>
        </w:rPr>
        <w:t>On November 12, 2020, we amended our charter to effect an approximate 0.794-for-1 reverse stock split with respect to our common stock. The par value and the authorized shares of the common stock were not adjusted as a result of the reverse stock split. The accompanying consolidated financial statements and notes to the consolidated financial statements give retroactive effect to the reverse stock split for all periods 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2" w:lineRule="exact"/>
        <w:rPr>
          <w:sz w:val="20"/>
          <w:szCs w:val="20"/>
          <w:color w:val="auto"/>
        </w:rPr>
      </w:pPr>
    </w:p>
    <w:p>
      <w:pPr>
        <w:ind w:right="20" w:firstLine="322"/>
        <w:spacing w:after="0" w:line="255" w:lineRule="auto"/>
        <w:rPr>
          <w:sz w:val="20"/>
          <w:szCs w:val="20"/>
          <w:color w:val="auto"/>
        </w:rPr>
      </w:pPr>
      <w:r>
        <w:rPr>
          <w:rFonts w:ascii="Arial" w:cs="Arial" w:eastAsia="Arial" w:hAnsi="Arial"/>
          <w:sz w:val="18"/>
          <w:szCs w:val="18"/>
          <w:color w:val="auto"/>
        </w:rPr>
        <w:t>On November 19, 2020, we completed our initial public offering of shares of our common stock. We issued 17.2 million shares of our common stock at a price of $17.00 per share, generating net proceeds of approximately $272.8 million. We used approximately $108.9 million of the net proceeds in connection with the conversion of our outstanding shares of Exchangeable Redeemable Preferred Stock into the right to receive cash and shares of our common stock, $30.0 million to fund our acquisition of the outstanding Class B Units of Telos ID, and $21.0 million to repay our outstanding senior term loan and subordinated debt.</w:t>
      </w:r>
    </w:p>
    <w:p>
      <w:pPr>
        <w:spacing w:after="0" w:line="149" w:lineRule="exact"/>
        <w:rPr>
          <w:sz w:val="20"/>
          <w:szCs w:val="20"/>
          <w:color w:val="auto"/>
        </w:rPr>
      </w:pPr>
    </w:p>
    <w:p>
      <w:pPr>
        <w:ind w:firstLine="322"/>
        <w:spacing w:after="0" w:line="255" w:lineRule="auto"/>
        <w:rPr>
          <w:sz w:val="20"/>
          <w:szCs w:val="20"/>
          <w:color w:val="auto"/>
        </w:rPr>
      </w:pPr>
      <w:r>
        <w:rPr>
          <w:rFonts w:ascii="Arial" w:cs="Arial" w:eastAsia="Arial" w:hAnsi="Arial"/>
          <w:sz w:val="18"/>
          <w:szCs w:val="18"/>
          <w:color w:val="auto"/>
        </w:rPr>
        <w:t>On April 6, 2021, we completed our follow-on offering of 9.1 million shares of our common stock at a price of $33.00 per share, including 7.0 million shares of common stock held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the warrants to purchase 900,970 shares of our common stock owned by certain affiliates of EnCap.</w:t>
      </w:r>
    </w:p>
    <w:p>
      <w:pPr>
        <w:spacing w:after="0" w:line="162" w:lineRule="exact"/>
        <w:rPr>
          <w:sz w:val="20"/>
          <w:szCs w:val="20"/>
          <w:color w:val="auto"/>
        </w:rPr>
      </w:pPr>
    </w:p>
    <w:p>
      <w:pPr>
        <w:ind w:right="120" w:firstLine="322"/>
        <w:spacing w:after="0" w:line="257" w:lineRule="auto"/>
        <w:rPr>
          <w:sz w:val="20"/>
          <w:szCs w:val="20"/>
          <w:color w:val="auto"/>
        </w:rPr>
      </w:pPr>
      <w:r>
        <w:rPr>
          <w:rFonts w:ascii="Arial" w:cs="Arial" w:eastAsia="Arial" w:hAnsi="Arial"/>
          <w:sz w:val="18"/>
          <w:szCs w:val="18"/>
          <w:color w:val="auto"/>
        </w:rPr>
        <w:t>We have used and intend to continue using the remaining net proceeds for general corporate purposes, including working capital, sales and marketing activities, research and development, general and administrative matters and capital expenditures. We also may use a portion of the net proceeds to acquire complementary businesses, products, services, or technologies. The amounts and timing of our actual use of the net proceeds will vary depending on numerous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Reporting</w:t>
      </w:r>
    </w:p>
    <w:p>
      <w:pPr>
        <w:spacing w:after="0" w:line="222" w:lineRule="exact"/>
        <w:rPr>
          <w:sz w:val="20"/>
          <w:szCs w:val="20"/>
          <w:color w:val="auto"/>
        </w:rPr>
      </w:pPr>
    </w:p>
    <w:p>
      <w:pPr>
        <w:ind w:right="140" w:firstLine="322"/>
        <w:spacing w:after="0" w:line="261" w:lineRule="auto"/>
        <w:rPr>
          <w:sz w:val="20"/>
          <w:szCs w:val="20"/>
          <w:color w:val="auto"/>
        </w:rPr>
      </w:pPr>
      <w:r>
        <w:rPr>
          <w:rFonts w:ascii="Arial" w:cs="Arial" w:eastAsia="Arial" w:hAnsi="Arial"/>
          <w:sz w:val="18"/>
          <w:szCs w:val="18"/>
          <w:color w:val="auto"/>
        </w:rPr>
        <w:t>The accompanying consolidated financial statements include the accounts of Telos and its subsidiaries, including Ubiquity.com, Inc., Xacta Corporation, Telos ID, Teloworks, and Telos APAC, all of whose issued and outstanding share capital is wholly-owned directly and indirectly by the Telos Corporation. All intercompany transactions have been eliminated in consolidation.</w:t>
      </w:r>
    </w:p>
    <w:p>
      <w:pPr>
        <w:spacing w:after="0" w:line="184" w:lineRule="exact"/>
        <w:rPr>
          <w:sz w:val="20"/>
          <w:szCs w:val="20"/>
          <w:color w:val="auto"/>
        </w:rPr>
      </w:pPr>
    </w:p>
    <w:p>
      <w:pPr>
        <w:ind w:right="60" w:firstLine="322"/>
        <w:spacing w:after="0" w:line="274" w:lineRule="auto"/>
        <w:rPr>
          <w:sz w:val="20"/>
          <w:szCs w:val="20"/>
          <w:color w:val="auto"/>
        </w:rPr>
      </w:pPr>
      <w:r>
        <w:rPr>
          <w:rFonts w:ascii="Arial" w:cs="Arial" w:eastAsia="Arial" w:hAnsi="Arial"/>
          <w:sz w:val="18"/>
          <w:szCs w:val="18"/>
          <w:color w:val="auto"/>
        </w:rPr>
        <w:t>In preparing these consolidated financial statements, we have evaluated subsequent events through the date that these consolidated financial statements were issued.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Comparison</w:t>
      </w:r>
    </w:p>
    <w:p>
      <w:pPr>
        <w:spacing w:after="0" w:line="222" w:lineRule="exact"/>
        <w:rPr>
          <w:sz w:val="20"/>
          <w:szCs w:val="20"/>
          <w:color w:val="auto"/>
        </w:rPr>
      </w:pPr>
    </w:p>
    <w:p>
      <w:pPr>
        <w:ind w:right="120" w:firstLine="322"/>
        <w:spacing w:after="0" w:line="261" w:lineRule="auto"/>
        <w:rPr>
          <w:sz w:val="20"/>
          <w:szCs w:val="20"/>
          <w:color w:val="auto"/>
        </w:rPr>
      </w:pPr>
      <w:r>
        <w:rPr>
          <w:rFonts w:ascii="Arial" w:cs="Arial" w:eastAsia="Arial" w:hAnsi="Arial"/>
          <w:sz w:val="18"/>
          <w:szCs w:val="18"/>
          <w:color w:val="auto"/>
        </w:rPr>
        <w:t>Certain prior-period amounts have been reclassified to conform to the current period presentation. In the current period, we have reclassified and presented intangible assets separately from our property and equipment line item. The reclassification had no impact on our total assets or liabilities nor on our net (loss) income or stockholders' equity.</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Revision of Prior Quarterly 2021 Financial Statements</w:t>
      </w:r>
    </w:p>
    <w:p>
      <w:pPr>
        <w:spacing w:after="0" w:line="222" w:lineRule="exact"/>
        <w:rPr>
          <w:sz w:val="20"/>
          <w:szCs w:val="20"/>
          <w:color w:val="auto"/>
        </w:rPr>
      </w:pPr>
    </w:p>
    <w:p>
      <w:pPr>
        <w:ind w:firstLine="322"/>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In connection with the preparation of the consolidated financial statements, the Company recorded certain revisions related to previously issued unaudited condensed consolidated financial statements. The Company considered the errors identified in accordance with the SEC's Staff Accounting Bulletin No. 99 and determined the impact was immaterial to the previously issued consolidated interim financial statements. Nonetheless, the Company has revised the previously reported interim financial information for the quarterly periods ended March 31, 2021, June 30, 2021, and September 30, 2021. There is no cumulative impact to the Company’s full-year 2021 financial statements as a result of these revisions. Revisions to amounts in previously filed quarterly financial statements are reflected in </w:t>
      </w:r>
      <w:hyperlink w:anchor="page86">
        <w:r>
          <w:rPr>
            <w:rFonts w:ascii="Arial" w:cs="Arial" w:eastAsia="Arial" w:hAnsi="Arial"/>
            <w:sz w:val="17"/>
            <w:szCs w:val="17"/>
            <w:u w:val="single" w:color="auto"/>
            <w:color w:val="0000FF"/>
          </w:rPr>
          <w:t>Note 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Revision of Interim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2" w:lineRule="exact"/>
        <w:rPr>
          <w:sz w:val="20"/>
          <w:szCs w:val="20"/>
          <w:color w:val="auto"/>
        </w:rPr>
      </w:pPr>
    </w:p>
    <w:p>
      <w:pPr>
        <w:ind w:right="40" w:firstLine="322"/>
        <w:spacing w:after="0" w:line="261" w:lineRule="auto"/>
        <w:rPr>
          <w:sz w:val="20"/>
          <w:szCs w:val="20"/>
          <w:color w:val="auto"/>
        </w:rPr>
      </w:pPr>
      <w:r>
        <w:rPr>
          <w:rFonts w:ascii="Arial" w:cs="Arial" w:eastAsia="Arial" w:hAnsi="Arial"/>
          <w:sz w:val="18"/>
          <w:szCs w:val="18"/>
          <w:color w:val="auto"/>
        </w:rPr>
        <w:t>Operating segments are defined as components of an enterprise for which separate discrete financial information is available and evaluated regularly by the chief operating decision maker (“CODM”), who the Company has identified is the Chief Executive Officer, in deciding how to allocate resources and assess performance.</w:t>
      </w:r>
    </w:p>
    <w:p>
      <w:pPr>
        <w:spacing w:after="0" w:line="184" w:lineRule="exact"/>
        <w:rPr>
          <w:sz w:val="20"/>
          <w:szCs w:val="20"/>
          <w:color w:val="auto"/>
        </w:rPr>
      </w:pPr>
    </w:p>
    <w:p>
      <w:pPr>
        <w:ind w:right="180" w:firstLine="322"/>
        <w:spacing w:after="0" w:line="255" w:lineRule="auto"/>
        <w:rPr>
          <w:sz w:val="20"/>
          <w:szCs w:val="20"/>
          <w:color w:val="auto"/>
        </w:rPr>
      </w:pPr>
      <w:r>
        <w:rPr>
          <w:rFonts w:ascii="Arial" w:cs="Arial" w:eastAsia="Arial" w:hAnsi="Arial"/>
          <w:sz w:val="18"/>
          <w:szCs w:val="18"/>
          <w:color w:val="auto"/>
        </w:rPr>
        <w:t>During the fourth quarter of 2021, we reorganized our internal management reporting structure and the financial results evaluated by our CODM; therefore, we changed our operating segments to align with how our CODM currently oversees the business, allocates resources and evaluates operating performance. As a result of the segment reorganization, we reported two reportable and operating segments: Security Solutions and Secure Networks. Our Security Solutions segment focuses on the Company's cybersecurity, cloud and identity solutions. Our Secure Networks segment provides offerings for enterprise security.</w:t>
      </w:r>
    </w:p>
    <w:p>
      <w:pPr>
        <w:spacing w:after="0" w:line="189" w:lineRule="exact"/>
        <w:rPr>
          <w:sz w:val="20"/>
          <w:szCs w:val="20"/>
          <w:color w:val="auto"/>
        </w:rPr>
      </w:pPr>
    </w:p>
    <w:p>
      <w:pPr>
        <w:ind w:right="500" w:firstLine="322"/>
        <w:spacing w:after="0" w:line="274" w:lineRule="auto"/>
        <w:rPr>
          <w:rFonts w:ascii="Arial" w:cs="Arial" w:eastAsia="Arial" w:hAnsi="Arial"/>
          <w:sz w:val="18"/>
          <w:szCs w:val="18"/>
          <w:color w:val="auto"/>
        </w:rPr>
      </w:pPr>
      <w:r>
        <w:rPr>
          <w:rFonts w:ascii="Arial" w:cs="Arial" w:eastAsia="Arial" w:hAnsi="Arial"/>
          <w:sz w:val="18"/>
          <w:szCs w:val="18"/>
          <w:color w:val="auto"/>
        </w:rPr>
        <w:t xml:space="preserve">Prior period segment information has been recast to reflect the change (see </w:t>
      </w:r>
      <w:hyperlink w:anchor="page84">
        <w:r>
          <w:rPr>
            <w:rFonts w:ascii="Arial" w:cs="Arial" w:eastAsia="Arial" w:hAnsi="Arial"/>
            <w:sz w:val="18"/>
            <w:szCs w:val="18"/>
            <w:u w:val="single" w:color="auto"/>
            <w:color w:val="0000FF"/>
          </w:rPr>
          <w:t>Note 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Segment Information for further information). The segment reorganization had no impact on previously reported consolidated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2" w:lineRule="exact"/>
        <w:rPr>
          <w:sz w:val="20"/>
          <w:szCs w:val="20"/>
          <w:color w:val="auto"/>
        </w:rPr>
      </w:pPr>
    </w:p>
    <w:p>
      <w:pPr>
        <w:ind w:right="40" w:firstLine="322"/>
        <w:spacing w:after="0" w:line="270"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We base our estimates on historical experience, current available information and various other assumptions that we believe are reasonable under the circumstances. Significant estimates and assumptions used in the preparation of our consolidated financial statements include revenue recognition, allowance for doubtful accounts, allowance for inventory obsolescence, the valuation allowance for deferred tax assets, income taxes, contingencies and litigation, potential impairments of goodwill and estimated pension-related costs for our foreign subsidiaries. Actual results could differ from those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instruments that subject us to concentrations of credit risk consist primarily of cash and cash equivalents, and accounts receivable.</w:t>
      </w:r>
    </w:p>
    <w:p>
      <w:pPr>
        <w:spacing w:after="0" w:line="234" w:lineRule="exact"/>
        <w:rPr>
          <w:sz w:val="20"/>
          <w:szCs w:val="20"/>
          <w:color w:val="auto"/>
        </w:rPr>
      </w:pPr>
    </w:p>
    <w:p>
      <w:pPr>
        <w:ind w:right="260" w:firstLine="322"/>
        <w:spacing w:after="0" w:line="257" w:lineRule="auto"/>
        <w:rPr>
          <w:sz w:val="20"/>
          <w:szCs w:val="20"/>
          <w:color w:val="auto"/>
        </w:rPr>
      </w:pPr>
      <w:r>
        <w:rPr>
          <w:rFonts w:ascii="Arial" w:cs="Arial" w:eastAsia="Arial" w:hAnsi="Arial"/>
          <w:sz w:val="18"/>
          <w:szCs w:val="18"/>
          <w:color w:val="auto"/>
        </w:rPr>
        <w:t>In accordance with ASC 275-10-50-16, in consideration that such a large amount of our working capital and total assets are held in cash and cash equivalents, we have considered that the balances held in our various treasury accounts may exceed federally insured limits as of the date of the financial statements. Due to the financial strength of the financial institution where the accounts are held, we do not believe that this concentration risk makes it reasonably possible that a near-term severe impact risk of loss will occur.</w:t>
      </w:r>
    </w:p>
    <w:p>
      <w:pPr>
        <w:spacing w:after="0" w:line="187" w:lineRule="exact"/>
        <w:rPr>
          <w:sz w:val="20"/>
          <w:szCs w:val="20"/>
          <w:color w:val="auto"/>
        </w:rPr>
      </w:pPr>
    </w:p>
    <w:p>
      <w:pPr>
        <w:ind w:right="20" w:firstLine="322"/>
        <w:spacing w:after="0" w:line="284" w:lineRule="auto"/>
        <w:rPr>
          <w:sz w:val="20"/>
          <w:szCs w:val="20"/>
          <w:color w:val="auto"/>
        </w:rPr>
      </w:pPr>
      <w:r>
        <w:rPr>
          <w:rFonts w:ascii="Arial" w:cs="Arial" w:eastAsia="Arial" w:hAnsi="Arial"/>
          <w:sz w:val="17"/>
          <w:szCs w:val="17"/>
          <w:color w:val="auto"/>
        </w:rPr>
        <w:t>The Company's receivables are primarily due from the U.S. government, or from prime contractors on which we are subcontractors and the end customer is the U.S. government, and are generally considered collectable from the perspective of the customer's ability to pay. The Company does not have a material credit risk exposure. We maintain an allowance for doubtful accounts for estimated potential credit losses.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firstLine="322"/>
        <w:spacing w:after="0" w:line="294" w:lineRule="auto"/>
        <w:rPr>
          <w:sz w:val="20"/>
          <w:szCs w:val="20"/>
          <w:color w:val="auto"/>
        </w:rPr>
      </w:pPr>
      <w:r>
        <w:rPr>
          <w:rFonts w:ascii="Arial" w:cs="Arial" w:eastAsia="Arial" w:hAnsi="Arial"/>
          <w:sz w:val="16"/>
          <w:szCs w:val="16"/>
          <w:color w:val="auto"/>
        </w:rPr>
        <w:t>The COVID-19 pandemic has caused significant disruption to national and global economies and government activities. This highly contagious disease has spread to most of the countries in the world and throughout the United States, creating a serious impact on customers, workforce, and suppliers, disrupting economies and financial markets, and leading to a world-wide economic downturn. COVID-19, together with subsequently reported variants of this strain, have caused a disruption of the normal operations of many businesses, including the temporary closure or scale-back of business operations and/or the imposition of either quarantine or remote work or meeting requirements for employees, either by government order or on a voluntary basis.</w:t>
      </w:r>
    </w:p>
    <w:p>
      <w:pPr>
        <w:spacing w:after="0" w:line="161" w:lineRule="exact"/>
        <w:rPr>
          <w:sz w:val="20"/>
          <w:szCs w:val="20"/>
          <w:color w:val="auto"/>
        </w:rPr>
      </w:pPr>
    </w:p>
    <w:p>
      <w:pPr>
        <w:ind w:right="80" w:firstLine="322"/>
        <w:spacing w:after="0" w:line="268" w:lineRule="auto"/>
        <w:rPr>
          <w:sz w:val="20"/>
          <w:szCs w:val="20"/>
          <w:color w:val="auto"/>
        </w:rPr>
      </w:pPr>
      <w:r>
        <w:rPr>
          <w:rFonts w:ascii="Arial" w:cs="Arial" w:eastAsia="Arial" w:hAnsi="Arial"/>
          <w:sz w:val="17"/>
          <w:szCs w:val="17"/>
          <w:color w:val="auto"/>
        </w:rPr>
        <w:t>The COVID-19 pandemic has impacted our estimates and assumptions and will continue to do so. The pandemic may adversely affect our customers’ ability to perform their missions and is in many cases disrupting their operations. Given the uncertainties around the pandemic, including its duration and potential future disruptions to our supply chain or workforce, it is reasonably possible that the actual impact of the pandemic on our contract costs could be materially different than our current estimates. It may also impact the ability of our subcontractors, partners, and suppliers to operate and fulfill their contractual obligations, and result in an increase in their costs and cause delays in performance. These supply chain effects, and the direct effect of the virus and the disruption on our operations, may negatively impact both our ability to meet customer demand and our revenue and profit margins. Our employees, in some cases, are working remotely due either to safety concerns or to customer-imposed limitations and relying on various technologies to perform their functions. We could see delays or changes in customer demand, particularly if government funding priorities change. Additionally, the disruption and volatility in the global and domestic capital markets may increase the cost of capital and limit our ability to access capital. Both the health and economic aspects of COVID-19 are highly fluid and the future course of each is uncertain.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2" w:lineRule="exact"/>
        <w:rPr>
          <w:sz w:val="20"/>
          <w:szCs w:val="20"/>
          <w:color w:val="auto"/>
        </w:rPr>
      </w:pPr>
    </w:p>
    <w:p>
      <w:pPr>
        <w:ind w:right="100" w:firstLine="322"/>
        <w:spacing w:after="0" w:line="261"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Our cash management program utilizes zero balance accounts. Accordingly, all book overdraft balances have been reclassified to accounts payable and other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2" w:lineRule="exact"/>
        <w:rPr>
          <w:sz w:val="20"/>
          <w:szCs w:val="20"/>
          <w:color w:val="auto"/>
        </w:rPr>
      </w:pPr>
    </w:p>
    <w:p>
      <w:pPr>
        <w:ind w:right="180" w:firstLine="322"/>
        <w:spacing w:after="0" w:line="309" w:lineRule="auto"/>
        <w:rPr>
          <w:sz w:val="20"/>
          <w:szCs w:val="20"/>
          <w:color w:val="auto"/>
        </w:rPr>
      </w:pPr>
      <w:r>
        <w:rPr>
          <w:rFonts w:ascii="Arial" w:cs="Arial" w:eastAsia="Arial" w:hAnsi="Arial"/>
          <w:sz w:val="16"/>
          <w:szCs w:val="16"/>
          <w:color w:val="auto"/>
        </w:rPr>
        <w:t>Accounts receivable are stated at the invoiced amount, less an allowance for doubtful accounts. Collectability of accounts receivable is regularly reviewed based upon managements’ knowledge of the specific circumstances related to overdue balances. The allowance for doubtful accounts is adjusted based on such evaluation. Accounts receivable balances are written off against the allowance when management deems the balances uncollectible.</w:t>
      </w:r>
    </w:p>
    <w:p>
      <w:pPr>
        <w:spacing w:after="0" w:line="148" w:lineRule="exact"/>
        <w:rPr>
          <w:sz w:val="20"/>
          <w:szCs w:val="20"/>
          <w:color w:val="auto"/>
        </w:rPr>
      </w:pPr>
    </w:p>
    <w:p>
      <w:pPr>
        <w:jc w:val="both"/>
        <w:ind w:right="200" w:firstLine="322"/>
        <w:spacing w:after="0" w:line="261" w:lineRule="auto"/>
        <w:rPr>
          <w:sz w:val="20"/>
          <w:szCs w:val="20"/>
          <w:color w:val="auto"/>
        </w:rPr>
      </w:pPr>
      <w:r>
        <w:rPr>
          <w:rFonts w:ascii="Arial" w:cs="Arial" w:eastAsia="Arial" w:hAnsi="Arial"/>
          <w:sz w:val="18"/>
          <w:szCs w:val="18"/>
          <w:color w:val="auto"/>
        </w:rPr>
        <w:t>Receivables include billed and unbilled receivables. Unbilled receivables, substantially all of which are expected to be billed and collected within one year, are stated at their estimated realization value and consist of costs and fees billable on contract completion or the occurrence of a specific event, other than the passage of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2" w:lineRule="exact"/>
        <w:rPr>
          <w:sz w:val="20"/>
          <w:szCs w:val="20"/>
          <w:color w:val="auto"/>
        </w:rPr>
      </w:pPr>
    </w:p>
    <w:p>
      <w:pPr>
        <w:ind w:firstLine="322"/>
        <w:spacing w:after="0" w:line="254" w:lineRule="auto"/>
        <w:rPr>
          <w:sz w:val="20"/>
          <w:szCs w:val="20"/>
          <w:color w:val="auto"/>
        </w:rPr>
      </w:pPr>
      <w:r>
        <w:rPr>
          <w:rFonts w:ascii="Arial" w:cs="Arial" w:eastAsia="Arial" w:hAnsi="Arial"/>
          <w:sz w:val="18"/>
          <w:szCs w:val="18"/>
          <w:color w:val="auto"/>
        </w:rPr>
        <w:t>Inventories are stated at the lower of cost or net realizable value, where cost is determined using the weighted-average method. Substantially all inventories consist of purchased customer off-the-shelf hardware and software, and component computer parts used in connection with system integration services that we perform. Provisions have been made to reduce all obsolete, slow-moving or unsaleable inventories to their net realizable values. This provision is based on our overall obsolescence experience and our assessment of future inventory requirements. This charge is taken primarily due to the age of the specific inventory and the significant additional costs that would be necessary to upgrade to current standards as well as the lack of forecasted sales for such inventory in the near future.</w:t>
      </w:r>
    </w:p>
    <w:p>
      <w:pPr>
        <w:spacing w:after="0" w:line="189" w:lineRule="exact"/>
        <w:rPr>
          <w:sz w:val="20"/>
          <w:szCs w:val="20"/>
          <w:color w:val="auto"/>
        </w:rPr>
      </w:pPr>
    </w:p>
    <w:p>
      <w:pPr>
        <w:ind w:right="660" w:firstLine="322"/>
        <w:spacing w:after="0" w:line="274" w:lineRule="auto"/>
        <w:rPr>
          <w:sz w:val="20"/>
          <w:szCs w:val="20"/>
          <w:color w:val="auto"/>
        </w:rPr>
      </w:pPr>
      <w:r>
        <w:rPr>
          <w:rFonts w:ascii="Arial" w:cs="Arial" w:eastAsia="Arial" w:hAnsi="Arial"/>
          <w:sz w:val="18"/>
          <w:szCs w:val="18"/>
          <w:color w:val="auto"/>
        </w:rPr>
        <w:t>Gross inventory was $2.1 million and $4.2 million at December 31, 2021 and 2020, respectively. As of December 31, 2021, it is management’s judgment that we have fully provided for any potential inventory obsolescence.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allowance for inventory obsolescence are set forth below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Additions Charge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vMerge w:val="restart"/>
          </w:tcPr>
          <w:p>
            <w:pPr>
              <w:jc w:val="center"/>
              <w:ind w:right="171"/>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5" w:lineRule="exact"/>
              <w:rPr>
                <w:sz w:val="20"/>
                <w:szCs w:val="20"/>
                <w:color w:val="auto"/>
              </w:rPr>
            </w:pPr>
            <w:r>
              <w:rPr>
                <w:rFonts w:ascii="Arial" w:cs="Arial" w:eastAsia="Arial" w:hAnsi="Arial"/>
                <w:sz w:val="18"/>
                <w:szCs w:val="18"/>
                <w:b w:val="1"/>
                <w:bCs w:val="1"/>
                <w:color w:val="auto"/>
                <w:w w:val="82"/>
              </w:rPr>
              <w:t>to</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80"/>
              <w:spacing w:after="0" w:line="175" w:lineRule="exact"/>
              <w:rPr>
                <w:sz w:val="20"/>
                <w:szCs w:val="20"/>
                <w:color w:val="auto"/>
              </w:rPr>
            </w:pPr>
            <w:r>
              <w:rPr>
                <w:rFonts w:ascii="Arial" w:cs="Arial" w:eastAsia="Arial" w:hAnsi="Arial"/>
                <w:sz w:val="18"/>
                <w:szCs w:val="18"/>
                <w:b w:val="1"/>
                <w:bCs w:val="1"/>
                <w:color w:val="auto"/>
                <w:w w:val="89"/>
              </w:rPr>
              <w:t>Beginning of</w:t>
            </w: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5" w:lineRule="exact"/>
              <w:rPr>
                <w:sz w:val="20"/>
                <w:szCs w:val="20"/>
                <w:color w:val="auto"/>
              </w:rPr>
            </w:pPr>
            <w:r>
              <w:rPr>
                <w:rFonts w:ascii="Arial" w:cs="Arial" w:eastAsia="Arial" w:hAnsi="Arial"/>
                <w:sz w:val="18"/>
                <w:szCs w:val="18"/>
                <w:b w:val="1"/>
                <w:bCs w:val="1"/>
                <w:color w:val="auto"/>
                <w:w w:val="84"/>
              </w:rPr>
              <w:t>Costs and</w:t>
            </w:r>
          </w:p>
        </w:tc>
        <w:tc>
          <w:tcPr>
            <w:tcW w:w="200" w:type="dxa"/>
            <w:vAlign w:val="bottom"/>
          </w:tcPr>
          <w:p>
            <w:pPr>
              <w:spacing w:after="0"/>
              <w:rPr>
                <w:sz w:val="15"/>
                <w:szCs w:val="15"/>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Recoveries</w:t>
            </w:r>
          </w:p>
        </w:tc>
        <w:tc>
          <w:tcPr>
            <w:tcW w:w="260" w:type="dxa"/>
            <w:vAlign w:val="bottom"/>
          </w:tcPr>
          <w:p>
            <w:pPr>
              <w:spacing w:after="0"/>
              <w:rPr>
                <w:sz w:val="15"/>
                <w:szCs w:val="15"/>
                <w:color w:val="auto"/>
              </w:rPr>
            </w:pPr>
          </w:p>
        </w:tc>
        <w:tc>
          <w:tcPr>
            <w:tcW w:w="1180" w:type="dxa"/>
            <w:vAlign w:val="bottom"/>
          </w:tcPr>
          <w:p>
            <w:pPr>
              <w:jc w:val="center"/>
              <w:ind w:right="171"/>
              <w:spacing w:after="0" w:line="175" w:lineRule="exact"/>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171"/>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35"/>
        </w:trPr>
        <w:tc>
          <w:tcPr>
            <w:tcW w:w="5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2" w:lineRule="exact"/>
        <w:rPr>
          <w:sz w:val="20"/>
          <w:szCs w:val="20"/>
          <w:color w:val="auto"/>
        </w:rPr>
      </w:pPr>
    </w:p>
    <w:p>
      <w:pPr>
        <w:ind w:right="160" w:firstLine="322"/>
        <w:spacing w:after="0" w:line="274" w:lineRule="auto"/>
        <w:rPr>
          <w:sz w:val="20"/>
          <w:szCs w:val="20"/>
          <w:color w:val="auto"/>
        </w:rPr>
      </w:pPr>
      <w:r>
        <w:rPr>
          <w:rFonts w:ascii="Arial" w:cs="Arial" w:eastAsia="Arial" w:hAnsi="Arial"/>
          <w:sz w:val="18"/>
          <w:szCs w:val="18"/>
          <w:color w:val="auto"/>
        </w:rPr>
        <w:t>Property and equipment are recorded at cost. Depreciation is provided using the straight-line method at rates based on the estimated useful lives of the individual assets or classes of assets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6160" w:type="dxa"/>
            <w:vAlign w:val="bottom"/>
          </w:tcPr>
          <w:p>
            <w:pPr>
              <w:jc w:val="center"/>
              <w:ind w:left="471"/>
              <w:spacing w:after="0"/>
              <w:rPr>
                <w:sz w:val="20"/>
                <w:szCs w:val="20"/>
                <w:color w:val="auto"/>
              </w:rPr>
            </w:pPr>
            <w:r>
              <w:rPr>
                <w:rFonts w:ascii="Arial" w:cs="Arial" w:eastAsia="Arial" w:hAnsi="Arial"/>
                <w:sz w:val="18"/>
                <w:szCs w:val="18"/>
                <w:color w:val="auto"/>
                <w:w w:val="91"/>
              </w:rPr>
              <w:t>3-5  Years</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6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0"/>
              </w:rPr>
              <w:t>Lesser of life of lease or useful life of asset</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Property and equipment under finance leases</w:t>
            </w:r>
          </w:p>
        </w:tc>
        <w:tc>
          <w:tcPr>
            <w:tcW w:w="6160" w:type="dxa"/>
            <w:vAlign w:val="bottom"/>
          </w:tcPr>
          <w:p>
            <w:pPr>
              <w:jc w:val="center"/>
              <w:ind w:left="471"/>
              <w:spacing w:after="0"/>
              <w:rPr>
                <w:sz w:val="20"/>
                <w:szCs w:val="20"/>
                <w:color w:val="auto"/>
              </w:rPr>
            </w:pPr>
            <w:r>
              <w:rPr>
                <w:rFonts w:ascii="Arial" w:cs="Arial" w:eastAsia="Arial" w:hAnsi="Arial"/>
                <w:sz w:val="18"/>
                <w:szCs w:val="18"/>
                <w:color w:val="auto"/>
                <w:w w:val="90"/>
              </w:rPr>
              <w:t>Lesser of life of lease or useful life of asset</w:t>
            </w:r>
          </w:p>
        </w:tc>
      </w:tr>
    </w:tbl>
    <w:p>
      <w:pPr>
        <w:spacing w:after="0" w:line="293" w:lineRule="exact"/>
        <w:rPr>
          <w:sz w:val="20"/>
          <w:szCs w:val="20"/>
          <w:color w:val="auto"/>
        </w:rPr>
      </w:pPr>
    </w:p>
    <w:p>
      <w:pPr>
        <w:jc w:val="both"/>
        <w:ind w:firstLine="322"/>
        <w:spacing w:after="0" w:line="261" w:lineRule="auto"/>
        <w:rPr>
          <w:sz w:val="20"/>
          <w:szCs w:val="20"/>
          <w:color w:val="auto"/>
        </w:rPr>
      </w:pPr>
      <w:r>
        <w:rPr>
          <w:rFonts w:ascii="Arial" w:cs="Arial" w:eastAsia="Arial" w:hAnsi="Arial"/>
          <w:sz w:val="18"/>
          <w:szCs w:val="18"/>
          <w:color w:val="auto"/>
        </w:rPr>
        <w:t>Leased property meeting certain criteria is capitalized at the present value of the related minimum lease payments. Amortization of property and equipment under finance leases is computed using the straight-line method over the lesser of the term of the related lease and the useful life of the related asset.</w:t>
      </w:r>
    </w:p>
    <w:p>
      <w:pPr>
        <w:spacing w:after="0" w:line="184" w:lineRule="exact"/>
        <w:rPr>
          <w:sz w:val="20"/>
          <w:szCs w:val="20"/>
          <w:color w:val="auto"/>
        </w:rPr>
      </w:pPr>
    </w:p>
    <w:p>
      <w:pPr>
        <w:ind w:right="40" w:firstLine="322"/>
        <w:spacing w:after="0" w:line="261" w:lineRule="auto"/>
        <w:rPr>
          <w:sz w:val="20"/>
          <w:szCs w:val="20"/>
          <w:color w:val="auto"/>
        </w:rPr>
      </w:pPr>
      <w:r>
        <w:rPr>
          <w:rFonts w:ascii="Arial" w:cs="Arial" w:eastAsia="Arial" w:hAnsi="Arial"/>
          <w:sz w:val="18"/>
          <w:szCs w:val="18"/>
          <w:color w:val="auto"/>
        </w:rPr>
        <w:t>Upon sale or retirement of property and equipment, the costs and related accumulated depreciation are eliminated from the accounts and any gain or loss on such disposition is reflected in the consolidated statements of operations. For the years ended December 31, 2021, 2020, and 2019, such amounts are negligible. Expenditures for repairs and maintenance are charged to operations as incurred.</w:t>
      </w:r>
    </w:p>
    <w:p>
      <w:pPr>
        <w:spacing w:after="0" w:line="184" w:lineRule="exact"/>
        <w:rPr>
          <w:sz w:val="20"/>
          <w:szCs w:val="20"/>
          <w:color w:val="auto"/>
        </w:rPr>
      </w:pPr>
    </w:p>
    <w:p>
      <w:pPr>
        <w:jc w:val="both"/>
        <w:ind w:right="340" w:firstLine="322"/>
        <w:spacing w:after="0" w:line="284" w:lineRule="auto"/>
        <w:rPr>
          <w:sz w:val="20"/>
          <w:szCs w:val="20"/>
          <w:color w:val="auto"/>
        </w:rPr>
      </w:pPr>
      <w:r>
        <w:rPr>
          <w:rFonts w:ascii="Arial" w:cs="Arial" w:eastAsia="Arial" w:hAnsi="Arial"/>
          <w:sz w:val="17"/>
          <w:szCs w:val="17"/>
          <w:color w:val="auto"/>
        </w:rPr>
        <w:t>Long-lived assets, including property and equipment, are reviewed for impairment whenever circumstances indicate that the carrying amount of the asset exceeds its estimated fair value. Considerable management judgment is necessary to estimate its fair value. Accordingly, actual results could differ from such estimates. No events have been identified that caused an evaluation of the recoverability of long-lived assets.</w:t>
      </w:r>
    </w:p>
    <w:p>
      <w:pPr>
        <w:spacing w:after="0" w:line="165" w:lineRule="exact"/>
        <w:rPr>
          <w:sz w:val="20"/>
          <w:szCs w:val="20"/>
          <w:color w:val="auto"/>
        </w:rPr>
      </w:pPr>
    </w:p>
    <w:p>
      <w:pPr>
        <w:ind w:right="280" w:firstLine="322"/>
        <w:spacing w:after="0" w:line="274" w:lineRule="auto"/>
        <w:rPr>
          <w:sz w:val="20"/>
          <w:szCs w:val="20"/>
          <w:color w:val="auto"/>
        </w:rPr>
      </w:pPr>
      <w:r>
        <w:rPr>
          <w:rFonts w:ascii="Arial" w:cs="Arial" w:eastAsia="Arial" w:hAnsi="Arial"/>
          <w:sz w:val="18"/>
          <w:szCs w:val="18"/>
          <w:color w:val="auto"/>
        </w:rPr>
        <w:t>Depreciation and amortization expenses related to property and equipment, including property and equipment under finance leases was $3.1 million, $2.9 million, and $2.5 million for the years ended December 31, 2021, 2020, and 2019,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22" w:lineRule="exact"/>
        <w:rPr>
          <w:sz w:val="20"/>
          <w:szCs w:val="20"/>
          <w:color w:val="auto"/>
        </w:rPr>
      </w:pPr>
    </w:p>
    <w:p>
      <w:pPr>
        <w:ind w:right="20" w:firstLine="322"/>
        <w:spacing w:after="0" w:line="255" w:lineRule="auto"/>
        <w:rPr>
          <w:sz w:val="20"/>
          <w:szCs w:val="20"/>
          <w:color w:val="auto"/>
        </w:rPr>
      </w:pPr>
      <w:r>
        <w:rPr>
          <w:rFonts w:ascii="Arial" w:cs="Arial" w:eastAsia="Arial" w:hAnsi="Arial"/>
          <w:sz w:val="18"/>
          <w:szCs w:val="18"/>
          <w:color w:val="auto"/>
        </w:rPr>
        <w:t>We account for development costs of software in accordance with ASC Topic 985-20, “Software – Costs of Software to be Sold, Leased, or Marketed” and ASC Topic 350-40 “Internal Use Software”, depending on the intended use of the software being developed. Software development costs are capitalized and amortized over the estimated product life on a straight-line basis. The Company analyzes the net realizable value of capitalized software development costs on at least an annual basis and has determined that there is no indication of impairment of the capitalized software development costs as forecasted future sales are adequate to support the carrying values.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2" w:lineRule="exact"/>
        <w:rPr>
          <w:sz w:val="20"/>
          <w:szCs w:val="20"/>
          <w:color w:val="auto"/>
        </w:rPr>
      </w:pPr>
    </w:p>
    <w:p>
      <w:pPr>
        <w:ind w:right="20" w:firstLine="322"/>
        <w:spacing w:after="0" w:line="274" w:lineRule="auto"/>
        <w:rPr>
          <w:sz w:val="20"/>
          <w:szCs w:val="20"/>
          <w:color w:val="auto"/>
        </w:rPr>
      </w:pPr>
      <w:r>
        <w:rPr>
          <w:rFonts w:ascii="Arial" w:cs="Arial" w:eastAsia="Arial" w:hAnsi="Arial"/>
          <w:sz w:val="18"/>
          <w:szCs w:val="18"/>
          <w:color w:val="auto"/>
        </w:rPr>
        <w:t>Advertising costs, which are expensed and included in sales and marketing expense when incurred, were $1.8 million, $1.0 million, and $0.4 million for the years ended December 31, 2021, 2020 and 2019, respectively.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2" w:lineRule="exact"/>
        <w:rPr>
          <w:sz w:val="20"/>
          <w:szCs w:val="20"/>
          <w:color w:val="auto"/>
        </w:rPr>
      </w:pPr>
    </w:p>
    <w:p>
      <w:pPr>
        <w:ind w:right="60" w:firstLine="322"/>
        <w:spacing w:after="0" w:line="271" w:lineRule="auto"/>
        <w:rPr>
          <w:sz w:val="20"/>
          <w:szCs w:val="20"/>
          <w:color w:val="auto"/>
        </w:rPr>
      </w:pPr>
      <w:r>
        <w:rPr>
          <w:rFonts w:ascii="Arial" w:cs="Arial" w:eastAsia="Arial" w:hAnsi="Arial"/>
          <w:sz w:val="17"/>
          <w:szCs w:val="17"/>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w:t>
      </w:r>
    </w:p>
    <w:p>
      <w:pPr>
        <w:spacing w:after="0" w:line="179" w:lineRule="exact"/>
        <w:rPr>
          <w:sz w:val="20"/>
          <w:szCs w:val="20"/>
          <w:color w:val="auto"/>
        </w:rPr>
      </w:pPr>
    </w:p>
    <w:p>
      <w:pPr>
        <w:ind w:right="60" w:firstLine="322"/>
        <w:spacing w:after="0" w:line="291" w:lineRule="auto"/>
        <w:rPr>
          <w:sz w:val="20"/>
          <w:szCs w:val="20"/>
          <w:color w:val="auto"/>
        </w:rPr>
      </w:pPr>
      <w:r>
        <w:rPr>
          <w:rFonts w:ascii="Arial" w:cs="Arial" w:eastAsia="Arial" w:hAnsi="Arial"/>
          <w:sz w:val="16"/>
          <w:szCs w:val="16"/>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2" w:lineRule="exact"/>
        <w:rPr>
          <w:sz w:val="20"/>
          <w:szCs w:val="20"/>
          <w:color w:val="auto"/>
        </w:rPr>
      </w:pPr>
    </w:p>
    <w:p>
      <w:pPr>
        <w:jc w:val="both"/>
        <w:ind w:right="120" w:firstLine="322"/>
        <w:spacing w:after="0" w:line="309" w:lineRule="auto"/>
        <w:rPr>
          <w:sz w:val="20"/>
          <w:szCs w:val="20"/>
          <w:color w:val="auto"/>
        </w:rPr>
      </w:pPr>
      <w:r>
        <w:rPr>
          <w:rFonts w:ascii="Arial" w:cs="Arial" w:eastAsia="Arial" w:hAnsi="Arial"/>
          <w:sz w:val="16"/>
          <w:szCs w:val="16"/>
          <w:color w:val="auto"/>
        </w:rPr>
        <w:t xml:space="preserve">Acquisitions were accounted for under U.S. GAAP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allocates the fair value of purchase consideration to the tangible and intangible assets acquired and liabilities assumed based on their estimated fair values. The excess of the fair value of purchase consideration over the values of these identifiable assets and liabilities, if any, is recorded as goodwill.</w:t>
      </w:r>
    </w:p>
    <w:p>
      <w:pPr>
        <w:spacing w:after="0" w:line="148" w:lineRule="exact"/>
        <w:rPr>
          <w:sz w:val="20"/>
          <w:szCs w:val="20"/>
          <w:color w:val="auto"/>
        </w:rPr>
      </w:pPr>
    </w:p>
    <w:p>
      <w:pPr>
        <w:ind w:right="20" w:firstLine="322"/>
        <w:spacing w:after="0" w:line="299" w:lineRule="auto"/>
        <w:rPr>
          <w:sz w:val="20"/>
          <w:szCs w:val="20"/>
          <w:color w:val="auto"/>
        </w:rPr>
      </w:pPr>
      <w:r>
        <w:rPr>
          <w:rFonts w:ascii="Arial" w:cs="Arial" w:eastAsia="Arial" w:hAnsi="Arial"/>
          <w:sz w:val="16"/>
          <w:szCs w:val="16"/>
          <w:color w:val="auto"/>
        </w:rPr>
        <w:t>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an acquisition. Estimating the fair value of acquired assets and assumed liabilities, including intangibles, requires judgment about expected future cash flows, weighted-average cost of capital, discount rates and expected long-term growth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2" w:lineRule="exact"/>
        <w:rPr>
          <w:sz w:val="20"/>
          <w:szCs w:val="20"/>
          <w:color w:val="auto"/>
        </w:rPr>
      </w:pPr>
    </w:p>
    <w:p>
      <w:pPr>
        <w:ind w:right="60" w:firstLine="322"/>
        <w:spacing w:after="0" w:line="283" w:lineRule="auto"/>
        <w:rPr>
          <w:sz w:val="20"/>
          <w:szCs w:val="20"/>
          <w:color w:val="auto"/>
        </w:rPr>
      </w:pPr>
      <w:r>
        <w:rPr>
          <w:rFonts w:ascii="Arial" w:cs="Arial" w:eastAsia="Arial" w:hAnsi="Arial"/>
          <w:sz w:val="16"/>
          <w:szCs w:val="16"/>
          <w:color w:val="auto"/>
        </w:rPr>
        <w:t>Goodwill is recorded for the difference between the aggregate consideration paid for an acquisition and the fair value of net tangible and intangible assets acquired and liabilities assumed. Goodwill is not amortized, but rather tested for potential impairment. We evaluate the impairment of goodwill in accordance with ASC 350, which requires goodwill and indefinite-lived intangible assets to be assessed on at least an annual basis, as of December 31 each year, for impairment using a fair value basis. Between annual evaluations, if events occur or circumstances change that would more likely than not reduce the fair value of the reporting unit below its carrying amount, then impairment must be evaluated. Such circumstances could include, but are not limited to: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 a significant adverse change in legal factors or business climate, or (2) a loss of key contracts or customers.</w:t>
      </w:r>
    </w:p>
    <w:p>
      <w:pPr>
        <w:spacing w:after="0" w:line="208" w:lineRule="exact"/>
        <w:rPr>
          <w:sz w:val="20"/>
          <w:szCs w:val="20"/>
          <w:color w:val="auto"/>
        </w:rPr>
      </w:pPr>
    </w:p>
    <w:p>
      <w:pPr>
        <w:ind w:firstLine="322"/>
        <w:spacing w:after="0" w:line="253" w:lineRule="auto"/>
        <w:rPr>
          <w:sz w:val="20"/>
          <w:szCs w:val="20"/>
          <w:color w:val="auto"/>
        </w:rPr>
      </w:pPr>
      <w:r>
        <w:rPr>
          <w:rFonts w:ascii="Arial" w:cs="Arial" w:eastAsia="Arial" w:hAnsi="Arial"/>
          <w:sz w:val="18"/>
          <w:szCs w:val="18"/>
          <w:color w:val="auto"/>
        </w:rPr>
        <w:t>We may elect to utilize a qualitative assessment to evaluate whether it is more likely than not that the fair value of a reporting unit or indefinite-lived intangible asset is less than its carrying value, and if so, we perform a quantitative test. We compare the carrying value of each reporting unit to its estimated fair value, and if the fair value is determined to be less than the carrying value, we recognize an impairment loss for the difference. The evaluation is based on the estimation of the fair values at the reporting unit level in comparison to the reporting unit’s net asset carrying values. Our discounted cash flows required management’s judgment with respect to forecasted revenue streams and operating margins, capital expenditures and the selection and use of an appropriate discount rate. We utilized the weighted average cost of capital as derived by certain assumptions specific to our facts and circumstances as the discount rate.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goodwill is amortized and deducted over a 15-year period for tax purposes.</w:t>
      </w:r>
    </w:p>
    <w:p>
      <w:pPr>
        <w:spacing w:after="0" w:line="222" w:lineRule="exact"/>
        <w:rPr>
          <w:sz w:val="20"/>
          <w:szCs w:val="20"/>
          <w:color w:val="auto"/>
        </w:rPr>
      </w:pPr>
    </w:p>
    <w:p>
      <w:pPr>
        <w:ind w:right="260" w:firstLine="322"/>
        <w:spacing w:after="0" w:line="274" w:lineRule="auto"/>
        <w:rPr>
          <w:rFonts w:ascii="Arial" w:cs="Arial" w:eastAsia="Arial" w:hAnsi="Arial"/>
          <w:sz w:val="18"/>
          <w:szCs w:val="18"/>
          <w:color w:val="auto"/>
        </w:rPr>
      </w:pPr>
      <w:r>
        <w:rPr>
          <w:rFonts w:ascii="Arial" w:cs="Arial" w:eastAsia="Arial" w:hAnsi="Arial"/>
          <w:sz w:val="18"/>
          <w:szCs w:val="18"/>
          <w:color w:val="auto"/>
        </w:rPr>
        <w:t xml:space="preserve">We completed the required annual impairment test of goodwill for all reporting units as of December 31, 2021, resulting in no impairments. The fair value of our reporting units exceeded their carrying value. See </w:t>
      </w:r>
      <w:hyperlink w:anchor="page71">
        <w:r>
          <w:rPr>
            <w:rFonts w:ascii="Arial" w:cs="Arial" w:eastAsia="Arial" w:hAnsi="Arial"/>
            <w:sz w:val="18"/>
            <w:szCs w:val="18"/>
            <w:u w:val="single" w:color="auto"/>
            <w:color w:val="0000FF"/>
          </w:rPr>
          <w:t>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Goodwill for additional information.</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firstLine="322"/>
        <w:spacing w:after="0" w:line="257" w:lineRule="auto"/>
        <w:rPr>
          <w:sz w:val="20"/>
          <w:szCs w:val="20"/>
          <w:color w:val="auto"/>
        </w:rPr>
      </w:pPr>
      <w:r>
        <w:rPr>
          <w:rFonts w:ascii="Arial" w:cs="Arial" w:eastAsia="Arial" w:hAnsi="Arial"/>
          <w:sz w:val="18"/>
          <w:szCs w:val="18"/>
          <w:color w:val="auto"/>
        </w:rPr>
        <w:t>Intangible assets with finite lives are carried at cost, less accumulated amortization. Amortization is computed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2" w:lineRule="exact"/>
        <w:rPr>
          <w:sz w:val="20"/>
          <w:szCs w:val="20"/>
          <w:color w:val="auto"/>
        </w:rPr>
      </w:pPr>
    </w:p>
    <w:p>
      <w:pPr>
        <w:ind w:right="40" w:firstLine="322"/>
        <w:spacing w:after="0" w:line="270" w:lineRule="auto"/>
        <w:rPr>
          <w:sz w:val="20"/>
          <w:szCs w:val="20"/>
          <w:color w:val="auto"/>
        </w:rPr>
      </w:pPr>
      <w:r>
        <w:rPr>
          <w:rFonts w:ascii="Arial" w:cs="Arial" w:eastAsia="Arial" w:hAnsi="Arial"/>
          <w:sz w:val="17"/>
          <w:szCs w:val="17"/>
          <w:color w:val="auto"/>
        </w:rPr>
        <w:t>Under our 2016 Omnibus Long-Term Incentive Plan, as amended (the “2016 LTIP”), we have the ability to award restricted stock units with time-based vesting (“Service-Based RSUs”) and restricted stock units with performance-based vesting (“Performance-Based RSUs”) to senior executives, directors, employees and other eligible service providers. Under the 2016 LTIP, our Board of Directors or, by designation of authority, the Management Development and Compensation Committee of our Board of Directors has the discretion to establish the terms, conditions and criteria of the various awards, including the weighing and vesting schedule of Service-Based RSUs and the performance conditions applicable to the Performance-Based RSUs, including the achievement of certain financial performance criteria or price targets for our common stock. Upon vesting, Service-Based RSUs and Performance-Based RSUs will be settled in the Company’s common stock.</w:t>
      </w:r>
    </w:p>
    <w:p>
      <w:pPr>
        <w:spacing w:after="0" w:line="152" w:lineRule="exact"/>
        <w:rPr>
          <w:sz w:val="20"/>
          <w:szCs w:val="20"/>
          <w:color w:val="auto"/>
        </w:rPr>
      </w:pPr>
    </w:p>
    <w:p>
      <w:pPr>
        <w:ind w:left="320" w:right="100" w:hanging="313"/>
        <w:spacing w:after="0" w:line="257"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Service-Based RSUs </w:t>
      </w:r>
      <w:r>
        <w:rPr>
          <w:rFonts w:ascii="Arial" w:cs="Arial" w:eastAsia="Arial" w:hAnsi="Arial"/>
          <w:sz w:val="18"/>
          <w:szCs w:val="18"/>
          <w:color w:val="auto"/>
        </w:rPr>
        <w:t>granted to eligible employees as an incentive generally may vest in installments over a period of up to three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Service-Based RSUs granted to senior executives in 2021 vest in three annual installments from the date of grant, with 30% vesting on the first and second anniversaries and 40% vesting on the third anniversary. The grant date fair value per share is equal to the closing stock price on the date of grant.</w:t>
      </w:r>
    </w:p>
    <w:p>
      <w:pPr>
        <w:spacing w:after="0" w:line="146" w:lineRule="exact"/>
        <w:rPr>
          <w:rFonts w:ascii="Arial" w:cs="Arial" w:eastAsia="Arial" w:hAnsi="Arial"/>
          <w:sz w:val="18"/>
          <w:szCs w:val="18"/>
          <w:color w:val="auto"/>
        </w:rPr>
      </w:pPr>
    </w:p>
    <w:p>
      <w:pPr>
        <w:ind w:left="320" w:right="20" w:hanging="313"/>
        <w:spacing w:after="0" w:line="288" w:lineRule="auto"/>
        <w:tabs>
          <w:tab w:leader="none" w:pos="31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Performance-Based RSUs </w:t>
      </w:r>
      <w:r>
        <w:rPr>
          <w:rFonts w:ascii="Arial" w:cs="Arial" w:eastAsia="Arial" w:hAnsi="Arial"/>
          <w:sz w:val="16"/>
          <w:szCs w:val="16"/>
          <w:color w:val="auto"/>
        </w:rPr>
        <w:t>may vest upon the achievement of a defined performance target or at the end of the defined performance period from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grant, whichever initially occurs. The grant date fair value per share of these Performance-Based RSUs is equal to the closing stock price on the date of the grant or the fair value of the award on the grant date as determined through an independent valuation for Performance-Based RSUs with market condition. Performance-Based RSUs may vest upon the achievement of certain price targets for the Company’s common stock anytime over a three-year period from the date of grant. In order to reflect the substantive characteristics of these market condition awards, the Company employs a Monte Carlo simulation valuation model to calculate the grant date fair value and corresponding requisite service period of the award. Monte Carlo approaches are a class of computational algorithms that rely on repeated random sampling to compute their results. This approach allows the calculation of the value of such awards based on a large number of possible stock price path scenarios.</w:t>
      </w:r>
    </w:p>
    <w:p>
      <w:pPr>
        <w:spacing w:after="0" w:line="126" w:lineRule="exact"/>
        <w:rPr>
          <w:sz w:val="20"/>
          <w:szCs w:val="20"/>
          <w:color w:val="auto"/>
        </w:rPr>
      </w:pPr>
    </w:p>
    <w:p>
      <w:pPr>
        <w:ind w:firstLine="322"/>
        <w:spacing w:after="0" w:line="267" w:lineRule="auto"/>
        <w:rPr>
          <w:sz w:val="20"/>
          <w:szCs w:val="20"/>
          <w:color w:val="auto"/>
        </w:rPr>
      </w:pPr>
      <w:r>
        <w:rPr>
          <w:rFonts w:ascii="Arial" w:cs="Arial" w:eastAsia="Arial" w:hAnsi="Arial"/>
          <w:sz w:val="17"/>
          <w:szCs w:val="17"/>
          <w:color w:val="auto"/>
        </w:rPr>
        <w:t>We recognize these share-based payment transactions when services from the employees are received and recognize a corresponding increase in additional paid-in capital in our consolidated balance sheets, in accordance with ASC 718, "Compensation - Stock Compensation." The measurement objective for these equity awards is the estimated fair value at the date of grant of the equity instruments that we are obligated to issue when employees have rendered the requisite service and satisfied any other conditions necessary to earn the right to benefit from the instruments. The compensation expense for an award is recognized ratably over the requisite service period for the entire award, which is the period during which an employee is required to provide service in exchange for an award. Compensation expense for awards with performance conditions is recognized over the requisite service period if it is probable that the performance condition will be satisfied. If such performance conditions are not or are no longer considered probable, no compensation expense for these awards is recognized, and any previously recognized expense is reversed. If the performance condition is achieved prior to the completion of the requisite service period, any unrecognized compensation expense will be recognized in the period the performance condition is achieved. Compensation expense for awards with market conditions is recognized over the derived service period, or sooner, if the market condition is achieved. Previously recognized expense for awards with market conditions will never be reversed even if the market conditions are never achieved. We recognize forfeitures of share-based compensation awards as they occur. Share-based compensation expense is recognized as part of the cost of sales and selling, general and administrative expenses in our consolidated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 per Share</w:t>
      </w:r>
    </w:p>
    <w:p>
      <w:pPr>
        <w:spacing w:after="0" w:line="222" w:lineRule="exact"/>
        <w:rPr>
          <w:sz w:val="20"/>
          <w:szCs w:val="20"/>
          <w:color w:val="auto"/>
        </w:rPr>
      </w:pPr>
    </w:p>
    <w:p>
      <w:pPr>
        <w:jc w:val="both"/>
        <w:ind w:right="160" w:firstLine="322"/>
        <w:spacing w:after="0" w:line="299" w:lineRule="auto"/>
        <w:rPr>
          <w:sz w:val="20"/>
          <w:szCs w:val="20"/>
          <w:color w:val="auto"/>
        </w:rPr>
      </w:pPr>
      <w:r>
        <w:rPr>
          <w:rFonts w:ascii="Arial" w:cs="Arial" w:eastAsia="Arial" w:hAnsi="Arial"/>
          <w:sz w:val="16"/>
          <w:szCs w:val="16"/>
          <w:color w:val="auto"/>
        </w:rPr>
        <w:t>Basic net earnings (loss) per share is computed by dividing the net earnings (loss) by the weighted-average number of common shares outstanding for the period, without consideration for potentially dilutive securities. Diluted net earnings (loss) per share is computed by dividing the net earnings (loss) by the weighted-average number of shares of common stock and dilutive common stock equivalents outstanding for the period determined using the treasury-stock and if-converted methods. Dilutive common stock equivalents are comprised of unvested restricted common stock and warrants.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40" w:firstLine="322"/>
        <w:spacing w:after="0" w:line="261" w:lineRule="auto"/>
        <w:rPr>
          <w:sz w:val="20"/>
          <w:szCs w:val="20"/>
          <w:color w:val="auto"/>
        </w:rPr>
      </w:pPr>
      <w:r>
        <w:rPr>
          <w:rFonts w:ascii="Arial" w:cs="Arial" w:eastAsia="Arial" w:hAnsi="Arial"/>
          <w:sz w:val="18"/>
          <w:szCs w:val="18"/>
          <w:color w:val="auto"/>
        </w:rPr>
        <w:t>For the year ended December 31, 2019, the Class A common basic and diluted net loss per share was $(0.17), the Class A common basic and diluted weighted-average shares were 34,525, the Class B common basic and diluted net loss per share was $(0.17), and the Class B common basic and diluted weighted-average shares were 3,204.</w:t>
      </w:r>
    </w:p>
    <w:p>
      <w:pPr>
        <w:spacing w:after="0" w:line="184" w:lineRule="exact"/>
        <w:rPr>
          <w:sz w:val="20"/>
          <w:szCs w:val="20"/>
          <w:color w:val="auto"/>
        </w:rPr>
      </w:pPr>
    </w:p>
    <w:p>
      <w:pPr>
        <w:ind w:right="440" w:firstLine="322"/>
        <w:spacing w:after="0" w:line="274" w:lineRule="auto"/>
        <w:rPr>
          <w:sz w:val="20"/>
          <w:szCs w:val="20"/>
          <w:color w:val="auto"/>
        </w:rPr>
      </w:pPr>
      <w:r>
        <w:rPr>
          <w:rFonts w:ascii="Arial" w:cs="Arial" w:eastAsia="Arial" w:hAnsi="Arial"/>
          <w:sz w:val="18"/>
          <w:szCs w:val="18"/>
          <w:color w:val="auto"/>
        </w:rPr>
        <w:t>For the period of net loss, potentially dilutive securities are not included in the calculation of diluted net (loss) earnings per share because to do so would be anti-dilutive. Potentially dilutive securities are as follows (in common stock equivalent shares, in thousands):</w:t>
      </w:r>
    </w:p>
    <w:p>
      <w:pPr>
        <w:spacing w:after="0" w:line="11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16510</wp:posOffset>
            </wp:positionV>
            <wp:extent cx="18916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91665"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22"/>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w:t>
            </w:r>
          </w:p>
        </w:tc>
        <w:tc>
          <w:tcPr>
            <w:tcW w:w="1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 exercisable at $1.665/sh.</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42"/>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 (Loss)</w:t>
      </w:r>
    </w:p>
    <w:p>
      <w:pPr>
        <w:spacing w:after="0" w:line="196" w:lineRule="exact"/>
        <w:rPr>
          <w:sz w:val="20"/>
          <w:szCs w:val="20"/>
          <w:color w:val="auto"/>
        </w:rPr>
      </w:pPr>
    </w:p>
    <w:p>
      <w:pPr>
        <w:ind w:right="80" w:firstLine="322"/>
        <w:spacing w:after="0" w:line="277" w:lineRule="auto"/>
        <w:rPr>
          <w:sz w:val="20"/>
          <w:szCs w:val="20"/>
          <w:color w:val="auto"/>
        </w:rPr>
      </w:pPr>
      <w:r>
        <w:rPr>
          <w:rFonts w:ascii="Arial" w:cs="Arial" w:eastAsia="Arial" w:hAnsi="Arial"/>
          <w:sz w:val="17"/>
          <w:szCs w:val="17"/>
          <w:color w:val="auto"/>
        </w:rPr>
        <w:t>Our functional currency is the U.S. Dollar. 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(deficit) as a component of accumulated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2" w:lineRule="exact"/>
        <w:rPr>
          <w:sz w:val="20"/>
          <w:szCs w:val="20"/>
          <w:color w:val="auto"/>
        </w:rPr>
      </w:pPr>
    </w:p>
    <w:p>
      <w:pPr>
        <w:jc w:val="both"/>
        <w:ind w:right="260" w:firstLine="322"/>
        <w:spacing w:after="0" w:line="261" w:lineRule="auto"/>
        <w:rPr>
          <w:sz w:val="20"/>
          <w:szCs w:val="20"/>
          <w:color w:val="auto"/>
        </w:rPr>
      </w:pPr>
      <w:r>
        <w:rPr>
          <w:rFonts w:ascii="Arial" w:cs="Arial" w:eastAsia="Arial" w:hAnsi="Arial"/>
          <w:sz w:val="18"/>
          <w:szCs w:val="18"/>
          <w:color w:val="auto"/>
        </w:rPr>
        <w:t>We use various methods and assumptions to estimate the fair value of our financial instruments. Due to their short-term nature, the carrying value of cash and cash equivalents, accounts receivable and accounts payable approximates fair value. The fair value of long-term debt is based on the discounted cash flows for similar term borrowings based on market prices for the same or similar issues.</w:t>
      </w:r>
    </w:p>
    <w:p>
      <w:pPr>
        <w:spacing w:after="0" w:line="184" w:lineRule="exact"/>
        <w:rPr>
          <w:sz w:val="20"/>
          <w:szCs w:val="20"/>
          <w:color w:val="auto"/>
        </w:rPr>
      </w:pPr>
    </w:p>
    <w:p>
      <w:pPr>
        <w:ind w:right="320" w:firstLine="322"/>
        <w:spacing w:after="0" w:line="305" w:lineRule="auto"/>
        <w:rPr>
          <w:sz w:val="20"/>
          <w:szCs w:val="20"/>
          <w:color w:val="auto"/>
        </w:rPr>
      </w:pPr>
      <w:r>
        <w:rPr>
          <w:rFonts w:ascii="Arial" w:cs="Arial" w:eastAsia="Arial" w:hAnsi="Arial"/>
          <w:sz w:val="17"/>
          <w:szCs w:val="17"/>
          <w:color w:val="auto"/>
        </w:rPr>
        <w:t>Fair value estimates are made at a specific point in time, based on relevant market information. These estimates are subjective in nature and involve matters of judgment and therefore cannot be determined with precision. Changes in assumptions could significantly affect the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222" w:lineRule="exact"/>
        <w:rPr>
          <w:sz w:val="20"/>
          <w:szCs w:val="20"/>
          <w:color w:val="auto"/>
        </w:rPr>
      </w:pPr>
    </w:p>
    <w:p>
      <w:pPr>
        <w:ind w:right="100" w:firstLine="322"/>
        <w:spacing w:after="0" w:line="274"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which introduces new guidance for estimating credit losses on certain types of financial instruments based on expected losses and the timing of the recognition of such losses. This standard was effective for interim and annual reporting periods beginning after December 15, 2019, which made this standard effective for us on January 1, 2020. The adoption of this ASU did not have a material impact on our consolidated financial position, results of operations and cash flows.</w:t>
      </w:r>
    </w:p>
    <w:p>
      <w:pPr>
        <w:spacing w:after="0" w:line="173" w:lineRule="exact"/>
        <w:rPr>
          <w:sz w:val="20"/>
          <w:szCs w:val="20"/>
          <w:color w:val="auto"/>
        </w:rPr>
      </w:pPr>
    </w:p>
    <w:p>
      <w:pPr>
        <w:ind w:right="40" w:firstLine="322"/>
        <w:spacing w:after="0" w:line="294" w:lineRule="auto"/>
        <w:rPr>
          <w:sz w:val="20"/>
          <w:szCs w:val="20"/>
          <w:color w:val="auto"/>
        </w:rPr>
      </w:pPr>
      <w:r>
        <w:rPr>
          <w:rFonts w:ascii="Arial" w:cs="Arial" w:eastAsia="Arial" w:hAnsi="Arial"/>
          <w:sz w:val="16"/>
          <w:szCs w:val="16"/>
          <w:color w:val="auto"/>
        </w:rPr>
        <w:t>In January 2017, the FASB issued ASU 2017-4, "Intangibles - Goodwill and Other (Topic 350): Simplifying the Test for Goodwill Impairment," which eliminates Step 2 of the current goodwill impairment test that requires a hypothetical purchase price allocation to measure goodwill impairment. A goodwill impairment loss instead is measured at the amount by which a reporting unit's carrying value exceeds its fair value, not to exceed the recorded amount of goodwill. The provisions of this ASU were effective for years beginning after December 15, 2019, which made this standard effective for us on January 1, 2020. The adoption of this ASU did not have a material impact on our consolidated financial position, results of operations and cash flows.</w:t>
      </w:r>
    </w:p>
    <w:p>
      <w:pPr>
        <w:spacing w:after="0" w:line="161" w:lineRule="exact"/>
        <w:rPr>
          <w:sz w:val="20"/>
          <w:szCs w:val="20"/>
          <w:color w:val="auto"/>
        </w:rPr>
      </w:pPr>
    </w:p>
    <w:p>
      <w:pPr>
        <w:ind w:right="120" w:firstLine="322"/>
        <w:spacing w:after="0" w:line="254" w:lineRule="auto"/>
        <w:rPr>
          <w:sz w:val="20"/>
          <w:szCs w:val="20"/>
          <w:color w:val="auto"/>
        </w:rPr>
      </w:pPr>
      <w:r>
        <w:rPr>
          <w:rFonts w:ascii="Arial" w:cs="Arial" w:eastAsia="Arial" w:hAnsi="Arial"/>
          <w:sz w:val="18"/>
          <w:szCs w:val="18"/>
          <w:color w:val="auto"/>
        </w:rPr>
        <w:t>In August 2018, the FASB issued ASU 2018-13, “Fair Value Measurement (Topic 820): Disclosure Framework – Changes to the Disclosure Requirements for Fair Value Measurement”, which modifies the disclosure requirement for fair value measurement under ASC 820 to improve the effectiveness of such disclosures. Those modifications include the removal and addition of disclosure requirements as well as clarifying specific disclosure requirements. This standard was effective for interim and annual reporting periods beginning after December 15, 2019, which made this standard effective for us on January 1, 2020. The adoption of this ASU did not have a material impact on our consolidated financial position, results of operations and cash flows.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 w:firstLine="322"/>
        <w:spacing w:after="0" w:line="217" w:lineRule="exact"/>
        <w:rPr>
          <w:sz w:val="20"/>
          <w:szCs w:val="20"/>
          <w:color w:val="auto"/>
        </w:rPr>
      </w:pPr>
      <w:r>
        <w:rPr>
          <w:rFonts w:ascii="Arial" w:cs="Arial" w:eastAsia="Arial" w:hAnsi="Arial"/>
          <w:sz w:val="18"/>
          <w:szCs w:val="18"/>
          <w:color w:val="auto"/>
        </w:rPr>
        <w:t>In August 2018, the FASB issued ASU 2018</w:t>
      </w:r>
      <w:r>
        <w:rPr>
          <w:rFonts w:ascii="MS PGothic" w:cs="MS PGothic" w:eastAsia="MS PGothic" w:hAnsi="MS PGothic"/>
          <w:sz w:val="18"/>
          <w:szCs w:val="18"/>
          <w:color w:val="auto"/>
        </w:rPr>
        <w:t>‑</w:t>
      </w:r>
      <w:r>
        <w:rPr>
          <w:rFonts w:ascii="Arial" w:cs="Arial" w:eastAsia="Arial" w:hAnsi="Arial"/>
          <w:sz w:val="18"/>
          <w:szCs w:val="18"/>
          <w:color w:val="auto"/>
        </w:rPr>
        <w:t>15, “Intangibles - Goodwill and Other - 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This standard was effective for interim and annual reporting periods beginning after December 15, 2019, which made this standard effective for us on January 1, 2020. The adoption of this ASU did not have a material impact on our consolidated financial position, results of operations and cash flows.</w:t>
      </w:r>
    </w:p>
    <w:p>
      <w:pPr>
        <w:spacing w:after="0" w:line="204" w:lineRule="exact"/>
        <w:rPr>
          <w:sz w:val="20"/>
          <w:szCs w:val="20"/>
          <w:color w:val="auto"/>
        </w:rPr>
      </w:pPr>
    </w:p>
    <w:p>
      <w:pPr>
        <w:ind w:firstLine="322"/>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Topic 740. The ASU also clarifies and amends existing guidance to improve consistent application. This standard was effective for reporting periods beginning after December 15, 2020, which made this standard effective for us on January 1, 2021. The adoption of this ASU did not have a material impact on our consolidated financial position, results of operations and cash flows.</w:t>
      </w:r>
    </w:p>
    <w:p>
      <w:pPr>
        <w:spacing w:after="0" w:line="189" w:lineRule="exact"/>
        <w:rPr>
          <w:sz w:val="20"/>
          <w:szCs w:val="20"/>
          <w:color w:val="auto"/>
        </w:rPr>
      </w:pPr>
    </w:p>
    <w:p>
      <w:pPr>
        <w:ind w:right="140" w:firstLine="322"/>
        <w:spacing w:after="0" w:line="255"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which provides optional expedients and exceptions for a limited period of time to ease the potential burden in accounting for contracts, hedging relationship and other transactions that reference LIBOR or another reference rate expected to be discontinued because of reference rate reform. This amendment is effective for all entities as of March 12, 2020 through December 31, 2022. The adoption of this ASU did not have a material impact on our consolidated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2" w:lineRule="exact"/>
        <w:rPr>
          <w:sz w:val="20"/>
          <w:szCs w:val="20"/>
          <w:color w:val="auto"/>
        </w:rPr>
      </w:pPr>
    </w:p>
    <w:p>
      <w:pPr>
        <w:ind w:right="140" w:firstLine="322"/>
        <w:spacing w:after="0" w:line="289" w:lineRule="auto"/>
        <w:rPr>
          <w:sz w:val="20"/>
          <w:szCs w:val="20"/>
          <w:color w:val="auto"/>
        </w:rPr>
      </w:pPr>
      <w:r>
        <w:rPr>
          <w:rFonts w:ascii="Arial" w:cs="Arial" w:eastAsia="Arial" w:hAnsi="Arial"/>
          <w:sz w:val="16"/>
          <w:szCs w:val="16"/>
          <w:color w:val="auto"/>
        </w:rPr>
        <w:t>In October 2021, the FASB issued ASU No. 2021-08, “Business Combination (Topic 805): Accounting for Contract Assets and Contract Liabilities from Contracts with Customers,” which requires entities to apply Topic 606 to recognize and measure contract assets and contract liabilities in a business combination. The ASU improves comparability after the business combination by providing consistent recognition and measurement guidance for revenue contracts with customers acquired in a business combination and revenue contracts with customers not acquired in a business combination. Entities should apply the amendments prospectively to business combinations that occur after the effective date. This standard will be effective for reporting periods beginning after December 15, 2022, with early adoption permitted. While we are currently assessing the impact of the adoption of this ASU, we do not believe the adoption of this ASU will have a material impact on our consolidated financial position, results of operations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2" w:lineRule="exact"/>
        <w:rPr>
          <w:sz w:val="20"/>
          <w:szCs w:val="20"/>
          <w:color w:val="auto"/>
        </w:rPr>
      </w:pPr>
    </w:p>
    <w:p>
      <w:pPr>
        <w:ind w:firstLine="322"/>
        <w:spacing w:after="0" w:line="267" w:lineRule="auto"/>
        <w:rPr>
          <w:sz w:val="20"/>
          <w:szCs w:val="20"/>
          <w:color w:val="auto"/>
        </w:rPr>
      </w:pPr>
      <w:r>
        <w:rPr>
          <w:rFonts w:ascii="Arial" w:cs="Arial" w:eastAsia="Arial" w:hAnsi="Arial"/>
          <w:sz w:val="17"/>
          <w:szCs w:val="17"/>
          <w:color w:val="auto"/>
        </w:rPr>
        <w:t>We account for revenue in accordance with ASC Topic 606, “Revenue from Contracts with Customers.” The unit of account in ASC 606 is a performance obligation, which is a promise in a contract with a customer to transfer a good or service to the customer. ASC 606 prescribes a five-step model for recognizing revenue that includes identifying the contract with the customer, determining the performance obligation(s), determining the transaction price, allocating the transaction price to the performance obligation(s), and recognizing revenue as the performance obligations are satisfied.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 Our contracts with the U.S. Government are generally subject to Federal Acquisition Regulation ("FAR") and the price is typically based on estimated or actual costs plus a reasonable profit margin. As such, the standalone selling price of products or services in our contracts with the U.S. Government are typically equal to the selling price stated in the contract. For non-U.S. Government contracts with multiple performance obligations, standalone selling price is the observable price of a good or service when Telos sells that good or service separately in similar circumstances and to similar customers.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322"/>
        <w:spacing w:after="0" w:line="274" w:lineRule="auto"/>
        <w:rPr>
          <w:sz w:val="20"/>
          <w:szCs w:val="20"/>
          <w:color w:val="auto"/>
        </w:rPr>
      </w:pPr>
      <w:r>
        <w:rPr>
          <w:rFonts w:ascii="Arial" w:cs="Arial" w:eastAsia="Arial" w:hAnsi="Arial"/>
          <w:sz w:val="17"/>
          <w:szCs w:val="17"/>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173" w:lineRule="exact"/>
        <w:rPr>
          <w:sz w:val="20"/>
          <w:szCs w:val="20"/>
          <w:color w:val="auto"/>
        </w:rPr>
      </w:pPr>
    </w:p>
    <w:p>
      <w:pPr>
        <w:ind w:right="40" w:firstLine="322"/>
        <w:spacing w:after="0" w:line="299" w:lineRule="auto"/>
        <w:rPr>
          <w:sz w:val="20"/>
          <w:szCs w:val="20"/>
          <w:color w:val="auto"/>
        </w:rPr>
      </w:pPr>
      <w:r>
        <w:rPr>
          <w:rFonts w:ascii="Arial" w:cs="Arial" w:eastAsia="Arial" w:hAnsi="Arial"/>
          <w:sz w:val="16"/>
          <w:szCs w:val="16"/>
          <w:color w:val="auto"/>
        </w:rPr>
        <w:t>The majority of our revenue is recognized over time, as control is transferred continuously to our customers who receive and consume benefits as we perform, and is classified as services revenue. Revenue transferred to customers over time accounted for 91%, 90% and 90% of our revenue for the years ended December 31, 2021, 2020 and 2019. All of our business groups earn services revenue under a variety of contract types, including time and materials, firm-fixed price, firm fixed price level of effort, and cost-plus fixed fee contract types, which may include variable consideration as discussed further below.</w:t>
      </w:r>
    </w:p>
    <w:p>
      <w:pPr>
        <w:spacing w:after="0" w:line="157" w:lineRule="exact"/>
        <w:rPr>
          <w:sz w:val="20"/>
          <w:szCs w:val="20"/>
          <w:color w:val="auto"/>
        </w:rPr>
      </w:pPr>
    </w:p>
    <w:p>
      <w:pPr>
        <w:ind w:right="40" w:firstLine="322"/>
        <w:spacing w:after="0" w:line="268" w:lineRule="auto"/>
        <w:rPr>
          <w:sz w:val="20"/>
          <w:szCs w:val="20"/>
          <w:color w:val="auto"/>
        </w:rPr>
      </w:pPr>
      <w:r>
        <w:rPr>
          <w:rFonts w:ascii="Arial" w:cs="Arial" w:eastAsia="Arial" w:hAnsi="Arial"/>
          <w:sz w:val="17"/>
          <w:szCs w:val="17"/>
          <w:color w:val="auto"/>
        </w:rPr>
        <w:t>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Contract costs include labor, material, subcontractor costs and indirect expenses. This continuous transfer of control to the customer is supported by clauses in our contracts with U.S. government customers whereby the customer may terminate a contract for convenience and then pay for costs incurred plus a profit, at which time the customer would take control of any work in process. For non-U.S. government contracts where we perform as a subcontractor and our order includes similar FAR provisions as the prime contractor’s order from the U.S. government, continuous transfer of control is likewise supported by such provisions. For other non-U.S.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83" w:lineRule="exact"/>
        <w:rPr>
          <w:sz w:val="20"/>
          <w:szCs w:val="20"/>
          <w:color w:val="auto"/>
        </w:rPr>
      </w:pPr>
    </w:p>
    <w:p>
      <w:pPr>
        <w:ind w:firstLine="322"/>
        <w:spacing w:after="0" w:line="287" w:lineRule="auto"/>
        <w:rPr>
          <w:sz w:val="20"/>
          <w:szCs w:val="20"/>
          <w:color w:val="auto"/>
        </w:rPr>
      </w:pPr>
      <w:r>
        <w:rPr>
          <w:rFonts w:ascii="Arial" w:cs="Arial" w:eastAsia="Arial" w:hAnsi="Arial"/>
          <w:sz w:val="16"/>
          <w:szCs w:val="16"/>
          <w:color w:val="auto"/>
        </w:rPr>
        <w:t>Revenue that is recognized at a point in time is for the sale of software licenses in our Information Assurance / Xacta and Secure Communications business groups and for the sale of resold products in Telos ID and Secure Networks, and is classified as product revenue. Revenue transferred to customers at a point in time accounted for 9%, 10% and 10% of our revenue for the years ended December 31, 2021, 2020 and 2019. Revenue on these contracts is recognized when the customer obtains control of the transferred product or service, which is generally upon delivery of the product to the customer for their use, due to us maintaining control of the product until that point. 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spacing w:after="0" w:line="167" w:lineRule="exact"/>
        <w:rPr>
          <w:sz w:val="20"/>
          <w:szCs w:val="20"/>
          <w:color w:val="auto"/>
        </w:rPr>
      </w:pPr>
    </w:p>
    <w:p>
      <w:pPr>
        <w:ind w:firstLine="322"/>
        <w:spacing w:after="0" w:line="339" w:lineRule="auto"/>
        <w:rPr>
          <w:sz w:val="20"/>
          <w:szCs w:val="20"/>
          <w:color w:val="auto"/>
        </w:rPr>
      </w:pPr>
      <w:r>
        <w:rPr>
          <w:rFonts w:ascii="Arial" w:cs="Arial" w:eastAsia="Arial" w:hAnsi="Arial"/>
          <w:sz w:val="16"/>
          <w:szCs w:val="16"/>
          <w:color w:val="auto"/>
        </w:rPr>
        <w:t>For certain performance obligation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22" w:lineRule="exact"/>
        <w:rPr>
          <w:sz w:val="20"/>
          <w:szCs w:val="20"/>
          <w:color w:val="auto"/>
        </w:rPr>
      </w:pPr>
    </w:p>
    <w:p>
      <w:pPr>
        <w:ind w:right="20" w:firstLine="322"/>
        <w:spacing w:after="0" w:line="286" w:lineRule="auto"/>
        <w:rPr>
          <w:sz w:val="20"/>
          <w:szCs w:val="20"/>
          <w:color w:val="auto"/>
        </w:rPr>
      </w:pPr>
      <w:r>
        <w:rPr>
          <w:rFonts w:ascii="Arial" w:cs="Arial" w:eastAsia="Arial" w:hAnsi="Arial"/>
          <w:sz w:val="16"/>
          <w:szCs w:val="16"/>
          <w:color w:val="auto"/>
        </w:rPr>
        <w:t>Due to the transfer of control over time, revenue is recognized based on progress towards completion of the performance obligation. The selection of the method to measure progress towards completion requires judgment and is based on the nature of the performance obligations. We generally use the cost-to-cost measure of progress on a proportional performance basis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are recorded proportionally as costs are incurred. Due to the nature of the work required to be performed on certain of our performance obligations,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firstLine="322"/>
        <w:spacing w:after="0" w:line="268" w:lineRule="auto"/>
        <w:rPr>
          <w:sz w:val="20"/>
          <w:szCs w:val="20"/>
          <w:color w:val="auto"/>
        </w:rPr>
      </w:pPr>
      <w:r>
        <w:rPr>
          <w:rFonts w:ascii="Arial" w:cs="Arial" w:eastAsia="Arial" w:hAnsi="Arial"/>
          <w:sz w:val="17"/>
          <w:szCs w:val="17"/>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 We have revised and re-submitted several years of incurred cost submissions reflecting certain indirect rate structure changes as a result of regular DCAA audits of incurred cost submissions. This resulted in signed final rate agreement letters for fiscal years 2014 to 2016 and conformed incurred cost submissions for 2017 to 2020. We evaluated the resulting changes to revenue under the applicable cost-plus fixed fee contracts for the years 2014 to 2016 as variable consideration, and determined the most likely amount to which we expect to be entitled, to the extent that no constraint exists that would preclude recognizing this revenue or result in a significant reversal of cumulative revenue recognized. We included these estimated amounts of variable consideration in the transaction price and as performance on these contracts is complete, we have recognized revenue of $0.2 million during the year ended December 31, 2021.</w:t>
      </w:r>
    </w:p>
    <w:p>
      <w:pPr>
        <w:spacing w:after="0" w:line="179" w:lineRule="exact"/>
        <w:rPr>
          <w:sz w:val="20"/>
          <w:szCs w:val="20"/>
          <w:color w:val="auto"/>
        </w:rPr>
      </w:pPr>
    </w:p>
    <w:p>
      <w:pPr>
        <w:ind w:right="240" w:firstLine="322"/>
        <w:spacing w:after="0" w:line="339" w:lineRule="auto"/>
        <w:rPr>
          <w:sz w:val="20"/>
          <w:szCs w:val="20"/>
          <w:color w:val="auto"/>
        </w:rPr>
      </w:pPr>
      <w:r>
        <w:rPr>
          <w:rFonts w:ascii="Arial" w:cs="Arial" w:eastAsia="Arial" w:hAnsi="Arial"/>
          <w:sz w:val="16"/>
          <w:szCs w:val="16"/>
          <w:color w:val="auto"/>
        </w:rPr>
        <w:t>We provide for anticipated losses on contracts during the period when the loss is determined by recording an expense for the total expected costs that exceeds the total estimated revenue for a performance obligation. We recorded an immaterial contract loss during the year ended December 31, 2021.</w:t>
      </w:r>
    </w:p>
    <w:p>
      <w:pPr>
        <w:spacing w:after="0" w:line="124" w:lineRule="exact"/>
        <w:rPr>
          <w:sz w:val="20"/>
          <w:szCs w:val="20"/>
          <w:color w:val="auto"/>
        </w:rPr>
      </w:pPr>
    </w:p>
    <w:p>
      <w:pPr>
        <w:ind w:right="100" w:firstLine="322"/>
        <w:spacing w:after="0" w:line="271" w:lineRule="auto"/>
        <w:rPr>
          <w:sz w:val="20"/>
          <w:szCs w:val="20"/>
          <w:color w:val="auto"/>
        </w:rPr>
      </w:pPr>
      <w:r>
        <w:rPr>
          <w:rFonts w:ascii="Arial" w:cs="Arial" w:eastAsia="Arial" w:hAnsi="Arial"/>
          <w:sz w:val="17"/>
          <w:szCs w:val="17"/>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pacing w:after="0" w:line="179" w:lineRule="exact"/>
        <w:rPr>
          <w:sz w:val="20"/>
          <w:szCs w:val="20"/>
          <w:color w:val="auto"/>
        </w:rPr>
      </w:pPr>
    </w:p>
    <w:p>
      <w:pPr>
        <w:jc w:val="both"/>
        <w:ind w:right="140" w:firstLine="322"/>
        <w:spacing w:after="0" w:line="299" w:lineRule="auto"/>
        <w:rPr>
          <w:sz w:val="20"/>
          <w:szCs w:val="20"/>
          <w:color w:val="auto"/>
        </w:rPr>
      </w:pPr>
      <w:r>
        <w:rPr>
          <w:rFonts w:ascii="Arial" w:cs="Arial" w:eastAsia="Arial" w:hAnsi="Arial"/>
          <w:sz w:val="16"/>
          <w:szCs w:val="16"/>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157" w:lineRule="exact"/>
        <w:rPr>
          <w:sz w:val="20"/>
          <w:szCs w:val="20"/>
          <w:color w:val="auto"/>
        </w:rPr>
      </w:pPr>
    </w:p>
    <w:p>
      <w:pPr>
        <w:jc w:val="both"/>
        <w:ind w:right="240" w:firstLine="322"/>
        <w:spacing w:after="0" w:line="261" w:lineRule="auto"/>
        <w:rPr>
          <w:sz w:val="20"/>
          <w:szCs w:val="20"/>
          <w:color w:val="auto"/>
        </w:rPr>
      </w:pPr>
      <w:r>
        <w:rPr>
          <w:rFonts w:ascii="Arial" w:cs="Arial" w:eastAsia="Arial" w:hAnsi="Arial"/>
          <w:sz w:val="18"/>
          <w:szCs w:val="18"/>
          <w:color w:val="auto"/>
        </w:rPr>
        <w:t>As discussed above, we have identified two (2) reportable segments. We treat sales to U.S. customers as sales within the U.S. regardless of where the services are performed. Substantially most of our revenues are generated from U.S. customers, while international customers are de minimus, as such the financial information by geographic location is not presented.</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disclose revenue disaggregated by several categories for the years ended December 31, 2021, 2020, and 2019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Revenue Type</w:t>
            </w:r>
          </w:p>
        </w:tc>
        <w:tc>
          <w:tcPr>
            <w:tcW w:w="3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Solutions</w:t>
            </w:r>
          </w:p>
        </w:tc>
        <w:tc>
          <w:tcPr>
            <w:tcW w:w="3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tcPr>
          <w:p>
            <w:pPr>
              <w:jc w:val="center"/>
              <w:ind w:right="2051"/>
              <w:spacing w:after="0"/>
              <w:rPr>
                <w:sz w:val="20"/>
                <w:szCs w:val="20"/>
                <w:color w:val="auto"/>
              </w:rPr>
            </w:pPr>
            <w:r>
              <w:rPr>
                <w:rFonts w:ascii="Arial" w:cs="Arial" w:eastAsia="Arial" w:hAnsi="Arial"/>
                <w:sz w:val="18"/>
                <w:szCs w:val="18"/>
                <w:color w:val="auto"/>
                <w:w w:val="89"/>
              </w:rPr>
              <w:t>Services</w:t>
            </w:r>
          </w:p>
        </w:tc>
        <w:tc>
          <w:tcPr>
            <w:tcW w:w="358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102,649</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100,422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jc w:val="center"/>
              <w:ind w:right="2031"/>
              <w:spacing w:after="0"/>
              <w:rPr>
                <w:sz w:val="20"/>
                <w:szCs w:val="20"/>
                <w:color w:val="auto"/>
              </w:rPr>
            </w:pPr>
            <w:r>
              <w:rPr>
                <w:rFonts w:ascii="Arial" w:cs="Arial" w:eastAsia="Arial" w:hAnsi="Arial"/>
                <w:sz w:val="18"/>
                <w:szCs w:val="18"/>
                <w:color w:val="auto"/>
                <w:w w:val="90"/>
              </w:rPr>
              <w:t>Products</w:t>
            </w:r>
          </w:p>
        </w:tc>
        <w:tc>
          <w:tcPr>
            <w:tcW w:w="3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jc w:val="center"/>
              <w:ind w:right="2071"/>
              <w:spacing w:after="0"/>
              <w:rPr>
                <w:sz w:val="20"/>
                <w:szCs w:val="20"/>
                <w:color w:val="auto"/>
              </w:rPr>
            </w:pPr>
            <w:r>
              <w:rPr>
                <w:rFonts w:ascii="Arial" w:cs="Arial" w:eastAsia="Arial" w:hAnsi="Arial"/>
                <w:sz w:val="18"/>
                <w:szCs w:val="18"/>
                <w:color w:val="auto"/>
                <w:w w:val="90"/>
              </w:rPr>
              <w:t>Secure Networks</w:t>
            </w:r>
          </w:p>
        </w:tc>
        <w:tc>
          <w:tcPr>
            <w:tcW w:w="3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tcPr>
          <w:p>
            <w:pPr>
              <w:jc w:val="center"/>
              <w:ind w:right="2051"/>
              <w:spacing w:after="0"/>
              <w:rPr>
                <w:sz w:val="20"/>
                <w:szCs w:val="20"/>
                <w:color w:val="auto"/>
              </w:rPr>
            </w:pPr>
            <w:r>
              <w:rPr>
                <w:rFonts w:ascii="Arial" w:cs="Arial" w:eastAsia="Arial" w:hAnsi="Arial"/>
                <w:sz w:val="18"/>
                <w:szCs w:val="18"/>
                <w:color w:val="auto"/>
                <w:w w:val="89"/>
              </w:rPr>
              <w:t>Services</w:t>
            </w:r>
          </w:p>
        </w:tc>
        <w:tc>
          <w:tcPr>
            <w:tcW w:w="3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118,899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jc w:val="center"/>
              <w:ind w:right="2031"/>
              <w:spacing w:after="0"/>
              <w:rPr>
                <w:sz w:val="20"/>
                <w:szCs w:val="20"/>
                <w:color w:val="auto"/>
              </w:rPr>
            </w:pPr>
            <w:r>
              <w:rPr>
                <w:rFonts w:ascii="Arial" w:cs="Arial" w:eastAsia="Arial" w:hAnsi="Arial"/>
                <w:sz w:val="18"/>
                <w:szCs w:val="18"/>
                <w:color w:val="auto"/>
                <w:w w:val="90"/>
              </w:rPr>
              <w:t>Products</w:t>
            </w:r>
          </w:p>
        </w:tc>
        <w:tc>
          <w:tcPr>
            <w:tcW w:w="3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118,899</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62,605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891"/>
              <w:spacing w:after="0"/>
              <w:rPr>
                <w:sz w:val="20"/>
                <w:szCs w:val="20"/>
                <w:color w:val="auto"/>
              </w:rPr>
            </w:pPr>
            <w:r>
              <w:rPr>
                <w:rFonts w:ascii="Arial" w:cs="Arial" w:eastAsia="Arial" w:hAnsi="Arial"/>
                <w:sz w:val="18"/>
                <w:szCs w:val="18"/>
                <w:color w:val="auto"/>
              </w:rPr>
              <w:t>68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34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44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Customer Type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Solutions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6700" w:type="dxa"/>
            <w:vAlign w:val="bottom"/>
          </w:tcPr>
          <w:p>
            <w:pPr>
              <w:ind w:left="3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114,159</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109,410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92,336</w:t>
            </w:r>
          </w:p>
        </w:tc>
      </w:tr>
      <w:tr>
        <w:trPr>
          <w:trHeight w:val="228"/>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&amp; Local, and Commercial</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w:t>
            </w:r>
          </w:p>
        </w:tc>
      </w:tr>
      <w:tr>
        <w:trPr>
          <w:trHeight w:val="222"/>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101,923</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 Networks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6700" w:type="dxa"/>
            <w:vAlign w:val="bottom"/>
          </w:tcPr>
          <w:p>
            <w:pPr>
              <w:ind w:left="34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118,717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56,921</w:t>
            </w:r>
          </w:p>
        </w:tc>
      </w:tr>
      <w:tr>
        <w:trPr>
          <w:trHeight w:val="228"/>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&amp; Local, and Commercial</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2"/>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57,295</w:t>
            </w: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Contract Type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Solutions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6700" w:type="dxa"/>
            <w:vAlign w:val="bottom"/>
          </w:tcPr>
          <w:p>
            <w:pPr>
              <w:ind w:left="340"/>
              <w:spacing w:after="0"/>
              <w:rPr>
                <w:sz w:val="20"/>
                <w:szCs w:val="20"/>
                <w:color w:val="auto"/>
              </w:rPr>
            </w:pPr>
            <w:r>
              <w:rPr>
                <w:rFonts w:ascii="Arial" w:cs="Arial" w:eastAsia="Arial" w:hAnsi="Arial"/>
                <w:sz w:val="18"/>
                <w:szCs w:val="18"/>
                <w:color w:val="auto"/>
              </w:rPr>
              <w:t>Firm fixed-price</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104,534</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98,379</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80,316</w:t>
            </w:r>
          </w:p>
        </w:tc>
      </w:tr>
      <w:tr>
        <w:trPr>
          <w:trHeight w:val="228"/>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Time-and-materials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r>
      <w:tr>
        <w:trPr>
          <w:trHeight w:val="228"/>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Cost plus fixed fee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w:t>
            </w:r>
          </w:p>
        </w:tc>
      </w:tr>
      <w:tr>
        <w:trPr>
          <w:trHeight w:val="222"/>
        </w:trPr>
        <w:tc>
          <w:tcPr>
            <w:tcW w:w="6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101,923</w:t>
            </w:r>
          </w:p>
        </w:tc>
      </w:tr>
      <w:tr>
        <w:trPr>
          <w:trHeight w:val="208"/>
        </w:trPr>
        <w:tc>
          <w:tcPr>
            <w:tcW w:w="6700" w:type="dxa"/>
            <w:vAlign w:val="bottom"/>
          </w:tcPr>
          <w:p>
            <w:pPr>
              <w:ind w:left="20"/>
              <w:spacing w:after="0"/>
              <w:rPr>
                <w:sz w:val="20"/>
                <w:szCs w:val="20"/>
                <w:color w:val="auto"/>
              </w:rPr>
            </w:pPr>
            <w:r>
              <w:rPr>
                <w:rFonts w:ascii="Arial" w:cs="Arial" w:eastAsia="Arial" w:hAnsi="Arial"/>
                <w:sz w:val="18"/>
                <w:szCs w:val="18"/>
                <w:color w:val="auto"/>
              </w:rPr>
              <w:t>Secure Networks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Firm fixed-price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51,313</w:t>
            </w:r>
          </w:p>
        </w:tc>
      </w:tr>
      <w:tr>
        <w:trPr>
          <w:trHeight w:val="228"/>
        </w:trPr>
        <w:tc>
          <w:tcPr>
            <w:tcW w:w="6700" w:type="dxa"/>
            <w:vAlign w:val="bottom"/>
          </w:tcPr>
          <w:p>
            <w:pPr>
              <w:ind w:left="340"/>
              <w:spacing w:after="0"/>
              <w:rPr>
                <w:sz w:val="20"/>
                <w:szCs w:val="20"/>
                <w:color w:val="auto"/>
              </w:rPr>
            </w:pPr>
            <w:r>
              <w:rPr>
                <w:rFonts w:ascii="Arial" w:cs="Arial" w:eastAsia="Arial" w:hAnsi="Arial"/>
                <w:sz w:val="18"/>
                <w:szCs w:val="18"/>
                <w:color w:val="auto"/>
              </w:rPr>
              <w:t>Time-and-materials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28"/>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plus fixed fee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r>
      <w:tr>
        <w:trPr>
          <w:trHeight w:val="222"/>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57,295</w:t>
            </w: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right="80" w:firstLine="322"/>
        <w:spacing w:after="0" w:line="271" w:lineRule="auto"/>
        <w:rPr>
          <w:sz w:val="20"/>
          <w:szCs w:val="20"/>
          <w:color w:val="auto"/>
        </w:rPr>
      </w:pPr>
      <w:r>
        <w:rPr>
          <w:rFonts w:ascii="Arial" w:cs="Arial" w:eastAsia="Arial" w:hAnsi="Arial"/>
          <w:sz w:val="17"/>
          <w:szCs w:val="17"/>
          <w:color w:val="auto"/>
        </w:rPr>
        <w:t>Revenue resulting from contracts and subcontracts with the U.S. government accounted for 96.1%, 95.4%, and 93.7% of consolidated revenue in 2021, 2020, and 2019, respectively. As our primary customer base includes agencies of the U.S. government, we have a concentration of credit risk associated with our accounts receivable, as 97.3% of our billed accounts receivable were directly with U.S. government customers. While we acknowledge the potentially material and adverse risk of such a significant concentration of credit risk, our past experience of collecting substantially all of such receivables provide us with an informed basis that such risk, if any, is manageable. We perform ongoing credit evaluations of all of our customers and generally do not require collateral or other guarantee from our customers. We maintain allowances for potential losses.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percentage of total revenue for the U.S. government, its agencies and other customers comprising more than 10% of total revenue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jc w:val="right"/>
              <w:ind w:right="89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300" w:type="dxa"/>
            <w:vAlign w:val="bottom"/>
          </w:tcPr>
          <w:p>
            <w:pPr>
              <w:jc w:val="right"/>
              <w:ind w:right="871"/>
              <w:spacing w:after="0"/>
              <w:rPr>
                <w:sz w:val="20"/>
                <w:szCs w:val="20"/>
                <w:color w:val="auto"/>
              </w:rPr>
            </w:pPr>
            <w:r>
              <w:rPr>
                <w:rFonts w:ascii="Arial" w:cs="Arial" w:eastAsia="Arial" w:hAnsi="Arial"/>
                <w:sz w:val="18"/>
                <w:szCs w:val="18"/>
                <w:b w:val="1"/>
                <w:bCs w:val="1"/>
                <w:color w:val="auto"/>
              </w:rPr>
              <w:t>2019</w:t>
            </w:r>
          </w:p>
        </w:tc>
      </w:tr>
      <w:tr>
        <w:trPr>
          <w:trHeight w:val="222"/>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Department of Defense</w:t>
            </w:r>
          </w:p>
        </w:tc>
        <w:tc>
          <w:tcPr>
            <w:tcW w:w="16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8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Civilian</w:t>
            </w:r>
          </w:p>
        </w:tc>
        <w:tc>
          <w:tcPr>
            <w:tcW w:w="68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29 %</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2" w:lineRule="exact"/>
        <w:rPr>
          <w:sz w:val="20"/>
          <w:szCs w:val="20"/>
          <w:color w:val="auto"/>
        </w:rPr>
      </w:pPr>
    </w:p>
    <w:p>
      <w:pPr>
        <w:jc w:val="both"/>
        <w:ind w:firstLine="322"/>
        <w:spacing w:after="0" w:line="257" w:lineRule="auto"/>
        <w:rPr>
          <w:sz w:val="20"/>
          <w:szCs w:val="20"/>
          <w:color w:val="auto"/>
        </w:rPr>
      </w:pPr>
      <w:r>
        <w:rPr>
          <w:rFonts w:ascii="Arial" w:cs="Arial" w:eastAsia="Arial" w:hAnsi="Arial"/>
          <w:sz w:val="18"/>
          <w:szCs w:val="18"/>
          <w:color w:val="auto"/>
        </w:rPr>
        <w:t>Performance obligations are satisfied either over time or at a point in time and are typically invoiced to the customers as work progresses in accordance with agreed-upon contractual terms, either at periodic intervals or upon achievement of contractual milestones. Generally, revenue recognition occurs before billing, resulting in contract assets. These contract assets are referred to as unbilled receivables and are reported within accounts receivable, net of reserve on our consolidated balance sheets.</w:t>
      </w:r>
    </w:p>
    <w:p>
      <w:pPr>
        <w:spacing w:after="0" w:line="187" w:lineRule="exact"/>
        <w:rPr>
          <w:sz w:val="20"/>
          <w:szCs w:val="20"/>
          <w:color w:val="auto"/>
        </w:rPr>
      </w:pPr>
    </w:p>
    <w:p>
      <w:pPr>
        <w:ind w:right="120" w:firstLine="322"/>
        <w:spacing w:after="0" w:line="255" w:lineRule="auto"/>
        <w:rPr>
          <w:sz w:val="20"/>
          <w:szCs w:val="20"/>
          <w:color w:val="auto"/>
        </w:rPr>
      </w:pPr>
      <w:r>
        <w:rPr>
          <w:rFonts w:ascii="Arial" w:cs="Arial" w:eastAsia="Arial" w:hAnsi="Arial"/>
          <w:sz w:val="18"/>
          <w:szCs w:val="18"/>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consolidated balance sheets on a net contract basis at the end of each reporting period. As of December 31, 2021 and 2020, the contract liabilities primarily related to product support services.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20" w:type="dxa"/>
            <w:vAlign w:val="bottom"/>
          </w:tcPr>
          <w:p>
            <w:pPr>
              <w:ind w:left="320"/>
              <w:spacing w:after="0"/>
              <w:rPr>
                <w:sz w:val="20"/>
                <w:szCs w:val="20"/>
                <w:color w:val="auto"/>
              </w:rPr>
            </w:pPr>
            <w:r>
              <w:rPr>
                <w:rFonts w:ascii="Arial" w:cs="Arial" w:eastAsia="Arial" w:hAnsi="Arial"/>
                <w:sz w:val="18"/>
                <w:szCs w:val="18"/>
                <w:color w:val="auto"/>
              </w:rPr>
              <w:t>Contract balances for the periods presented are as follow (in thousands):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83"/>
        </w:trPr>
        <w:tc>
          <w:tcPr>
            <w:tcW w:w="6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5"/>
        </w:trPr>
        <w:tc>
          <w:tcPr>
            <w:tcW w:w="6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7"/>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(unbilled receivables)</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6,337</w:t>
            </w:r>
          </w:p>
        </w:tc>
      </w:tr>
    </w:tbl>
    <w:p>
      <w:pPr>
        <w:spacing w:after="0" w:line="293" w:lineRule="exact"/>
        <w:rPr>
          <w:sz w:val="20"/>
          <w:szCs w:val="20"/>
          <w:color w:val="auto"/>
        </w:rPr>
      </w:pPr>
    </w:p>
    <w:p>
      <w:pPr>
        <w:ind w:right="60" w:firstLine="322"/>
        <w:spacing w:after="0" w:line="257" w:lineRule="auto"/>
        <w:rPr>
          <w:sz w:val="20"/>
          <w:szCs w:val="20"/>
          <w:color w:val="auto"/>
        </w:rPr>
      </w:pPr>
      <w:r>
        <w:rPr>
          <w:rFonts w:ascii="Arial" w:cs="Arial" w:eastAsia="Arial" w:hAnsi="Arial"/>
          <w:sz w:val="18"/>
          <w:szCs w:val="18"/>
          <w:color w:val="auto"/>
        </w:rPr>
        <w:t>The significant changes in the Company's contract assets and contract liabilities during the current period were primarily the result of the timing differences between the Company's performance, invoicing and customer payments. For the years ended December 31, 2021, 2020 and 2019, the amount of revenue recognized during the year that was included in the opening contract liabilities balance was $4.3 million, $5.3 million, and $4.2 million, respectively.</w:t>
      </w:r>
    </w:p>
    <w:p>
      <w:pPr>
        <w:spacing w:after="0" w:line="237" w:lineRule="exact"/>
        <w:rPr>
          <w:sz w:val="20"/>
          <w:szCs w:val="20"/>
          <w:color w:val="auto"/>
        </w:rPr>
      </w:pPr>
    </w:p>
    <w:p>
      <w:pPr>
        <w:jc w:val="center"/>
        <w:ind w:left="81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33655</wp:posOffset>
            </wp:positionV>
            <wp:extent cx="18916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91665" cy="8255"/>
                    </a:xfrm>
                    <a:prstGeom prst="rect">
                      <a:avLst/>
                    </a:prstGeom>
                    <a:noFill/>
                  </pic:spPr>
                </pic:pic>
              </a:graphicData>
            </a:graphic>
          </wp:anchor>
        </w:drawing>
      </w:r>
    </w:p>
    <w:p>
      <w:pPr>
        <w:spacing w:after="0" w:line="55" w:lineRule="exact"/>
        <w:rPr>
          <w:sz w:val="20"/>
          <w:szCs w:val="20"/>
          <w:color w:val="auto"/>
        </w:rPr>
      </w:pPr>
    </w:p>
    <w:p>
      <w:pPr>
        <w:ind w:left="8780"/>
        <w:spacing w:after="0"/>
        <w:tabs>
          <w:tab w:leader="none" w:pos="103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15810" cy="1790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810" cy="179070"/>
                    </a:xfrm>
                    <a:prstGeom prst="rect">
                      <a:avLst/>
                    </a:prstGeom>
                    <a:noFill/>
                  </pic:spPr>
                </pic:pic>
              </a:graphicData>
            </a:graphic>
          </wp:anchor>
        </w:drawing>
      </w:r>
    </w:p>
    <w:p>
      <w:pPr>
        <w:spacing w:after="0" w:line="45" w:lineRule="exact"/>
        <w:rPr>
          <w:sz w:val="20"/>
          <w:szCs w:val="20"/>
          <w:color w:val="auto"/>
        </w:rPr>
      </w:pPr>
    </w:p>
    <w:p>
      <w:pPr>
        <w:ind w:left="20"/>
        <w:spacing w:after="0"/>
        <w:tabs>
          <w:tab w:leader="none" w:pos="8240" w:val="left"/>
          <w:tab w:leader="none" w:pos="9000" w:val="left"/>
          <w:tab w:leader="none" w:pos="9780" w:val="left"/>
          <w:tab w:leader="none" w:pos="10540" w:val="left"/>
        </w:tabs>
        <w:rPr>
          <w:sz w:val="20"/>
          <w:szCs w:val="20"/>
          <w:color w:val="auto"/>
        </w:rPr>
      </w:pPr>
      <w:r>
        <w:rPr>
          <w:rFonts w:ascii="Arial" w:cs="Arial" w:eastAsia="Arial" w:hAnsi="Arial"/>
          <w:sz w:val="18"/>
          <w:szCs w:val="18"/>
          <w:color w:val="auto"/>
        </w:rPr>
        <w:t>Remaining performance obligation (funded backlog)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123,479</w:t>
        <w:tab/>
        <w:t>$</w:t>
      </w:r>
      <w:r>
        <w:rPr>
          <w:sz w:val="20"/>
          <w:szCs w:val="20"/>
          <w:color w:val="auto"/>
        </w:rPr>
        <w:tab/>
      </w:r>
      <w:r>
        <w:rPr>
          <w:rFonts w:ascii="Arial" w:cs="Arial" w:eastAsia="Arial" w:hAnsi="Arial"/>
          <w:sz w:val="16"/>
          <w:szCs w:val="16"/>
          <w:color w:val="auto"/>
        </w:rPr>
        <w:t>127,735</w:t>
      </w:r>
    </w:p>
    <w:p>
      <w:pPr>
        <w:spacing w:after="0" w:line="343" w:lineRule="exact"/>
        <w:rPr>
          <w:sz w:val="20"/>
          <w:szCs w:val="20"/>
          <w:color w:val="auto"/>
        </w:rPr>
      </w:pPr>
    </w:p>
    <w:p>
      <w:pPr>
        <w:ind w:firstLine="322"/>
        <w:spacing w:after="0" w:line="274" w:lineRule="auto"/>
        <w:rPr>
          <w:sz w:val="20"/>
          <w:szCs w:val="20"/>
          <w:color w:val="auto"/>
        </w:rPr>
      </w:pPr>
      <w:r>
        <w:rPr>
          <w:rFonts w:ascii="Arial" w:cs="Arial" w:eastAsia="Arial" w:hAnsi="Arial"/>
          <w:sz w:val="18"/>
          <w:szCs w:val="18"/>
          <w:color w:val="auto"/>
        </w:rPr>
        <w:t>We expect to recognize approximately 85.8% of our remaining performance obligations as revenue in 2022, and approximately 14.1% by 2023, with the remainder recognized thereafter.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Receivables</w:t>
      </w:r>
    </w:p>
    <w:p>
      <w:pPr>
        <w:spacing w:after="0" w:line="213" w:lineRule="exact"/>
        <w:rPr>
          <w:sz w:val="20"/>
          <w:szCs w:val="20"/>
          <w:color w:val="auto"/>
        </w:rPr>
      </w:pPr>
    </w:p>
    <w:p>
      <w:pPr>
        <w:ind w:right="100" w:firstLine="322"/>
        <w:spacing w:after="0" w:line="251" w:lineRule="auto"/>
        <w:rPr>
          <w:sz w:val="20"/>
          <w:szCs w:val="20"/>
          <w:color w:val="auto"/>
        </w:rPr>
      </w:pPr>
      <w:r>
        <w:rPr>
          <w:rFonts w:ascii="Arial" w:cs="Arial" w:eastAsia="Arial" w:hAnsi="Arial"/>
          <w:sz w:val="17"/>
          <w:szCs w:val="17"/>
          <w:color w:val="auto"/>
        </w:rPr>
        <w:t>Billed receivables are amounts billed and due from our customers and are reported within accounts receivable, net of reserve on the consolidated balance sheets. The portion of the payments retained by the customer until final contract settlement is not considered a significant financing component due to the intent of the retainage being the customer’s protection with respect to full and final performance under the contract.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ind w:left="320"/>
              <w:spacing w:after="0"/>
              <w:rPr>
                <w:sz w:val="20"/>
                <w:szCs w:val="20"/>
                <w:color w:val="auto"/>
              </w:rPr>
            </w:pPr>
            <w:r>
              <w:rPr>
                <w:rFonts w:ascii="Arial" w:cs="Arial" w:eastAsia="Arial" w:hAnsi="Arial"/>
                <w:sz w:val="18"/>
                <w:szCs w:val="18"/>
                <w:color w:val="auto"/>
              </w:rPr>
              <w:t>The components of accounts receivable, net consisted of the following (in thousands):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49"/>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5"/>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1"/>
              <w:spacing w:after="0"/>
              <w:rPr>
                <w:sz w:val="20"/>
                <w:szCs w:val="20"/>
                <w:color w:val="auto"/>
              </w:rPr>
            </w:pPr>
            <w:r>
              <w:rPr>
                <w:rFonts w:ascii="Arial" w:cs="Arial" w:eastAsia="Arial" w:hAnsi="Arial"/>
                <w:sz w:val="18"/>
                <w:szCs w:val="18"/>
                <w:b w:val="1"/>
                <w:bCs w:val="1"/>
                <w:color w:val="auto"/>
                <w:w w:val="94"/>
              </w:rPr>
              <w:t>2020</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accounts receivable</w:t>
            </w: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12,060</w:t>
            </w:r>
          </w:p>
        </w:tc>
      </w:tr>
      <w:tr>
        <w:trPr>
          <w:trHeight w:val="242"/>
        </w:trPr>
        <w:tc>
          <w:tcPr>
            <w:tcW w:w="82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19,161</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5"/>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59,844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30,913</w:t>
            </w: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activities in the allowance for doubtful accounts are set forth below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Balance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71"/>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1"/>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Beginning</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Bad Debt</w:t>
            </w:r>
          </w:p>
        </w:tc>
        <w:tc>
          <w:tcPr>
            <w:tcW w:w="1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4"/>
              </w:rPr>
              <w:t>Write-offs / Recoveries</w:t>
            </w:r>
          </w:p>
        </w:tc>
        <w:tc>
          <w:tcPr>
            <w:tcW w:w="260" w:type="dxa"/>
            <w:vAlign w:val="bottom"/>
          </w:tcPr>
          <w:p>
            <w:pPr>
              <w:spacing w:after="0"/>
              <w:rPr>
                <w:sz w:val="18"/>
                <w:szCs w:val="18"/>
                <w:color w:val="auto"/>
              </w:rPr>
            </w:pPr>
          </w:p>
        </w:tc>
        <w:tc>
          <w:tcPr>
            <w:tcW w:w="1180" w:type="dxa"/>
            <w:vAlign w:val="bottom"/>
          </w:tcPr>
          <w:p>
            <w:pPr>
              <w:jc w:val="center"/>
              <w:ind w:right="171"/>
              <w:spacing w:after="0"/>
              <w:rPr>
                <w:sz w:val="20"/>
                <w:szCs w:val="20"/>
                <w:color w:val="auto"/>
              </w:rPr>
            </w:pPr>
            <w:r>
              <w:rPr>
                <w:rFonts w:ascii="Arial" w:cs="Arial" w:eastAsia="Arial" w:hAnsi="Arial"/>
                <w:sz w:val="18"/>
                <w:szCs w:val="18"/>
                <w:b w:val="1"/>
                <w:bCs w:val="1"/>
                <w:color w:val="auto"/>
                <w:w w:val="93"/>
              </w:rPr>
              <w:t>End</w:t>
            </w:r>
          </w:p>
        </w:tc>
        <w:tc>
          <w:tcPr>
            <w:tcW w:w="0" w:type="dxa"/>
            <w:vAlign w:val="bottom"/>
          </w:tcPr>
          <w:p>
            <w:pPr>
              <w:spacing w:after="0"/>
              <w:rPr>
                <w:sz w:val="1"/>
                <w:szCs w:val="1"/>
                <w:color w:val="auto"/>
              </w:rPr>
            </w:pPr>
          </w:p>
        </w:tc>
      </w:tr>
      <w:tr>
        <w:trPr>
          <w:trHeight w:val="48"/>
        </w:trPr>
        <w:tc>
          <w:tcPr>
            <w:tcW w:w="4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1"/>
              </w:rPr>
              <w:t>of Year</w:t>
            </w:r>
          </w:p>
        </w:tc>
        <w:tc>
          <w:tcPr>
            <w:tcW w:w="200" w:type="dxa"/>
            <w:vAlign w:val="bottom"/>
          </w:tcPr>
          <w:p>
            <w:pPr>
              <w:spacing w:after="0"/>
              <w:rPr>
                <w:sz w:val="4"/>
                <w:szCs w:val="4"/>
                <w:color w:val="auto"/>
              </w:rPr>
            </w:pPr>
          </w:p>
        </w:tc>
        <w:tc>
          <w:tcPr>
            <w:tcW w:w="1360" w:type="dxa"/>
            <w:vAlign w:val="bottom"/>
            <w:gridSpan w:val="2"/>
            <w:vMerge w:val="restart"/>
          </w:tcPr>
          <w:p>
            <w:pPr>
              <w:jc w:val="center"/>
              <w:ind w:right="320"/>
              <w:spacing w:after="0" w:line="263" w:lineRule="exact"/>
              <w:rPr>
                <w:sz w:val="20"/>
                <w:szCs w:val="20"/>
                <w:color w:val="auto"/>
              </w:rPr>
            </w:pPr>
            <w:r>
              <w:rPr>
                <w:rFonts w:ascii="Arial" w:cs="Arial" w:eastAsia="Arial" w:hAnsi="Arial"/>
                <w:sz w:val="18"/>
                <w:szCs w:val="18"/>
                <w:b w:val="1"/>
                <w:bCs w:val="1"/>
                <w:color w:val="auto"/>
                <w:w w:val="81"/>
              </w:rPr>
              <w:t xml:space="preserve">Expenses </w:t>
            </w:r>
            <w:r>
              <w:rPr>
                <w:rFonts w:ascii="Arial" w:cs="Arial" w:eastAsia="Arial" w:hAnsi="Arial"/>
                <w:sz w:val="23"/>
                <w:szCs w:val="23"/>
                <w:b w:val="1"/>
                <w:bCs w:val="1"/>
                <w:color w:val="auto"/>
                <w:w w:val="81"/>
                <w:vertAlign w:val="superscript"/>
              </w:rPr>
              <w:t>(1)</w:t>
            </w:r>
          </w:p>
        </w:tc>
        <w:tc>
          <w:tcPr>
            <w:tcW w:w="188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vMerge w:val="restart"/>
          </w:tcPr>
          <w:p>
            <w:pPr>
              <w:jc w:val="center"/>
              <w:ind w:right="171"/>
              <w:spacing w:after="0"/>
              <w:rPr>
                <w:sz w:val="20"/>
                <w:szCs w:val="20"/>
                <w:color w:val="auto"/>
              </w:rPr>
            </w:pPr>
            <w:r>
              <w:rPr>
                <w:rFonts w:ascii="Arial" w:cs="Arial" w:eastAsia="Arial" w:hAnsi="Arial"/>
                <w:sz w:val="18"/>
                <w:szCs w:val="18"/>
                <w:b w:val="1"/>
                <w:bCs w:val="1"/>
                <w:color w:val="auto"/>
                <w:w w:val="91"/>
              </w:rPr>
              <w:t>of Year</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jc w:val="right"/>
              <w:ind w:right="738"/>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2"/>
        </w:trPr>
        <w:tc>
          <w:tcPr>
            <w:tcW w:w="482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640" w:hanging="311"/>
        <w:spacing w:after="0"/>
        <w:tabs>
          <w:tab w:leader="none" w:pos="64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Accounts receivable reserves and reversal of allowance for subsequent collections, net</w:t>
      </w:r>
    </w:p>
    <w:p>
      <w:pPr>
        <w:spacing w:after="0" w:line="1" w:lineRule="exact"/>
        <w:rPr>
          <w:rFonts w:ascii="Arial" w:cs="Arial" w:eastAsia="Arial" w:hAnsi="Arial"/>
          <w:sz w:val="23"/>
          <w:szCs w:val="23"/>
          <w:color w:val="auto"/>
          <w:vertAlign w:val="superscript"/>
        </w:rPr>
      </w:pPr>
    </w:p>
    <w:p>
      <w:pPr>
        <w:ind w:left="640" w:hanging="311"/>
        <w:spacing w:after="0" w:line="193" w:lineRule="auto"/>
        <w:tabs>
          <w:tab w:leader="none" w:pos="64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Accounts receivable written-off and subsequent recoveries, net</w:t>
      </w:r>
    </w:p>
    <w:p>
      <w:pPr>
        <w:spacing w:after="0" w:line="187" w:lineRule="exact"/>
        <w:rPr>
          <w:sz w:val="20"/>
          <w:szCs w:val="20"/>
          <w:color w:val="auto"/>
        </w:rPr>
      </w:pPr>
    </w:p>
    <w:p>
      <w:pPr>
        <w:ind w:right="200" w:firstLine="322"/>
        <w:spacing w:after="0" w:line="229" w:lineRule="auto"/>
        <w:rPr>
          <w:sz w:val="20"/>
          <w:szCs w:val="20"/>
          <w:color w:val="auto"/>
        </w:rPr>
      </w:pPr>
      <w:r>
        <w:rPr>
          <w:rFonts w:ascii="Arial" w:cs="Arial" w:eastAsia="Arial" w:hAnsi="Arial"/>
          <w:sz w:val="18"/>
          <w:szCs w:val="18"/>
          <w:color w:val="auto"/>
        </w:rPr>
        <w:t>On July 15, 2016, the Company entered into an accounts receivable purchase agreement under which the Company could sell certain accounts receivable (balance not to exceed $10 million) to a third party, or the “Factor”, without recourse to the Company, with an availability period through June 30, 2022. There were no accounts receivable sold during 2021 and 2020, respectively. As of December 31, 2021 and 2020, there were no outstanding sold accounts receivable.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w:t>
      </w:r>
    </w:p>
    <w:p>
      <w:pPr>
        <w:spacing w:after="0" w:line="186" w:lineRule="exact"/>
        <w:rPr>
          <w:sz w:val="20"/>
          <w:szCs w:val="20"/>
          <w:color w:val="auto"/>
        </w:rPr>
      </w:pPr>
    </w:p>
    <w:p>
      <w:pPr>
        <w:ind w:right="160" w:firstLine="322"/>
        <w:spacing w:after="0" w:line="254" w:lineRule="auto"/>
        <w:rPr>
          <w:sz w:val="20"/>
          <w:szCs w:val="20"/>
          <w:color w:val="auto"/>
        </w:rPr>
      </w:pPr>
      <w:r>
        <w:rPr>
          <w:rFonts w:ascii="Arial" w:cs="Arial" w:eastAsia="Arial" w:hAnsi="Arial"/>
          <w:sz w:val="16"/>
          <w:szCs w:val="16"/>
          <w:color w:val="auto"/>
        </w:rPr>
        <w:t>On July 30, 2021, the Company acquired the assets of Diamond Fortress Technologies ("DFT") and wholly-owned subsidiaries for a total purchase consideration of $6.7 million, inclusive of $0.3 million related to a pre-existing contractual arrangement with DFT. Upon closing, $5.9 million of cash was paid with an additional $0.6 million payable to DFT 18 months after the close date (the "holdback"). The holdback amount has been discounted to its present value of $0.5 million using a discount rate relevant to the acquisition. The acquisition adds several new patents to the Company’s library of biometric and digital identity intellectual property. The addition of contactless biometrics technology will enable the Company to better serve the needs of organizations in existing and new markets. The acquisition of DFT has been accounted for under U.S. GAAP using the acquisition method of accounting. The total purchase consideration of $6.7 million has been allocated among the assets acquired at their fair value at acquisition date.</w:t>
      </w:r>
    </w:p>
    <w:p>
      <w:pPr>
        <w:spacing w:after="0" w:line="127" w:lineRule="exact"/>
        <w:rPr>
          <w:sz w:val="20"/>
          <w:szCs w:val="20"/>
          <w:color w:val="auto"/>
        </w:rPr>
      </w:pPr>
    </w:p>
    <w:p>
      <w:pPr>
        <w:ind w:right="60" w:firstLine="322"/>
        <w:spacing w:after="0" w:line="229" w:lineRule="auto"/>
        <w:rPr>
          <w:sz w:val="20"/>
          <w:szCs w:val="20"/>
          <w:color w:val="auto"/>
        </w:rPr>
      </w:pPr>
      <w:r>
        <w:rPr>
          <w:rFonts w:ascii="Arial" w:cs="Arial" w:eastAsia="Arial" w:hAnsi="Arial"/>
          <w:sz w:val="18"/>
          <w:szCs w:val="18"/>
          <w:color w:val="auto"/>
        </w:rPr>
        <w:t>The Company recognized $3.7 million of intangible assets and $3.0 million of goodwill, which is housed in the Telos ID reporting unit, part of the Security Solutions operating segment. Goodwill is primarily attributable to excess of the purchase price over the acquired identifiable net tangible and intangible assets. The acquired intangible assets will be amortized on a straight-line basis over 3 - 8 years. The acquisition was considered an asset purchase for tax purposes and the recognized goodwill is deductible for tax purposes.</w:t>
      </w:r>
    </w:p>
    <w:p>
      <w:pPr>
        <w:spacing w:after="0" w:line="136" w:lineRule="exact"/>
        <w:rPr>
          <w:sz w:val="20"/>
          <w:szCs w:val="20"/>
          <w:color w:val="auto"/>
        </w:rPr>
      </w:pPr>
    </w:p>
    <w:p>
      <w:pPr>
        <w:ind w:right="60" w:firstLine="322"/>
        <w:spacing w:after="0" w:line="233" w:lineRule="auto"/>
        <w:rPr>
          <w:sz w:val="20"/>
          <w:szCs w:val="20"/>
          <w:color w:val="auto"/>
        </w:rPr>
      </w:pPr>
      <w:r>
        <w:rPr>
          <w:rFonts w:ascii="Arial" w:cs="Arial" w:eastAsia="Arial" w:hAnsi="Arial"/>
          <w:sz w:val="18"/>
          <w:szCs w:val="18"/>
          <w:color w:val="auto"/>
        </w:rPr>
        <w:t>The results of DFT operations have been included in our consolidated statements of operations from the acquisition date, and are not material for the year ended December 31, 2021. Acquisition-related costs were immaterial and have been expensed as incurred. The pro-forma financial information has not been presented for this acquisition as the impact to our consolidated financial statements is not material.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0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29"/>
        </w:trPr>
        <w:tc>
          <w:tcPr>
            <w:tcW w:w="4300" w:type="dxa"/>
            <w:vAlign w:val="bottom"/>
          </w:tcPr>
          <w:p>
            <w:pPr>
              <w:ind w:left="320"/>
              <w:spacing w:after="0"/>
              <w:rPr>
                <w:sz w:val="20"/>
                <w:szCs w:val="20"/>
                <w:color w:val="auto"/>
              </w:rPr>
            </w:pPr>
            <w:r>
              <w:rPr>
                <w:rFonts w:ascii="Arial" w:cs="Arial" w:eastAsia="Arial" w:hAnsi="Arial"/>
                <w:sz w:val="18"/>
                <w:szCs w:val="18"/>
                <w:color w:val="auto"/>
              </w:rPr>
              <w:t>The carrying value of the goodwill is as follows:</w:t>
            </w: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69"/>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Security Solutions</w:t>
            </w:r>
          </w:p>
        </w:tc>
        <w:tc>
          <w:tcPr>
            <w:tcW w:w="280" w:type="dxa"/>
            <w:vAlign w:val="bottom"/>
          </w:tcPr>
          <w:p>
            <w:pPr>
              <w:spacing w:after="0"/>
              <w:rPr>
                <w:sz w:val="24"/>
                <w:szCs w:val="24"/>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Secure Networks</w:t>
            </w:r>
          </w:p>
        </w:tc>
        <w:tc>
          <w:tcPr>
            <w:tcW w:w="500" w:type="dxa"/>
            <w:vAlign w:val="bottom"/>
          </w:tcPr>
          <w:p>
            <w:pPr>
              <w:spacing w:after="0"/>
              <w:rPr>
                <w:sz w:val="24"/>
                <w:szCs w:val="24"/>
                <w:color w:val="auto"/>
              </w:rPr>
            </w:pPr>
          </w:p>
        </w:tc>
        <w:tc>
          <w:tcPr>
            <w:tcW w:w="1720" w:type="dxa"/>
            <w:vAlign w:val="bottom"/>
          </w:tcPr>
          <w:p>
            <w:pPr>
              <w:jc w:val="right"/>
              <w:ind w:right="831"/>
              <w:spacing w:after="0"/>
              <w:rPr>
                <w:sz w:val="20"/>
                <w:szCs w:val="20"/>
                <w:color w:val="auto"/>
              </w:rPr>
            </w:pPr>
            <w:r>
              <w:rPr>
                <w:rFonts w:ascii="Arial" w:cs="Arial" w:eastAsia="Arial" w:hAnsi="Arial"/>
                <w:sz w:val="18"/>
                <w:szCs w:val="18"/>
                <w:b w:val="1"/>
                <w:bCs w:val="1"/>
                <w:color w:val="auto"/>
              </w:rPr>
              <w:t>Total</w:t>
            </w:r>
          </w:p>
        </w:tc>
      </w:tr>
      <w:tr>
        <w:trPr>
          <w:trHeight w:val="222"/>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r>
      <w:tr>
        <w:trPr>
          <w:trHeight w:val="228"/>
        </w:trPr>
        <w:tc>
          <w:tcPr>
            <w:tcW w:w="4300" w:type="dxa"/>
            <w:vAlign w:val="bottom"/>
          </w:tcPr>
          <w:p>
            <w:pPr>
              <w:ind w:left="20"/>
              <w:spacing w:after="0"/>
              <w:rPr>
                <w:sz w:val="20"/>
                <w:szCs w:val="20"/>
                <w:color w:val="auto"/>
              </w:rPr>
            </w:pPr>
            <w:r>
              <w:rPr>
                <w:rFonts w:ascii="Arial" w:cs="Arial" w:eastAsia="Arial" w:hAnsi="Arial"/>
                <w:sz w:val="18"/>
                <w:szCs w:val="18"/>
                <w:color w:val="auto"/>
              </w:rPr>
              <w:t>Acquired goodwill</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3,006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3,006</w:t>
            </w:r>
          </w:p>
        </w:tc>
      </w:tr>
      <w:tr>
        <w:trPr>
          <w:trHeight w:val="247"/>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40" w:firstLine="322"/>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5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Overview and Summary of Significant Accounting Policies of the Notes to Consolidated Financial Statements, we reorganized our segment reporting in the fourth quarter of 2021 to align with how our CODM currently oversees the business, allocates resources and evaluates operating performance. As a result of the segment reorganization, we reported two operating and reportable segments: Security Solutions and Secure Networks.</w:t>
      </w:r>
    </w:p>
    <w:p>
      <w:pPr>
        <w:spacing w:after="0" w:line="187" w:lineRule="exact"/>
        <w:rPr>
          <w:sz w:val="20"/>
          <w:szCs w:val="20"/>
          <w:color w:val="auto"/>
        </w:rPr>
      </w:pPr>
    </w:p>
    <w:p>
      <w:pPr>
        <w:ind w:firstLine="322"/>
        <w:spacing w:after="0" w:line="274" w:lineRule="auto"/>
        <w:rPr>
          <w:sz w:val="20"/>
          <w:szCs w:val="20"/>
          <w:color w:val="auto"/>
        </w:rPr>
      </w:pPr>
      <w:r>
        <w:rPr>
          <w:rFonts w:ascii="Arial" w:cs="Arial" w:eastAsia="Arial" w:hAnsi="Arial"/>
          <w:sz w:val="18"/>
          <w:szCs w:val="18"/>
          <w:color w:val="auto"/>
        </w:rPr>
        <w:t>The Security Solution segment consists of three reporting units: Secure Communications, Information Assurance / Xacta and Telos ID; while the Secure Networks segment also became its own reporting unit for purposes of testing goodwill.</w:t>
      </w:r>
    </w:p>
    <w:p>
      <w:pPr>
        <w:spacing w:after="0" w:line="172" w:lineRule="exact"/>
        <w:rPr>
          <w:sz w:val="20"/>
          <w:szCs w:val="20"/>
          <w:color w:val="auto"/>
        </w:rPr>
      </w:pPr>
    </w:p>
    <w:p>
      <w:pPr>
        <w:ind w:right="20" w:firstLine="322"/>
        <w:spacing w:after="0" w:line="255" w:lineRule="auto"/>
        <w:rPr>
          <w:sz w:val="20"/>
          <w:szCs w:val="20"/>
          <w:color w:val="auto"/>
        </w:rPr>
      </w:pPr>
      <w:r>
        <w:rPr>
          <w:rFonts w:ascii="Arial" w:cs="Arial" w:eastAsia="Arial" w:hAnsi="Arial"/>
          <w:sz w:val="18"/>
          <w:szCs w:val="18"/>
          <w:color w:val="auto"/>
        </w:rPr>
        <w:t>The existing goodwill reported from prior years was previously identified under the Cyber Operations and Defense reporting unit, which was comprised of Information Assurance / Xacta and Secure Networks. We determined that the goodwill balance was specifically related to an acquisition associated within the Secure Networks reporting unit; therefore, the previous goodwill balance was allocated entirely under our updated reporting unit structure to Secure Networks. Our goodwill from the recent DFT acquisition is housed within the Telos ID reporting unit, which is part of the Security Solutions operating segment.</w:t>
      </w:r>
    </w:p>
    <w:p>
      <w:pPr>
        <w:spacing w:after="0" w:line="189" w:lineRule="exact"/>
        <w:rPr>
          <w:sz w:val="20"/>
          <w:szCs w:val="20"/>
          <w:color w:val="auto"/>
        </w:rPr>
      </w:pPr>
    </w:p>
    <w:p>
      <w:pPr>
        <w:ind w:right="220" w:firstLine="322"/>
        <w:spacing w:after="0" w:line="339" w:lineRule="auto"/>
        <w:rPr>
          <w:sz w:val="20"/>
          <w:szCs w:val="20"/>
          <w:color w:val="auto"/>
        </w:rPr>
      </w:pPr>
      <w:r>
        <w:rPr>
          <w:rFonts w:ascii="Arial" w:cs="Arial" w:eastAsia="Arial" w:hAnsi="Arial"/>
          <w:sz w:val="16"/>
          <w:szCs w:val="16"/>
          <w:color w:val="auto"/>
        </w:rPr>
        <w:t>The net assets attributable to the reporting units are determined based upon the estimated assets and liabilities attributable to the reporting units in deriving its free cash flows. In addition, the estimate of the total fair value of our reporting units is compared to the market capitalization of the Company.</w:t>
      </w:r>
    </w:p>
    <w:p>
      <w:pPr>
        <w:spacing w:after="0" w:line="124" w:lineRule="exact"/>
        <w:rPr>
          <w:sz w:val="20"/>
          <w:szCs w:val="20"/>
          <w:color w:val="auto"/>
        </w:rPr>
      </w:pPr>
    </w:p>
    <w:p>
      <w:pPr>
        <w:ind w:right="160" w:firstLine="322"/>
        <w:spacing w:after="0" w:line="257" w:lineRule="auto"/>
        <w:rPr>
          <w:sz w:val="20"/>
          <w:szCs w:val="20"/>
          <w:color w:val="auto"/>
        </w:rPr>
      </w:pPr>
      <w:r>
        <w:rPr>
          <w:rFonts w:ascii="Arial" w:cs="Arial" w:eastAsia="Arial" w:hAnsi="Arial"/>
          <w:sz w:val="18"/>
          <w:szCs w:val="18"/>
          <w:color w:val="auto"/>
        </w:rPr>
        <w:t>Goodwill is subject to annual impairment tests and in the interim if triggering events are present before the annual tests, we will assess impairment. At year-end, the Company performed its annual impairment test of goodwill for all of the reporting units. Based on our qualitative assessment, we concluded that it was more-likely-than-not that the estimated fair value of the reporting units exceeded its carrying value. For the years ended December 31, 2021, 2020 and 2019, no impairment charges were taken.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r>
        <w:rPr>
          <w:rFonts w:ascii="Arial" w:cs="Arial" w:eastAsia="Arial" w:hAnsi="Arial"/>
          <w:sz w:val="18"/>
          <w:szCs w:val="18"/>
          <w:color w:val="auto"/>
        </w:rPr>
        <w:t>.</w:t>
      </w:r>
      <w:r>
        <w:rPr>
          <w:rFonts w:ascii="Arial" w:cs="Arial" w:eastAsia="Arial" w:hAnsi="Arial"/>
          <w:sz w:val="18"/>
          <w:szCs w:val="18"/>
          <w:b w:val="1"/>
          <w:bCs w:val="1"/>
          <w:color w:val="auto"/>
        </w:rPr>
        <w:t xml:space="preserve"> Intangible Assets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with finite lives are amortized over the following estimated useful lives: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8"/>
                <w:szCs w:val="18"/>
                <w:color w:val="auto"/>
              </w:rPr>
              <w:t>Estimated Useful Life</w:t>
            </w: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40" w:type="dxa"/>
            <w:vAlign w:val="bottom"/>
            <w:gridSpan w:val="4"/>
            <w:shd w:val="clear" w:color="auto" w:fill="CCEEFF"/>
          </w:tcPr>
          <w:p>
            <w:pPr>
              <w:jc w:val="right"/>
              <w:ind w:right="777"/>
              <w:spacing w:after="0"/>
              <w:rPr>
                <w:sz w:val="20"/>
                <w:szCs w:val="20"/>
                <w:color w:val="auto"/>
              </w:rPr>
            </w:pPr>
            <w:r>
              <w:rPr>
                <w:rFonts w:ascii="Arial" w:cs="Arial" w:eastAsia="Arial" w:hAnsi="Arial"/>
                <w:sz w:val="18"/>
                <w:szCs w:val="18"/>
                <w:color w:val="auto"/>
              </w:rPr>
              <w:t>8 years</w:t>
            </w:r>
          </w:p>
        </w:tc>
      </w:tr>
      <w:tr>
        <w:trPr>
          <w:trHeight w:val="228"/>
        </w:trPr>
        <w:tc>
          <w:tcPr>
            <w:tcW w:w="312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4"/>
          </w:tcPr>
          <w:p>
            <w:pPr>
              <w:jc w:val="right"/>
              <w:ind w:right="777"/>
              <w:spacing w:after="0"/>
              <w:rPr>
                <w:sz w:val="20"/>
                <w:szCs w:val="20"/>
                <w:color w:val="auto"/>
              </w:rPr>
            </w:pPr>
            <w:r>
              <w:rPr>
                <w:rFonts w:ascii="Arial" w:cs="Arial" w:eastAsia="Arial" w:hAnsi="Arial"/>
                <w:sz w:val="18"/>
                <w:szCs w:val="18"/>
                <w:color w:val="auto"/>
              </w:rPr>
              <w:t>3 years</w:t>
            </w:r>
          </w:p>
        </w:tc>
      </w:tr>
      <w:tr>
        <w:trPr>
          <w:trHeight w:val="228"/>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40" w:type="dxa"/>
            <w:vAlign w:val="bottom"/>
            <w:gridSpan w:val="4"/>
            <w:shd w:val="clear" w:color="auto" w:fill="CCEEFF"/>
          </w:tcPr>
          <w:p>
            <w:pPr>
              <w:jc w:val="right"/>
              <w:ind w:right="777"/>
              <w:spacing w:after="0"/>
              <w:rPr>
                <w:sz w:val="20"/>
                <w:szCs w:val="20"/>
                <w:color w:val="auto"/>
              </w:rPr>
            </w:pPr>
            <w:r>
              <w:rPr>
                <w:rFonts w:ascii="Arial" w:cs="Arial" w:eastAsia="Arial" w:hAnsi="Arial"/>
                <w:sz w:val="18"/>
                <w:szCs w:val="18"/>
                <w:color w:val="auto"/>
              </w:rPr>
              <w:t>2 years</w:t>
            </w:r>
          </w:p>
        </w:tc>
      </w:tr>
      <w:tr>
        <w:trPr>
          <w:trHeight w:val="483"/>
        </w:trPr>
        <w:tc>
          <w:tcPr>
            <w:tcW w:w="7140" w:type="dxa"/>
            <w:vAlign w:val="bottom"/>
            <w:gridSpan w:val="10"/>
          </w:tcPr>
          <w:p>
            <w:pPr>
              <w:ind w:left="320"/>
              <w:spacing w:after="0"/>
              <w:rPr>
                <w:sz w:val="20"/>
                <w:szCs w:val="20"/>
                <w:color w:val="auto"/>
              </w:rPr>
            </w:pPr>
            <w:r>
              <w:rPr>
                <w:rFonts w:ascii="Arial" w:cs="Arial" w:eastAsia="Arial" w:hAnsi="Arial"/>
                <w:sz w:val="18"/>
                <w:szCs w:val="18"/>
                <w:color w:val="auto"/>
              </w:rPr>
              <w:t>Intangible assets, all of which are finite-lived, consists of the following (in thousands):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9"/>
        </w:trPr>
        <w:tc>
          <w:tcPr>
            <w:tcW w:w="3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b w:val="1"/>
                <w:bCs w:val="1"/>
                <w:color w:val="auto"/>
                <w:w w:val="90"/>
              </w:rPr>
              <w:t>December 31, 2021</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1160"/>
              <w:spacing w:after="0"/>
              <w:rPr>
                <w:sz w:val="20"/>
                <w:szCs w:val="20"/>
                <w:color w:val="auto"/>
              </w:rPr>
            </w:pPr>
            <w:r>
              <w:rPr>
                <w:rFonts w:ascii="Arial" w:cs="Arial" w:eastAsia="Arial" w:hAnsi="Arial"/>
                <w:sz w:val="18"/>
                <w:szCs w:val="18"/>
                <w:b w:val="1"/>
                <w:bCs w:val="1"/>
                <w:color w:val="auto"/>
                <w:w w:val="93"/>
              </w:rPr>
              <w:t>December 31, 2020</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28"/>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1"/>
                <w:szCs w:val="11"/>
                <w:color w:val="auto"/>
              </w:rPr>
            </w:pPr>
          </w:p>
        </w:tc>
        <w:tc>
          <w:tcPr>
            <w:tcW w:w="1120" w:type="dxa"/>
            <w:vAlign w:val="bottom"/>
            <w:gridSpan w:val="2"/>
          </w:tcPr>
          <w:p>
            <w:pPr>
              <w:ind w:left="40"/>
              <w:spacing w:after="0" w:line="128"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060" w:type="dxa"/>
            <w:vAlign w:val="bottom"/>
          </w:tcPr>
          <w:p>
            <w:pPr>
              <w:jc w:val="center"/>
              <w:ind w:right="77"/>
              <w:spacing w:after="0" w:line="128"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200" w:type="dxa"/>
            <w:vAlign w:val="bottom"/>
            <w:gridSpan w:val="3"/>
          </w:tcPr>
          <w:p>
            <w:pPr>
              <w:ind w:left="60"/>
              <w:spacing w:after="0" w:line="128"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060" w:type="dxa"/>
            <w:vAlign w:val="bottom"/>
          </w:tcPr>
          <w:p>
            <w:pPr>
              <w:jc w:val="right"/>
              <w:ind w:right="117"/>
              <w:spacing w:after="0" w:line="128" w:lineRule="exact"/>
              <w:rPr>
                <w:sz w:val="20"/>
                <w:szCs w:val="20"/>
                <w:color w:val="auto"/>
              </w:rPr>
            </w:pPr>
            <w:r>
              <w:rPr>
                <w:rFonts w:ascii="Arial" w:cs="Arial" w:eastAsia="Arial" w:hAnsi="Arial"/>
                <w:sz w:val="14"/>
                <w:szCs w:val="14"/>
                <w:b w:val="1"/>
                <w:bCs w:val="1"/>
                <w:color w:val="auto"/>
                <w:w w:val="99"/>
              </w:rPr>
              <w:t>Net Carrying</w:t>
            </w:r>
          </w:p>
        </w:tc>
      </w:tr>
      <w:tr>
        <w:trPr>
          <w:trHeight w:val="187"/>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b w:val="1"/>
                <w:bCs w:val="1"/>
                <w:color w:val="auto"/>
              </w:rPr>
              <w:t>Value</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8"/>
        </w:trPr>
        <w:tc>
          <w:tcPr>
            <w:tcW w:w="31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8"/>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7,420</w:t>
            </w:r>
          </w:p>
        </w:tc>
      </w:tr>
      <w:tr>
        <w:trPr>
          <w:trHeight w:val="222"/>
        </w:trPr>
        <w:tc>
          <w:tcPr>
            <w:tcW w:w="3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19,199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7,420</w:t>
            </w: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was $1.9 million, $1.7 million, and $1.8 million for the years ended December 31, 2021, 2020, and 2019, respectively.</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expected future annual amortization expense of intangible assets as of December 31, 2021 is presented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Years Ending December 31,</w:t>
            </w:r>
          </w:p>
        </w:tc>
        <w:tc>
          <w:tcPr>
            <w:tcW w:w="4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Amount</w:t>
            </w:r>
          </w:p>
        </w:tc>
      </w:tr>
      <w:tr>
        <w:trPr>
          <w:trHeight w:val="222"/>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r>
      <w:tr>
        <w:trPr>
          <w:trHeight w:val="228"/>
        </w:trPr>
        <w:tc>
          <w:tcPr>
            <w:tcW w:w="894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7,657</w:t>
            </w:r>
          </w:p>
        </w:tc>
      </w:tr>
      <w:tr>
        <w:trPr>
          <w:trHeight w:val="228"/>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r>
      <w:tr>
        <w:trPr>
          <w:trHeight w:val="228"/>
        </w:trPr>
        <w:tc>
          <w:tcPr>
            <w:tcW w:w="894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28"/>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8"/>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r>
      <w:tr>
        <w:trPr>
          <w:trHeight w:val="247"/>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Obligations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Enlightenment Capital Credit Agreement</w:t>
      </w:r>
    </w:p>
    <w:p>
      <w:pPr>
        <w:spacing w:after="0" w:line="222" w:lineRule="exact"/>
        <w:rPr>
          <w:sz w:val="20"/>
          <w:szCs w:val="20"/>
          <w:color w:val="auto"/>
        </w:rPr>
      </w:pPr>
    </w:p>
    <w:p>
      <w:pPr>
        <w:ind w:firstLine="322"/>
        <w:spacing w:after="0" w:line="257" w:lineRule="auto"/>
        <w:rPr>
          <w:sz w:val="20"/>
          <w:szCs w:val="20"/>
          <w:color w:val="auto"/>
        </w:rPr>
      </w:pPr>
      <w:r>
        <w:rPr>
          <w:rFonts w:ascii="Arial" w:cs="Arial" w:eastAsia="Arial" w:hAnsi="Arial"/>
          <w:sz w:val="18"/>
          <w:szCs w:val="18"/>
          <w:color w:val="auto"/>
        </w:rPr>
        <w:t>On January 25, 2017, we entered into a Credit Agreement (the "Credit Agreement") with Enlightenment Capital Solutions Fund II, L.P., as agent (the "Agent") and the lenders party thereto (the "Lenders") (together referenced as “EnCap”). The Credit Agreement provided for an $11 million senior term loan (the "Loan") with a maturity date of January 25, 2022, subject to acceleration in the event of customary events of default. All borrowings under the Credit Agreement accrued interest at the rate of 13.0% per annum.</w:t>
      </w:r>
    </w:p>
    <w:p>
      <w:pPr>
        <w:spacing w:after="0" w:line="187" w:lineRule="exact"/>
        <w:rPr>
          <w:sz w:val="20"/>
          <w:szCs w:val="20"/>
          <w:color w:val="auto"/>
        </w:rPr>
      </w:pPr>
    </w:p>
    <w:p>
      <w:pPr>
        <w:ind w:right="20" w:firstLine="322"/>
        <w:spacing w:after="0" w:line="274" w:lineRule="auto"/>
        <w:rPr>
          <w:sz w:val="20"/>
          <w:szCs w:val="20"/>
          <w:color w:val="auto"/>
        </w:rPr>
      </w:pPr>
      <w:r>
        <w:rPr>
          <w:rFonts w:ascii="Arial" w:cs="Arial" w:eastAsia="Arial" w:hAnsi="Arial"/>
          <w:sz w:val="17"/>
          <w:szCs w:val="17"/>
          <w:color w:val="auto"/>
        </w:rPr>
        <w:t>In connection with the Credit Agreement, on January 25, 2017, the Company issued warrants (each, a "Warrant") to the Agent and certain of the Lenders representing in the aggregate the right to purchase in accordance with their terms 900,970 shares of the Class A Common Stock of the Company, no par value per share, which was equivalent to approximately 2.5% of the common equity interests of the Company on a fully diluted basis. The exercise price as $1.665 per share and each Warrant would expire on January 25, 2027. The value of the warrants was determined to be de minimis and no value was allocated to them on a relative fair value basis in accounting for the debt instrument.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60" w:firstLine="322"/>
        <w:spacing w:after="0" w:line="257" w:lineRule="auto"/>
        <w:rPr>
          <w:sz w:val="20"/>
          <w:szCs w:val="20"/>
          <w:color w:val="auto"/>
        </w:rPr>
      </w:pPr>
      <w:r>
        <w:rPr>
          <w:rFonts w:ascii="Arial" w:cs="Arial" w:eastAsia="Arial" w:hAnsi="Arial"/>
          <w:sz w:val="18"/>
          <w:szCs w:val="18"/>
          <w:color w:val="auto"/>
        </w:rPr>
        <w:t>The Credit Agreement also included an $825,000 exit fee, which was payable upon any repayment or prepayment of the loan. This amount had been included in the total principal due and treated as an unamortized discount on the debt, which would be amortized over the term of the loan, using the effective interest method at a rate of 15.0%. We incurred fees and transaction costs of approximately $374,000 related to the issuance of the Credit Agreement, which are being amortized over the life of the Credit Agreement.</w:t>
      </w:r>
    </w:p>
    <w:p>
      <w:pPr>
        <w:spacing w:after="0" w:line="187" w:lineRule="exact"/>
        <w:rPr>
          <w:sz w:val="20"/>
          <w:szCs w:val="20"/>
          <w:color w:val="auto"/>
        </w:rPr>
      </w:pPr>
    </w:p>
    <w:p>
      <w:pPr>
        <w:ind w:right="20" w:firstLine="322"/>
        <w:spacing w:after="0" w:line="255" w:lineRule="auto"/>
        <w:rPr>
          <w:sz w:val="20"/>
          <w:szCs w:val="20"/>
          <w:color w:val="auto"/>
        </w:rPr>
      </w:pPr>
      <w:r>
        <w:rPr>
          <w:rFonts w:ascii="Arial" w:cs="Arial" w:eastAsia="Arial" w:hAnsi="Arial"/>
          <w:sz w:val="18"/>
          <w:szCs w:val="18"/>
          <w:color w:val="auto"/>
        </w:rPr>
        <w:t>On March 30, 2018, the Credit Agreement was further amended (the “Third Amendment”) to add a minimum revenue covenant and a net working capital covenant. In consideration of these amendments, the interest rate on the loan was increased by 1%, which would revert back to the original rate upon achievement of two consecutive quarters of a specified fixed charge coverage ratio as defined in the agreement. The increase in interest expense had been paid in cash. Contemporaneously with the Third Amendment, Mr. John B. Wood agreed to transfer 50,000 shares of the Company’s Class A Common Stock owned by him to EnCap.</w:t>
      </w:r>
    </w:p>
    <w:p>
      <w:pPr>
        <w:spacing w:after="0" w:line="189" w:lineRule="exact"/>
        <w:rPr>
          <w:sz w:val="20"/>
          <w:szCs w:val="20"/>
          <w:color w:val="auto"/>
        </w:rPr>
      </w:pPr>
    </w:p>
    <w:p>
      <w:pPr>
        <w:ind w:firstLine="322"/>
        <w:spacing w:after="0" w:line="254" w:lineRule="auto"/>
        <w:rPr>
          <w:sz w:val="20"/>
          <w:szCs w:val="20"/>
          <w:color w:val="auto"/>
        </w:rPr>
      </w:pPr>
      <w:r>
        <w:rPr>
          <w:rFonts w:ascii="Arial" w:cs="Arial" w:eastAsia="Arial" w:hAnsi="Arial"/>
          <w:sz w:val="18"/>
          <w:szCs w:val="18"/>
          <w:color w:val="auto"/>
        </w:rPr>
        <w:t>On July 19, 2019, we entered into the Fourth Amendment to Credit Agreement and Waiver; First Amendment to Fee Letter (“Fourth Amendment”) to amend the Credit Agreement. As a result of the Fourth Amendment, several terms of the Credit Agreement were amended, including (but not limited to) the following:</w:t>
      </w:r>
    </w:p>
    <w:p>
      <w:pPr>
        <w:spacing w:after="0" w:line="2" w:lineRule="exact"/>
        <w:rPr>
          <w:sz w:val="20"/>
          <w:szCs w:val="20"/>
          <w:color w:val="auto"/>
        </w:rPr>
      </w:pPr>
    </w:p>
    <w:p>
      <w:pPr>
        <w:ind w:left="720" w:hanging="310"/>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borrowed an additional $5 million from the Lenders, increasing the total amount of the principal to $16 million.</w:t>
      </w:r>
    </w:p>
    <w:p>
      <w:pPr>
        <w:spacing w:after="0" w:line="7" w:lineRule="exact"/>
        <w:rPr>
          <w:rFonts w:ascii="Arial" w:cs="Arial" w:eastAsia="Arial" w:hAnsi="Arial"/>
          <w:sz w:val="18"/>
          <w:szCs w:val="18"/>
          <w:color w:val="auto"/>
        </w:rPr>
      </w:pPr>
    </w:p>
    <w:p>
      <w:pPr>
        <w:ind w:left="720" w:hanging="310"/>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maturity date of the Credit Agreement was amended from January 25, 2022 to January 15, 2021.</w:t>
      </w:r>
    </w:p>
    <w:p>
      <w:pPr>
        <w:spacing w:after="0" w:line="7" w:lineRule="exact"/>
        <w:rPr>
          <w:rFonts w:ascii="Arial" w:cs="Arial" w:eastAsia="Arial" w:hAnsi="Arial"/>
          <w:sz w:val="18"/>
          <w:szCs w:val="18"/>
          <w:color w:val="auto"/>
        </w:rPr>
      </w:pPr>
    </w:p>
    <w:p>
      <w:pPr>
        <w:ind w:left="740" w:right="260" w:hanging="330"/>
        <w:spacing w:after="0" w:line="248"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prepayment price was amended as follows: (a) from January 26, 2019 through January 25, 2020, the prepayment price was 102% of the principal amount, (b) from January 26, 2020 through October 14, 2020, the prepayment price was 101% of the principal amount, and (c) from October 15, 2020 to the maturity date, the prepayment price would be at par. However, the prepayment price for the additional $5 million loan attributable to the Fourth Amendment would be at par.</w:t>
      </w:r>
    </w:p>
    <w:p>
      <w:pPr>
        <w:spacing w:after="0" w:line="3" w:lineRule="exact"/>
        <w:rPr>
          <w:rFonts w:ascii="Arial" w:cs="Arial" w:eastAsia="Arial" w:hAnsi="Arial"/>
          <w:sz w:val="18"/>
          <w:szCs w:val="18"/>
          <w:color w:val="auto"/>
        </w:rPr>
      </w:pPr>
    </w:p>
    <w:p>
      <w:pPr>
        <w:ind w:left="740" w:right="560" w:hanging="330"/>
        <w:spacing w:after="0" w:line="248"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borrowing under the Credit Agreement continued to be collateralized by substantially all of the Company’s assets including inventory, equipment and accounts receivable.</w:t>
      </w:r>
    </w:p>
    <w:p>
      <w:pPr>
        <w:spacing w:after="0" w:line="1" w:lineRule="exact"/>
        <w:rPr>
          <w:rFonts w:ascii="Arial" w:cs="Arial" w:eastAsia="Arial" w:hAnsi="Arial"/>
          <w:sz w:val="18"/>
          <w:szCs w:val="18"/>
          <w:color w:val="auto"/>
        </w:rPr>
      </w:pPr>
    </w:p>
    <w:p>
      <w:pPr>
        <w:ind w:left="740" w:right="200" w:hanging="330"/>
        <w:spacing w:after="0" w:line="248"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paid the Agent a fee of $110,000 in connection with the Fourth Amendment and incurred immaterial third-party transaction costs which were expensed during the period.</w:t>
      </w:r>
    </w:p>
    <w:p>
      <w:pPr>
        <w:spacing w:after="0" w:line="1" w:lineRule="exact"/>
        <w:rPr>
          <w:rFonts w:ascii="Arial" w:cs="Arial" w:eastAsia="Arial" w:hAnsi="Arial"/>
          <w:sz w:val="18"/>
          <w:szCs w:val="18"/>
          <w:color w:val="auto"/>
        </w:rPr>
      </w:pPr>
    </w:p>
    <w:p>
      <w:pPr>
        <w:ind w:left="720" w:hanging="310"/>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exit fee was increased from $825,000 to $1,200,000.</w:t>
      </w:r>
    </w:p>
    <w:p>
      <w:pPr>
        <w:spacing w:after="0" w:line="208" w:lineRule="exact"/>
        <w:rPr>
          <w:sz w:val="20"/>
          <w:szCs w:val="20"/>
          <w:color w:val="auto"/>
        </w:rPr>
      </w:pPr>
    </w:p>
    <w:p>
      <w:pPr>
        <w:ind w:right="160" w:firstLine="322"/>
        <w:spacing w:after="0" w:line="274" w:lineRule="auto"/>
        <w:rPr>
          <w:sz w:val="20"/>
          <w:szCs w:val="20"/>
          <w:color w:val="auto"/>
        </w:rPr>
      </w:pPr>
      <w:r>
        <w:rPr>
          <w:rFonts w:ascii="Arial" w:cs="Arial" w:eastAsia="Arial" w:hAnsi="Arial"/>
          <w:sz w:val="18"/>
          <w:szCs w:val="18"/>
          <w:color w:val="auto"/>
        </w:rPr>
        <w:t>The exit fee had been included in the total principal due and treated as an unamortized discount on the debt, which was amortized over the term of the loan using the effective interest method at a rate of 17.3% over the remaining term of the loan.</w:t>
      </w:r>
    </w:p>
    <w:p>
      <w:pPr>
        <w:spacing w:after="0" w:line="172" w:lineRule="exact"/>
        <w:rPr>
          <w:sz w:val="20"/>
          <w:szCs w:val="20"/>
          <w:color w:val="auto"/>
        </w:rPr>
      </w:pPr>
    </w:p>
    <w:p>
      <w:pPr>
        <w:ind w:firstLine="322"/>
        <w:spacing w:after="0" w:line="254" w:lineRule="auto"/>
        <w:rPr>
          <w:sz w:val="20"/>
          <w:szCs w:val="20"/>
          <w:color w:val="auto"/>
        </w:rPr>
      </w:pPr>
      <w:r>
        <w:rPr>
          <w:rFonts w:ascii="Arial" w:cs="Arial" w:eastAsia="Arial" w:hAnsi="Arial"/>
          <w:sz w:val="18"/>
          <w:szCs w:val="18"/>
          <w:color w:val="auto"/>
        </w:rPr>
        <w:t>On March 26, 2020, the Credit Agreement was amended (the “Fifth Amendment”) to modify the financial covenants and to update the previously agreed-upon definition of certain financial covenants, specifically the amount of Capital Expenditures to be included in the measurement of the covenants. The Fifth Amendment provided for four quarterly maturity date extensions, which would increase the Exit Fee payable under the Credit Agreement by $250,000 for each quarterly maturity date extension elected, for a total of $1 million increase to the Exit Fee were all four of the maturity date extensions to be elected. The Company paid EnCap an amendment fee of $100,000 and out-of-pocket costs and expenses in consideration for the Fifth Amendment.</w:t>
      </w:r>
    </w:p>
    <w:p>
      <w:pPr>
        <w:spacing w:after="0" w:line="189" w:lineRule="exact"/>
        <w:rPr>
          <w:sz w:val="20"/>
          <w:szCs w:val="20"/>
          <w:color w:val="auto"/>
        </w:rPr>
      </w:pPr>
    </w:p>
    <w:p>
      <w:pPr>
        <w:ind w:right="120" w:firstLine="322"/>
        <w:spacing w:after="0" w:line="261" w:lineRule="auto"/>
        <w:rPr>
          <w:sz w:val="20"/>
          <w:szCs w:val="20"/>
          <w:color w:val="auto"/>
        </w:rPr>
      </w:pPr>
      <w:r>
        <w:rPr>
          <w:rFonts w:ascii="Arial" w:cs="Arial" w:eastAsia="Arial" w:hAnsi="Arial"/>
          <w:sz w:val="18"/>
          <w:szCs w:val="18"/>
          <w:color w:val="auto"/>
        </w:rPr>
        <w:t>On November 24, 2020, upon the closing of the IPO, the Company paid a total of $17.4 million which paid off the Credit Agreement in full, including an exit fee of $1.2 million, accrued interest of $138,000, and legal fees of $13,000. As a result, we recognized a loss on debt extinguishment of $138,000 presented as a part of the non-operating expense in the consolidated statements of operations.</w:t>
      </w:r>
    </w:p>
    <w:p>
      <w:pPr>
        <w:spacing w:after="0" w:line="184" w:lineRule="exact"/>
        <w:rPr>
          <w:sz w:val="20"/>
          <w:szCs w:val="20"/>
          <w:color w:val="auto"/>
        </w:rPr>
      </w:pPr>
    </w:p>
    <w:p>
      <w:pPr>
        <w:ind w:right="120" w:firstLine="322"/>
        <w:spacing w:after="0" w:line="274" w:lineRule="auto"/>
        <w:rPr>
          <w:sz w:val="20"/>
          <w:szCs w:val="20"/>
          <w:color w:val="auto"/>
        </w:rPr>
      </w:pPr>
      <w:r>
        <w:rPr>
          <w:rFonts w:ascii="Arial" w:cs="Arial" w:eastAsia="Arial" w:hAnsi="Arial"/>
          <w:sz w:val="18"/>
          <w:szCs w:val="18"/>
          <w:color w:val="auto"/>
        </w:rPr>
        <w:t>We incurred interest expenses in the amount of $2.7 million and $2.2 million for the years ended December 31, 2020 and 2019, respectively, under the Credit Agreement.</w:t>
      </w:r>
    </w:p>
    <w:p>
      <w:pPr>
        <w:spacing w:after="0" w:line="131" w:lineRule="exact"/>
        <w:rPr>
          <w:sz w:val="20"/>
          <w:szCs w:val="20"/>
          <w:color w:val="auto"/>
        </w:rPr>
      </w:pPr>
    </w:p>
    <w:p>
      <w:pPr>
        <w:ind w:right="40" w:firstLine="322"/>
        <w:spacing w:after="0" w:line="270" w:lineRule="auto"/>
        <w:rPr>
          <w:sz w:val="20"/>
          <w:szCs w:val="20"/>
          <w:color w:val="auto"/>
        </w:rPr>
      </w:pPr>
      <w:r>
        <w:rPr>
          <w:rFonts w:ascii="Arial" w:cs="Arial" w:eastAsia="Arial" w:hAnsi="Arial"/>
          <w:sz w:val="17"/>
          <w:szCs w:val="17"/>
          <w:color w:val="auto"/>
        </w:rPr>
        <w:t>On April 19, 2021, the Company entered into multiple Redemption Agreements and Warrant Redemption and Cancellation Agreements (collectively the "Repurchase Agreement") with EnCap and certain related funds that held the warrants to purchase 900,970 shares of the Company's common stock in addition to 39,682 shares of the Company's common stock. Under the Repurchase Agreement, the Company agreed to repurchase the outstanding warrants for $26.9 million and common stock for $1.3 million. The average price of the warrants and common stock repurchased were $29.85 per share and $31.51 per share, respectively. Upon settlement, the repurchased warrants were retired. The Company reduced common stock for the $0.001 par value of the shares repurchased, with the excess purchase price over par value recorded as a reduction of additional paid-in-capital ("APIC"). As a result of the repurchases, the Company recognized these amounts as a reduction to APIC.</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22" w:lineRule="exact"/>
        <w:rPr>
          <w:sz w:val="20"/>
          <w:szCs w:val="20"/>
          <w:color w:val="auto"/>
        </w:rPr>
      </w:pPr>
    </w:p>
    <w:p>
      <w:pPr>
        <w:ind w:firstLine="322"/>
        <w:spacing w:after="0" w:line="309" w:lineRule="auto"/>
        <w:rPr>
          <w:sz w:val="20"/>
          <w:szCs w:val="20"/>
          <w:color w:val="auto"/>
        </w:rPr>
      </w:pPr>
      <w:r>
        <w:rPr>
          <w:rFonts w:ascii="Arial" w:cs="Arial" w:eastAsia="Arial" w:hAnsi="Arial"/>
          <w:sz w:val="16"/>
          <w:szCs w:val="16"/>
          <w:color w:val="auto"/>
        </w:rPr>
        <w:t>On March 31, 2015, the Company entered into Subordinated Loan Agreements and Subordinated Promissory Notes (“Porter Notes”) with affiliated entities of Mr. John R. C. Porter (together referenced as “Porter”). Mr. Porter and Toxford Corporation, of which Mr. Porter was the sole shareholder, owned 35.0% of our Class A Common Stock. Under the terms of the Porter Notes, Porter lent the Company $2.5 million on or about March 31, 2015.</w:t>
      </w:r>
    </w:p>
    <w:p>
      <w:pPr>
        <w:spacing w:after="0" w:line="148" w:lineRule="exact"/>
        <w:rPr>
          <w:sz w:val="20"/>
          <w:szCs w:val="20"/>
          <w:color w:val="auto"/>
        </w:rPr>
      </w:pPr>
    </w:p>
    <w:p>
      <w:pPr>
        <w:ind w:right="60" w:firstLine="322"/>
        <w:spacing w:after="0" w:line="253" w:lineRule="auto"/>
        <w:rPr>
          <w:sz w:val="20"/>
          <w:szCs w:val="20"/>
          <w:color w:val="auto"/>
        </w:rPr>
      </w:pPr>
      <w:r>
        <w:rPr>
          <w:rFonts w:ascii="Arial" w:cs="Arial" w:eastAsia="Arial" w:hAnsi="Arial"/>
          <w:sz w:val="18"/>
          <w:szCs w:val="18"/>
          <w:color w:val="auto"/>
        </w:rPr>
        <w:t>Telos also entered into Subordination and Intercreditor Agreements (the “Subordination Agreements”) with Porter and a prior senior lender, in which the Porter Notes were fully subordinated to the financing provided by that senior lender, and payments under the Porter Notes were permitted only if certain conditions were met. According to the original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were permitted to be repaid at any time without premium or penalty. The unpaid principal, together with interest, was originally due and payable in full on July 1, 2017.</w:t>
      </w:r>
    </w:p>
    <w:p>
      <w:pPr>
        <w:spacing w:after="0" w:line="191" w:lineRule="exact"/>
        <w:rPr>
          <w:sz w:val="20"/>
          <w:szCs w:val="20"/>
          <w:color w:val="auto"/>
        </w:rPr>
      </w:pPr>
    </w:p>
    <w:p>
      <w:pPr>
        <w:ind w:right="20" w:firstLine="322"/>
        <w:spacing w:after="0" w:line="277" w:lineRule="auto"/>
        <w:rPr>
          <w:sz w:val="20"/>
          <w:szCs w:val="20"/>
          <w:color w:val="auto"/>
        </w:rPr>
      </w:pPr>
      <w:r>
        <w:rPr>
          <w:rFonts w:ascii="Arial" w:cs="Arial" w:eastAsia="Arial" w:hAnsi="Arial"/>
          <w:sz w:val="17"/>
          <w:szCs w:val="17"/>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and payments under the Porter Notes were permitted only if certain conditions were met. All other terms remained in full force and effect.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incurred interest expense in the amount of $319,000 and $330,000 for 2020 and 2019, respectively, on the Porter Notes.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November 23, 2020, upon the closing of the IPO, the Porter Notes were paid in full.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Exchangeable Redeemable Preferred Stock Conversion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Preferred Stock</w:t>
      </w:r>
    </w:p>
    <w:p>
      <w:pPr>
        <w:spacing w:after="0" w:line="222" w:lineRule="exact"/>
        <w:rPr>
          <w:sz w:val="20"/>
          <w:szCs w:val="20"/>
          <w:color w:val="auto"/>
        </w:rPr>
      </w:pPr>
    </w:p>
    <w:p>
      <w:pPr>
        <w:ind w:right="40" w:firstLine="322"/>
        <w:spacing w:after="0" w:line="252" w:lineRule="auto"/>
        <w:rPr>
          <w:sz w:val="20"/>
          <w:szCs w:val="20"/>
          <w:color w:val="auto"/>
        </w:rPr>
      </w:pPr>
      <w:r>
        <w:rPr>
          <w:rFonts w:ascii="Arial" w:cs="Arial" w:eastAsia="Arial" w:hAnsi="Arial"/>
          <w:sz w:val="18"/>
          <w:szCs w:val="18"/>
          <w:color w:val="auto"/>
        </w:rPr>
        <w:t>A maximum of 6,000,000 shares of the Public Preferred Stock, par value $0.01 per share, had been authorized for issuance. We initially issued 2,858,723 shares of the Public Preferred Stock pursuant to the acquisition of the Company during fiscal year 1990. The Public Preferred Stock was recorded at fair value on the date of original issue, November 21, 1989, and we made periodic accretions under the interest method of the excess of the redemption value over the recorded value. We adjusted our estimate of accrued accretion in the amount of $1.5 million in the second quarter of 2006. The Public Preferred Stock was fully accreted as of December 2008. We declared stock dividends totaling 736,863 shares in 1990 and 1991. Since 1991, no other dividends, in stock or cash, were declared. In November 1998, we retired 410,000 shares of the Public Preferred Stock. The total number of shares issued and outstanding at December 31, 2019, was 3,185,586. The Public Preferred Stock was quoted as “TLSRP” on the OTCQB marketplace and the OTC Bulletin Board.</w:t>
      </w:r>
    </w:p>
    <w:p>
      <w:pPr>
        <w:spacing w:after="0" w:line="194" w:lineRule="exact"/>
        <w:rPr>
          <w:sz w:val="20"/>
          <w:szCs w:val="20"/>
          <w:color w:val="auto"/>
        </w:rPr>
      </w:pPr>
    </w:p>
    <w:p>
      <w:pPr>
        <w:ind w:right="40" w:firstLine="322"/>
        <w:spacing w:after="0" w:line="294" w:lineRule="auto"/>
        <w:rPr>
          <w:sz w:val="20"/>
          <w:szCs w:val="20"/>
          <w:color w:val="auto"/>
        </w:rPr>
      </w:pPr>
      <w:r>
        <w:rPr>
          <w:rFonts w:ascii="Arial" w:cs="Arial" w:eastAsia="Arial" w:hAnsi="Arial"/>
          <w:sz w:val="16"/>
          <w:szCs w:val="16"/>
          <w:color w:val="auto"/>
        </w:rPr>
        <w:t>We paid dividends on the Public Preferred Stock when and if declared by the Board of Directors. The Public Preferred Stock accrued a semi-annual dividend at the annual rate of 12% ($1.20) per share, based on the liquidation preference of $10 per share, and was fully cumulative. Dividends in additional shares of the Public Preferred Stock for 1990 and 1991 were paid at the rate of 6% per share for each $0.60 of such dividends not paid in cash. We accrued dividends on the Public Preferred Stock of $3.4 million and $3.8 million for the years ended December 31, 2020, and 2019, respectively, which was recorded as interest expense. Prior to the effective date of ASC 480 on July 1, 2003, such dividends were charged to stockholders’ accumulated deficit.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40" w:firstLine="322"/>
        <w:spacing w:after="0" w:line="284" w:lineRule="auto"/>
        <w:rPr>
          <w:sz w:val="20"/>
          <w:szCs w:val="20"/>
          <w:color w:val="auto"/>
        </w:rPr>
      </w:pPr>
      <w:r>
        <w:rPr>
          <w:rFonts w:ascii="Arial" w:cs="Arial" w:eastAsia="Arial" w:hAnsi="Arial"/>
          <w:sz w:val="16"/>
          <w:szCs w:val="16"/>
          <w:color w:val="auto"/>
        </w:rPr>
        <w:t>Upon the closing of the IPO, which constituted a qualified initial public offering for the purposes of the terms of the Exchangeable Redeemable Preferred Stock, each issued and outstanding share of Exchangeable Redeemable Preferred Stock automatically was converted (the “ERPS Conversion”) into the right to receive (i) an amount of cash equal to (I) the ERPS Liquidation Value; multiplied by (II) 0.90; multiplied by (III) 0.85 and (ii) that number of shares of common stock (valued at the initial offering price to the public) equal to (I) the ERPS Liquidation Value; multiplied by (II) 0.90; multiplied by</w:t>
      </w:r>
    </w:p>
    <w:p>
      <w:pPr>
        <w:spacing w:after="0" w:line="3" w:lineRule="exact"/>
        <w:rPr>
          <w:sz w:val="20"/>
          <w:szCs w:val="20"/>
          <w:color w:val="auto"/>
        </w:rPr>
      </w:pPr>
    </w:p>
    <w:p>
      <w:pPr>
        <w:ind w:right="40" w:firstLine="7"/>
        <w:spacing w:after="0" w:line="266" w:lineRule="auto"/>
        <w:tabs>
          <w:tab w:leader="none" w:pos="343" w:val="left"/>
        </w:tabs>
        <w:numPr>
          <w:ilvl w:val="0"/>
          <w:numId w:val="30"/>
        </w:numPr>
        <w:rPr>
          <w:rFonts w:ascii="Arial" w:cs="Arial" w:eastAsia="Arial" w:hAnsi="Arial"/>
          <w:sz w:val="17"/>
          <w:szCs w:val="17"/>
          <w:color w:val="auto"/>
        </w:rPr>
      </w:pPr>
      <w:r>
        <w:rPr>
          <w:rFonts w:ascii="Arial" w:cs="Arial" w:eastAsia="Arial" w:hAnsi="Arial"/>
          <w:sz w:val="17"/>
          <w:szCs w:val="17"/>
          <w:color w:val="auto"/>
        </w:rPr>
        <w:t>0.15. No fractional shares of common stock, however, were issued upon an ERPS Conversion Event but, in lieu thereof, the holder was entitled to receive an amount of cash equal to the fair market value of a share of common stock (valued at the initial offering price to the public) at the time of such ERPS Conversion Event multiplied by such fractional amount (rounded to the nearest cent). “ERPS Liquidation Value” means, per each share of Exchangeable Redeemable Preferred Stock, $10 together with all accrued and unpaid dividends (whether or not earned or declared) thereon calculated as of the actual date of an ERPS Conversion Event without interest, which was approximately $142.3 million as of November 19, 2020. All shares of common stock issued upon an ERPS Conversion were validly issued, fully paid and non-assessable. On November 23, 2020, holders of Exchangeable Redeemable Preferred Stock received $108.9 million in cash and 1.1 million shares of our common stock at $17 per share for a total value of $19.2 million in connection with the ERPS Conversion. The difference in the redemption value of the ERPS and the carrying value has been accounted for as a gain on extinguishment of debt in accordance with ASC 470 and ASC 480. Approximately $0.2 million of costs directly attributable to this redemption were applied against the gain, resulting in a net gain of $14.0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Non-Controlling Interests / Purchase of Telos ID</w:t>
      </w:r>
    </w:p>
    <w:p>
      <w:pPr>
        <w:spacing w:after="0" w:line="226" w:lineRule="exact"/>
        <w:rPr>
          <w:sz w:val="20"/>
          <w:szCs w:val="20"/>
          <w:color w:val="auto"/>
        </w:rPr>
      </w:pPr>
    </w:p>
    <w:p>
      <w:pPr>
        <w:ind w:right="160" w:firstLine="322"/>
        <w:spacing w:after="0" w:line="270" w:lineRule="auto"/>
        <w:rPr>
          <w:sz w:val="20"/>
          <w:szCs w:val="20"/>
          <w:color w:val="auto"/>
        </w:rPr>
      </w:pPr>
      <w:r>
        <w:rPr>
          <w:rFonts w:ascii="Arial" w:cs="Arial" w:eastAsia="Arial" w:hAnsi="Arial"/>
          <w:sz w:val="17"/>
          <w:szCs w:val="17"/>
          <w:color w:val="auto"/>
        </w:rPr>
        <w:t>On April 11, 2007, Telos ID was formed as a limited liability company under the Delaware Limited Liability Company Act. We contributed substantially all of the assets of our Telos ID Enterprise business line and assigned our rights to perform under our U.S. government contract with the Defense Manpower Data Center to Telos ID at their stated book values. The net book value of assets we contributed totaled $17,000. Until April 19, 2007, we owned 99.999% of the membership interests of Telos ID and Hoya ID Fund A, LLC ("Hoya") owned 0.001% of the membership interests of Telos ID. On April 20, 2007, we sold an additional 39.999% of the membership interests to Hoya in exchange for $6.0 million in cash consideration. In accordance with ASC 505, “Equity,” we recognized a gain of $5.8 million. As a result, we owned 60% of Telos ID, and therefore continued to account for the investment in Telos ID using the consolidation method.</w:t>
      </w:r>
    </w:p>
    <w:p>
      <w:pPr>
        <w:spacing w:after="0" w:line="179" w:lineRule="exact"/>
        <w:rPr>
          <w:sz w:val="20"/>
          <w:szCs w:val="20"/>
          <w:color w:val="auto"/>
        </w:rPr>
      </w:pPr>
    </w:p>
    <w:p>
      <w:pPr>
        <w:ind w:firstLine="322"/>
        <w:spacing w:after="0" w:line="269" w:lineRule="auto"/>
        <w:rPr>
          <w:sz w:val="20"/>
          <w:szCs w:val="20"/>
          <w:color w:val="auto"/>
        </w:rPr>
      </w:pPr>
      <w:r>
        <w:rPr>
          <w:rFonts w:ascii="Arial" w:cs="Arial" w:eastAsia="Arial" w:hAnsi="Arial"/>
          <w:sz w:val="17"/>
          <w:szCs w:val="17"/>
          <w:color w:val="auto"/>
        </w:rPr>
        <w:t>On December 24, 2014, Hoya acquired from the Company an additional ten percent (10%) membership interest in Telos ID in exchange for $5.0 million (the “2014 Transaction”). In connection with the 2014 Transaction, the Company and Hoya entered into the Second Amended and Restated Operating Agreement (the “Operating Agreement”) governing the business, allocation of profits and losses and management of Telos ID. Under the Operating Agreement, Telos ID was managed by a board of directors comprised of five members (the “Telos ID Board”). The Operating Agreement provided for two classes of membership units, Class A (owned by the Company) and Class B (owned by Hoya). The Class A member (the Company) owned 50% of Telos ID, was entitled to receive 50% of the profits of Telos ID, and could appoint three members of the Telos ID Board. The Class B member (Hoya) owned 50% of Telos ID, was entitled to receive 50% of the profits of Telos ID, and could appoint two members of the Telos ID Board. The 2014 Transaction continued to be accounted for using the consolidation method and the Class B member was the non-controlling interest.</w:t>
      </w:r>
    </w:p>
    <w:p>
      <w:pPr>
        <w:spacing w:after="0" w:line="180" w:lineRule="exact"/>
        <w:rPr>
          <w:sz w:val="20"/>
          <w:szCs w:val="20"/>
          <w:color w:val="auto"/>
        </w:rPr>
      </w:pPr>
    </w:p>
    <w:p>
      <w:pPr>
        <w:ind w:right="40" w:firstLine="322"/>
        <w:spacing w:after="0" w:line="270" w:lineRule="auto"/>
        <w:rPr>
          <w:sz w:val="20"/>
          <w:szCs w:val="20"/>
          <w:color w:val="auto"/>
        </w:rPr>
      </w:pPr>
      <w:r>
        <w:rPr>
          <w:rFonts w:ascii="Arial" w:cs="Arial" w:eastAsia="Arial" w:hAnsi="Arial"/>
          <w:sz w:val="17"/>
          <w:szCs w:val="17"/>
          <w:color w:val="auto"/>
        </w:rPr>
        <w:t>On October 5, 2020, we entered into a Membership Interest Purchase Agreement between the Company and Hoya to purchase all of the Class B Units of Telos ID (“Telos ID Units”) owned by Hoya (the “Telos ID Purchase”). Upon the closing of the Telos ID Purchase, Telos ID became our wholly-owned subsidiary. On November 23, 2020, the Telos ID Purchase was consummated with the Company transferring $30.0 million in cash and issuing 7.3 million shares of our common stock at $20.39 per share (which totals approximately $148.40 million); the total consideration transferred to Hoya was $178.40 million. As part of the common stock issuance, the Company recognized a credit to APIC of $148.40 million. The Company further recognized a debit to APIC of $173.90 million as part of the elimination of Hoya’s non-controlling interest in Telos ID. The net impact to APIC associated with the acquisition of the additional 50% interest in Telos ID was a debit of $25.50 million.</w:t>
      </w:r>
    </w:p>
    <w:p>
      <w:pPr>
        <w:spacing w:after="0" w:line="179" w:lineRule="exact"/>
        <w:rPr>
          <w:sz w:val="20"/>
          <w:szCs w:val="20"/>
          <w:color w:val="auto"/>
        </w:rPr>
      </w:pPr>
    </w:p>
    <w:p>
      <w:pPr>
        <w:jc w:val="both"/>
        <w:ind w:right="500" w:firstLine="322"/>
        <w:spacing w:after="0" w:line="261" w:lineRule="auto"/>
        <w:rPr>
          <w:sz w:val="20"/>
          <w:szCs w:val="20"/>
          <w:color w:val="auto"/>
        </w:rPr>
      </w:pPr>
      <w:r>
        <w:rPr>
          <w:rFonts w:ascii="Arial" w:cs="Arial" w:eastAsia="Arial" w:hAnsi="Arial"/>
          <w:sz w:val="18"/>
          <w:szCs w:val="18"/>
          <w:color w:val="auto"/>
        </w:rPr>
        <w:t>As a result of the 2014 Transaction, the Class A and Class B members each owned 50% of Telos ID, as mentioned above, and as such, each was allocated 50% of the profits, which was $5.2 million, and $4.3 million for 2020, and 2019, respectively. The Class B member was the non-controlling interest.</w:t>
      </w:r>
    </w:p>
    <w:p>
      <w:pPr>
        <w:spacing w:after="0" w:line="184" w:lineRule="exact"/>
        <w:rPr>
          <w:sz w:val="20"/>
          <w:szCs w:val="20"/>
          <w:color w:val="auto"/>
        </w:rPr>
      </w:pPr>
    </w:p>
    <w:p>
      <w:pPr>
        <w:ind w:right="240" w:firstLine="322"/>
        <w:spacing w:after="0" w:line="277" w:lineRule="auto"/>
        <w:rPr>
          <w:sz w:val="20"/>
          <w:szCs w:val="20"/>
          <w:color w:val="auto"/>
        </w:rPr>
      </w:pPr>
      <w:r>
        <w:rPr>
          <w:rFonts w:ascii="Arial" w:cs="Arial" w:eastAsia="Arial" w:hAnsi="Arial"/>
          <w:sz w:val="17"/>
          <w:szCs w:val="17"/>
          <w:color w:val="auto"/>
        </w:rPr>
        <w:t>Distributions were made to the members only when and to the extent determined by Telos ID’s Board of Directors, in accordance with the Operating Agreement. During the years ended December 31, 2020, and 2019, the Class B member received a total of $2.8 million, and $2.4 million, respectively, of such distributions. The Class B member also received a final distribution of $2.4 million in January 2021, which was accrued and presented in accounts payable and other accrued liabilities in the consolidated balance sheets as of December 31, 2020.</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details the changes in non-controlling interest for the years ended December 31, 2020, and 2019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7"/>
        </w:trPr>
        <w:tc>
          <w:tcPr>
            <w:tcW w:w="8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2"/>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 beginning of period</w:t>
            </w: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r>
      <w:tr>
        <w:trPr>
          <w:trHeight w:val="242"/>
        </w:trPr>
        <w:tc>
          <w:tcPr>
            <w:tcW w:w="80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4,264</w:t>
            </w:r>
          </w:p>
        </w:tc>
      </w:tr>
      <w:tr>
        <w:trPr>
          <w:trHeight w:val="27"/>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42"/>
        </w:trPr>
        <w:tc>
          <w:tcPr>
            <w:tcW w:w="8080" w:type="dxa"/>
            <w:vAlign w:val="bottom"/>
          </w:tcPr>
          <w:p>
            <w:pPr>
              <w:ind w:left="220"/>
              <w:spacing w:after="0"/>
              <w:rPr>
                <w:sz w:val="20"/>
                <w:szCs w:val="20"/>
                <w:color w:val="auto"/>
              </w:rPr>
            </w:pPr>
            <w:r>
              <w:rPr>
                <w:rFonts w:ascii="Arial" w:cs="Arial" w:eastAsia="Arial" w:hAnsi="Arial"/>
                <w:sz w:val="18"/>
                <w:szCs w:val="18"/>
                <w:color w:val="auto"/>
              </w:rPr>
              <w:t>Sale of 50% membership interest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7"/>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 end of period</w:t>
            </w: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2" w:lineRule="exact"/>
        <w:rPr>
          <w:sz w:val="20"/>
          <w:szCs w:val="20"/>
          <w:color w:val="auto"/>
        </w:rPr>
      </w:pPr>
    </w:p>
    <w:p>
      <w:pPr>
        <w:ind w:right="100" w:firstLine="322"/>
        <w:spacing w:after="0" w:line="291" w:lineRule="auto"/>
        <w:rPr>
          <w:sz w:val="20"/>
          <w:szCs w:val="20"/>
          <w:color w:val="auto"/>
        </w:rPr>
      </w:pPr>
      <w:r>
        <w:rPr>
          <w:rFonts w:ascii="Arial" w:cs="Arial" w:eastAsia="Arial" w:hAnsi="Arial"/>
          <w:sz w:val="16"/>
          <w:szCs w:val="16"/>
          <w:color w:val="auto"/>
        </w:rPr>
        <w:t>Our authorized capital stock consists of 250,000,000 shares of common stock, $0.001 par value per share, and 10,000,000 shares of preferred stock, $0.01 par value per share. Prior to our Second Amended and Restated Articles of Incorporation, which were effective November 12, 2020, the relative rights, preferences, and limitations of the Class A common stock and the Class B common stock were in all respects identical. The holders of the common stock had one vote for each share of common stock held. Our Second Amended and Restated Articles of Incorporation authorized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65" w:lineRule="exact"/>
        <w:rPr>
          <w:sz w:val="20"/>
          <w:szCs w:val="20"/>
          <w:color w:val="auto"/>
        </w:rPr>
      </w:pPr>
    </w:p>
    <w:p>
      <w:pPr>
        <w:ind w:right="180" w:firstLine="322"/>
        <w:spacing w:after="0" w:line="286" w:lineRule="auto"/>
        <w:rPr>
          <w:sz w:val="20"/>
          <w:szCs w:val="20"/>
          <w:color w:val="auto"/>
        </w:rPr>
      </w:pPr>
      <w:r>
        <w:rPr>
          <w:rFonts w:ascii="Arial" w:cs="Arial" w:eastAsia="Arial" w:hAnsi="Arial"/>
          <w:sz w:val="16"/>
          <w:szCs w:val="16"/>
          <w:color w:val="auto"/>
        </w:rPr>
        <w:t>On November 12, 2020, we filed Articles of Amendment (the “Articles”) with the State Department of Assessments and Taxation of the State of Maryland, effective as of the same date (the “Effective Time”). The Articles amended the Company’s charter to effect a reverse stock split such that (1) every 1.259446 shares of Class A Common Stock that were issued and outstanding immediately prior to the Effective Time were changed into one issued and outstanding share of Class A Common Stock, and (2) every 1.259446 shares of Class B Common Stock that were issued and outstanding immediately prior to the Effective Time were changed into one issued and outstanding share of Class B Common Stock. Also on November 12, 2020, we filed the Second Articles of Amendment and Restatement (the “Second Amended Articles”) with the State Department of Assessments and Taxation of the State of Maryland, effective as of the same date (the “Effective Time”). The Second Amended Articles amended the Company’s charter to effect a conversion of each share of the Class B Common Stock that was issued and outstanding immediately prior to the Effective Time into one fully paid and non-assessable share of Class A Common Stock. From and after the Effective Time, certificates representing the Class B Common Stock now represent the number of shares of Class A Common Stock in which such Class B Common Stock was converted. Also, at the Effective Time, the Class A Common Stock was renamed and re-designated as common stock, par value $0.001 per share, of the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Issued and Outstanding</w:t>
      </w:r>
    </w:p>
    <w:p>
      <w:pPr>
        <w:spacing w:after="0" w:line="222" w:lineRule="exact"/>
        <w:rPr>
          <w:sz w:val="20"/>
          <w:szCs w:val="20"/>
          <w:color w:val="auto"/>
        </w:rPr>
      </w:pPr>
    </w:p>
    <w:p>
      <w:pPr>
        <w:ind w:firstLine="322"/>
        <w:spacing w:after="0" w:line="261" w:lineRule="auto"/>
        <w:rPr>
          <w:sz w:val="20"/>
          <w:szCs w:val="20"/>
          <w:color w:val="auto"/>
        </w:rPr>
      </w:pPr>
      <w:r>
        <w:rPr>
          <w:rFonts w:ascii="Arial" w:cs="Arial" w:eastAsia="Arial" w:hAnsi="Arial"/>
          <w:sz w:val="18"/>
          <w:szCs w:val="18"/>
          <w:color w:val="auto"/>
        </w:rPr>
        <w:t>As of December 31, 2021 and 2020, there were 66,767,450 and 64,625,071 shares of common stock issued and outstanding, respectively. There were no shares of preferred stock issued and outstanding on either date. The changes in our shares outstanding during 2021 and 2020 resulted from shares issued during the follow-on offering and repurchased shares held by EnCap.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Repurchases</w:t>
      </w:r>
    </w:p>
    <w:p>
      <w:pPr>
        <w:spacing w:after="0" w:line="222" w:lineRule="exact"/>
        <w:rPr>
          <w:sz w:val="20"/>
          <w:szCs w:val="20"/>
          <w:color w:val="auto"/>
        </w:rPr>
      </w:pPr>
    </w:p>
    <w:p>
      <w:pPr>
        <w:ind w:right="60" w:firstLine="322"/>
        <w:spacing w:after="0" w:line="274" w:lineRule="auto"/>
        <w:rPr>
          <w:rFonts w:ascii="Arial" w:cs="Arial" w:eastAsia="Arial" w:hAnsi="Arial"/>
          <w:sz w:val="18"/>
          <w:szCs w:val="18"/>
          <w:color w:val="auto"/>
        </w:rPr>
      </w:pPr>
      <w:r>
        <w:rPr>
          <w:rFonts w:ascii="Arial" w:cs="Arial" w:eastAsia="Arial" w:hAnsi="Arial"/>
          <w:sz w:val="18"/>
          <w:szCs w:val="18"/>
          <w:color w:val="auto"/>
        </w:rPr>
        <w:t xml:space="preserve">Relative to the Repurchase Agreements, as disclosed under </w:t>
      </w:r>
      <w:hyperlink w:anchor="page72">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Debt Obligations above, the Company agreed to repurchase the 39,682 outstanding shares held by EnCap for $1.3 million on April 19, 2021.</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222" w:lineRule="exact"/>
        <w:rPr>
          <w:sz w:val="20"/>
          <w:szCs w:val="20"/>
          <w:color w:val="auto"/>
        </w:rPr>
      </w:pPr>
    </w:p>
    <w:p>
      <w:pPr>
        <w:ind w:right="300" w:firstLine="322"/>
        <w:spacing w:after="0" w:line="270" w:lineRule="auto"/>
        <w:rPr>
          <w:sz w:val="20"/>
          <w:szCs w:val="20"/>
          <w:color w:val="auto"/>
        </w:rPr>
      </w:pPr>
      <w:r>
        <w:rPr>
          <w:rFonts w:ascii="Arial" w:cs="Arial" w:eastAsia="Arial" w:hAnsi="Arial"/>
          <w:sz w:val="18"/>
          <w:szCs w:val="18"/>
          <w:color w:val="auto"/>
        </w:rPr>
        <w:t>Comprehensive (loss) income includes changes in equity during a period from non-owner sources. Accumulated other comprehensive (loss) income included within stockholders’ equity consists of the following (in thousands):</w:t>
      </w:r>
    </w:p>
    <w:tbl>
      <w:tblPr>
        <w:tblLayout w:type="fixed"/>
        <w:tblInd w:w="0" w:type="dxa"/>
        <w:tblCellMar>
          <w:top w:w="0" w:type="dxa"/>
          <w:left w:w="0" w:type="dxa"/>
          <w:bottom w:w="0" w:type="dxa"/>
          <w:right w:w="0" w:type="dxa"/>
        </w:tblCellMar>
      </w:tblPr>
      <w:tr>
        <w:trPr>
          <w:trHeight w:val="233"/>
        </w:trPr>
        <w:tc>
          <w:tcPr>
            <w:tcW w:w="750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r>
      <w:tr>
        <w:trPr>
          <w:trHeight w:val="222"/>
        </w:trPr>
        <w:tc>
          <w:tcPr>
            <w:tcW w:w="75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r>
      <w:tr>
        <w:trPr>
          <w:trHeight w:val="222"/>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foreign currency translation loss</w:t>
            </w:r>
          </w:p>
        </w:tc>
        <w:tc>
          <w:tcPr>
            <w:tcW w:w="130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8"/>
        </w:trPr>
        <w:tc>
          <w:tcPr>
            <w:tcW w:w="7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Cumulative actuarial gain on pension liability adjustment in Teloworks</w:t>
            </w: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7"/>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13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w:t>
      </w:r>
    </w:p>
    <w:p>
      <w:pPr>
        <w:spacing w:after="0" w:line="226" w:lineRule="exact"/>
        <w:rPr>
          <w:sz w:val="20"/>
          <w:szCs w:val="20"/>
          <w:color w:val="auto"/>
        </w:rPr>
      </w:pPr>
    </w:p>
    <w:p>
      <w:pPr>
        <w:ind w:right="140" w:firstLine="322"/>
        <w:spacing w:after="0" w:line="255" w:lineRule="auto"/>
        <w:rPr>
          <w:sz w:val="20"/>
          <w:szCs w:val="20"/>
          <w:color w:val="auto"/>
        </w:rPr>
      </w:pPr>
      <w:r>
        <w:rPr>
          <w:rFonts w:ascii="Arial" w:cs="Arial" w:eastAsia="Arial" w:hAnsi="Arial"/>
          <w:sz w:val="18"/>
          <w:szCs w:val="18"/>
          <w:color w:val="auto"/>
        </w:rPr>
        <w:t>Telos sponsors a defined contribution employee savings plan (the “Plan”) under which substantially all full-time employees are eligible to participate. As of December 31, 2021, the Plan held 1,031,718 shares of Telos common stock. We match one-half of employee contributions to the Plan up to a maximum of 2% of such employee’s eligible annual base salary. Participant contributions vest immediately, and Telos contributions vest at the rate of 20% each year, with full vesting occurring after completion of five years of service. Our total contributions to the Plan for 2021, 2020, and 2019 were $1.1 million, $1.0 million, and $0.9 million, respectively.</w:t>
      </w:r>
    </w:p>
    <w:p>
      <w:pPr>
        <w:spacing w:after="0" w:line="189" w:lineRule="exact"/>
        <w:rPr>
          <w:sz w:val="20"/>
          <w:szCs w:val="20"/>
          <w:color w:val="auto"/>
        </w:rPr>
      </w:pPr>
    </w:p>
    <w:p>
      <w:pPr>
        <w:ind w:right="60" w:firstLine="322"/>
        <w:spacing w:after="0" w:line="284" w:lineRule="auto"/>
        <w:rPr>
          <w:sz w:val="20"/>
          <w:szCs w:val="20"/>
          <w:color w:val="auto"/>
        </w:rPr>
      </w:pPr>
      <w:r>
        <w:rPr>
          <w:rFonts w:ascii="Arial" w:cs="Arial" w:eastAsia="Arial" w:hAnsi="Arial"/>
          <w:sz w:val="17"/>
          <w:szCs w:val="17"/>
          <w:color w:val="auto"/>
        </w:rPr>
        <w:t>Additionally, Telos ID sponsors a defined contribution savings plan (the “Telos ID Plan”) under which substantially all full-time employees are eligible to participate. Telos ID matches one-half of employee contributions to the Telos ID Plan up to a maximum of 2% of such employee’s eligible annual base salary. The total 2021, 2020, and 2019 Telos ID contributions to this plan were $0.2 million, $0.2 million, and $0.2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w:t>
      </w:r>
    </w:p>
    <w:p>
      <w:pPr>
        <w:spacing w:after="0" w:line="226" w:lineRule="exact"/>
        <w:rPr>
          <w:sz w:val="20"/>
          <w:szCs w:val="20"/>
          <w:color w:val="auto"/>
        </w:rPr>
      </w:pPr>
    </w:p>
    <w:p>
      <w:pPr>
        <w:ind w:right="80" w:firstLine="322"/>
        <w:spacing w:after="0" w:line="268" w:lineRule="auto"/>
        <w:rPr>
          <w:sz w:val="20"/>
          <w:szCs w:val="20"/>
          <w:color w:val="auto"/>
        </w:rPr>
      </w:pPr>
      <w:r>
        <w:rPr>
          <w:rFonts w:ascii="Arial" w:cs="Arial" w:eastAsia="Arial" w:hAnsi="Arial"/>
          <w:sz w:val="17"/>
          <w:szCs w:val="17"/>
          <w:color w:val="auto"/>
        </w:rPr>
        <w:t>Since June 2008, we have issued restricted stock to our senior executives, directors, employees and other service providers. Such stock typically was subject to a vesting schedule as follows: 25% of the restricted stock vests immediately on the date of grant; thereafter, an additional 25% will vest on each succeeding year on the anniversary of the date of grant subject to continued employment or services. In the event of death of the employee or a change in control, as defined by the Telos Corporation 2008 Omnibus Long-Term Incentive Plan, the 2013 Omnibus Long-Term Incentive Plan, or the 2016 Omnibus Long-Term Incentive Plan, all unvested shares shall automatically vest in full. In accordance with ASC 718, we recorded immaterial compensation expense for any of the issuances as the value of the common stock was nominal, based on the deduction of our outstanding debt, capital lease obligations, and preferred stock from an estimated enterprise value, which was estimated based on discounted cash flow analysis, comparable public company analysis, and comparable transaction analysis. Additionally, we determined that a significant change in the valuation estimate for common stock would not have a significant effect on the consolidated financial statements.</w:t>
      </w:r>
    </w:p>
    <w:p>
      <w:pPr>
        <w:spacing w:after="0" w:line="183" w:lineRule="exact"/>
        <w:rPr>
          <w:sz w:val="20"/>
          <w:szCs w:val="20"/>
          <w:color w:val="auto"/>
        </w:rPr>
      </w:pPr>
    </w:p>
    <w:p>
      <w:pPr>
        <w:ind w:firstLine="322"/>
        <w:spacing w:after="0" w:line="291" w:lineRule="auto"/>
        <w:rPr>
          <w:sz w:val="20"/>
          <w:szCs w:val="20"/>
          <w:color w:val="auto"/>
        </w:rPr>
      </w:pPr>
      <w:r>
        <w:rPr>
          <w:rFonts w:ascii="Arial" w:cs="Arial" w:eastAsia="Arial" w:hAnsi="Arial"/>
          <w:sz w:val="16"/>
          <w:szCs w:val="16"/>
          <w:color w:val="auto"/>
        </w:rPr>
        <w:t>In May 2017, we issued grants of 3,972,007 shares to our executive officers and employees. The shares vest according to the schedule set forth above. There were 3,948,199 shares outstanding at the beginning of 2018, and 43,649 shares were forfeited during 2018. There were no new grants in 2018. There were 3,904,550 shares outstanding at the beginning of 2019, and 11,904 shares were forfeited during 2019. There were no new grants in 2019. At the beginning of 2020 there were 3,892,646 shares outstanding and 47,616 were forfeited prior to May 2020, when the remaining 3,845,030 shares became fully vested. Upon vesting there were no remaining restrictions on these shares and they are able to be sold or disposed of, subject to any lock-up agreements subsequently entered into by certain holders of the shares in connection with the IPO of the Company’s common stock in November 2020.</w:t>
      </w:r>
    </w:p>
    <w:p>
      <w:pPr>
        <w:spacing w:after="0" w:line="165" w:lineRule="exact"/>
        <w:rPr>
          <w:sz w:val="20"/>
          <w:szCs w:val="20"/>
          <w:color w:val="auto"/>
        </w:rPr>
      </w:pPr>
    </w:p>
    <w:p>
      <w:pPr>
        <w:ind w:right="20" w:firstLine="322"/>
        <w:spacing w:after="0" w:line="274" w:lineRule="auto"/>
        <w:rPr>
          <w:sz w:val="20"/>
          <w:szCs w:val="20"/>
          <w:color w:val="auto"/>
        </w:rPr>
      </w:pPr>
      <w:r>
        <w:rPr>
          <w:rFonts w:ascii="Arial" w:cs="Arial" w:eastAsia="Arial" w:hAnsi="Arial"/>
          <w:sz w:val="18"/>
          <w:szCs w:val="18"/>
          <w:color w:val="auto"/>
        </w:rPr>
        <w:t>In May 31, 2020, 79,361 shares were granted, with a weighted-average fair value of $14,000 at grant date. As of December 31, 2020, there were 59,521 shares of restricted stock that remained subject to vesting.</w:t>
      </w:r>
    </w:p>
    <w:p>
      <w:pPr>
        <w:spacing w:after="0" w:line="172" w:lineRule="exact"/>
        <w:rPr>
          <w:sz w:val="20"/>
          <w:szCs w:val="20"/>
          <w:color w:val="auto"/>
        </w:rPr>
      </w:pPr>
    </w:p>
    <w:p>
      <w:pPr>
        <w:ind w:right="20" w:firstLine="322"/>
        <w:spacing w:after="0" w:line="294" w:lineRule="auto"/>
        <w:rPr>
          <w:sz w:val="20"/>
          <w:szCs w:val="20"/>
          <w:color w:val="auto"/>
        </w:rPr>
      </w:pPr>
      <w:r>
        <w:rPr>
          <w:rFonts w:ascii="Arial" w:cs="Arial" w:eastAsia="Arial" w:hAnsi="Arial"/>
          <w:sz w:val="16"/>
          <w:szCs w:val="16"/>
          <w:color w:val="auto"/>
        </w:rPr>
        <w:t>In October 2020, the Company amended the 2016 LTIP to increase the total number of shares available for issuance to 9,400,000 from 4,500,000 and extend the term to September 30, 2030. Our 2016 LTIP provides for the grant of stock options, stock appreciation rights, restricted stock, restricted stock units, unrestricted stock and dividend equivalent rights to our senior executives, directors, employees, and other service providers. Awards granted under the 2016 LTIP vest over the periods determined by the Board of Directors or the Compensation Committee of the Board of Directors, generally up to two to three years, and stock options granted under the 2016 LTIP expire no more than ten years after the date of grant.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Approximately 5.6 million shares of our common stock were reserved for future grants as of December 31, 2021 under the 2016 LTIP.</w:t>
      </w:r>
    </w:p>
    <w:p>
      <w:pPr>
        <w:spacing w:after="0" w:line="249" w:lineRule="exact"/>
        <w:rPr>
          <w:sz w:val="20"/>
          <w:szCs w:val="20"/>
          <w:color w:val="auto"/>
        </w:rPr>
      </w:pPr>
    </w:p>
    <w:p>
      <w:pPr>
        <w:ind w:right="40" w:firstLine="322"/>
        <w:spacing w:after="0" w:line="274" w:lineRule="auto"/>
        <w:rPr>
          <w:sz w:val="20"/>
          <w:szCs w:val="20"/>
          <w:color w:val="auto"/>
        </w:rPr>
      </w:pPr>
      <w:r>
        <w:rPr>
          <w:rFonts w:ascii="Arial" w:cs="Arial" w:eastAsia="Arial" w:hAnsi="Arial"/>
          <w:sz w:val="18"/>
          <w:szCs w:val="18"/>
          <w:color w:val="auto"/>
        </w:rPr>
        <w:t>The following are the stock-based compensation expense incurred for the years ended December 31, 2021 and 2020 (in thousands). We do not have any stock compensation expense reported for the comparative period ended December 31, 2019.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5"/>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1"/>
              <w:spacing w:after="0"/>
              <w:rPr>
                <w:sz w:val="20"/>
                <w:szCs w:val="20"/>
                <w:color w:val="auto"/>
              </w:rPr>
            </w:pPr>
            <w:r>
              <w:rPr>
                <w:rFonts w:ascii="Arial" w:cs="Arial" w:eastAsia="Arial" w:hAnsi="Arial"/>
                <w:sz w:val="18"/>
                <w:szCs w:val="18"/>
                <w:b w:val="1"/>
                <w:bCs w:val="1"/>
                <w:color w:val="auto"/>
                <w:w w:val="94"/>
              </w:rPr>
              <w:t>2020</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 services</w:t>
            </w: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82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82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7"/>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 (collectively “RSU”) Activity</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grants RSUs to our senior executives, directors, employees and service providers.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RSU Awards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awards of Service-Based RSUs that vest upon the completion of a service requirement is presented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Weighted-</w:t>
            </w:r>
          </w:p>
        </w:tc>
        <w:tc>
          <w:tcPr>
            <w:tcW w:w="158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Weighted-</w:t>
            </w:r>
          </w:p>
        </w:tc>
        <w:tc>
          <w:tcPr>
            <w:tcW w:w="500" w:type="dxa"/>
            <w:vAlign w:val="bottom"/>
          </w:tcPr>
          <w:p>
            <w:pPr>
              <w:spacing w:after="0"/>
              <w:rPr>
                <w:sz w:val="17"/>
                <w:szCs w:val="17"/>
                <w:color w:val="auto"/>
              </w:rPr>
            </w:pPr>
          </w:p>
        </w:tc>
        <w:tc>
          <w:tcPr>
            <w:tcW w:w="130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3"/>
          </w:tcPr>
          <w:p>
            <w:pPr>
              <w:jc w:val="center"/>
              <w:ind w:right="120"/>
              <w:spacing w:after="0" w:line="175" w:lineRule="exact"/>
              <w:rPr>
                <w:sz w:val="20"/>
                <w:szCs w:val="20"/>
                <w:color w:val="auto"/>
              </w:rPr>
            </w:pPr>
            <w:r>
              <w:rPr>
                <w:rFonts w:ascii="Arial" w:cs="Arial" w:eastAsia="Arial" w:hAnsi="Arial"/>
                <w:sz w:val="18"/>
                <w:szCs w:val="18"/>
                <w:b w:val="1"/>
                <w:bCs w:val="1"/>
                <w:color w:val="auto"/>
                <w:w w:val="90"/>
              </w:rPr>
              <w:t>Average Grant</w:t>
            </w:r>
          </w:p>
        </w:tc>
        <w:tc>
          <w:tcPr>
            <w:tcW w:w="15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4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jc w:val="center"/>
              <w:ind w:right="560"/>
              <w:spacing w:after="0" w:line="175" w:lineRule="exact"/>
              <w:rPr>
                <w:sz w:val="20"/>
                <w:szCs w:val="20"/>
                <w:color w:val="auto"/>
              </w:rPr>
            </w:pPr>
            <w:r>
              <w:rPr>
                <w:rFonts w:ascii="Arial" w:cs="Arial" w:eastAsia="Arial" w:hAnsi="Arial"/>
                <w:sz w:val="18"/>
                <w:szCs w:val="18"/>
                <w:b w:val="1"/>
                <w:bCs w:val="1"/>
                <w:color w:val="auto"/>
                <w:w w:val="93"/>
              </w:rPr>
              <w:t>Date Fair</w:t>
            </w:r>
          </w:p>
        </w:tc>
        <w:tc>
          <w:tcPr>
            <w:tcW w:w="1580" w:type="dxa"/>
            <w:vAlign w:val="bottom"/>
            <w:gridSpan w:val="2"/>
          </w:tcPr>
          <w:p>
            <w:pPr>
              <w:jc w:val="center"/>
              <w:ind w:right="120"/>
              <w:spacing w:after="0" w:line="175" w:lineRule="exact"/>
              <w:rPr>
                <w:sz w:val="20"/>
                <w:szCs w:val="20"/>
                <w:color w:val="auto"/>
              </w:rPr>
            </w:pPr>
            <w:r>
              <w:rPr>
                <w:rFonts w:ascii="Arial" w:cs="Arial" w:eastAsia="Arial" w:hAnsi="Arial"/>
                <w:sz w:val="18"/>
                <w:szCs w:val="18"/>
                <w:b w:val="1"/>
                <w:bCs w:val="1"/>
                <w:color w:val="auto"/>
                <w:w w:val="87"/>
              </w:rPr>
              <w:t>Average</w:t>
            </w:r>
          </w:p>
        </w:tc>
        <w:tc>
          <w:tcPr>
            <w:tcW w:w="500" w:type="dxa"/>
            <w:vAlign w:val="bottom"/>
          </w:tcPr>
          <w:p>
            <w:pPr>
              <w:spacing w:after="0"/>
              <w:rPr>
                <w:sz w:val="15"/>
                <w:szCs w:val="15"/>
                <w:color w:val="auto"/>
              </w:rPr>
            </w:pPr>
          </w:p>
        </w:tc>
        <w:tc>
          <w:tcPr>
            <w:tcW w:w="1300" w:type="dxa"/>
            <w:vAlign w:val="bottom"/>
          </w:tcPr>
          <w:p>
            <w:pPr>
              <w:jc w:val="right"/>
              <w:ind w:right="491"/>
              <w:spacing w:after="0" w:line="175"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jc w:val="center"/>
              <w:ind w:right="560"/>
              <w:spacing w:after="0" w:line="175" w:lineRule="exact"/>
              <w:rPr>
                <w:sz w:val="20"/>
                <w:szCs w:val="20"/>
                <w:color w:val="auto"/>
              </w:rPr>
            </w:pPr>
            <w:r>
              <w:rPr>
                <w:rFonts w:ascii="Arial" w:cs="Arial" w:eastAsia="Arial" w:hAnsi="Arial"/>
                <w:sz w:val="18"/>
                <w:szCs w:val="18"/>
                <w:b w:val="1"/>
                <w:bCs w:val="1"/>
                <w:color w:val="auto"/>
                <w:w w:val="91"/>
              </w:rPr>
              <w:t>Value</w:t>
            </w:r>
          </w:p>
        </w:tc>
        <w:tc>
          <w:tcPr>
            <w:tcW w:w="1580" w:type="dxa"/>
            <w:vAlign w:val="bottom"/>
            <w:gridSpan w:val="2"/>
          </w:tcPr>
          <w:p>
            <w:pPr>
              <w:jc w:val="center"/>
              <w:ind w:right="100"/>
              <w:spacing w:after="0" w:line="175" w:lineRule="exact"/>
              <w:rPr>
                <w:sz w:val="20"/>
                <w:szCs w:val="20"/>
                <w:color w:val="auto"/>
              </w:rPr>
            </w:pPr>
            <w:r>
              <w:rPr>
                <w:rFonts w:ascii="Arial" w:cs="Arial" w:eastAsia="Arial" w:hAnsi="Arial"/>
                <w:sz w:val="18"/>
                <w:szCs w:val="18"/>
                <w:b w:val="1"/>
                <w:bCs w:val="1"/>
                <w:color w:val="auto"/>
                <w:w w:val="91"/>
              </w:rPr>
              <w:t>Contractual</w:t>
            </w:r>
          </w:p>
        </w:tc>
        <w:tc>
          <w:tcPr>
            <w:tcW w:w="500" w:type="dxa"/>
            <w:vAlign w:val="bottom"/>
          </w:tcPr>
          <w:p>
            <w:pPr>
              <w:spacing w:after="0"/>
              <w:rPr>
                <w:sz w:val="15"/>
                <w:szCs w:val="15"/>
                <w:color w:val="auto"/>
              </w:rPr>
            </w:pPr>
          </w:p>
        </w:tc>
        <w:tc>
          <w:tcPr>
            <w:tcW w:w="1300" w:type="dxa"/>
            <w:vAlign w:val="bottom"/>
          </w:tcPr>
          <w:p>
            <w:pPr>
              <w:jc w:val="right"/>
              <w:ind w:right="611"/>
              <w:spacing w:after="0" w:line="175"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8"/>
        </w:trPr>
        <w:tc>
          <w:tcPr>
            <w:tcW w:w="4320" w:type="dxa"/>
            <w:vAlign w:val="bottom"/>
          </w:tcPr>
          <w:p>
            <w:pPr>
              <w:spacing w:after="0"/>
              <w:rPr>
                <w:sz w:val="19"/>
                <w:szCs w:val="19"/>
                <w:color w:val="auto"/>
              </w:rPr>
            </w:pPr>
          </w:p>
        </w:tc>
        <w:tc>
          <w:tcPr>
            <w:tcW w:w="1480" w:type="dxa"/>
            <w:vAlign w:val="bottom"/>
          </w:tcPr>
          <w:p>
            <w:pPr>
              <w:ind w:left="4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800" w:type="dxa"/>
            <w:vAlign w:val="bottom"/>
            <w:gridSpan w:val="2"/>
          </w:tcPr>
          <w:p>
            <w:pPr>
              <w:ind w:left="36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Balance - December 31,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7"/>
              </w:rPr>
              <w:t>2.4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8"/>
        </w:trPr>
        <w:tc>
          <w:tcPr>
            <w:tcW w:w="432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3,206,283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2"/>
          </w:tcPr>
          <w:p>
            <w:pPr>
              <w:ind w:left="1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Balance -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3,030,608</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right="240" w:firstLine="322"/>
        <w:spacing w:after="0" w:line="255" w:lineRule="auto"/>
        <w:rPr>
          <w:sz w:val="20"/>
          <w:szCs w:val="20"/>
          <w:color w:val="auto"/>
        </w:rPr>
      </w:pPr>
      <w:r>
        <w:rPr>
          <w:rFonts w:ascii="Arial" w:cs="Arial" w:eastAsia="Arial" w:hAnsi="Arial"/>
          <w:sz w:val="18"/>
          <w:szCs w:val="18"/>
          <w:color w:val="auto"/>
        </w:rPr>
        <w:t>We recognized an expense of $46.8 million related to share-based compensation expense for Service-Based RSUs capable of being earned for completing a service requirement during the years ended December 31, 2021. We recorded immaterial share-based compensation expense for the comparable year ended December 31, 2020 and 2019. As of December 31, 2021, there was approximately $61.5 million of unrecognized stock-based compensation expense related to Service-Based RSUs, and this unrecognized expense is expected to be recognized over a weighted-average period of 1.3 years on a straight-line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 Awards</w:t>
      </w:r>
    </w:p>
    <w:p>
      <w:pPr>
        <w:spacing w:after="0" w:line="196" w:lineRule="exact"/>
        <w:rPr>
          <w:sz w:val="20"/>
          <w:szCs w:val="20"/>
          <w:color w:val="auto"/>
        </w:rPr>
      </w:pPr>
    </w:p>
    <w:p>
      <w:pPr>
        <w:ind w:right="620" w:firstLine="322"/>
        <w:spacing w:after="0" w:line="270" w:lineRule="auto"/>
        <w:rPr>
          <w:sz w:val="20"/>
          <w:szCs w:val="20"/>
          <w:color w:val="auto"/>
        </w:rPr>
      </w:pPr>
      <w:r>
        <w:rPr>
          <w:rFonts w:ascii="Arial" w:cs="Arial" w:eastAsia="Arial" w:hAnsi="Arial"/>
          <w:sz w:val="18"/>
          <w:szCs w:val="18"/>
          <w:color w:val="auto"/>
        </w:rPr>
        <w:t>A summary of the awards of Performance-Based RSUs that vest upon the attainment of certain price targets of the Company’s common stock is presented below:</w:t>
      </w:r>
    </w:p>
    <w:tbl>
      <w:tblPr>
        <w:tblLayout w:type="fixed"/>
        <w:tblInd w:w="0" w:type="dxa"/>
        <w:tblCellMar>
          <w:top w:w="0" w:type="dxa"/>
          <w:left w:w="0" w:type="dxa"/>
          <w:bottom w:w="0" w:type="dxa"/>
          <w:right w:w="0" w:type="dxa"/>
        </w:tblCellMar>
      </w:tblPr>
      <w:tr>
        <w:trPr>
          <w:trHeight w:val="179"/>
        </w:trPr>
        <w:tc>
          <w:tcPr>
            <w:tcW w:w="4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ind w:left="200"/>
              <w:spacing w:after="0" w:line="180" w:lineRule="exact"/>
              <w:rPr>
                <w:sz w:val="20"/>
                <w:szCs w:val="20"/>
                <w:color w:val="auto"/>
              </w:rPr>
            </w:pPr>
            <w:r>
              <w:rPr>
                <w:rFonts w:ascii="Arial" w:cs="Arial" w:eastAsia="Arial" w:hAnsi="Arial"/>
                <w:sz w:val="18"/>
                <w:szCs w:val="18"/>
                <w:b w:val="1"/>
                <w:bCs w:val="1"/>
                <w:color w:val="auto"/>
              </w:rPr>
              <w:t>Weighted-</w:t>
            </w:r>
          </w:p>
        </w:tc>
        <w:tc>
          <w:tcPr>
            <w:tcW w:w="158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Weighted-</w:t>
            </w:r>
          </w:p>
        </w:tc>
        <w:tc>
          <w:tcPr>
            <w:tcW w:w="500" w:type="dxa"/>
            <w:vAlign w:val="bottom"/>
          </w:tcPr>
          <w:p>
            <w:pPr>
              <w:spacing w:after="0"/>
              <w:rPr>
                <w:sz w:val="15"/>
                <w:szCs w:val="15"/>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3"/>
          </w:tcPr>
          <w:p>
            <w:pPr>
              <w:jc w:val="center"/>
              <w:ind w:right="120"/>
              <w:spacing w:after="0" w:line="175" w:lineRule="exact"/>
              <w:rPr>
                <w:sz w:val="20"/>
                <w:szCs w:val="20"/>
                <w:color w:val="auto"/>
              </w:rPr>
            </w:pPr>
            <w:r>
              <w:rPr>
                <w:rFonts w:ascii="Arial" w:cs="Arial" w:eastAsia="Arial" w:hAnsi="Arial"/>
                <w:sz w:val="18"/>
                <w:szCs w:val="18"/>
                <w:b w:val="1"/>
                <w:bCs w:val="1"/>
                <w:color w:val="auto"/>
                <w:w w:val="90"/>
              </w:rPr>
              <w:t>Average Grant</w:t>
            </w:r>
          </w:p>
        </w:tc>
        <w:tc>
          <w:tcPr>
            <w:tcW w:w="15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4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jc w:val="center"/>
              <w:ind w:right="560"/>
              <w:spacing w:after="0" w:line="175" w:lineRule="exact"/>
              <w:rPr>
                <w:sz w:val="20"/>
                <w:szCs w:val="20"/>
                <w:color w:val="auto"/>
              </w:rPr>
            </w:pPr>
            <w:r>
              <w:rPr>
                <w:rFonts w:ascii="Arial" w:cs="Arial" w:eastAsia="Arial" w:hAnsi="Arial"/>
                <w:sz w:val="18"/>
                <w:szCs w:val="18"/>
                <w:b w:val="1"/>
                <w:bCs w:val="1"/>
                <w:color w:val="auto"/>
                <w:w w:val="93"/>
              </w:rPr>
              <w:t>Date Fair</w:t>
            </w:r>
          </w:p>
        </w:tc>
        <w:tc>
          <w:tcPr>
            <w:tcW w:w="1580" w:type="dxa"/>
            <w:vAlign w:val="bottom"/>
            <w:gridSpan w:val="2"/>
          </w:tcPr>
          <w:p>
            <w:pPr>
              <w:jc w:val="center"/>
              <w:ind w:right="120"/>
              <w:spacing w:after="0" w:line="175" w:lineRule="exact"/>
              <w:rPr>
                <w:sz w:val="20"/>
                <w:szCs w:val="20"/>
                <w:color w:val="auto"/>
              </w:rPr>
            </w:pPr>
            <w:r>
              <w:rPr>
                <w:rFonts w:ascii="Arial" w:cs="Arial" w:eastAsia="Arial" w:hAnsi="Arial"/>
                <w:sz w:val="18"/>
                <w:szCs w:val="18"/>
                <w:b w:val="1"/>
                <w:bCs w:val="1"/>
                <w:color w:val="auto"/>
                <w:w w:val="87"/>
              </w:rPr>
              <w:t>Average</w:t>
            </w:r>
          </w:p>
        </w:tc>
        <w:tc>
          <w:tcPr>
            <w:tcW w:w="500" w:type="dxa"/>
            <w:vAlign w:val="bottom"/>
          </w:tcPr>
          <w:p>
            <w:pPr>
              <w:spacing w:after="0"/>
              <w:rPr>
                <w:sz w:val="15"/>
                <w:szCs w:val="15"/>
                <w:color w:val="auto"/>
              </w:rPr>
            </w:pPr>
          </w:p>
        </w:tc>
        <w:tc>
          <w:tcPr>
            <w:tcW w:w="1360" w:type="dxa"/>
            <w:vAlign w:val="bottom"/>
            <w:gridSpan w:val="2"/>
          </w:tcPr>
          <w:p>
            <w:pPr>
              <w:ind w:left="80"/>
              <w:spacing w:after="0" w:line="175" w:lineRule="exact"/>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jc w:val="center"/>
              <w:ind w:right="560"/>
              <w:spacing w:after="0" w:line="175" w:lineRule="exact"/>
              <w:rPr>
                <w:sz w:val="20"/>
                <w:szCs w:val="20"/>
                <w:color w:val="auto"/>
              </w:rPr>
            </w:pPr>
            <w:r>
              <w:rPr>
                <w:rFonts w:ascii="Arial" w:cs="Arial" w:eastAsia="Arial" w:hAnsi="Arial"/>
                <w:sz w:val="18"/>
                <w:szCs w:val="18"/>
                <w:b w:val="1"/>
                <w:bCs w:val="1"/>
                <w:color w:val="auto"/>
                <w:w w:val="91"/>
              </w:rPr>
              <w:t>Value</w:t>
            </w:r>
          </w:p>
        </w:tc>
        <w:tc>
          <w:tcPr>
            <w:tcW w:w="1580" w:type="dxa"/>
            <w:vAlign w:val="bottom"/>
            <w:gridSpan w:val="2"/>
          </w:tcPr>
          <w:p>
            <w:pPr>
              <w:jc w:val="center"/>
              <w:ind w:right="100"/>
              <w:spacing w:after="0" w:line="175" w:lineRule="exact"/>
              <w:rPr>
                <w:sz w:val="20"/>
                <w:szCs w:val="20"/>
                <w:color w:val="auto"/>
              </w:rPr>
            </w:pPr>
            <w:r>
              <w:rPr>
                <w:rFonts w:ascii="Arial" w:cs="Arial" w:eastAsia="Arial" w:hAnsi="Arial"/>
                <w:sz w:val="18"/>
                <w:szCs w:val="18"/>
                <w:b w:val="1"/>
                <w:bCs w:val="1"/>
                <w:color w:val="auto"/>
                <w:w w:val="91"/>
              </w:rPr>
              <w:t>Contractual</w:t>
            </w:r>
          </w:p>
        </w:tc>
        <w:tc>
          <w:tcPr>
            <w:tcW w:w="500" w:type="dxa"/>
            <w:vAlign w:val="bottom"/>
          </w:tcPr>
          <w:p>
            <w:pPr>
              <w:spacing w:after="0"/>
              <w:rPr>
                <w:sz w:val="15"/>
                <w:szCs w:val="15"/>
                <w:color w:val="auto"/>
              </w:rPr>
            </w:pPr>
          </w:p>
        </w:tc>
        <w:tc>
          <w:tcPr>
            <w:tcW w:w="1360" w:type="dxa"/>
            <w:vAlign w:val="bottom"/>
            <w:gridSpan w:val="2"/>
          </w:tcPr>
          <w:p>
            <w:pPr>
              <w:ind w:left="180"/>
              <w:spacing w:after="0" w:line="175"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8"/>
        </w:trPr>
        <w:tc>
          <w:tcPr>
            <w:tcW w:w="4320" w:type="dxa"/>
            <w:vAlign w:val="bottom"/>
          </w:tcPr>
          <w:p>
            <w:pPr>
              <w:spacing w:after="0"/>
              <w:rPr>
                <w:sz w:val="19"/>
                <w:szCs w:val="19"/>
                <w:color w:val="auto"/>
              </w:rPr>
            </w:pPr>
          </w:p>
        </w:tc>
        <w:tc>
          <w:tcPr>
            <w:tcW w:w="1480" w:type="dxa"/>
            <w:vAlign w:val="bottom"/>
          </w:tcPr>
          <w:p>
            <w:pPr>
              <w:ind w:left="5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860" w:type="dxa"/>
            <w:vAlign w:val="bottom"/>
            <w:gridSpan w:val="3"/>
          </w:tcPr>
          <w:p>
            <w:pPr>
              <w:ind w:left="36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Balance - December 31,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2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508,903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30.84</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2"/>
          </w:tcPr>
          <w:p>
            <w:pPr>
              <w:ind w:left="1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Balance -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492,727</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87"/>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3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22"/>
        <w:spacing w:after="0" w:line="254" w:lineRule="auto"/>
        <w:rPr>
          <w:sz w:val="20"/>
          <w:szCs w:val="20"/>
          <w:color w:val="auto"/>
        </w:rPr>
      </w:pPr>
      <w:r>
        <w:rPr>
          <w:rFonts w:ascii="Arial" w:cs="Arial" w:eastAsia="Arial" w:hAnsi="Arial"/>
          <w:sz w:val="18"/>
          <w:szCs w:val="18"/>
          <w:color w:val="auto"/>
        </w:rPr>
        <w:t>In 2021 the Company granted certain senior executives awards of Performance-Based RSUs that could settle into 458,903 shares of our common stock. The awards will vest only if, during the three-year period from the date of grant, (a) the Company’s common stock, as listed on the Nasdaq Global Market, trades at or above $42.50 per share (the “Target Price”) for 20 of 30 consecutive trading days or (b) the weighted average of the per-share price of the Company’s common stock over any 30 days consecutive trading days is at least equal to the Target Price. Further, the Company granted 50,000 shares of Performance-Based RSUs to certain employees that will fully vest upon the achievement of certain operational milestones during a three-year period from the grant date.</w:t>
      </w:r>
    </w:p>
    <w:p>
      <w:pPr>
        <w:spacing w:after="0" w:line="162" w:lineRule="exact"/>
        <w:rPr>
          <w:sz w:val="20"/>
          <w:szCs w:val="20"/>
          <w:color w:val="auto"/>
        </w:rPr>
      </w:pPr>
    </w:p>
    <w:p>
      <w:pPr>
        <w:ind w:right="20" w:firstLine="322"/>
        <w:spacing w:after="0" w:line="289" w:lineRule="auto"/>
        <w:rPr>
          <w:sz w:val="20"/>
          <w:szCs w:val="20"/>
          <w:color w:val="auto"/>
        </w:rPr>
      </w:pPr>
      <w:r>
        <w:rPr>
          <w:rFonts w:ascii="Arial" w:cs="Arial" w:eastAsia="Arial" w:hAnsi="Arial"/>
          <w:sz w:val="16"/>
          <w:szCs w:val="16"/>
          <w:color w:val="auto"/>
        </w:rPr>
        <w:t>For the Performance-Based RSUs containing market conditions, the conditions are required to be considered when calculating the grant date fair value. In order to reflect the substantive characteristics of these awards, a Monte Carlo simulation valuation model was used to calculate the grant date fair value of such awards. Monte Carlo approaches are a class of computational algorithms that rely on repeated random sampling to compute their results. This approach allows the calculation of the value of such Performance-Based RSUs based on a large number of possible stock price path scenarios. As the Company recently completed its IPO in November 2020, expected volatility was based on the average historical stock price volatility of comparable publicly-traded companies over the performance period. The risk-free rate is based on the U.S. treasury zero-coupon issues in effect at the time of grant over the performance period. The expense for these awards is recognized over the derived service period as determined through the Monte Carlo simulation model.</w:t>
      </w:r>
    </w:p>
    <w:p>
      <w:pPr>
        <w:spacing w:after="0" w:line="127" w:lineRule="exact"/>
        <w:rPr>
          <w:sz w:val="20"/>
          <w:szCs w:val="20"/>
          <w:color w:val="auto"/>
        </w:rPr>
      </w:pPr>
    </w:p>
    <w:p>
      <w:pPr>
        <w:ind w:right="140" w:firstLine="322"/>
        <w:spacing w:after="0" w:line="261" w:lineRule="auto"/>
        <w:rPr>
          <w:sz w:val="20"/>
          <w:szCs w:val="20"/>
          <w:color w:val="auto"/>
        </w:rPr>
      </w:pPr>
      <w:r>
        <w:rPr>
          <w:rFonts w:ascii="Arial" w:cs="Arial" w:eastAsia="Arial" w:hAnsi="Arial"/>
          <w:sz w:val="18"/>
          <w:szCs w:val="18"/>
          <w:color w:val="auto"/>
        </w:rPr>
        <w:t>Our key assumptions include a performance period ranging from 2.45 to 2.92 years, expected volatility between 57.4% - 58.8%, and a risk-free rate of 0.18%-0.29%. The fair value at the grant date and derived service periods calculated for these market condition Performance-Based RSUs were $19.12 - $30.84 and between 0.38 - 0.76 years, respectively.</w:t>
      </w:r>
    </w:p>
    <w:p>
      <w:pPr>
        <w:spacing w:after="0" w:line="143" w:lineRule="exact"/>
        <w:rPr>
          <w:sz w:val="20"/>
          <w:szCs w:val="20"/>
          <w:color w:val="auto"/>
        </w:rPr>
      </w:pPr>
    </w:p>
    <w:p>
      <w:pPr>
        <w:ind w:right="20" w:firstLine="322"/>
        <w:spacing w:after="0" w:line="257" w:lineRule="auto"/>
        <w:rPr>
          <w:sz w:val="20"/>
          <w:szCs w:val="20"/>
          <w:color w:val="auto"/>
        </w:rPr>
      </w:pPr>
      <w:r>
        <w:rPr>
          <w:rFonts w:ascii="Arial" w:cs="Arial" w:eastAsia="Arial" w:hAnsi="Arial"/>
          <w:sz w:val="18"/>
          <w:szCs w:val="18"/>
          <w:color w:val="auto"/>
        </w:rPr>
        <w:t>We recognized an expense of $13.5 million related to share-based compensation expense for these awards of Performance-Based RSUs during the years ended December 31, 2021. As of December 31, 2021, there was approximately $1.4 million of unrecognized stock-based compensation expense related to these Performance-Based RSUs, and this unrecognized expense is expected to be recognized over a weighted-average period of 0.3 years on a straight-line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benefit for income taxes attributable to income from operations includes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w w:val="89"/>
              </w:rPr>
              <w:t>For the Years Ended December 31,</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840" w:type="dxa"/>
            <w:vAlign w:val="bottom"/>
          </w:tcPr>
          <w:p>
            <w:pPr>
              <w:spacing w:after="0"/>
              <w:rPr>
                <w:sz w:val="20"/>
                <w:szCs w:val="20"/>
                <w:color w:val="auto"/>
              </w:rPr>
            </w:pPr>
          </w:p>
        </w:tc>
        <w:tc>
          <w:tcPr>
            <w:tcW w:w="3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1"/>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Current (benefit) provision</w:t>
            </w:r>
          </w:p>
        </w:tc>
        <w:tc>
          <w:tcPr>
            <w:tcW w:w="28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40" w:type="dxa"/>
            <w:vAlign w:val="bottom"/>
          </w:tcPr>
          <w:p>
            <w:pPr>
              <w:ind w:left="220"/>
              <w:spacing w:after="0"/>
              <w:rPr>
                <w:sz w:val="20"/>
                <w:szCs w:val="20"/>
                <w:color w:val="auto"/>
              </w:rPr>
            </w:pPr>
            <w:r>
              <w:rPr>
                <w:rFonts w:ascii="Arial" w:cs="Arial" w:eastAsia="Arial" w:hAnsi="Arial"/>
                <w:sz w:val="18"/>
                <w:szCs w:val="18"/>
                <w:color w:val="auto"/>
              </w:rPr>
              <w:t>Federal</w:t>
            </w:r>
          </w:p>
        </w:tc>
        <w:tc>
          <w:tcPr>
            <w:tcW w:w="3760" w:type="dxa"/>
            <w:vAlign w:val="bottom"/>
            <w:gridSpan w:val="2"/>
          </w:tcPr>
          <w:p>
            <w:pPr>
              <w:jc w:val="right"/>
              <w:ind w:right="711"/>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3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8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center"/>
              <w:ind w:left="91"/>
              <w:spacing w:after="0"/>
              <w:rPr>
                <w:sz w:val="20"/>
                <w:szCs w:val="20"/>
                <w:color w:val="auto"/>
              </w:rPr>
            </w:pPr>
            <w:r>
              <w:rPr>
                <w:rFonts w:ascii="Arial" w:cs="Arial" w:eastAsia="Arial" w:hAnsi="Arial"/>
                <w:sz w:val="18"/>
                <w:szCs w:val="18"/>
                <w:color w:val="auto"/>
                <w:w w:val="93"/>
              </w:rPr>
              <w:t>(98)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840" w:type="dxa"/>
            <w:vAlign w:val="bottom"/>
          </w:tcPr>
          <w:p>
            <w:pPr>
              <w:ind w:left="540"/>
              <w:spacing w:after="0"/>
              <w:rPr>
                <w:sz w:val="20"/>
                <w:szCs w:val="20"/>
                <w:color w:val="auto"/>
              </w:rPr>
            </w:pPr>
            <w:r>
              <w:rPr>
                <w:rFonts w:ascii="Arial" w:cs="Arial" w:eastAsia="Arial" w:hAnsi="Arial"/>
                <w:sz w:val="18"/>
                <w:szCs w:val="18"/>
                <w:color w:val="auto"/>
              </w:rPr>
              <w:t>Total current</w:t>
            </w:r>
          </w:p>
        </w:tc>
        <w:tc>
          <w:tcPr>
            <w:tcW w:w="28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center"/>
              <w:ind w:left="91"/>
              <w:spacing w:after="0"/>
              <w:rPr>
                <w:sz w:val="20"/>
                <w:szCs w:val="20"/>
                <w:color w:val="auto"/>
              </w:rPr>
            </w:pPr>
            <w:r>
              <w:rPr>
                <w:rFonts w:ascii="Arial" w:cs="Arial" w:eastAsia="Arial" w:hAnsi="Arial"/>
                <w:sz w:val="18"/>
                <w:szCs w:val="18"/>
                <w:color w:val="auto"/>
                <w:w w:val="93"/>
              </w:rPr>
              <w:t>(98)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8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40" w:type="dxa"/>
            <w:vAlign w:val="bottom"/>
          </w:tcPr>
          <w:p>
            <w:pPr>
              <w:ind w:left="140"/>
              <w:spacing w:after="0"/>
              <w:rPr>
                <w:sz w:val="20"/>
                <w:szCs w:val="20"/>
                <w:color w:val="auto"/>
              </w:rPr>
            </w:pPr>
            <w:r>
              <w:rPr>
                <w:rFonts w:ascii="Arial" w:cs="Arial" w:eastAsia="Arial" w:hAnsi="Arial"/>
                <w:sz w:val="18"/>
                <w:szCs w:val="18"/>
                <w:color w:val="auto"/>
              </w:rPr>
              <w:t>Deferred provision (benefit)</w:t>
            </w:r>
          </w:p>
        </w:tc>
        <w:tc>
          <w:tcPr>
            <w:tcW w:w="2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28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89"/>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40" w:type="dxa"/>
            <w:vAlign w:val="bottom"/>
          </w:tcPr>
          <w:p>
            <w:pPr>
              <w:ind w:left="220"/>
              <w:spacing w:after="0"/>
              <w:rPr>
                <w:sz w:val="20"/>
                <w:szCs w:val="20"/>
                <w:color w:val="auto"/>
              </w:rPr>
            </w:pPr>
            <w:r>
              <w:rPr>
                <w:rFonts w:ascii="Arial" w:cs="Arial" w:eastAsia="Arial" w:hAnsi="Arial"/>
                <w:sz w:val="18"/>
                <w:szCs w:val="18"/>
                <w:color w:val="auto"/>
              </w:rPr>
              <w:t>State</w:t>
            </w:r>
          </w:p>
        </w:tc>
        <w:tc>
          <w:tcPr>
            <w:tcW w:w="2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center"/>
              <w:ind w:left="131"/>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deferred</w:t>
            </w:r>
          </w:p>
        </w:tc>
        <w:tc>
          <w:tcPr>
            <w:tcW w:w="28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89"/>
              </w:rPr>
              <w:t>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840" w:type="dxa"/>
            <w:vAlign w:val="bottom"/>
          </w:tcPr>
          <w:p>
            <w:pPr>
              <w:ind w:left="540"/>
              <w:spacing w:after="0"/>
              <w:rPr>
                <w:sz w:val="20"/>
                <w:szCs w:val="20"/>
                <w:color w:val="auto"/>
              </w:rPr>
            </w:pPr>
            <w:r>
              <w:rPr>
                <w:rFonts w:ascii="Arial" w:cs="Arial" w:eastAsia="Arial" w:hAnsi="Arial"/>
                <w:sz w:val="18"/>
                <w:szCs w:val="18"/>
                <w:color w:val="auto"/>
              </w:rPr>
              <w:t>Total benefit</w:t>
            </w:r>
          </w:p>
        </w:tc>
        <w:tc>
          <w:tcPr>
            <w:tcW w:w="2860" w:type="dxa"/>
            <w:vAlign w:val="bottom"/>
          </w:tcPr>
          <w:p>
            <w:pPr>
              <w:spacing w:after="0"/>
              <w:rPr>
                <w:sz w:val="20"/>
                <w:szCs w:val="20"/>
                <w:color w:val="auto"/>
              </w:rPr>
            </w:pPr>
          </w:p>
        </w:tc>
        <w:tc>
          <w:tcPr>
            <w:tcW w:w="900" w:type="dxa"/>
            <w:vAlign w:val="bottom"/>
            <w:tcBorders>
              <w:top w:val="single" w:sz="8" w:color="auto"/>
            </w:tcBorders>
          </w:tcPr>
          <w:p>
            <w:pPr>
              <w:jc w:val="right"/>
              <w:ind w:right="71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center"/>
              <w:ind w:left="91"/>
              <w:spacing w:after="0"/>
              <w:rPr>
                <w:sz w:val="20"/>
                <w:szCs w:val="20"/>
                <w:color w:val="auto"/>
              </w:rPr>
            </w:pPr>
            <w:r>
              <w:rPr>
                <w:rFonts w:ascii="Arial" w:cs="Arial" w:eastAsia="Arial" w:hAnsi="Arial"/>
                <w:sz w:val="18"/>
                <w:szCs w:val="18"/>
                <w:color w:val="auto"/>
                <w:w w:val="93"/>
              </w:rPr>
              <w:t>(28)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60" w:type="dxa"/>
            <w:vAlign w:val="bottom"/>
            <w:vMerge w:val="restart"/>
          </w:tcPr>
          <w:p>
            <w:pPr>
              <w:jc w:val="right"/>
              <w:ind w:right="891"/>
              <w:spacing w:after="0"/>
              <w:rPr>
                <w:sz w:val="20"/>
                <w:szCs w:val="20"/>
                <w:color w:val="auto"/>
              </w:rPr>
            </w:pPr>
            <w:r>
              <w:rPr>
                <w:rFonts w:ascii="Arial" w:cs="Arial" w:eastAsia="Arial" w:hAnsi="Arial"/>
                <w:sz w:val="18"/>
                <w:szCs w:val="18"/>
                <w:color w:val="auto"/>
              </w:rPr>
              <w:t>79</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3"/>
        </w:trPr>
        <w:tc>
          <w:tcPr>
            <w:tcW w:w="38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84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firstLine="322"/>
        <w:spacing w:after="0" w:line="274" w:lineRule="auto"/>
        <w:rPr>
          <w:sz w:val="20"/>
          <w:szCs w:val="20"/>
          <w:color w:val="auto"/>
        </w:rPr>
      </w:pPr>
      <w:r>
        <w:rPr>
          <w:rFonts w:ascii="Arial" w:cs="Arial" w:eastAsia="Arial" w:hAnsi="Arial"/>
          <w:sz w:val="18"/>
          <w:szCs w:val="18"/>
          <w:color w:val="auto"/>
        </w:rPr>
        <w:t>The provision for income taxes related to operations varies from the amount determined by applying the federal income tax statutory rate to the income or loss before income taxes. The reconciliation of these differences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60" w:type="dxa"/>
            <w:vAlign w:val="bottom"/>
          </w:tcPr>
          <w:p>
            <w:pPr>
              <w:spacing w:after="0"/>
              <w:rPr>
                <w:sz w:val="20"/>
                <w:szCs w:val="20"/>
                <w:color w:val="auto"/>
              </w:rPr>
            </w:pPr>
          </w:p>
        </w:tc>
        <w:tc>
          <w:tcPr>
            <w:tcW w:w="3840" w:type="dxa"/>
            <w:vAlign w:val="bottom"/>
            <w:gridSpan w:val="5"/>
          </w:tcPr>
          <w:p>
            <w:pPr>
              <w:ind w:left="1100"/>
              <w:spacing w:after="0"/>
              <w:rPr>
                <w:sz w:val="20"/>
                <w:szCs w:val="20"/>
                <w:color w:val="auto"/>
              </w:rPr>
            </w:pPr>
            <w:r>
              <w:rPr>
                <w:rFonts w:ascii="Arial" w:cs="Arial" w:eastAsia="Arial" w:hAnsi="Arial"/>
                <w:sz w:val="18"/>
                <w:szCs w:val="18"/>
                <w:b w:val="1"/>
                <w:bCs w:val="1"/>
                <w:color w:val="auto"/>
                <w:w w:val="91"/>
              </w:rPr>
              <w:t>For the Years Ended December 31,</w:t>
            </w:r>
          </w:p>
        </w:tc>
        <w:tc>
          <w:tcPr>
            <w:tcW w:w="102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6360" w:type="dxa"/>
            <w:vAlign w:val="bottom"/>
          </w:tcPr>
          <w:p>
            <w:pPr>
              <w:spacing w:after="0"/>
              <w:rPr>
                <w:sz w:val="20"/>
                <w:szCs w:val="20"/>
                <w:color w:val="auto"/>
              </w:rPr>
            </w:pPr>
          </w:p>
        </w:tc>
        <w:tc>
          <w:tcPr>
            <w:tcW w:w="1520" w:type="dxa"/>
            <w:vAlign w:val="bottom"/>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511"/>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63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2"/>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Computed expected income tax provision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2"/>
        </w:trPr>
        <w:tc>
          <w:tcPr>
            <w:tcW w:w="6360" w:type="dxa"/>
            <w:vAlign w:val="bottom"/>
          </w:tcPr>
          <w:p>
            <w:pPr>
              <w:ind w:left="140"/>
              <w:spacing w:after="0"/>
              <w:rPr>
                <w:sz w:val="20"/>
                <w:szCs w:val="20"/>
                <w:color w:val="auto"/>
              </w:rPr>
            </w:pPr>
            <w:r>
              <w:rPr>
                <w:rFonts w:ascii="Arial" w:cs="Arial" w:eastAsia="Arial" w:hAnsi="Arial"/>
                <w:sz w:val="18"/>
                <w:szCs w:val="18"/>
                <w:color w:val="auto"/>
              </w:rPr>
              <w:t>State income taxes, net of federal income tax benefit</w:t>
            </w: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580" w:type="dxa"/>
            <w:vAlign w:val="bottom"/>
          </w:tcPr>
          <w:p>
            <w:pPr>
              <w:jc w:val="right"/>
              <w:ind w:right="19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(0.7)</w:t>
            </w:r>
          </w:p>
        </w:tc>
      </w:tr>
      <w:tr>
        <w:trPr>
          <w:trHeight w:val="27"/>
        </w:trPr>
        <w:tc>
          <w:tcPr>
            <w:tcW w:w="6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valuation allowance for deferred tax assets</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(24.7)</w:t>
            </w:r>
          </w:p>
        </w:tc>
      </w:tr>
      <w:tr>
        <w:trPr>
          <w:trHeight w:val="242"/>
        </w:trPr>
        <w:tc>
          <w:tcPr>
            <w:tcW w:w="6360" w:type="dxa"/>
            <w:vAlign w:val="bottom"/>
          </w:tcPr>
          <w:p>
            <w:pPr>
              <w:ind w:left="140"/>
              <w:spacing w:after="0"/>
              <w:rPr>
                <w:sz w:val="20"/>
                <w:szCs w:val="20"/>
                <w:color w:val="auto"/>
              </w:rPr>
            </w:pPr>
            <w:r>
              <w:rPr>
                <w:rFonts w:ascii="Arial" w:cs="Arial" w:eastAsia="Arial" w:hAnsi="Arial"/>
                <w:sz w:val="18"/>
                <w:szCs w:val="18"/>
                <w:color w:val="auto"/>
              </w:rPr>
              <w:t>Cumulative deferred adjustments</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(1.1)</w:t>
            </w:r>
          </w:p>
        </w:tc>
      </w:tr>
      <w:tr>
        <w:trPr>
          <w:trHeight w:val="27"/>
        </w:trPr>
        <w:tc>
          <w:tcPr>
            <w:tcW w:w="6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to return adjustments</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42"/>
        </w:trPr>
        <w:tc>
          <w:tcPr>
            <w:tcW w:w="6360" w:type="dxa"/>
            <w:vAlign w:val="bottom"/>
          </w:tcPr>
          <w:p>
            <w:pPr>
              <w:ind w:left="140"/>
              <w:spacing w:after="0"/>
              <w:rPr>
                <w:sz w:val="20"/>
                <w:szCs w:val="20"/>
                <w:color w:val="auto"/>
              </w:rPr>
            </w:pPr>
            <w:r>
              <w:rPr>
                <w:rFonts w:ascii="Arial" w:cs="Arial" w:eastAsia="Arial" w:hAnsi="Arial"/>
                <w:sz w:val="18"/>
                <w:szCs w:val="18"/>
                <w:color w:val="auto"/>
              </w:rPr>
              <w:t>Other permanent differences</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80" w:type="dxa"/>
            <w:vAlign w:val="bottom"/>
          </w:tcPr>
          <w:p>
            <w:pPr>
              <w:jc w:val="right"/>
              <w:ind w:right="19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(3.8)</w:t>
            </w:r>
          </w:p>
        </w:tc>
      </w:tr>
      <w:tr>
        <w:trPr>
          <w:trHeight w:val="27"/>
        </w:trPr>
        <w:tc>
          <w:tcPr>
            <w:tcW w:w="6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Dividend and accretion on preferred stock</w:t>
            </w: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(35.8)</w:t>
            </w:r>
          </w:p>
        </w:tc>
      </w:tr>
      <w:tr>
        <w:trPr>
          <w:trHeight w:val="242"/>
        </w:trPr>
        <w:tc>
          <w:tcPr>
            <w:tcW w:w="6360" w:type="dxa"/>
            <w:vAlign w:val="bottom"/>
          </w:tcPr>
          <w:p>
            <w:pPr>
              <w:ind w:left="140"/>
              <w:spacing w:after="0"/>
              <w:rPr>
                <w:sz w:val="20"/>
                <w:szCs w:val="20"/>
                <w:color w:val="auto"/>
              </w:rPr>
            </w:pPr>
            <w:r>
              <w:rPr>
                <w:rFonts w:ascii="Arial" w:cs="Arial" w:eastAsia="Arial" w:hAnsi="Arial"/>
                <w:sz w:val="18"/>
                <w:szCs w:val="18"/>
                <w:color w:val="auto"/>
              </w:rPr>
              <w:t>Gain on redemption of preferred stock</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Section 162(m) limitation - covered employees</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w:t>
            </w:r>
          </w:p>
        </w:tc>
      </w:tr>
      <w:tr>
        <w:trPr>
          <w:trHeight w:val="242"/>
        </w:trPr>
        <w:tc>
          <w:tcPr>
            <w:tcW w:w="6360" w:type="dxa"/>
            <w:vAlign w:val="bottom"/>
          </w:tcPr>
          <w:p>
            <w:pPr>
              <w:ind w:left="140"/>
              <w:spacing w:after="0"/>
              <w:rPr>
                <w:sz w:val="20"/>
                <w:szCs w:val="20"/>
                <w:color w:val="auto"/>
              </w:rPr>
            </w:pPr>
            <w:r>
              <w:rPr>
                <w:rFonts w:ascii="Arial" w:cs="Arial" w:eastAsia="Arial" w:hAnsi="Arial"/>
                <w:sz w:val="18"/>
                <w:szCs w:val="18"/>
                <w:color w:val="auto"/>
              </w:rPr>
              <w:t>Capitalization of IPO transaction costs</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 48 liability</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2"/>
        </w:trPr>
        <w:tc>
          <w:tcPr>
            <w:tcW w:w="6360" w:type="dxa"/>
            <w:vAlign w:val="bottom"/>
          </w:tcPr>
          <w:p>
            <w:pPr>
              <w:ind w:left="140"/>
              <w:spacing w:after="0"/>
              <w:rPr>
                <w:sz w:val="20"/>
                <w:szCs w:val="20"/>
                <w:color w:val="auto"/>
              </w:rPr>
            </w:pPr>
            <w:r>
              <w:rPr>
                <w:rFonts w:ascii="Arial" w:cs="Arial" w:eastAsia="Arial" w:hAnsi="Arial"/>
                <w:sz w:val="18"/>
                <w:szCs w:val="18"/>
                <w:color w:val="auto"/>
              </w:rPr>
              <w:t>R&amp;D credit</w:t>
            </w: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19.0</w:t>
            </w:r>
          </w:p>
        </w:tc>
      </w:tr>
      <w:tr>
        <w:trPr>
          <w:trHeight w:val="27"/>
        </w:trPr>
        <w:tc>
          <w:tcPr>
            <w:tcW w:w="6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r>
      <w:tr>
        <w:trPr>
          <w:trHeight w:val="235"/>
        </w:trPr>
        <w:tc>
          <w:tcPr>
            <w:tcW w:w="636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63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firstLine="322"/>
        <w:spacing w:after="0" w:line="274"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on December 31, 2021 and 2020 are as follows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52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2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52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Accounts receivable, principally due to allowance for doubtful accounts</w:t>
            </w:r>
          </w:p>
        </w:tc>
        <w:tc>
          <w:tcPr>
            <w:tcW w:w="30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340"/>
              <w:spacing w:after="0"/>
              <w:rPr>
                <w:sz w:val="20"/>
                <w:szCs w:val="20"/>
                <w:color w:val="auto"/>
              </w:rPr>
            </w:pPr>
            <w:r>
              <w:rPr>
                <w:rFonts w:ascii="Arial" w:cs="Arial" w:eastAsia="Arial" w:hAnsi="Arial"/>
                <w:sz w:val="18"/>
                <w:szCs w:val="18"/>
                <w:color w:val="auto"/>
              </w:rPr>
              <w:t>Allowance for inventory obsolescence and amortization</w:t>
            </w: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not currently deductible</w:t>
            </w:r>
          </w:p>
        </w:tc>
        <w:tc>
          <w:tcPr>
            <w:tcW w:w="2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2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163(j) interest limitation</w:t>
            </w:r>
          </w:p>
        </w:tc>
        <w:tc>
          <w:tcPr>
            <w:tcW w:w="2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 - federal</w:t>
            </w:r>
          </w:p>
        </w:tc>
        <w:tc>
          <w:tcPr>
            <w:tcW w:w="2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340"/>
              <w:spacing w:after="0"/>
              <w:rPr>
                <w:sz w:val="20"/>
                <w:szCs w:val="20"/>
                <w:color w:val="auto"/>
              </w:rPr>
            </w:pPr>
            <w:r>
              <w:rPr>
                <w:rFonts w:ascii="Arial" w:cs="Arial" w:eastAsia="Arial" w:hAnsi="Arial"/>
                <w:sz w:val="18"/>
                <w:szCs w:val="18"/>
                <w:color w:val="auto"/>
              </w:rPr>
              <w:t>Net operating loss carryforwards - state</w:t>
            </w: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R&amp;D credit</w:t>
            </w:r>
          </w:p>
        </w:tc>
        <w:tc>
          <w:tcPr>
            <w:tcW w:w="27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340"/>
              <w:spacing w:after="0"/>
              <w:rPr>
                <w:sz w:val="20"/>
                <w:szCs w:val="20"/>
                <w:color w:val="auto"/>
              </w:rPr>
            </w:pPr>
            <w:r>
              <w:rPr>
                <w:rFonts w:ascii="Arial" w:cs="Arial" w:eastAsia="Arial" w:hAnsi="Arial"/>
                <w:sz w:val="18"/>
                <w:szCs w:val="18"/>
                <w:color w:val="auto"/>
              </w:rPr>
              <w:t>Total gross deferred tax assets</w:t>
            </w: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27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assets, net of valuation allowance</w:t>
            </w:r>
          </w:p>
        </w:tc>
        <w:tc>
          <w:tcPr>
            <w:tcW w:w="2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340"/>
              <w:spacing w:after="0"/>
              <w:rPr>
                <w:sz w:val="20"/>
                <w:szCs w:val="20"/>
                <w:color w:val="auto"/>
              </w:rPr>
            </w:pPr>
            <w:r>
              <w:rPr>
                <w:rFonts w:ascii="Arial" w:cs="Arial" w:eastAsia="Arial" w:hAnsi="Arial"/>
                <w:sz w:val="18"/>
                <w:szCs w:val="18"/>
                <w:color w:val="auto"/>
              </w:rPr>
              <w:t>Amortization and depreciation</w:t>
            </w: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 deferred for tax purposes</w:t>
            </w:r>
          </w:p>
        </w:tc>
        <w:tc>
          <w:tcPr>
            <w:tcW w:w="2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liabilities</w:t>
            </w:r>
          </w:p>
        </w:tc>
        <w:tc>
          <w:tcPr>
            <w:tcW w:w="27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2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2431"/>
              <w:spacing w:after="0"/>
              <w:rPr>
                <w:sz w:val="20"/>
                <w:szCs w:val="20"/>
                <w:color w:val="auto"/>
              </w:rPr>
            </w:pPr>
            <w:r>
              <w:rPr>
                <w:rFonts w:ascii="Arial" w:cs="Arial" w:eastAsia="Arial" w:hAnsi="Arial"/>
                <w:sz w:val="18"/>
                <w:szCs w:val="18"/>
                <w:color w:val="auto"/>
                <w:w w:val="89"/>
              </w:rPr>
              <w:t>80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55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52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valuation allowance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Balance</w:t>
            </w:r>
          </w:p>
        </w:tc>
      </w:tr>
      <w:tr>
        <w:trPr>
          <w:trHeight w:val="215"/>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Beginning of</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End of</w:t>
            </w:r>
          </w:p>
        </w:tc>
      </w:tr>
      <w:tr>
        <w:trPr>
          <w:trHeight w:val="233"/>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Period</w:t>
            </w:r>
          </w:p>
        </w:tc>
        <w:tc>
          <w:tcPr>
            <w:tcW w:w="22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Additions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Recoveries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Period</w:t>
            </w:r>
          </w:p>
        </w:tc>
      </w:tr>
      <w:tr>
        <w:trPr>
          <w:trHeight w:val="27"/>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8"/>
        </w:trPr>
        <w:tc>
          <w:tcPr>
            <w:tcW w:w="4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55,588</w:t>
            </w:r>
          </w:p>
        </w:tc>
      </w:tr>
      <w:tr>
        <w:trPr>
          <w:trHeight w:val="242"/>
        </w:trPr>
        <w:tc>
          <w:tcPr>
            <w:tcW w:w="4860" w:type="dxa"/>
            <w:vAlign w:val="bottom"/>
          </w:tcPr>
          <w:p>
            <w:pPr>
              <w:ind w:left="140"/>
              <w:spacing w:after="0"/>
              <w:rPr>
                <w:sz w:val="20"/>
                <w:szCs w:val="20"/>
                <w:color w:val="auto"/>
              </w:rPr>
            </w:pPr>
            <w:r>
              <w:rPr>
                <w:rFonts w:ascii="Arial" w:cs="Arial" w:eastAsia="Arial" w:hAnsi="Arial"/>
                <w:sz w:val="18"/>
                <w:szCs w:val="18"/>
                <w:color w:val="auto"/>
              </w:rPr>
              <w:t>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7,206</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44,992</w:t>
            </w:r>
          </w:p>
        </w:tc>
        <w:tc>
          <w:tcPr>
            <w:tcW w:w="100" w:type="dxa"/>
            <w:vAlign w:val="bottom"/>
          </w:tcPr>
          <w:p>
            <w:pPr>
              <w:spacing w:after="0"/>
              <w:rPr>
                <w:sz w:val="21"/>
                <w:szCs w:val="21"/>
                <w:color w:val="auto"/>
              </w:rPr>
            </w:pPr>
          </w:p>
        </w:tc>
        <w:tc>
          <w:tcPr>
            <w:tcW w:w="1160" w:type="dxa"/>
            <w:vAlign w:val="bottom"/>
          </w:tcPr>
          <w:p>
            <w:pPr>
              <w:jc w:val="right"/>
              <w:ind w:right="971"/>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52,198</w:t>
            </w: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r>
      <w:tr>
        <w:trPr>
          <w:trHeight w:val="27"/>
        </w:trPr>
        <w:tc>
          <w:tcPr>
            <w:tcW w:w="4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81" w:lineRule="exact"/>
        <w:rPr>
          <w:sz w:val="20"/>
          <w:szCs w:val="20"/>
          <w:color w:val="auto"/>
        </w:rPr>
      </w:pPr>
    </w:p>
    <w:p>
      <w:pPr>
        <w:ind w:right="220" w:firstLine="322"/>
        <w:spacing w:after="0" w:line="254" w:lineRule="auto"/>
        <w:rPr>
          <w:sz w:val="20"/>
          <w:szCs w:val="20"/>
          <w:color w:val="auto"/>
        </w:rPr>
      </w:pPr>
      <w:r>
        <w:rPr>
          <w:rFonts w:ascii="Arial" w:cs="Arial" w:eastAsia="Arial" w:hAnsi="Arial"/>
          <w:sz w:val="18"/>
          <w:szCs w:val="18"/>
          <w:color w:val="auto"/>
        </w:rPr>
        <w:t>We establish a valuation allowance for deferred tax assets if, based on the weight of available evidence, it is more likely than not that some portion or all of the deferred tax assets will not be realized. The realization of deferred tax assets is dependent upon the generation of future taxable income. We considered projected future taxable income, tax planning strategies, and reversal of taxable temporary differences in making this assessment. Based on available evidence, we have determined that a full valuation allowance is required as of December 31, 2021 and 2020. As a result of a full valuation allowance against our deferred tax assets and liabilities, a deferred tax liability related to indefinite-lived goodwill remains on our consolidated balance sheets on December 31, 2021 and 2020.</w:t>
      </w:r>
    </w:p>
    <w:p>
      <w:pPr>
        <w:spacing w:after="0" w:line="189" w:lineRule="exact"/>
        <w:rPr>
          <w:sz w:val="20"/>
          <w:szCs w:val="20"/>
          <w:color w:val="auto"/>
        </w:rPr>
      </w:pPr>
    </w:p>
    <w:p>
      <w:pPr>
        <w:jc w:val="both"/>
        <w:ind w:right="20" w:firstLine="322"/>
        <w:spacing w:after="0" w:line="261" w:lineRule="auto"/>
        <w:rPr>
          <w:sz w:val="20"/>
          <w:szCs w:val="20"/>
          <w:color w:val="auto"/>
        </w:rPr>
      </w:pPr>
      <w:r>
        <w:rPr>
          <w:rFonts w:ascii="Arial" w:cs="Arial" w:eastAsia="Arial" w:hAnsi="Arial"/>
          <w:sz w:val="18"/>
          <w:szCs w:val="18"/>
          <w:color w:val="auto"/>
        </w:rPr>
        <w:t>In 2020, we recorded deferred tax assets and liabilities related to the purchase of an additional 50% interest in Telos ID, including a deferred tax asset of $43.8 million for tax-deductible goodwill generated in the transaction. We also recorded a corresponding valuation allowance against the additional deferred taxes.</w:t>
      </w:r>
    </w:p>
    <w:p>
      <w:pPr>
        <w:spacing w:after="0" w:line="184" w:lineRule="exact"/>
        <w:rPr>
          <w:sz w:val="20"/>
          <w:szCs w:val="20"/>
          <w:color w:val="auto"/>
        </w:rPr>
      </w:pPr>
    </w:p>
    <w:p>
      <w:pPr>
        <w:jc w:val="both"/>
        <w:ind w:right="220" w:firstLine="322"/>
        <w:spacing w:after="0" w:line="286" w:lineRule="auto"/>
        <w:rPr>
          <w:sz w:val="20"/>
          <w:szCs w:val="20"/>
          <w:color w:val="auto"/>
        </w:rPr>
      </w:pPr>
      <w:r>
        <w:rPr>
          <w:rFonts w:ascii="Arial" w:cs="Arial" w:eastAsia="Arial" w:hAnsi="Arial"/>
          <w:sz w:val="16"/>
          <w:szCs w:val="16"/>
          <w:color w:val="auto"/>
        </w:rPr>
        <w:t>On December 31, 2021, for federal income tax purposes there was approximately a $27.1 million net operating loss available to be carried forward to offset future taxable income. Approximately $10.6 million of these net operating loss carryforwards expire between 2035 and 2037, the remaining will be carried forward indefinitely. As of December 31, 2021, there was approximately $3.5 million of R&amp;D credit carryover which begins to expire in 2033.</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Certain tax attributes of the Company, including net operating losses and credits, would be subject to a limitation should an ownership change as defined under Section 382 of the Internal Revenue Code of 1986, as amended, occur. The limitations resulting from a change in ownership could affect the Company’s ability to utilize its tax attributes. A study was completed in 2020 which confirmed that no limitation applies to the Company's tax attributes as of December 31, 2020. We believe that ownership activity since December 31, 2020 would not result in limitation sufficient to result in the expiration of unused attributes.</w:t>
      </w:r>
    </w:p>
    <w:p>
      <w:pPr>
        <w:spacing w:after="0" w:line="191" w:lineRule="exact"/>
        <w:rPr>
          <w:sz w:val="20"/>
          <w:szCs w:val="20"/>
          <w:color w:val="auto"/>
        </w:rPr>
      </w:pPr>
    </w:p>
    <w:p>
      <w:pPr>
        <w:ind w:right="40" w:firstLine="322"/>
        <w:spacing w:after="0" w:line="291" w:lineRule="auto"/>
        <w:rPr>
          <w:sz w:val="20"/>
          <w:szCs w:val="20"/>
          <w:color w:val="auto"/>
        </w:rPr>
      </w:pPr>
      <w:r>
        <w:rPr>
          <w:rFonts w:ascii="Arial" w:cs="Arial" w:eastAsia="Arial" w:hAnsi="Arial"/>
          <w:sz w:val="16"/>
          <w:szCs w:val="16"/>
          <w:color w:val="auto"/>
        </w:rPr>
        <w:t>Under the provisions of ASC 740, we determined that there were approximately $1,056,000, $763,000, and $714,000 of unrecognized tax benefits as of December 31, 2021, 2020, and 2019, respectively. Included in the balance of unrecognized tax benefits as of December 31, 2021, 2020, and 2019 were $174,000, $278,000, and $369,000, respectively, of tax benefits that, if recognized, would impact the effective tax rate. Also included in the balance of unrecognized tax benefits as of December 31, 2021, 2020, and 2019 were $882,000, $485,000, and $345,000, respectively, of tax benefits that, if recognized, would not impact the effective tax rate due to the Company’s valuation allowance. The Company had accrued interest and penalties related to the unrecognized tax benefits of $170,000 and $241,000, which were recorded in other liabilities as of December 31, 2021 and 2020, respectively.</w:t>
      </w:r>
    </w:p>
    <w:p>
      <w:pPr>
        <w:spacing w:after="0" w:line="165" w:lineRule="exact"/>
        <w:rPr>
          <w:sz w:val="20"/>
          <w:szCs w:val="20"/>
          <w:color w:val="auto"/>
        </w:rPr>
      </w:pPr>
    </w:p>
    <w:p>
      <w:pPr>
        <w:ind w:right="200" w:firstLine="322"/>
        <w:spacing w:after="0" w:line="261" w:lineRule="auto"/>
        <w:rPr>
          <w:sz w:val="20"/>
          <w:szCs w:val="20"/>
          <w:color w:val="auto"/>
        </w:rPr>
      </w:pPr>
      <w:r>
        <w:rPr>
          <w:rFonts w:ascii="Arial" w:cs="Arial" w:eastAsia="Arial" w:hAnsi="Arial"/>
          <w:sz w:val="18"/>
          <w:szCs w:val="18"/>
          <w:color w:val="auto"/>
        </w:rPr>
        <w:t>We believe that the total amounts of unrecognized tax benefits will not significantly increase or decrease within the next 12 months. The period for which tax years are open, 2013 to 2021, has not been extended beyond the applicable statute of limitations. As of December 31, 2021, the Company is not under examination by any federal or state tax jurisdiction.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60" w:type="dxa"/>
            <w:vAlign w:val="bottom"/>
          </w:tcPr>
          <w:p>
            <w:pPr>
              <w:spacing w:after="0"/>
              <w:rPr>
                <w:sz w:val="20"/>
                <w:szCs w:val="20"/>
                <w:color w:val="auto"/>
              </w:rPr>
            </w:pPr>
          </w:p>
        </w:tc>
        <w:tc>
          <w:tcPr>
            <w:tcW w:w="3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beginning of period</w:t>
            </w:r>
          </w:p>
        </w:tc>
        <w:tc>
          <w:tcPr>
            <w:tcW w:w="306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560" w:type="dxa"/>
            <w:vAlign w:val="bottom"/>
          </w:tcPr>
          <w:p>
            <w:pPr>
              <w:ind w:left="340"/>
              <w:spacing w:after="0"/>
              <w:rPr>
                <w:sz w:val="20"/>
                <w:szCs w:val="20"/>
                <w:color w:val="auto"/>
              </w:rPr>
            </w:pPr>
            <w:r>
              <w:rPr>
                <w:rFonts w:ascii="Arial" w:cs="Arial" w:eastAsia="Arial" w:hAnsi="Arial"/>
                <w:sz w:val="18"/>
                <w:szCs w:val="18"/>
                <w:color w:val="auto"/>
              </w:rPr>
              <w:t>Increase (decrease) in prior year tax positions</w:t>
            </w:r>
          </w:p>
        </w:tc>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Increase related to current year tax positions</w:t>
            </w:r>
          </w:p>
        </w:tc>
        <w:tc>
          <w:tcPr>
            <w:tcW w:w="2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560" w:type="dxa"/>
            <w:vAlign w:val="bottom"/>
          </w:tcPr>
          <w:p>
            <w:pPr>
              <w:ind w:left="340"/>
              <w:spacing w:after="0"/>
              <w:rPr>
                <w:sz w:val="20"/>
                <w:szCs w:val="20"/>
                <w:color w:val="auto"/>
              </w:rPr>
            </w:pPr>
            <w:r>
              <w:rPr>
                <w:rFonts w:ascii="Arial" w:cs="Arial" w:eastAsia="Arial" w:hAnsi="Arial"/>
                <w:sz w:val="18"/>
                <w:szCs w:val="18"/>
                <w:color w:val="auto"/>
              </w:rPr>
              <w:t>Decrease related to lapse of statutes</w:t>
            </w:r>
          </w:p>
        </w:tc>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end of period</w:t>
            </w:r>
          </w:p>
        </w:tc>
        <w:tc>
          <w:tcPr>
            <w:tcW w:w="306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1,056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891"/>
              <w:spacing w:after="0"/>
              <w:rPr>
                <w:sz w:val="20"/>
                <w:szCs w:val="20"/>
                <w:color w:val="auto"/>
              </w:rPr>
            </w:pPr>
            <w:r>
              <w:rPr>
                <w:rFonts w:ascii="Arial" w:cs="Arial" w:eastAsia="Arial" w:hAnsi="Arial"/>
                <w:sz w:val="18"/>
                <w:szCs w:val="18"/>
                <w:color w:val="auto"/>
              </w:rPr>
              <w:t>81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45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226" w:lineRule="exact"/>
        <w:rPr>
          <w:sz w:val="20"/>
          <w:szCs w:val="20"/>
          <w:color w:val="auto"/>
        </w:rPr>
      </w:pPr>
    </w:p>
    <w:p>
      <w:pPr>
        <w:ind w:right="220" w:firstLine="322"/>
        <w:spacing w:after="0" w:line="274" w:lineRule="auto"/>
        <w:rPr>
          <w:sz w:val="20"/>
          <w:szCs w:val="20"/>
          <w:color w:val="auto"/>
        </w:rPr>
      </w:pPr>
      <w:r>
        <w:rPr>
          <w:rFonts w:ascii="Arial" w:cs="Arial" w:eastAsia="Arial" w:hAnsi="Arial"/>
          <w:sz w:val="18"/>
          <w:szCs w:val="18"/>
          <w:color w:val="auto"/>
        </w:rPr>
        <w:t>We lease office space and equipment under noncancelable operating and finance leases with various expiration dates, some of which contain renewal options.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2" w:lineRule="exact"/>
        <w:rPr>
          <w:sz w:val="20"/>
          <w:szCs w:val="20"/>
          <w:color w:val="auto"/>
        </w:rPr>
      </w:pPr>
    </w:p>
    <w:p>
      <w:pPr>
        <w:ind w:firstLine="322"/>
        <w:spacing w:after="0" w:line="261" w:lineRule="auto"/>
        <w:rPr>
          <w:sz w:val="20"/>
          <w:szCs w:val="20"/>
          <w:color w:val="auto"/>
        </w:rPr>
      </w:pPr>
      <w:r>
        <w:rPr>
          <w:rFonts w:ascii="Arial" w:cs="Arial" w:eastAsia="Arial" w:hAnsi="Arial"/>
          <w:sz w:val="18"/>
          <w:szCs w:val="18"/>
          <w:color w:val="auto"/>
        </w:rPr>
        <w:t>We determine if an arrangement is a lease and we account for leases in accordance with ASC Topic 842, “Leases,” which requires lessees to recognize a right-of-use (“ROU”) asset and lease liability on the consolidated balance sheets and expands disclosures about leasing arrangements for both lessees and lessors, among other items, for most lease arrangements.</w:t>
      </w:r>
    </w:p>
    <w:p>
      <w:pPr>
        <w:spacing w:after="0" w:line="184" w:lineRule="exact"/>
        <w:rPr>
          <w:sz w:val="20"/>
          <w:szCs w:val="20"/>
          <w:color w:val="auto"/>
        </w:rPr>
      </w:pPr>
    </w:p>
    <w:p>
      <w:pPr>
        <w:ind w:right="60" w:firstLine="322"/>
        <w:spacing w:after="0" w:line="288" w:lineRule="auto"/>
        <w:rPr>
          <w:sz w:val="20"/>
          <w:szCs w:val="20"/>
          <w:color w:val="auto"/>
        </w:rPr>
      </w:pPr>
      <w:r>
        <w:rPr>
          <w:rFonts w:ascii="Arial" w:cs="Arial" w:eastAsia="Arial" w:hAnsi="Arial"/>
          <w:sz w:val="16"/>
          <w:szCs w:val="16"/>
          <w:color w:val="auto"/>
        </w:rPr>
        <w:t>In accordance with the adoption of ASC 842 on January 1, 2019, we recorded operating lease ROU assets, which represent our right to use an underlying asset for the lease term, and operating lease liabilities which represent our obligation to make lease payments. Generally, we enter into operating lease agreements for facilities. The amount of operating lease liabilities due within 12 months are recorded in other current liabilities, with the remaining operating lease liabilities recorded as non-current liabilities in our consolidated balance sheets based on their contractual due dates. The operating lease ROU assets and liabilities are recognized as of the lease commencement date at the present value of the lease payments over the lease term. Most of our leases do not provide an implicit rate that can readily be determined. Therefore, we use a discount rate based on our incremental borrowing rate, which was 5.75% for all operating leases. Our operating lease agreements may include options to extend the lease term or terminate it early. We have included options to extend in the operating lease ROU assets and liabilities when we are reasonably certain that we will exercise such options.</w:t>
      </w:r>
    </w:p>
    <w:p>
      <w:pPr>
        <w:spacing w:after="0" w:line="166" w:lineRule="exact"/>
        <w:rPr>
          <w:sz w:val="20"/>
          <w:szCs w:val="20"/>
          <w:color w:val="auto"/>
        </w:rPr>
      </w:pPr>
    </w:p>
    <w:p>
      <w:pPr>
        <w:jc w:val="both"/>
        <w:ind w:right="60" w:firstLine="322"/>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Operating lease expense is recognized as rent expense on a straight-line basis over the lease term. Some of our operating leases contain lease and non-lease components, which we account for as a single component. We evaluate ROU assets for impairment consistent with our property and equipment policy disclosure included in </w:t>
      </w:r>
      <w:hyperlink w:anchor="page5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Overview and Summary of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222" w:lineRule="exact"/>
        <w:rPr>
          <w:sz w:val="20"/>
          <w:szCs w:val="20"/>
          <w:color w:val="auto"/>
        </w:rPr>
      </w:pPr>
    </w:p>
    <w:p>
      <w:pPr>
        <w:ind w:right="60" w:firstLine="322"/>
        <w:spacing w:after="0" w:line="253" w:lineRule="auto"/>
        <w:rPr>
          <w:sz w:val="20"/>
          <w:szCs w:val="20"/>
          <w:color w:val="auto"/>
        </w:rPr>
      </w:pPr>
      <w:r>
        <w:rPr>
          <w:rFonts w:ascii="Arial" w:cs="Arial" w:eastAsia="Arial" w:hAnsi="Arial"/>
          <w:sz w:val="18"/>
          <w:szCs w:val="18"/>
          <w:color w:val="auto"/>
        </w:rPr>
        <w:t>On March 1, 1996, we entered into a 20-year capital lease for a building in Ashburn, Virginia that serves as our corporate headquarters. We had accounted for this transaction as a capital lease and had accordingly recorded assets and a corresponding liability of approximately $12.3 million. Effective November 1, 2013, this lease was terminated and we entered into a 13-year lease (the “2013 lease”) that would have expired in October 31, 2026. The 2013 lease was treated as a modification in accordance with ASC 840, “Leases”. As a result of the 2013 lease, the corresponding capital asset and liability increased by $11.7 million, resulting in a net book value of the capital asset of $13.1 million, and capital obligation of $15.5 million. The 2013 lease included an option to purchase, assign to, or designate a purchaser on June 1, 2014, which required notice of intent to exercise the option by not later than March 31, 2014.</w:t>
      </w:r>
    </w:p>
    <w:p>
      <w:pPr>
        <w:spacing w:after="0" w:line="190" w:lineRule="exact"/>
        <w:rPr>
          <w:sz w:val="20"/>
          <w:szCs w:val="20"/>
          <w:color w:val="auto"/>
        </w:rPr>
      </w:pPr>
    </w:p>
    <w:p>
      <w:pPr>
        <w:ind w:firstLine="322"/>
        <w:spacing w:after="0" w:line="286" w:lineRule="auto"/>
        <w:rPr>
          <w:sz w:val="20"/>
          <w:szCs w:val="20"/>
          <w:color w:val="auto"/>
        </w:rPr>
      </w:pPr>
      <w:r>
        <w:rPr>
          <w:rFonts w:ascii="Arial" w:cs="Arial" w:eastAsia="Arial" w:hAnsi="Arial"/>
          <w:sz w:val="16"/>
          <w:szCs w:val="16"/>
          <w:color w:val="auto"/>
        </w:rPr>
        <w:t>On March 28, 2014, we entered into a definitive agreement with an unrelated third party to assign the purchase option to that third party in return for cash consideration of $1.7 million, payable upon the closing of the purchase transaction, and certain obligations under the agreement, including entering into a new 15-year lease with the third party upon the third party’s exercise of the purchase option and purchase of the building from the prior landlord. On March 28, 2014, we provided the prior landlord notice of our assignment and exercise of the purchase option. On May 28, 2014, the third party completed the purchase transaction and the 2013 lease was terminated, with no ongoing obligations, by mutual agreement between the prior landlord and the Company. On the same day we entered into a new lease (the “2014 lease”) with the third party that expires on May 31, 2029. The 2014 lease was treated as a modification of the prior lease on the property in accordance with ASC 840, and determined to be a capital lease. As a result of the 2014 lease, the corresponding capital asset increased by $5.7 million, resulting in a net book value of the capital asset of $18.3 million and the liability increased by $6.7 million, resulting in a capital obligation of $22.0 million. In accordance with the 2014 Lease, the basic rent increases by a fixed 2.5% escalation annually. The adoption of ASC 842 on January 1, 2019 did not have a material impact on the existing finance leases.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8040" w:type="dxa"/>
            <w:vAlign w:val="bottom"/>
            <w:gridSpan w:val="2"/>
          </w:tcPr>
          <w:p>
            <w:pPr>
              <w:spacing w:after="0"/>
              <w:rPr>
                <w:rFonts w:ascii="Arial" w:cs="Arial" w:eastAsia="Arial" w:hAnsi="Arial"/>
                <w:sz w:val="18"/>
                <w:szCs w:val="18"/>
                <w:i w:val="1"/>
                <w:iCs w:val="1"/>
                <w:color w:val="auto"/>
              </w:rPr>
            </w:pPr>
            <w:hyperlink w:anchor="page2">
              <w:r>
                <w:rPr>
                  <w:rFonts w:ascii="Arial" w:cs="Arial" w:eastAsia="Arial" w:hAnsi="Arial"/>
                  <w:sz w:val="18"/>
                  <w:szCs w:val="18"/>
                  <w:i w:val="1"/>
                  <w:iCs w:val="1"/>
                  <w:color w:val="auto"/>
                </w:rPr>
                <w:t>Table of Contents</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8040" w:type="dxa"/>
            <w:vAlign w:val="bottom"/>
            <w:gridSpan w:val="2"/>
          </w:tcPr>
          <w:p>
            <w:pPr>
              <w:ind w:left="320"/>
              <w:spacing w:after="0"/>
              <w:rPr>
                <w:sz w:val="20"/>
                <w:szCs w:val="20"/>
                <w:color w:val="auto"/>
              </w:rPr>
            </w:pPr>
            <w:r>
              <w:rPr>
                <w:rFonts w:ascii="Arial" w:cs="Arial" w:eastAsia="Arial" w:hAnsi="Arial"/>
                <w:sz w:val="18"/>
                <w:szCs w:val="18"/>
                <w:color w:val="auto"/>
              </w:rPr>
              <w:t>The weighted average remaining lease terms and discount rates were as follows: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8"/>
                <w:szCs w:val="18"/>
                <w:b w:val="1"/>
                <w:bCs w:val="1"/>
                <w:color w:val="auto"/>
                <w:w w:val="94"/>
              </w:rPr>
              <w:t>Years Ended December 31,</w:t>
            </w:r>
          </w:p>
        </w:tc>
        <w:tc>
          <w:tcPr>
            <w:tcW w:w="0" w:type="dxa"/>
            <w:vAlign w:val="bottom"/>
          </w:tcPr>
          <w:p>
            <w:pPr>
              <w:spacing w:after="0"/>
              <w:rPr>
                <w:sz w:val="1"/>
                <w:szCs w:val="1"/>
                <w:color w:val="auto"/>
              </w:rPr>
            </w:pPr>
          </w:p>
        </w:tc>
      </w:tr>
      <w:tr>
        <w:trPr>
          <w:trHeight w:val="222"/>
        </w:trPr>
        <w:tc>
          <w:tcPr>
            <w:tcW w:w="126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40" w:type="dxa"/>
            <w:vAlign w:val="bottom"/>
            <w:gridSpan w:val="2"/>
          </w:tcPr>
          <w:p>
            <w:pPr>
              <w:ind w:left="34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7.3 years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8.3 years</w:t>
            </w:r>
          </w:p>
        </w:tc>
        <w:tc>
          <w:tcPr>
            <w:tcW w:w="0" w:type="dxa"/>
            <w:vAlign w:val="bottom"/>
          </w:tcPr>
          <w:p>
            <w:pPr>
              <w:spacing w:after="0"/>
              <w:rPr>
                <w:sz w:val="1"/>
                <w:szCs w:val="1"/>
                <w:color w:val="auto"/>
              </w:rPr>
            </w:pPr>
          </w:p>
        </w:tc>
      </w:tr>
      <w:tr>
        <w:trPr>
          <w:trHeight w:val="228"/>
        </w:trPr>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 years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r>
        <w:trPr>
          <w:trHeight w:val="228"/>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5.04 %</w:t>
            </w:r>
          </w:p>
        </w:tc>
        <w:tc>
          <w:tcPr>
            <w:tcW w:w="0" w:type="dxa"/>
            <w:vAlign w:val="bottom"/>
          </w:tcPr>
          <w:p>
            <w:pPr>
              <w:spacing w:after="0"/>
              <w:rPr>
                <w:sz w:val="1"/>
                <w:szCs w:val="1"/>
                <w:color w:val="auto"/>
              </w:rPr>
            </w:pPr>
          </w:p>
        </w:tc>
      </w:tr>
      <w:tr>
        <w:trPr>
          <w:trHeight w:val="229"/>
        </w:trPr>
        <w:tc>
          <w:tcPr>
            <w:tcW w:w="8040" w:type="dxa"/>
            <w:vAlign w:val="bottom"/>
            <w:gridSpan w:val="2"/>
          </w:tcPr>
          <w:p>
            <w:pPr>
              <w:ind w:left="34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5.75 %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5.75 %</w:t>
            </w:r>
          </w:p>
        </w:tc>
        <w:tc>
          <w:tcPr>
            <w:tcW w:w="0" w:type="dxa"/>
            <w:vAlign w:val="bottom"/>
          </w:tcPr>
          <w:p>
            <w:pPr>
              <w:spacing w:after="0"/>
              <w:rPr>
                <w:sz w:val="1"/>
                <w:szCs w:val="1"/>
                <w:color w:val="auto"/>
              </w:rPr>
            </w:pPr>
          </w:p>
        </w:tc>
      </w:tr>
      <w:tr>
        <w:trPr>
          <w:trHeight w:val="509"/>
        </w:trPr>
        <w:tc>
          <w:tcPr>
            <w:tcW w:w="8040" w:type="dxa"/>
            <w:vAlign w:val="bottom"/>
            <w:gridSpan w:val="2"/>
          </w:tcPr>
          <w:p>
            <w:pPr>
              <w:ind w:left="320"/>
              <w:spacing w:after="0"/>
              <w:rPr>
                <w:sz w:val="20"/>
                <w:szCs w:val="20"/>
                <w:color w:val="auto"/>
              </w:rPr>
            </w:pPr>
            <w:r>
              <w:rPr>
                <w:rFonts w:ascii="Arial" w:cs="Arial" w:eastAsia="Arial" w:hAnsi="Arial"/>
                <w:sz w:val="18"/>
                <w:szCs w:val="18"/>
                <w:color w:val="auto"/>
              </w:rPr>
              <w:t>Future minimum lease commitments at December 31, 2021 were as follows (in thousands):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Operating Leases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6"/>
              </w:rPr>
              <w:t>Finance Leases</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6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60" w:type="dxa"/>
            <w:vAlign w:val="bottom"/>
          </w:tcPr>
          <w:p>
            <w:pPr>
              <w:ind w:left="220"/>
              <w:spacing w:after="0"/>
              <w:rPr>
                <w:sz w:val="20"/>
                <w:szCs w:val="20"/>
                <w:color w:val="auto"/>
              </w:rPr>
            </w:pPr>
            <w:r>
              <w:rPr>
                <w:rFonts w:ascii="Arial" w:cs="Arial" w:eastAsia="Arial" w:hAnsi="Arial"/>
                <w:sz w:val="18"/>
                <w:szCs w:val="18"/>
                <w:color w:val="auto"/>
              </w:rPr>
              <w:t>2023</w:t>
            </w:r>
          </w:p>
        </w:tc>
        <w:tc>
          <w:tcPr>
            <w:tcW w:w="6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6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60" w:type="dxa"/>
            <w:vAlign w:val="bottom"/>
          </w:tcPr>
          <w:p>
            <w:pPr>
              <w:ind w:left="220"/>
              <w:spacing w:after="0"/>
              <w:rPr>
                <w:sz w:val="20"/>
                <w:szCs w:val="20"/>
                <w:color w:val="auto"/>
              </w:rPr>
            </w:pPr>
            <w:r>
              <w:rPr>
                <w:rFonts w:ascii="Arial" w:cs="Arial" w:eastAsia="Arial" w:hAnsi="Arial"/>
                <w:sz w:val="18"/>
                <w:szCs w:val="18"/>
                <w:color w:val="auto"/>
              </w:rPr>
              <w:t>2025</w:t>
            </w:r>
          </w:p>
        </w:tc>
        <w:tc>
          <w:tcPr>
            <w:tcW w:w="6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6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040" w:type="dxa"/>
            <w:vAlign w:val="bottom"/>
            <w:gridSpan w:val="2"/>
          </w:tcPr>
          <w:p>
            <w:pPr>
              <w:ind w:left="220"/>
              <w:spacing w:after="0"/>
              <w:rPr>
                <w:sz w:val="20"/>
                <w:szCs w:val="20"/>
                <w:color w:val="auto"/>
              </w:rPr>
            </w:pPr>
            <w:r>
              <w:rPr>
                <w:rFonts w:ascii="Arial" w:cs="Arial" w:eastAsia="Arial" w:hAnsi="Arial"/>
                <w:sz w:val="18"/>
                <w:szCs w:val="18"/>
                <w:color w:val="auto"/>
              </w:rPr>
              <w:t>After 2026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040" w:type="dxa"/>
            <w:vAlign w:val="bottom"/>
            <w:gridSpan w:val="2"/>
          </w:tcPr>
          <w:p>
            <w:pPr>
              <w:ind w:left="22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present value of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040" w:type="dxa"/>
            <w:vAlign w:val="bottom"/>
            <w:gridSpan w:val="2"/>
          </w:tcPr>
          <w:p>
            <w:pPr>
              <w:ind w:left="22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lease obligations at December 31, 2021</w:t>
            </w:r>
          </w:p>
        </w:tc>
        <w:tc>
          <w:tcPr>
            <w:tcW w:w="4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rPr>
              <w:t>The components of lease expense were as follows (in thousands):</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8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7"/>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 xml:space="preserve">Short-term lease cost </w:t>
            </w:r>
            <w:r>
              <w:rPr>
                <w:rFonts w:ascii="Arial" w:cs="Arial" w:eastAsia="Arial" w:hAnsi="Arial"/>
                <w:sz w:val="23"/>
                <w:szCs w:val="23"/>
                <w:color w:val="auto"/>
                <w:vertAlign w:val="superscript"/>
              </w:rPr>
              <w:t>(1)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040" w:type="dxa"/>
            <w:vAlign w:val="bottom"/>
            <w:gridSpan w:val="2"/>
          </w:tcPr>
          <w:p>
            <w:pPr>
              <w:ind w:left="220"/>
              <w:spacing w:after="0"/>
              <w:rPr>
                <w:sz w:val="20"/>
                <w:szCs w:val="20"/>
                <w:color w:val="auto"/>
              </w:rPr>
            </w:pPr>
            <w:r>
              <w:rPr>
                <w:rFonts w:ascii="Arial" w:cs="Arial" w:eastAsia="Arial" w:hAnsi="Arial"/>
                <w:sz w:val="18"/>
                <w:szCs w:val="18"/>
                <w:color w:val="auto"/>
              </w:rPr>
              <w:t>Amortization of finance lease assets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on finance lease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Total finance lease cost</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4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Leases that have terms of 12 months or less.</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8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40" w:type="dxa"/>
            <w:vAlign w:val="bottom"/>
            <w:gridSpan w:val="2"/>
          </w:tcPr>
          <w:p>
            <w:pPr>
              <w:ind w:left="32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7"/>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Cash flows from operating activities - operating leases</w:t>
            </w:r>
          </w:p>
        </w:tc>
        <w:tc>
          <w:tcPr>
            <w:tcW w:w="4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flows from operating activities - finance leases</w:t>
            </w:r>
          </w:p>
        </w:tc>
        <w:tc>
          <w:tcPr>
            <w:tcW w:w="4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Cash flows from financing activities - finance leases</w:t>
            </w:r>
          </w:p>
        </w:tc>
        <w:tc>
          <w:tcPr>
            <w:tcW w:w="4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Rent expense charged to operations totaled $0.8 million, $1.9 million, and $1.8 million for 2021, 2020, and 2019, respectively.</w:t>
      </w:r>
    </w:p>
    <w:p>
      <w:pPr>
        <w:sectPr>
          <w:pgSz w:w="11900" w:h="16838" w:orient="portrait"/>
          <w:cols w:equalWidth="0" w:num="1">
            <w:col w:w="11240"/>
          </w:cols>
          <w:pgMar w:left="320" w:top="10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83" w:name="page84"/>
    <w:bookmarkEnd w:id="8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226" w:lineRule="exact"/>
        <w:rPr>
          <w:sz w:val="20"/>
          <w:szCs w:val="20"/>
          <w:color w:val="auto"/>
        </w:rPr>
      </w:pPr>
    </w:p>
    <w:p>
      <w:pPr>
        <w:ind w:right="320" w:firstLine="322"/>
        <w:spacing w:after="0" w:line="261"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expands disclosures about fair value measurements. The framework requires the valuation of investments using a three-tiered approach. The statement requires fair value measurement to be classified and disclosed in one of the following categories: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and liabilities;</w:t>
      </w:r>
    </w:p>
    <w:p>
      <w:pPr>
        <w:spacing w:after="0" w:line="234" w:lineRule="exact"/>
        <w:rPr>
          <w:sz w:val="20"/>
          <w:szCs w:val="20"/>
          <w:color w:val="auto"/>
        </w:rPr>
      </w:pPr>
    </w:p>
    <w:p>
      <w:pPr>
        <w:ind w:right="200" w:firstLine="322"/>
        <w:spacing w:after="0" w:line="274"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or</w:t>
      </w:r>
    </w:p>
    <w:p>
      <w:pPr>
        <w:spacing w:after="0" w:line="172" w:lineRule="exact"/>
        <w:rPr>
          <w:sz w:val="20"/>
          <w:szCs w:val="20"/>
          <w:color w:val="auto"/>
        </w:rPr>
      </w:pPr>
    </w:p>
    <w:p>
      <w:pPr>
        <w:ind w:right="240" w:firstLine="322"/>
        <w:spacing w:after="0" w:line="274"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2" w:lineRule="exact"/>
        <w:rPr>
          <w:sz w:val="20"/>
          <w:szCs w:val="20"/>
          <w:color w:val="auto"/>
        </w:rPr>
      </w:pPr>
    </w:p>
    <w:p>
      <w:pPr>
        <w:ind w:right="560" w:firstLine="322"/>
        <w:spacing w:after="0" w:line="274" w:lineRule="auto"/>
        <w:rPr>
          <w:sz w:val="20"/>
          <w:szCs w:val="20"/>
          <w:color w:val="auto"/>
        </w:rPr>
      </w:pPr>
      <w:r>
        <w:rPr>
          <w:rFonts w:ascii="Arial" w:cs="Arial" w:eastAsia="Arial" w:hAnsi="Arial"/>
          <w:sz w:val="18"/>
          <w:szCs w:val="18"/>
          <w:color w:val="auto"/>
        </w:rPr>
        <w:t>As of December 31, 2021 and 2020, we did not have any financial instruments with significant Level 3 inputs and we did not have any financial instruments that are measured at fair value on a recurring basis.</w:t>
      </w:r>
    </w:p>
    <w:p>
      <w:pPr>
        <w:spacing w:after="0" w:line="172" w:lineRule="exact"/>
        <w:rPr>
          <w:sz w:val="20"/>
          <w:szCs w:val="20"/>
          <w:color w:val="auto"/>
        </w:rPr>
      </w:pPr>
    </w:p>
    <w:p>
      <w:pPr>
        <w:ind w:right="480" w:firstLine="322"/>
        <w:spacing w:after="0" w:line="274" w:lineRule="auto"/>
        <w:rPr>
          <w:sz w:val="20"/>
          <w:szCs w:val="20"/>
          <w:color w:val="auto"/>
        </w:rPr>
      </w:pPr>
      <w:r>
        <w:rPr>
          <w:rFonts w:ascii="Arial" w:cs="Arial" w:eastAsia="Arial" w:hAnsi="Arial"/>
          <w:sz w:val="18"/>
          <w:szCs w:val="18"/>
          <w:color w:val="auto"/>
        </w:rPr>
        <w:t>For certain of our non-derivative financial instruments, including receivables, accounts payable and other accrued liabilities, the carrying amount approximates fair value due to the short-term maturities of these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Certain Relationships and Related Transactions</w:t>
      </w:r>
    </w:p>
    <w:p>
      <w:pPr>
        <w:spacing w:after="0" w:line="226" w:lineRule="exact"/>
        <w:rPr>
          <w:sz w:val="20"/>
          <w:szCs w:val="20"/>
          <w:color w:val="auto"/>
        </w:rPr>
      </w:pPr>
    </w:p>
    <w:p>
      <w:pPr>
        <w:ind w:right="200" w:firstLine="322"/>
        <w:spacing w:after="0" w:line="274" w:lineRule="auto"/>
        <w:rPr>
          <w:sz w:val="20"/>
          <w:szCs w:val="20"/>
          <w:color w:val="auto"/>
        </w:rPr>
      </w:pPr>
      <w:r>
        <w:rPr>
          <w:rFonts w:ascii="Arial" w:cs="Arial" w:eastAsia="Arial" w:hAnsi="Arial"/>
          <w:sz w:val="18"/>
          <w:szCs w:val="18"/>
          <w:color w:val="auto"/>
        </w:rPr>
        <w:t>Information concerning certain relationships and related party transactions between us and certain of our current shareholders and officers is set forth below.</w:t>
      </w:r>
    </w:p>
    <w:p>
      <w:pPr>
        <w:spacing w:after="0" w:line="172" w:lineRule="exact"/>
        <w:rPr>
          <w:sz w:val="20"/>
          <w:szCs w:val="20"/>
          <w:color w:val="auto"/>
        </w:rPr>
      </w:pPr>
    </w:p>
    <w:p>
      <w:pPr>
        <w:ind w:right="40" w:firstLine="322"/>
        <w:spacing w:after="0" w:line="284" w:lineRule="auto"/>
        <w:rPr>
          <w:sz w:val="20"/>
          <w:szCs w:val="20"/>
          <w:color w:val="auto"/>
        </w:rPr>
      </w:pPr>
      <w:r>
        <w:rPr>
          <w:rFonts w:ascii="Arial" w:cs="Arial" w:eastAsia="Arial" w:hAnsi="Arial"/>
          <w:sz w:val="17"/>
          <w:szCs w:val="17"/>
          <w:color w:val="auto"/>
        </w:rPr>
        <w:t>Emmett J. Wood, the brother of our Chairman and CEO, has been an employee of ours since 1996 and currently serves as executive officer. The amounts paid to this individual as compensation for 2021, 2020, and 2019 were $492,000, $1,238,000, and $529,000, respectively. Additionally, Mr. Wood owned 73,562 and 682,502 shares of the Company’s common stock as of December 31, 2021 and 2020, respectively.</w:t>
      </w:r>
    </w:p>
    <w:p>
      <w:pPr>
        <w:spacing w:after="0" w:line="165" w:lineRule="exact"/>
        <w:rPr>
          <w:sz w:val="20"/>
          <w:szCs w:val="20"/>
          <w:color w:val="auto"/>
        </w:rPr>
      </w:pPr>
    </w:p>
    <w:p>
      <w:pPr>
        <w:ind w:right="20" w:firstLine="322"/>
        <w:spacing w:after="0" w:line="267" w:lineRule="auto"/>
        <w:rPr>
          <w:sz w:val="20"/>
          <w:szCs w:val="20"/>
          <w:color w:val="auto"/>
        </w:rPr>
      </w:pPr>
      <w:r>
        <w:rPr>
          <w:rFonts w:ascii="Arial" w:cs="Arial" w:eastAsia="Arial" w:hAnsi="Arial"/>
          <w:sz w:val="17"/>
          <w:szCs w:val="17"/>
          <w:color w:val="auto"/>
        </w:rPr>
        <w:t>On March 31, 2015, the Company entered into the Porter Notes. Mr. Porter and Toxford Corporation, of which Mr. Porter was the sole shareholder, owned 35.0% of our Class A Common Stock. Under the terms of the Porter Notes, Porter lent the Company $2.5 million on or about March 31, 2015. According to the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may be repaid at any time without premium or penalty. The unpaid principal, together with interest, was originally due and payable in full on July 1, 2017. 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(including Action Capital), and payments under the Porter Notes were permitted only if certain conditions were met. All other terms remained in full force and effect. We incurred interest expense in the amount of $319,000 and $330,000 for the years ended December 31, 2020 and 2019, respectively, on the Porter Notes. On November 23, 2020, upon the closing of the IPO, the Porter Notes were paid in full.</w:t>
      </w:r>
    </w:p>
    <w:p>
      <w:pPr>
        <w:spacing w:after="0" w:line="182" w:lineRule="exact"/>
        <w:rPr>
          <w:sz w:val="20"/>
          <w:szCs w:val="20"/>
          <w:color w:val="auto"/>
        </w:rPr>
      </w:pPr>
    </w:p>
    <w:p>
      <w:pPr>
        <w:ind w:right="100" w:firstLine="322"/>
        <w:spacing w:after="0" w:line="274" w:lineRule="auto"/>
        <w:rPr>
          <w:sz w:val="20"/>
          <w:szCs w:val="20"/>
          <w:color w:val="auto"/>
        </w:rPr>
      </w:pPr>
      <w:r>
        <w:rPr>
          <w:rFonts w:ascii="Arial" w:cs="Arial" w:eastAsia="Arial" w:hAnsi="Arial"/>
          <w:sz w:val="18"/>
          <w:szCs w:val="18"/>
          <w:color w:val="auto"/>
        </w:rPr>
        <w:t>One of the Company's directors serves as a consultant. The amount paid for his consultancy services were $282,000, $270,000 and $270,000 for 2021, 2020 and 2019, respectively.</w:t>
      </w:r>
    </w:p>
    <w:p>
      <w:pPr>
        <w:spacing w:after="0" w:line="172" w:lineRule="exact"/>
        <w:rPr>
          <w:sz w:val="20"/>
          <w:szCs w:val="20"/>
          <w:color w:val="auto"/>
        </w:rPr>
      </w:pPr>
    </w:p>
    <w:p>
      <w:pPr>
        <w:ind w:firstLine="322"/>
        <w:spacing w:after="0" w:line="274" w:lineRule="auto"/>
        <w:rPr>
          <w:sz w:val="20"/>
          <w:szCs w:val="20"/>
          <w:color w:val="auto"/>
        </w:rPr>
      </w:pPr>
      <w:r>
        <w:rPr>
          <w:rFonts w:ascii="Arial" w:cs="Arial" w:eastAsia="Arial" w:hAnsi="Arial"/>
          <w:sz w:val="18"/>
          <w:szCs w:val="18"/>
          <w:color w:val="auto"/>
        </w:rPr>
        <w:t>On February 8, 2021, we hired Ms. Donna Hill, as Director of Human Resources, reporting directly to Ms. Nakazawa, EVP of the Company. Ms. Hill is the sister of Mr. Edward Williams, former COO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226" w:lineRule="exact"/>
        <w:rPr>
          <w:sz w:val="20"/>
          <w:szCs w:val="20"/>
          <w:color w:val="auto"/>
        </w:rPr>
      </w:pPr>
    </w:p>
    <w:p>
      <w:pPr>
        <w:ind w:right="480" w:firstLine="322"/>
        <w:spacing w:after="0" w:line="257" w:lineRule="auto"/>
        <w:rPr>
          <w:sz w:val="20"/>
          <w:szCs w:val="20"/>
          <w:color w:val="auto"/>
        </w:rPr>
      </w:pPr>
      <w:r>
        <w:rPr>
          <w:rFonts w:ascii="Arial" w:cs="Arial" w:eastAsia="Arial" w:hAnsi="Arial"/>
          <w:sz w:val="18"/>
          <w:szCs w:val="18"/>
          <w:color w:val="auto"/>
        </w:rPr>
        <w:t>During the fourth quarter of 2021, as a result of the segment reorganization, our CODM began evaluating, overseeing and managing the financial performance of our operations through two operating segments: Security Solutions and Secure Networks. The segments enable the alignment of our strategies and objectives and provide a framework for timely and rational allocation of resources within the lines of business. We eliminate any inter-segment revenues and expenses upon consolidation.</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4" w:name="page85"/>
    <w:bookmarkEnd w:id="8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322"/>
        <w:spacing w:after="0" w:line="253" w:lineRule="auto"/>
        <w:rPr>
          <w:sz w:val="20"/>
          <w:szCs w:val="20"/>
          <w:color w:val="auto"/>
        </w:rPr>
      </w:pPr>
      <w:r>
        <w:rPr>
          <w:rFonts w:ascii="Arial" w:cs="Arial" w:eastAsia="Arial" w:hAnsi="Arial"/>
          <w:sz w:val="18"/>
          <w:szCs w:val="18"/>
          <w:color w:val="auto"/>
        </w:rPr>
        <w:t>The Security Solutions segment is primarily focused on cybersecurity, cloud and identity solutions through Xacta, Telos Ghost, AMHS and Telos ID offerings. We recognize revenue on contracts from providing various system platforms in cloud, on-premise and/or in hybrid cloud environment, and software sales or software-as-a-service. Revenue associated with the segment's custom solutions is recognized as work progresses or upon delivery of services. Fluctuation in revenue from period-to-period results from the volume of software sales, and progress or completion of cloud and/or cyber security solutions during the period. The majority of the operating costs relates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spacing w:after="0" w:line="191" w:lineRule="exact"/>
        <w:rPr>
          <w:sz w:val="20"/>
          <w:szCs w:val="20"/>
          <w:color w:val="auto"/>
        </w:rPr>
      </w:pPr>
    </w:p>
    <w:p>
      <w:pPr>
        <w:ind w:right="100" w:firstLine="322"/>
        <w:spacing w:after="0" w:line="257" w:lineRule="auto"/>
        <w:rPr>
          <w:sz w:val="20"/>
          <w:szCs w:val="20"/>
          <w:color w:val="auto"/>
        </w:rPr>
      </w:pPr>
      <w:r>
        <w:rPr>
          <w:rFonts w:ascii="Arial" w:cs="Arial" w:eastAsia="Arial" w:hAnsi="Arial"/>
          <w:sz w:val="18"/>
          <w:szCs w:val="18"/>
          <w:color w:val="auto"/>
        </w:rPr>
        <w:t>The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reflect primarily increases and decreases in activity level on individual contracts.</w:t>
      </w:r>
    </w:p>
    <w:p>
      <w:pPr>
        <w:spacing w:after="0" w:line="187" w:lineRule="exact"/>
        <w:rPr>
          <w:sz w:val="20"/>
          <w:szCs w:val="20"/>
          <w:color w:val="auto"/>
        </w:rPr>
      </w:pPr>
    </w:p>
    <w:p>
      <w:pPr>
        <w:ind w:right="560" w:firstLine="322"/>
        <w:spacing w:after="0" w:line="305" w:lineRule="auto"/>
        <w:rPr>
          <w:sz w:val="20"/>
          <w:szCs w:val="20"/>
          <w:color w:val="auto"/>
        </w:rPr>
      </w:pPr>
      <w:r>
        <w:rPr>
          <w:rFonts w:ascii="Arial" w:cs="Arial" w:eastAsia="Arial" w:hAnsi="Arial"/>
          <w:sz w:val="17"/>
          <w:szCs w:val="17"/>
          <w:color w:val="auto"/>
        </w:rPr>
        <w:t>The following table summarizes business segment information for the periods presented, and a reconciliation of those results to the statement of operations for the relevant periods. Prior period segment information was recast to conform to the current year's presentation.</w: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35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ind w:left="111"/>
              <w:spacing w:after="0"/>
              <w:rPr>
                <w:sz w:val="20"/>
                <w:szCs w:val="20"/>
                <w:color w:val="auto"/>
              </w:rPr>
            </w:pPr>
            <w:r>
              <w:rPr>
                <w:rFonts w:ascii="Arial" w:cs="Arial" w:eastAsia="Arial" w:hAnsi="Arial"/>
                <w:sz w:val="18"/>
                <w:szCs w:val="18"/>
                <w:b w:val="1"/>
                <w:bCs w:val="1"/>
                <w:color w:val="auto"/>
                <w:w w:val="89"/>
              </w:rPr>
              <w:t>Years Ended December 31,</w:t>
            </w:r>
          </w:p>
        </w:tc>
        <w:tc>
          <w:tcPr>
            <w:tcW w:w="7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22"/>
        </w:trPr>
        <w:tc>
          <w:tcPr>
            <w:tcW w:w="35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b w:val="1"/>
                <w:bCs w:val="1"/>
                <w:color w:val="auto"/>
              </w:rPr>
              <w:t>2019</w:t>
            </w:r>
          </w:p>
        </w:tc>
      </w:tr>
      <w:tr>
        <w:trPr>
          <w:trHeight w:val="222"/>
        </w:trPr>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(in thousands)</w:t>
            </w: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8"/>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8"/>
        </w:trPr>
        <w:tc>
          <w:tcPr>
            <w:tcW w:w="3500" w:type="dxa"/>
            <w:vAlign w:val="bottom"/>
          </w:tcPr>
          <w:p>
            <w:pPr>
              <w:ind w:left="680"/>
              <w:spacing w:after="0"/>
              <w:rPr>
                <w:sz w:val="20"/>
                <w:szCs w:val="20"/>
                <w:color w:val="auto"/>
              </w:rPr>
            </w:pPr>
            <w:r>
              <w:rPr>
                <w:rFonts w:ascii="Arial" w:cs="Arial" w:eastAsia="Arial" w:hAnsi="Arial"/>
                <w:sz w:val="18"/>
                <w:szCs w:val="18"/>
                <w:color w:val="auto"/>
              </w:rPr>
              <w:t>Security Solutions</w:t>
            </w:r>
          </w:p>
        </w:tc>
        <w:tc>
          <w:tcPr>
            <w:tcW w:w="1580" w:type="dxa"/>
            <w:vAlign w:val="bottom"/>
          </w:tcPr>
          <w:p>
            <w:pPr>
              <w:jc w:val="right"/>
              <w:ind w:right="107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123,534</w:t>
            </w:r>
          </w:p>
        </w:tc>
        <w:tc>
          <w:tcPr>
            <w:tcW w:w="14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127,667</w:t>
            </w:r>
          </w:p>
        </w:tc>
        <w:tc>
          <w:tcPr>
            <w:tcW w:w="140" w:type="dxa"/>
            <w:vAlign w:val="bottom"/>
          </w:tcPr>
          <w:p>
            <w:pPr>
              <w:spacing w:after="0"/>
              <w:rPr>
                <w:sz w:val="19"/>
                <w:szCs w:val="19"/>
                <w:color w:val="auto"/>
              </w:rPr>
            </w:pPr>
          </w:p>
        </w:tc>
        <w:tc>
          <w:tcPr>
            <w:tcW w:w="7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111,843</w:t>
            </w:r>
          </w:p>
        </w:tc>
      </w:tr>
      <w:tr>
        <w:trPr>
          <w:trHeight w:val="228"/>
        </w:trPr>
        <w:tc>
          <w:tcPr>
            <w:tcW w:w="3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Secure Networks</w:t>
            </w:r>
          </w:p>
        </w:tc>
        <w:tc>
          <w:tcPr>
            <w:tcW w:w="1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118,899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57,295</w:t>
            </w:r>
          </w:p>
        </w:tc>
      </w:tr>
      <w:tr>
        <w:trPr>
          <w:trHeight w:val="228"/>
        </w:trPr>
        <w:tc>
          <w:tcPr>
            <w:tcW w:w="3500" w:type="dxa"/>
            <w:vAlign w:val="bottom"/>
          </w:tcPr>
          <w:p>
            <w:pPr>
              <w:ind w:left="680"/>
              <w:spacing w:after="0"/>
              <w:rPr>
                <w:sz w:val="20"/>
                <w:szCs w:val="20"/>
                <w:color w:val="auto"/>
              </w:rPr>
            </w:pPr>
            <w:r>
              <w:rPr>
                <w:rFonts w:ascii="Arial" w:cs="Arial" w:eastAsia="Arial" w:hAnsi="Arial"/>
                <w:sz w:val="18"/>
                <w:szCs w:val="18"/>
                <w:color w:val="auto"/>
              </w:rPr>
              <w:t>Inter-segment elimination</w:t>
            </w:r>
          </w:p>
        </w:tc>
        <w:tc>
          <w:tcPr>
            <w:tcW w:w="15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(10,377)</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(9,920)</w:t>
            </w:r>
          </w:p>
        </w:tc>
      </w:tr>
      <w:tr>
        <w:trPr>
          <w:trHeight w:val="222"/>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Consolidated revenue</w:t>
            </w:r>
          </w:p>
        </w:tc>
        <w:tc>
          <w:tcPr>
            <w:tcW w:w="1580" w:type="dxa"/>
            <w:vAlign w:val="bottom"/>
            <w:tcBorders>
              <w:top w:val="single" w:sz="8" w:color="auto"/>
              <w:bottom w:val="single" w:sz="8" w:color="auto"/>
            </w:tcBorders>
            <w:shd w:val="clear" w:color="auto" w:fill="CCEEFF"/>
          </w:tcPr>
          <w:p>
            <w:pPr>
              <w:jc w:val="right"/>
              <w:ind w:right="1071"/>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242,433</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159,218</w:t>
            </w:r>
          </w:p>
        </w:tc>
      </w:tr>
      <w:tr>
        <w:trPr>
          <w:trHeight w:val="248"/>
        </w:trPr>
        <w:tc>
          <w:tcPr>
            <w:tcW w:w="3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8"/>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8"/>
        </w:trPr>
        <w:tc>
          <w:tcPr>
            <w:tcW w:w="3500" w:type="dxa"/>
            <w:vAlign w:val="bottom"/>
          </w:tcPr>
          <w:p>
            <w:pPr>
              <w:ind w:left="680"/>
              <w:spacing w:after="0"/>
              <w:rPr>
                <w:sz w:val="20"/>
                <w:szCs w:val="20"/>
                <w:color w:val="auto"/>
              </w:rPr>
            </w:pPr>
            <w:r>
              <w:rPr>
                <w:rFonts w:ascii="Arial" w:cs="Arial" w:eastAsia="Arial" w:hAnsi="Arial"/>
                <w:sz w:val="18"/>
                <w:szCs w:val="18"/>
                <w:color w:val="auto"/>
              </w:rPr>
              <w:t>Security Solutions</w:t>
            </w:r>
          </w:p>
        </w:tc>
        <w:tc>
          <w:tcPr>
            <w:tcW w:w="1580" w:type="dxa"/>
            <w:vAlign w:val="bottom"/>
          </w:tcPr>
          <w:p>
            <w:pPr>
              <w:jc w:val="right"/>
              <w:ind w:right="107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64,904</w:t>
            </w:r>
          </w:p>
        </w:tc>
        <w:tc>
          <w:tcPr>
            <w:tcW w:w="14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50,458</w:t>
            </w:r>
          </w:p>
        </w:tc>
        <w:tc>
          <w:tcPr>
            <w:tcW w:w="140" w:type="dxa"/>
            <w:vAlign w:val="bottom"/>
          </w:tcPr>
          <w:p>
            <w:pPr>
              <w:spacing w:after="0"/>
              <w:rPr>
                <w:sz w:val="19"/>
                <w:szCs w:val="19"/>
                <w:color w:val="auto"/>
              </w:rPr>
            </w:pPr>
          </w:p>
        </w:tc>
        <w:tc>
          <w:tcPr>
            <w:tcW w:w="7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42,056</w:t>
            </w:r>
          </w:p>
        </w:tc>
      </w:tr>
      <w:tr>
        <w:trPr>
          <w:trHeight w:val="228"/>
        </w:trPr>
        <w:tc>
          <w:tcPr>
            <w:tcW w:w="3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Secure Networks</w:t>
            </w:r>
          </w:p>
        </w:tc>
        <w:tc>
          <w:tcPr>
            <w:tcW w:w="1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r>
      <w:tr>
        <w:trPr>
          <w:trHeight w:val="222"/>
        </w:trPr>
        <w:tc>
          <w:tcPr>
            <w:tcW w:w="3500" w:type="dxa"/>
            <w:vAlign w:val="bottom"/>
          </w:tcPr>
          <w:p>
            <w:pPr>
              <w:ind w:left="340"/>
              <w:spacing w:after="0"/>
              <w:rPr>
                <w:sz w:val="20"/>
                <w:szCs w:val="20"/>
                <w:color w:val="auto"/>
              </w:rPr>
            </w:pPr>
            <w:r>
              <w:rPr>
                <w:rFonts w:ascii="Arial" w:cs="Arial" w:eastAsia="Arial" w:hAnsi="Arial"/>
                <w:sz w:val="18"/>
                <w:szCs w:val="18"/>
                <w:color w:val="auto"/>
              </w:rPr>
              <w:t>Total gross profit</w:t>
            </w:r>
          </w:p>
        </w:tc>
        <w:tc>
          <w:tcPr>
            <w:tcW w:w="1580" w:type="dxa"/>
            <w:vAlign w:val="bottom"/>
            <w:tcBorders>
              <w:bottom w:val="single" w:sz="8" w:color="auto"/>
            </w:tcBorders>
          </w:tcPr>
          <w:p>
            <w:pPr>
              <w:jc w:val="right"/>
              <w:ind w:right="10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86,029</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62,420</w:t>
            </w:r>
          </w:p>
        </w:tc>
        <w:tc>
          <w:tcPr>
            <w:tcW w:w="140" w:type="dxa"/>
            <w:vAlign w:val="bottom"/>
          </w:tcPr>
          <w:p>
            <w:pPr>
              <w:spacing w:after="0"/>
              <w:rPr>
                <w:sz w:val="19"/>
                <w:szCs w:val="19"/>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52,344</w:t>
            </w:r>
          </w:p>
        </w:tc>
      </w:tr>
    </w:tbl>
    <w:p>
      <w:pPr>
        <w:spacing w:after="0" w:line="294" w:lineRule="exact"/>
        <w:rPr>
          <w:sz w:val="20"/>
          <w:szCs w:val="20"/>
          <w:color w:val="auto"/>
        </w:rPr>
      </w:pPr>
    </w:p>
    <w:p>
      <w:pPr>
        <w:ind w:right="40" w:firstLine="322"/>
        <w:spacing w:after="0" w:line="269" w:lineRule="auto"/>
        <w:rPr>
          <w:sz w:val="20"/>
          <w:szCs w:val="20"/>
          <w:color w:val="auto"/>
        </w:rPr>
      </w:pPr>
      <w:r>
        <w:rPr>
          <w:rFonts w:ascii="Arial" w:cs="Arial" w:eastAsia="Arial" w:hAnsi="Arial"/>
          <w:sz w:val="17"/>
          <w:szCs w:val="17"/>
          <w:color w:val="auto"/>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 Under U.S. government Cost Accounting Standards, indirect costs including depreciation and amortization expense are collected in numerous indirect cost pools which are then collectively allocated out to the Company’s reportable segments based on a representative causal or beneficial relationship of the costs in the pool to the costs in the base. While depreciation and amortization expense is a component of the allocated costs, the allocation process precludes depreciation and amortization expense from being specifically identified by the Company’s individual reportable and operating segments. For this reason, the non-cash items by reportable and operating segment have not been reported above.</w:t>
      </w:r>
    </w:p>
    <w:p>
      <w:pPr>
        <w:spacing w:after="0" w:line="180" w:lineRule="exact"/>
        <w:rPr>
          <w:sz w:val="20"/>
          <w:szCs w:val="20"/>
          <w:color w:val="auto"/>
        </w:rPr>
      </w:pPr>
    </w:p>
    <w:p>
      <w:pPr>
        <w:ind w:right="480" w:firstLine="322"/>
        <w:spacing w:after="0" w:line="274" w:lineRule="auto"/>
        <w:rPr>
          <w:sz w:val="20"/>
          <w:szCs w:val="20"/>
          <w:color w:val="auto"/>
        </w:rPr>
      </w:pPr>
      <w:r>
        <w:rPr>
          <w:rFonts w:ascii="Arial" w:cs="Arial" w:eastAsia="Arial" w:hAnsi="Arial"/>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5" w:name="page86"/>
    <w:bookmarkEnd w:id="8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Contingencies, and Subsequent Events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2" w:lineRule="exact"/>
        <w:rPr>
          <w:sz w:val="20"/>
          <w:szCs w:val="20"/>
          <w:color w:val="auto"/>
        </w:rPr>
      </w:pPr>
    </w:p>
    <w:p>
      <w:pPr>
        <w:ind w:right="120" w:firstLine="322"/>
        <w:spacing w:after="0" w:line="291" w:lineRule="auto"/>
        <w:rPr>
          <w:sz w:val="20"/>
          <w:szCs w:val="20"/>
          <w:color w:val="auto"/>
        </w:rPr>
      </w:pPr>
      <w:r>
        <w:rPr>
          <w:rFonts w:ascii="Arial" w:cs="Arial" w:eastAsia="Arial" w:hAnsi="Arial"/>
          <w:sz w:val="16"/>
          <w:szCs w:val="16"/>
          <w:color w:val="auto"/>
        </w:rPr>
        <w:t>We are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2021, there were no material amounts accrued in the consolidated financial statements related to these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 Government Contracts</w:t>
      </w:r>
    </w:p>
    <w:p>
      <w:pPr>
        <w:spacing w:after="0" w:line="222" w:lineRule="exact"/>
        <w:rPr>
          <w:sz w:val="20"/>
          <w:szCs w:val="20"/>
          <w:color w:val="auto"/>
        </w:rPr>
      </w:pPr>
    </w:p>
    <w:p>
      <w:pPr>
        <w:ind w:right="20" w:firstLine="322"/>
        <w:spacing w:after="0" w:line="269" w:lineRule="auto"/>
        <w:rPr>
          <w:sz w:val="20"/>
          <w:szCs w:val="20"/>
          <w:color w:val="auto"/>
        </w:rPr>
      </w:pPr>
      <w:r>
        <w:rPr>
          <w:rFonts w:ascii="Arial" w:cs="Arial" w:eastAsia="Arial" w:hAnsi="Arial"/>
          <w:sz w:val="17"/>
          <w:szCs w:val="17"/>
          <w:color w:val="auto"/>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2" w:lineRule="exact"/>
        <w:rPr>
          <w:sz w:val="20"/>
          <w:szCs w:val="20"/>
          <w:color w:val="auto"/>
        </w:rPr>
      </w:pPr>
    </w:p>
    <w:p>
      <w:pPr>
        <w:ind w:right="80" w:firstLine="322"/>
        <w:spacing w:after="0" w:line="271" w:lineRule="auto"/>
        <w:rPr>
          <w:sz w:val="20"/>
          <w:szCs w:val="20"/>
          <w:color w:val="auto"/>
        </w:rPr>
      </w:pPr>
      <w:r>
        <w:rPr>
          <w:rFonts w:ascii="Arial" w:cs="Arial" w:eastAsia="Arial" w:hAnsi="Arial"/>
          <w:sz w:val="17"/>
          <w:szCs w:val="17"/>
          <w:color w:val="auto"/>
        </w:rPr>
        <w:t>On February 7, 2022, Telos and certain of its current and former officers were named as defendants in a lawsuit filed in the United States District Court for the Eastern District of Virginia. In the complaint, the plaintiffs, who purport to represent a class of purchasers of Telos common stock between November 19, 2020 and November 12, 2021, allege that the defendants violated securities laws by failing to disclose delays relating to the launch of certain contracts between Telos and the Transportation Security Administration and the Centers for Medicare and Medicaid Services and to take into account those delays when providing a financial outlook of the Company’s 2021 performance. The complaint seeks monetary damages in an unspecified amount. We dispute the claims described in the complaint and intend to defend the lawsuit vigorously.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80" w:type="dxa"/>
            <w:vAlign w:val="bottom"/>
          </w:tcPr>
          <w:p>
            <w:pPr>
              <w:spacing w:after="0"/>
              <w:rPr>
                <w:sz w:val="20"/>
                <w:szCs w:val="20"/>
                <w:color w:val="auto"/>
              </w:rPr>
            </w:pPr>
            <w:r>
              <w:rPr>
                <w:rFonts w:ascii="Arial" w:cs="Arial" w:eastAsia="Arial" w:hAnsi="Arial"/>
                <w:sz w:val="18"/>
                <w:szCs w:val="18"/>
                <w:b w:val="1"/>
                <w:bCs w:val="1"/>
                <w:color w:val="auto"/>
              </w:rPr>
              <w:t>Note 19. Composition of Certain Financial Statement Captions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69"/>
        </w:trPr>
        <w:tc>
          <w:tcPr>
            <w:tcW w:w="82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900" w:type="dxa"/>
            <w:vAlign w:val="bottom"/>
            <w:tcBorders>
              <w:bottom w:val="single" w:sz="8" w:color="auto"/>
            </w:tcBorders>
          </w:tcPr>
          <w:p>
            <w:pPr>
              <w:spacing w:after="0"/>
              <w:rPr>
                <w:sz w:val="24"/>
                <w:szCs w:val="24"/>
                <w:color w:val="auto"/>
              </w:rPr>
            </w:pPr>
          </w:p>
        </w:tc>
      </w:tr>
      <w:tr>
        <w:trPr>
          <w:trHeight w:val="222"/>
        </w:trPr>
        <w:tc>
          <w:tcPr>
            <w:tcW w:w="82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99"/>
              </w:rPr>
              <w:t>2020</w:t>
            </w: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8"/>
        </w:trPr>
        <w:tc>
          <w:tcPr>
            <w:tcW w:w="8280" w:type="dxa"/>
            <w:vAlign w:val="bottom"/>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w:t>
            </w:r>
          </w:p>
        </w:tc>
      </w:tr>
      <w:tr>
        <w:trPr>
          <w:trHeight w:val="228"/>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liabilities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25,300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w:t>
            </w:r>
          </w:p>
        </w:tc>
      </w:tr>
      <w:tr>
        <w:trPr>
          <w:trHeight w:val="247"/>
        </w:trPr>
        <w:tc>
          <w:tcPr>
            <w:tcW w:w="8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34,548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Revision of Interim Financial Statements</w:t>
      </w:r>
    </w:p>
    <w:p>
      <w:pPr>
        <w:spacing w:after="0" w:line="226" w:lineRule="exact"/>
        <w:rPr>
          <w:sz w:val="20"/>
          <w:szCs w:val="20"/>
          <w:color w:val="auto"/>
        </w:rPr>
      </w:pPr>
    </w:p>
    <w:p>
      <w:pPr>
        <w:ind w:right="20" w:firstLine="322"/>
        <w:spacing w:after="0" w:line="271" w:lineRule="auto"/>
        <w:rPr>
          <w:sz w:val="20"/>
          <w:szCs w:val="20"/>
          <w:color w:val="auto"/>
        </w:rPr>
      </w:pPr>
      <w:r>
        <w:rPr>
          <w:rFonts w:ascii="Arial" w:cs="Arial" w:eastAsia="Arial" w:hAnsi="Arial"/>
          <w:sz w:val="17"/>
          <w:szCs w:val="17"/>
          <w:color w:val="auto"/>
        </w:rPr>
        <w:t>As noted in Note 1 - Overview and Summary of Significant Accounting Policies, the Company recorded certain revisions related to previously issued unaudited condensed consolidated financial statements. The Company considered the errors identified in accordance with the SEC's Staff Accounting Bulletin No. 99 and determined the impact was immaterial to the previously issued consolidated interim financial statements. Nonetheless, the Company has revised the previously reported interim financial information for the quarterly periods ended March 31, 2021, June 30, 2021, and September 30, 2021. There is no cumulative impact to the Company’s full-year 2021 financial statements as a result of these revisions. The following is a comprehensive list of those errors which have all been recast to the correct periods in the table below:</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Classification of Expense</w:t>
      </w:r>
    </w:p>
    <w:p>
      <w:pPr>
        <w:spacing w:after="0" w:line="222" w:lineRule="exact"/>
        <w:rPr>
          <w:sz w:val="20"/>
          <w:szCs w:val="20"/>
          <w:color w:val="auto"/>
        </w:rPr>
      </w:pPr>
    </w:p>
    <w:p>
      <w:pPr>
        <w:ind w:left="320" w:right="20"/>
        <w:spacing w:after="0" w:line="257" w:lineRule="auto"/>
        <w:rPr>
          <w:sz w:val="20"/>
          <w:szCs w:val="20"/>
          <w:color w:val="auto"/>
        </w:rPr>
      </w:pPr>
      <w:r>
        <w:rPr>
          <w:rFonts w:ascii="Arial" w:cs="Arial" w:eastAsia="Arial" w:hAnsi="Arial"/>
          <w:sz w:val="18"/>
          <w:szCs w:val="18"/>
          <w:color w:val="auto"/>
        </w:rPr>
        <w:t>During the third quarter of 2021, the Company identified that stock compensation for a single individual was incorrectly charged to cost of sales instead of general and administrative expense. The total amount of stock compensation incorrectly charged to cost of sales was $0.3 million, of which $0.1 million related to the first quarter of 2021 and $0.2 million related to the second quarter of 2021. The Company initially corrected the error during the third quarter of 2021.</w:t>
      </w:r>
    </w:p>
    <w:p>
      <w:pPr>
        <w:spacing w:after="0" w:line="187" w:lineRule="exact"/>
        <w:rPr>
          <w:sz w:val="20"/>
          <w:szCs w:val="20"/>
          <w:color w:val="auto"/>
        </w:rPr>
      </w:pPr>
    </w:p>
    <w:p>
      <w:pPr>
        <w:ind w:left="320" w:right="100"/>
        <w:spacing w:after="0" w:line="309" w:lineRule="auto"/>
        <w:rPr>
          <w:sz w:val="20"/>
          <w:szCs w:val="20"/>
          <w:color w:val="auto"/>
        </w:rPr>
      </w:pPr>
      <w:r>
        <w:rPr>
          <w:rFonts w:ascii="Arial" w:cs="Arial" w:eastAsia="Arial" w:hAnsi="Arial"/>
          <w:sz w:val="16"/>
          <w:szCs w:val="16"/>
          <w:color w:val="auto"/>
        </w:rPr>
        <w:t>During the third quarter of 2021, the Company identified that the allocation of stock compensation for two of the Company’s overhead cost pools were incorrectly charged to cost of sales instead of general and administrative expense during the second quarter of 2021. The total amount of stock compensation incorrectly charged to cost of sales was $0.7 million which the Company initially corrected during the third quarter of 2021.</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 Recognition</w:t>
      </w:r>
    </w:p>
    <w:p>
      <w:pPr>
        <w:spacing w:after="0" w:line="222" w:lineRule="exact"/>
        <w:rPr>
          <w:sz w:val="20"/>
          <w:szCs w:val="20"/>
          <w:color w:val="auto"/>
        </w:rPr>
      </w:pPr>
    </w:p>
    <w:p>
      <w:pPr>
        <w:ind w:left="320" w:right="80"/>
        <w:spacing w:after="0" w:line="294" w:lineRule="auto"/>
        <w:rPr>
          <w:sz w:val="20"/>
          <w:szCs w:val="20"/>
          <w:color w:val="auto"/>
        </w:rPr>
      </w:pPr>
      <w:r>
        <w:rPr>
          <w:rFonts w:ascii="Arial" w:cs="Arial" w:eastAsia="Arial" w:hAnsi="Arial"/>
          <w:sz w:val="16"/>
          <w:szCs w:val="16"/>
          <w:color w:val="auto"/>
        </w:rPr>
        <w:t>In the third quarter of 2021, the Company identified $1.1 million in revenue related to the stub period of a newly awarded contract that should have been recognized as income during the second quarter of 2021. The Company initially corrected the error during the third quarter of 2021. Additionally, and related to this contract, in the fourth quarter of 2021 the Company identified $0.3 million of products revenue for the second quarter of 2021 and $0.4 million of products revenue for the third quarter of 2021 that should be classified in the Consolidated Statements of Operations as services revenue. The table below reflects the correction of the classification error previously reported during the second and third quarters of 2021.</w:t>
      </w:r>
    </w:p>
    <w:p>
      <w:pPr>
        <w:spacing w:after="0" w:line="161" w:lineRule="exact"/>
        <w:rPr>
          <w:sz w:val="20"/>
          <w:szCs w:val="20"/>
          <w:color w:val="auto"/>
        </w:rPr>
      </w:pPr>
    </w:p>
    <w:p>
      <w:pPr>
        <w:jc w:val="both"/>
        <w:ind w:left="320" w:right="200"/>
        <w:spacing w:after="0" w:line="261" w:lineRule="auto"/>
        <w:rPr>
          <w:sz w:val="20"/>
          <w:szCs w:val="20"/>
          <w:color w:val="auto"/>
        </w:rPr>
      </w:pPr>
      <w:r>
        <w:rPr>
          <w:rFonts w:ascii="Arial" w:cs="Arial" w:eastAsia="Arial" w:hAnsi="Arial"/>
          <w:sz w:val="18"/>
          <w:szCs w:val="18"/>
          <w:color w:val="auto"/>
        </w:rPr>
        <w:t>In the third quarter of fiscal year 2021, the Company erroneously recorded an $0.9 million expense related to a contract that had not yet begun. In the fourth quarter of 2021 the Company reversed the expense previously recorded and does not plan to record the expense until the start of the period of performance.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Software Capitalization</w:t>
      </w:r>
    </w:p>
    <w:p>
      <w:pPr>
        <w:spacing w:after="0" w:line="222" w:lineRule="exact"/>
        <w:rPr>
          <w:sz w:val="20"/>
          <w:szCs w:val="20"/>
          <w:color w:val="auto"/>
        </w:rPr>
      </w:pPr>
    </w:p>
    <w:p>
      <w:pPr>
        <w:ind w:left="320" w:right="180"/>
        <w:spacing w:after="0" w:line="261" w:lineRule="auto"/>
        <w:rPr>
          <w:sz w:val="20"/>
          <w:szCs w:val="20"/>
          <w:color w:val="auto"/>
        </w:rPr>
      </w:pPr>
      <w:r>
        <w:rPr>
          <w:rFonts w:ascii="Arial" w:cs="Arial" w:eastAsia="Arial" w:hAnsi="Arial"/>
          <w:sz w:val="18"/>
          <w:szCs w:val="18"/>
          <w:color w:val="auto"/>
        </w:rPr>
        <w:t>In the third quarter of fiscal year 2021, the Company erroneously recorded a $0.5 million expense related to a software project whose development milestones were achieved and therefore costs associated with the software should have been capitalized. The table below reflects the correction of the error previously reported during Q3 2021.</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Flow</w:t>
      </w:r>
    </w:p>
    <w:p>
      <w:pPr>
        <w:spacing w:after="0" w:line="222" w:lineRule="exact"/>
        <w:rPr>
          <w:sz w:val="20"/>
          <w:szCs w:val="20"/>
          <w:color w:val="auto"/>
        </w:rPr>
      </w:pPr>
    </w:p>
    <w:p>
      <w:pPr>
        <w:ind w:left="320" w:right="60"/>
        <w:spacing w:after="0" w:line="261" w:lineRule="auto"/>
        <w:rPr>
          <w:sz w:val="20"/>
          <w:szCs w:val="20"/>
          <w:color w:val="auto"/>
        </w:rPr>
      </w:pPr>
      <w:r>
        <w:rPr>
          <w:rFonts w:ascii="Arial" w:cs="Arial" w:eastAsia="Arial" w:hAnsi="Arial"/>
          <w:sz w:val="18"/>
          <w:szCs w:val="18"/>
          <w:color w:val="auto"/>
        </w:rPr>
        <w:t>In the first three quarters of fiscal year 2021, the Company erroneously presented the $2.4 million payment to fully acquire all membership interest of Telos ID as an operating activity on the statement of cash flow. In the fourth quarter of 2021 the Company corrected the presentation to properly reflect the payment within financing activities on the statement of cash flows.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Stock Compensation</w:t>
      </w:r>
    </w:p>
    <w:p>
      <w:pPr>
        <w:spacing w:after="0" w:line="222" w:lineRule="exact"/>
        <w:rPr>
          <w:sz w:val="20"/>
          <w:szCs w:val="20"/>
          <w:color w:val="auto"/>
        </w:rPr>
      </w:pPr>
    </w:p>
    <w:p>
      <w:pPr>
        <w:ind w:left="320" w:right="60"/>
        <w:spacing w:after="0" w:line="261" w:lineRule="auto"/>
        <w:rPr>
          <w:sz w:val="20"/>
          <w:szCs w:val="20"/>
          <w:color w:val="auto"/>
        </w:rPr>
      </w:pPr>
      <w:r>
        <w:rPr>
          <w:rFonts w:ascii="Arial" w:cs="Arial" w:eastAsia="Arial" w:hAnsi="Arial"/>
          <w:sz w:val="18"/>
          <w:szCs w:val="18"/>
          <w:color w:val="auto"/>
        </w:rPr>
        <w:t>In the fourth quarter of fiscal year 2021, the Company identified that a third quarter RSU was awarded to an individual, but that award was erroneously excluded from its calculation of compensation expense causing compensation expense to be understated by $0.2 million in the third quarter of 2021. The table below reflects the correction of the error previously reported during Q3 2021.</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Valuation of Acquired Assets</w:t>
      </w:r>
    </w:p>
    <w:p>
      <w:pPr>
        <w:spacing w:after="0" w:line="222" w:lineRule="exact"/>
        <w:rPr>
          <w:sz w:val="20"/>
          <w:szCs w:val="20"/>
          <w:color w:val="auto"/>
        </w:rPr>
      </w:pPr>
    </w:p>
    <w:p>
      <w:pPr>
        <w:ind w:left="320"/>
        <w:spacing w:after="0" w:line="261" w:lineRule="auto"/>
        <w:rPr>
          <w:sz w:val="20"/>
          <w:szCs w:val="20"/>
          <w:color w:val="auto"/>
        </w:rPr>
      </w:pPr>
      <w:r>
        <w:rPr>
          <w:rFonts w:ascii="Arial" w:cs="Arial" w:eastAsia="Arial" w:hAnsi="Arial"/>
          <w:sz w:val="18"/>
          <w:szCs w:val="18"/>
          <w:color w:val="auto"/>
        </w:rPr>
        <w:t>In the fourth quarter of fiscal year 2021, the Company identified a necessary update to a previously established assumption related to the valuation of its 2021 acquisition. The change in assumption resulted in additional goodwill of $1.3 million and a reduction of the intangible asset for the same amount that should have been reported during Q3 2021.</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20" w:firstLine="322"/>
        <w:spacing w:after="0" w:line="274" w:lineRule="auto"/>
        <w:rPr>
          <w:sz w:val="20"/>
          <w:szCs w:val="20"/>
          <w:color w:val="auto"/>
        </w:rPr>
      </w:pPr>
      <w:r>
        <w:rPr>
          <w:rFonts w:ascii="Arial" w:cs="Arial" w:eastAsia="Arial" w:hAnsi="Arial"/>
          <w:sz w:val="18"/>
          <w:szCs w:val="18"/>
          <w:color w:val="auto"/>
        </w:rPr>
        <w:t>The impact of the correction on the Company's previously issued quarterly consolidated financial statements was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8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Adjustments to the period ended March 31, 2021</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8"/>
          </w:tcPr>
          <w:p>
            <w:pPr>
              <w:jc w:val="right"/>
              <w:ind w:right="446"/>
              <w:spacing w:after="0"/>
              <w:rPr>
                <w:sz w:val="20"/>
                <w:szCs w:val="20"/>
                <w:color w:val="auto"/>
              </w:rPr>
            </w:pPr>
            <w:r>
              <w:rPr>
                <w:rFonts w:ascii="Arial" w:cs="Arial" w:eastAsia="Arial" w:hAnsi="Arial"/>
                <w:sz w:val="18"/>
                <w:szCs w:val="18"/>
                <w:b w:val="1"/>
                <w:bCs w:val="1"/>
                <w:color w:val="auto"/>
              </w:rPr>
              <w:t>Three Months Ended March 31, 2021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40" w:type="dxa"/>
            <w:vAlign w:val="bottom"/>
            <w:gridSpan w:val="3"/>
          </w:tcPr>
          <w:p>
            <w:pPr>
              <w:jc w:val="right"/>
              <w:ind w:right="362"/>
              <w:spacing w:after="0"/>
              <w:rPr>
                <w:sz w:val="20"/>
                <w:szCs w:val="20"/>
                <w:color w:val="auto"/>
              </w:rPr>
            </w:pPr>
            <w:r>
              <w:rPr>
                <w:rFonts w:ascii="Arial" w:cs="Arial" w:eastAsia="Arial" w:hAnsi="Arial"/>
                <w:sz w:val="18"/>
                <w:szCs w:val="18"/>
                <w:b w:val="1"/>
                <w:bCs w:val="1"/>
                <w:color w:val="auto"/>
              </w:rPr>
              <w:t>Previously Reported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Error Correction</w:t>
            </w:r>
          </w:p>
        </w:tc>
        <w:tc>
          <w:tcPr>
            <w:tcW w:w="480" w:type="dxa"/>
            <w:vAlign w:val="bottom"/>
          </w:tcPr>
          <w:p>
            <w:pPr>
              <w:spacing w:after="0"/>
              <w:rPr>
                <w:sz w:val="19"/>
                <w:szCs w:val="19"/>
                <w:color w:val="auto"/>
              </w:rPr>
            </w:pPr>
          </w:p>
        </w:tc>
        <w:tc>
          <w:tcPr>
            <w:tcW w:w="2280" w:type="dxa"/>
            <w:vAlign w:val="bottom"/>
            <w:gridSpan w:val="3"/>
          </w:tcPr>
          <w:p>
            <w:pPr>
              <w:jc w:val="right"/>
              <w:ind w:right="563"/>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28"/>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Condensed Consolidated Statement of Operations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Cost of sales - Services</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02"/>
              <w:spacing w:after="0"/>
              <w:rPr>
                <w:sz w:val="20"/>
                <w:szCs w:val="20"/>
                <w:color w:val="auto"/>
              </w:rPr>
            </w:pPr>
            <w:r>
              <w:rPr>
                <w:rFonts w:ascii="Arial" w:cs="Arial" w:eastAsia="Arial" w:hAnsi="Arial"/>
                <w:sz w:val="18"/>
                <w:szCs w:val="18"/>
                <w:color w:val="auto"/>
              </w:rPr>
              <w:t>39,602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(112)</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8"/>
                <w:szCs w:val="18"/>
                <w:color w:val="auto"/>
              </w:rPr>
              <w:t>39,490</w:t>
            </w:r>
          </w:p>
        </w:tc>
        <w:tc>
          <w:tcPr>
            <w:tcW w:w="0" w:type="dxa"/>
            <w:vAlign w:val="bottom"/>
          </w:tcPr>
          <w:p>
            <w:pPr>
              <w:spacing w:after="0"/>
              <w:rPr>
                <w:sz w:val="1"/>
                <w:szCs w:val="1"/>
                <w:color w:val="auto"/>
              </w:rPr>
            </w:pPr>
          </w:p>
        </w:tc>
      </w:tr>
      <w:tr>
        <w:trPr>
          <w:trHeight w:val="22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41,400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41,288</w:t>
            </w: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02"/>
              <w:spacing w:after="0"/>
              <w:rPr>
                <w:sz w:val="20"/>
                <w:szCs w:val="20"/>
                <w:color w:val="auto"/>
              </w:rPr>
            </w:pPr>
            <w:r>
              <w:rPr>
                <w:rFonts w:ascii="Arial" w:cs="Arial" w:eastAsia="Arial" w:hAnsi="Arial"/>
                <w:sz w:val="18"/>
                <w:szCs w:val="18"/>
                <w:color w:val="auto"/>
              </w:rPr>
              <w:t>19,964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ind w:right="37"/>
              <w:spacing w:after="0"/>
              <w:rPr>
                <w:sz w:val="20"/>
                <w:szCs w:val="20"/>
                <w:color w:val="auto"/>
              </w:rPr>
            </w:pPr>
            <w:r>
              <w:rPr>
                <w:rFonts w:ascii="Arial" w:cs="Arial" w:eastAsia="Arial" w:hAnsi="Arial"/>
                <w:sz w:val="18"/>
                <w:szCs w:val="18"/>
                <w:color w:val="auto"/>
              </w:rPr>
              <w:t>112</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8"/>
                <w:szCs w:val="18"/>
                <w:color w:val="auto"/>
              </w:rPr>
              <w:t>20,076</w:t>
            </w:r>
          </w:p>
        </w:tc>
        <w:tc>
          <w:tcPr>
            <w:tcW w:w="0" w:type="dxa"/>
            <w:vAlign w:val="bottom"/>
          </w:tcPr>
          <w:p>
            <w:pPr>
              <w:spacing w:after="0"/>
              <w:rPr>
                <w:sz w:val="1"/>
                <w:szCs w:val="1"/>
                <w:color w:val="auto"/>
              </w:rPr>
            </w:pPr>
          </w:p>
        </w:tc>
      </w:tr>
      <w:tr>
        <w:trPr>
          <w:trHeight w:val="228"/>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27,851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112</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27,963</w:t>
            </w:r>
          </w:p>
        </w:tc>
        <w:tc>
          <w:tcPr>
            <w:tcW w:w="0" w:type="dxa"/>
            <w:vAlign w:val="bottom"/>
          </w:tcPr>
          <w:p>
            <w:pPr>
              <w:spacing w:after="0"/>
              <w:rPr>
                <w:sz w:val="1"/>
                <w:szCs w:val="1"/>
                <w:color w:val="auto"/>
              </w:rPr>
            </w:pPr>
          </w:p>
        </w:tc>
      </w:tr>
      <w:tr>
        <w:trPr>
          <w:trHeight w:val="389"/>
        </w:trPr>
        <w:tc>
          <w:tcPr>
            <w:tcW w:w="388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88"/>
              </w:rPr>
              <w:t>Condensed Consolidated Statement of Cash Flows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gridSpan w:val="3"/>
          </w:tcPr>
          <w:p>
            <w:pPr>
              <w:ind w:left="20"/>
              <w:spacing w:after="0"/>
              <w:rPr>
                <w:sz w:val="20"/>
                <w:szCs w:val="20"/>
                <w:color w:val="auto"/>
              </w:rPr>
            </w:pPr>
            <w:r>
              <w:rPr>
                <w:rFonts w:ascii="Arial" w:cs="Arial" w:eastAsia="Arial" w:hAnsi="Arial"/>
                <w:sz w:val="18"/>
                <w:szCs w:val="18"/>
                <w:color w:val="auto"/>
                <w:w w:val="94"/>
              </w:rPr>
              <w:t>Changes in other operating assets and liabilities</w:t>
            </w:r>
          </w:p>
        </w:tc>
        <w:tc>
          <w:tcPr>
            <w:tcW w:w="220" w:type="dxa"/>
            <w:vAlign w:val="bottom"/>
          </w:tcPr>
          <w:p>
            <w:pPr>
              <w:spacing w:after="0"/>
              <w:rPr>
                <w:sz w:val="19"/>
                <w:szCs w:val="19"/>
                <w:color w:val="auto"/>
              </w:rPr>
            </w:pPr>
          </w:p>
        </w:tc>
        <w:tc>
          <w:tcPr>
            <w:tcW w:w="1320" w:type="dxa"/>
            <w:vAlign w:val="bottom"/>
            <w:gridSpan w:val="2"/>
          </w:tcPr>
          <w:p>
            <w:pPr>
              <w:jc w:val="center"/>
              <w:ind w:right="131"/>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8"/>
                <w:szCs w:val="18"/>
                <w:color w:val="auto"/>
              </w:rPr>
              <w:t>(9,584)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gridSpan w:val="2"/>
          </w:tcPr>
          <w:p>
            <w:pPr>
              <w:jc w:val="right"/>
              <w:ind w:right="37"/>
              <w:spacing w:after="0"/>
              <w:rPr>
                <w:sz w:val="20"/>
                <w:szCs w:val="20"/>
                <w:color w:val="auto"/>
              </w:rPr>
            </w:pPr>
            <w:r>
              <w:rPr>
                <w:rFonts w:ascii="Arial" w:cs="Arial" w:eastAsia="Arial" w:hAnsi="Arial"/>
                <w:sz w:val="18"/>
                <w:szCs w:val="18"/>
                <w:color w:val="auto"/>
              </w:rPr>
              <w:t>2,436</w:t>
            </w:r>
          </w:p>
        </w:tc>
        <w:tc>
          <w:tcPr>
            <w:tcW w:w="800" w:type="dxa"/>
            <w:vAlign w:val="bottom"/>
          </w:tcPr>
          <w:p>
            <w:pPr>
              <w:jc w:val="right"/>
              <w:ind w:right="56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28"/>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(9,318)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2,436</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174"/>
        </w:trPr>
        <w:tc>
          <w:tcPr>
            <w:tcW w:w="5200" w:type="dxa"/>
            <w:vAlign w:val="bottom"/>
            <w:gridSpan w:val="6"/>
          </w:tcPr>
          <w:p>
            <w:pPr>
              <w:ind w:left="20"/>
              <w:spacing w:after="0" w:line="175" w:lineRule="exact"/>
              <w:rPr>
                <w:sz w:val="20"/>
                <w:szCs w:val="20"/>
                <w:color w:val="auto"/>
              </w:rPr>
            </w:pPr>
            <w:r>
              <w:rPr>
                <w:rFonts w:ascii="Arial" w:cs="Arial" w:eastAsia="Arial" w:hAnsi="Arial"/>
                <w:sz w:val="18"/>
                <w:szCs w:val="18"/>
                <w:color w:val="auto"/>
              </w:rPr>
              <w:t>Distribution to Telos ID Class B member - non-controlling</w:t>
            </w:r>
          </w:p>
        </w:tc>
        <w:tc>
          <w:tcPr>
            <w:tcW w:w="380" w:type="dxa"/>
            <w:vAlign w:val="bottom"/>
          </w:tcPr>
          <w:p>
            <w:pPr>
              <w:spacing w:after="0"/>
              <w:rPr>
                <w:sz w:val="15"/>
                <w:szCs w:val="15"/>
                <w:color w:val="auto"/>
              </w:rPr>
            </w:pPr>
          </w:p>
        </w:tc>
        <w:tc>
          <w:tcPr>
            <w:tcW w:w="1120" w:type="dxa"/>
            <w:vAlign w:val="bottom"/>
            <w:vMerge w:val="restart"/>
          </w:tcPr>
          <w:p>
            <w:pPr>
              <w:jc w:val="right"/>
              <w:ind w:right="10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(2,436)</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interest</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551"/>
        </w:trPr>
        <w:tc>
          <w:tcPr>
            <w:tcW w:w="3660" w:type="dxa"/>
            <w:vAlign w:val="bottom"/>
            <w:gridSpan w:val="3"/>
          </w:tcPr>
          <w:p>
            <w:pPr>
              <w:ind w:left="20"/>
              <w:spacing w:after="0"/>
              <w:rPr>
                <w:sz w:val="20"/>
                <w:szCs w:val="20"/>
                <w:color w:val="auto"/>
              </w:rPr>
            </w:pPr>
            <w:r>
              <w:rPr>
                <w:rFonts w:ascii="Arial" w:cs="Arial" w:eastAsia="Arial" w:hAnsi="Arial"/>
                <w:sz w:val="18"/>
                <w:szCs w:val="18"/>
                <w:b w:val="1"/>
                <w:bCs w:val="1"/>
                <w:color w:val="auto"/>
                <w:w w:val="89"/>
              </w:rPr>
              <w:t>Adjustments to the period ended June 30, 2021</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left="528"/>
              <w:spacing w:after="0"/>
              <w:rPr>
                <w:sz w:val="20"/>
                <w:szCs w:val="20"/>
                <w:color w:val="auto"/>
              </w:rPr>
            </w:pPr>
            <w:r>
              <w:rPr>
                <w:rFonts w:ascii="Arial" w:cs="Arial" w:eastAsia="Arial" w:hAnsi="Arial"/>
                <w:sz w:val="14"/>
                <w:szCs w:val="14"/>
                <w:b w:val="1"/>
                <w:bCs w:val="1"/>
                <w:color w:val="auto"/>
                <w:w w:val="93"/>
              </w:rPr>
              <w:t>Three Months Ended June 30, 2021</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center"/>
              <w:ind w:left="887"/>
              <w:spacing w:after="0"/>
              <w:rPr>
                <w:sz w:val="20"/>
                <w:szCs w:val="20"/>
                <w:color w:val="auto"/>
              </w:rPr>
            </w:pPr>
            <w:r>
              <w:rPr>
                <w:rFonts w:ascii="Arial" w:cs="Arial" w:eastAsia="Arial" w:hAnsi="Arial"/>
                <w:sz w:val="14"/>
                <w:szCs w:val="14"/>
                <w:b w:val="1"/>
                <w:bCs w:val="1"/>
                <w:color w:val="auto"/>
                <w:w w:val="92"/>
              </w:rPr>
              <w:t>Six Months Ended June 30, 2021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4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6"/>
              </w:rPr>
              <w:t>Previously Reported</w:t>
            </w:r>
          </w:p>
        </w:tc>
        <w:tc>
          <w:tcPr>
            <w:tcW w:w="220" w:type="dxa"/>
            <w:vAlign w:val="bottom"/>
          </w:tcPr>
          <w:p>
            <w:pPr>
              <w:spacing w:after="0"/>
              <w:rPr>
                <w:sz w:val="16"/>
                <w:szCs w:val="16"/>
                <w:color w:val="auto"/>
              </w:rPr>
            </w:pPr>
          </w:p>
        </w:tc>
        <w:tc>
          <w:tcPr>
            <w:tcW w:w="132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w w:val="95"/>
              </w:rPr>
              <w:t>Error Correction</w:t>
            </w:r>
          </w:p>
        </w:tc>
        <w:tc>
          <w:tcPr>
            <w:tcW w:w="380" w:type="dxa"/>
            <w:vAlign w:val="bottom"/>
          </w:tcPr>
          <w:p>
            <w:pPr>
              <w:spacing w:after="0"/>
              <w:rPr>
                <w:sz w:val="16"/>
                <w:szCs w:val="16"/>
                <w:color w:val="auto"/>
              </w:rPr>
            </w:pPr>
          </w:p>
        </w:tc>
        <w:tc>
          <w:tcPr>
            <w:tcW w:w="1120" w:type="dxa"/>
            <w:vAlign w:val="bottom"/>
          </w:tcPr>
          <w:p>
            <w:pPr>
              <w:jc w:val="right"/>
              <w:ind w:right="262"/>
              <w:spacing w:after="0"/>
              <w:rPr>
                <w:sz w:val="20"/>
                <w:szCs w:val="20"/>
                <w:color w:val="auto"/>
              </w:rPr>
            </w:pPr>
            <w:r>
              <w:rPr>
                <w:rFonts w:ascii="Arial" w:cs="Arial" w:eastAsia="Arial" w:hAnsi="Arial"/>
                <w:sz w:val="14"/>
                <w:szCs w:val="14"/>
                <w:b w:val="1"/>
                <w:bCs w:val="1"/>
                <w:color w:val="auto"/>
                <w:w w:val="92"/>
              </w:rPr>
              <w:t>As Adjusted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w w:val="95"/>
              </w:rPr>
              <w:t>Previously Reported</w:t>
            </w:r>
          </w:p>
        </w:tc>
        <w:tc>
          <w:tcPr>
            <w:tcW w:w="220" w:type="dxa"/>
            <w:vAlign w:val="bottom"/>
          </w:tcPr>
          <w:p>
            <w:pPr>
              <w:spacing w:after="0"/>
              <w:rPr>
                <w:sz w:val="16"/>
                <w:szCs w:val="16"/>
                <w:color w:val="auto"/>
              </w:rPr>
            </w:pPr>
          </w:p>
        </w:tc>
        <w:tc>
          <w:tcPr>
            <w:tcW w:w="1280" w:type="dxa"/>
            <w:vAlign w:val="bottom"/>
            <w:gridSpan w:val="2"/>
          </w:tcPr>
          <w:p>
            <w:pPr>
              <w:jc w:val="center"/>
              <w:ind w:right="146"/>
              <w:spacing w:after="0"/>
              <w:rPr>
                <w:sz w:val="20"/>
                <w:szCs w:val="20"/>
                <w:color w:val="auto"/>
              </w:rPr>
            </w:pPr>
            <w:r>
              <w:rPr>
                <w:rFonts w:ascii="Arial" w:cs="Arial" w:eastAsia="Arial" w:hAnsi="Arial"/>
                <w:sz w:val="14"/>
                <w:szCs w:val="14"/>
                <w:b w:val="1"/>
                <w:bCs w:val="1"/>
                <w:color w:val="auto"/>
                <w:w w:val="97"/>
              </w:rPr>
              <w:t>Error Correction</w:t>
            </w:r>
          </w:p>
        </w:tc>
        <w:tc>
          <w:tcPr>
            <w:tcW w:w="320" w:type="dxa"/>
            <w:vAlign w:val="bottom"/>
          </w:tcPr>
          <w:p>
            <w:pPr>
              <w:spacing w:after="0"/>
              <w:rPr>
                <w:sz w:val="16"/>
                <w:szCs w:val="16"/>
                <w:color w:val="auto"/>
              </w:rPr>
            </w:pPr>
          </w:p>
        </w:tc>
        <w:tc>
          <w:tcPr>
            <w:tcW w:w="1160" w:type="dxa"/>
            <w:vAlign w:val="bottom"/>
          </w:tcPr>
          <w:p>
            <w:pPr>
              <w:jc w:val="right"/>
              <w:ind w:right="263"/>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229"/>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Condensed Consolidated Statement of Operations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Revenue - Services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47,618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1"/>
              <w:spacing w:after="0"/>
              <w:rPr>
                <w:sz w:val="20"/>
                <w:szCs w:val="20"/>
                <w:color w:val="auto"/>
              </w:rPr>
            </w:pPr>
            <w:r>
              <w:rPr>
                <w:rFonts w:ascii="Arial" w:cs="Arial" w:eastAsia="Arial" w:hAnsi="Arial"/>
                <w:sz w:val="14"/>
                <w:szCs w:val="14"/>
                <w:color w:val="auto"/>
              </w:rPr>
              <w:t>1,385</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
              <w:spacing w:after="0"/>
              <w:rPr>
                <w:sz w:val="20"/>
                <w:szCs w:val="20"/>
                <w:color w:val="auto"/>
              </w:rPr>
            </w:pPr>
            <w:r>
              <w:rPr>
                <w:rFonts w:ascii="Arial" w:cs="Arial" w:eastAsia="Arial" w:hAnsi="Arial"/>
                <w:sz w:val="14"/>
                <w:szCs w:val="14"/>
                <w:color w:val="auto"/>
              </w:rPr>
              <w:t>49,003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47"/>
              <w:spacing w:after="0"/>
              <w:rPr>
                <w:sz w:val="20"/>
                <w:szCs w:val="20"/>
                <w:color w:val="auto"/>
              </w:rPr>
            </w:pPr>
            <w:r>
              <w:rPr>
                <w:rFonts w:ascii="Arial" w:cs="Arial" w:eastAsia="Arial" w:hAnsi="Arial"/>
                <w:sz w:val="14"/>
                <w:szCs w:val="14"/>
                <w:color w:val="auto"/>
              </w:rPr>
              <w:t>99,676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1,385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101,061</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 Products</w:t>
            </w: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4,941</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(300)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4,641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8,641</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Revenue</w:t>
            </w:r>
          </w:p>
        </w:tc>
        <w:tc>
          <w:tcPr>
            <w:tcW w:w="5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52,559</w:t>
            </w:r>
          </w:p>
        </w:tc>
        <w:tc>
          <w:tcPr>
            <w:tcW w:w="220" w:type="dxa"/>
            <w:vAlign w:val="bottom"/>
          </w:tcPr>
          <w:p>
            <w:pPr>
              <w:spacing w:after="0"/>
              <w:rPr>
                <w:sz w:val="16"/>
                <w:szCs w:val="16"/>
                <w:color w:val="auto"/>
              </w:rPr>
            </w:pPr>
          </w:p>
        </w:tc>
        <w:tc>
          <w:tcPr>
            <w:tcW w:w="1320" w:type="dxa"/>
            <w:vAlign w:val="bottom"/>
            <w:gridSpan w:val="2"/>
          </w:tcPr>
          <w:p>
            <w:pPr>
              <w:jc w:val="right"/>
              <w:ind w:right="51"/>
              <w:spacing w:after="0"/>
              <w:rPr>
                <w:sz w:val="20"/>
                <w:szCs w:val="20"/>
                <w:color w:val="auto"/>
              </w:rPr>
            </w:pPr>
            <w:r>
              <w:rPr>
                <w:rFonts w:ascii="Arial" w:cs="Arial" w:eastAsia="Arial" w:hAnsi="Arial"/>
                <w:sz w:val="14"/>
                <w:szCs w:val="14"/>
                <w:color w:val="auto"/>
              </w:rPr>
              <w:t>1,085</w:t>
            </w:r>
          </w:p>
        </w:tc>
        <w:tc>
          <w:tcPr>
            <w:tcW w:w="38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color w:val="auto"/>
              </w:rPr>
              <w:t>53,644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7"/>
              <w:spacing w:after="0"/>
              <w:rPr>
                <w:sz w:val="20"/>
                <w:szCs w:val="20"/>
                <w:color w:val="auto"/>
              </w:rPr>
            </w:pPr>
            <w:r>
              <w:rPr>
                <w:rFonts w:ascii="Arial" w:cs="Arial" w:eastAsia="Arial" w:hAnsi="Arial"/>
                <w:sz w:val="14"/>
                <w:szCs w:val="14"/>
                <w:color w:val="auto"/>
              </w:rPr>
              <w:t>108,317</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1,085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109,402</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Services</w:t>
            </w: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29,501</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(892)</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28,609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69,103</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68,099</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5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32,002</w:t>
            </w:r>
          </w:p>
        </w:tc>
        <w:tc>
          <w:tcPr>
            <w:tcW w:w="220" w:type="dxa"/>
            <w:vAlign w:val="bottom"/>
          </w:tcPr>
          <w:p>
            <w:pPr>
              <w:spacing w:after="0"/>
              <w:rPr>
                <w:sz w:val="16"/>
                <w:szCs w:val="16"/>
                <w:color w:val="auto"/>
              </w:rPr>
            </w:pPr>
          </w:p>
        </w:tc>
        <w:tc>
          <w:tcPr>
            <w:tcW w:w="1320" w:type="dxa"/>
            <w:vAlign w:val="bottom"/>
            <w:gridSpan w:val="2"/>
          </w:tcPr>
          <w:p>
            <w:pPr>
              <w:jc w:val="right"/>
              <w:ind w:right="11"/>
              <w:spacing w:after="0"/>
              <w:rPr>
                <w:sz w:val="20"/>
                <w:szCs w:val="20"/>
                <w:color w:val="auto"/>
              </w:rPr>
            </w:pPr>
            <w:r>
              <w:rPr>
                <w:rFonts w:ascii="Arial" w:cs="Arial" w:eastAsia="Arial" w:hAnsi="Arial"/>
                <w:sz w:val="14"/>
                <w:szCs w:val="14"/>
                <w:color w:val="auto"/>
              </w:rPr>
              <w:t>(892)</w:t>
            </w:r>
          </w:p>
        </w:tc>
        <w:tc>
          <w:tcPr>
            <w:tcW w:w="38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color w:val="auto"/>
              </w:rPr>
              <w:t>31,110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7"/>
              <w:spacing w:after="0"/>
              <w:rPr>
                <w:sz w:val="20"/>
                <w:szCs w:val="20"/>
                <w:color w:val="auto"/>
              </w:rPr>
            </w:pPr>
            <w:r>
              <w:rPr>
                <w:rFonts w:ascii="Arial" w:cs="Arial" w:eastAsia="Arial" w:hAnsi="Arial"/>
                <w:sz w:val="14"/>
                <w:szCs w:val="14"/>
                <w:color w:val="auto"/>
              </w:rPr>
              <w:t>73,402</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72,398</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28,743</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892</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29,635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48,708</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1,004</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49,712</w:t>
            </w:r>
          </w:p>
        </w:tc>
        <w:tc>
          <w:tcPr>
            <w:tcW w:w="0" w:type="dxa"/>
            <w:vAlign w:val="bottom"/>
          </w:tcPr>
          <w:p>
            <w:pPr>
              <w:spacing w:after="0"/>
              <w:rPr>
                <w:sz w:val="1"/>
                <w:szCs w:val="1"/>
                <w:color w:val="auto"/>
              </w:rPr>
            </w:pPr>
          </w:p>
        </w:tc>
      </w:tr>
      <w:tr>
        <w:trPr>
          <w:trHeight w:val="134"/>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Selling, general and administrative</w:t>
            </w:r>
          </w:p>
        </w:tc>
        <w:tc>
          <w:tcPr>
            <w:tcW w:w="520" w:type="dxa"/>
            <w:vAlign w:val="bottom"/>
          </w:tcPr>
          <w:p>
            <w:pPr>
              <w:spacing w:after="0"/>
              <w:rPr>
                <w:sz w:val="11"/>
                <w:szCs w:val="11"/>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39,113</w:t>
            </w:r>
          </w:p>
        </w:tc>
        <w:tc>
          <w:tcPr>
            <w:tcW w:w="220" w:type="dxa"/>
            <w:vAlign w:val="bottom"/>
          </w:tcPr>
          <w:p>
            <w:pPr>
              <w:spacing w:after="0"/>
              <w:rPr>
                <w:sz w:val="11"/>
                <w:szCs w:val="11"/>
                <w:color w:val="auto"/>
              </w:rPr>
            </w:pPr>
          </w:p>
        </w:tc>
        <w:tc>
          <w:tcPr>
            <w:tcW w:w="132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892</w:t>
            </w:r>
          </w:p>
        </w:tc>
        <w:tc>
          <w:tcPr>
            <w:tcW w:w="380" w:type="dxa"/>
            <w:vAlign w:val="bottom"/>
          </w:tcPr>
          <w:p>
            <w:pPr>
              <w:spacing w:after="0"/>
              <w:rPr>
                <w:sz w:val="11"/>
                <w:szCs w:val="11"/>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4"/>
                <w:szCs w:val="14"/>
                <w:color w:val="auto"/>
              </w:rPr>
              <w:t>40,005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47"/>
              <w:spacing w:after="0"/>
              <w:rPr>
                <w:sz w:val="20"/>
                <w:szCs w:val="20"/>
                <w:color w:val="auto"/>
              </w:rPr>
            </w:pPr>
            <w:r>
              <w:rPr>
                <w:rFonts w:ascii="Arial" w:cs="Arial" w:eastAsia="Arial" w:hAnsi="Arial"/>
                <w:sz w:val="14"/>
                <w:szCs w:val="14"/>
                <w:color w:val="auto"/>
              </w:rPr>
              <w:t>66,965</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26"/>
              <w:spacing w:after="0"/>
              <w:rPr>
                <w:sz w:val="20"/>
                <w:szCs w:val="20"/>
                <w:color w:val="auto"/>
              </w:rPr>
            </w:pPr>
            <w:r>
              <w:rPr>
                <w:rFonts w:ascii="Arial" w:cs="Arial" w:eastAsia="Arial" w:hAnsi="Arial"/>
                <w:sz w:val="14"/>
                <w:szCs w:val="14"/>
                <w:color w:val="auto"/>
              </w:rPr>
              <w:t>1,004</w:t>
            </w:r>
          </w:p>
        </w:tc>
        <w:tc>
          <w:tcPr>
            <w:tcW w:w="3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67,969</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expenses</w:t>
            </w:r>
          </w:p>
        </w:tc>
        <w:tc>
          <w:tcPr>
            <w:tcW w:w="5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(18,556)</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1,085</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(32,050)</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1,085</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(30,965)</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(18,716)</w:t>
            </w:r>
          </w:p>
        </w:tc>
        <w:tc>
          <w:tcPr>
            <w:tcW w:w="220" w:type="dxa"/>
            <w:vAlign w:val="bottom"/>
          </w:tcPr>
          <w:p>
            <w:pPr>
              <w:spacing w:after="0"/>
              <w:rPr>
                <w:sz w:val="16"/>
                <w:szCs w:val="16"/>
                <w:color w:val="auto"/>
              </w:rPr>
            </w:pPr>
          </w:p>
        </w:tc>
        <w:tc>
          <w:tcPr>
            <w:tcW w:w="1320" w:type="dxa"/>
            <w:vAlign w:val="bottom"/>
            <w:gridSpan w:val="2"/>
          </w:tcPr>
          <w:p>
            <w:pPr>
              <w:jc w:val="right"/>
              <w:ind w:right="51"/>
              <w:spacing w:after="0"/>
              <w:rPr>
                <w:sz w:val="20"/>
                <w:szCs w:val="20"/>
                <w:color w:val="auto"/>
              </w:rPr>
            </w:pPr>
            <w:r>
              <w:rPr>
                <w:rFonts w:ascii="Arial" w:cs="Arial" w:eastAsia="Arial" w:hAnsi="Arial"/>
                <w:sz w:val="14"/>
                <w:szCs w:val="14"/>
                <w:color w:val="auto"/>
              </w:rPr>
              <w:t>1,085</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(17,631)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7"/>
              <w:spacing w:after="0"/>
              <w:rPr>
                <w:sz w:val="20"/>
                <w:szCs w:val="20"/>
                <w:color w:val="auto"/>
              </w:rPr>
            </w:pPr>
            <w:r>
              <w:rPr>
                <w:rFonts w:ascii="Arial" w:cs="Arial" w:eastAsia="Arial" w:hAnsi="Arial"/>
                <w:sz w:val="14"/>
                <w:szCs w:val="14"/>
                <w:color w:val="auto"/>
              </w:rPr>
              <w:t>(33,460)</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1,085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(32,375)</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(18,729)</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1,085</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(33,507)</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1,085</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(32,422)</w:t>
            </w:r>
          </w:p>
        </w:tc>
        <w:tc>
          <w:tcPr>
            <w:tcW w:w="0" w:type="dxa"/>
            <w:vAlign w:val="bottom"/>
          </w:tcPr>
          <w:p>
            <w:pPr>
              <w:spacing w:after="0"/>
              <w:rPr>
                <w:sz w:val="1"/>
                <w:szCs w:val="1"/>
                <w:color w:val="auto"/>
              </w:rPr>
            </w:pPr>
          </w:p>
        </w:tc>
      </w:tr>
      <w:tr>
        <w:trPr>
          <w:trHeight w:val="134"/>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Net loss attributable to Telos</w:t>
            </w:r>
          </w:p>
        </w:tc>
        <w:tc>
          <w:tcPr>
            <w:tcW w:w="5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(18,729)</w:t>
            </w:r>
          </w:p>
        </w:tc>
        <w:tc>
          <w:tcPr>
            <w:tcW w:w="220" w:type="dxa"/>
            <w:vAlign w:val="bottom"/>
          </w:tcPr>
          <w:p>
            <w:pPr>
              <w:spacing w:after="0"/>
              <w:rPr>
                <w:sz w:val="11"/>
                <w:szCs w:val="11"/>
                <w:color w:val="auto"/>
              </w:rPr>
            </w:pPr>
          </w:p>
        </w:tc>
        <w:tc>
          <w:tcPr>
            <w:tcW w:w="132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1,085</w:t>
            </w:r>
          </w:p>
        </w:tc>
        <w:tc>
          <w:tcPr>
            <w:tcW w:w="3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(17,644)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7"/>
              <w:spacing w:after="0"/>
              <w:rPr>
                <w:sz w:val="20"/>
                <w:szCs w:val="20"/>
                <w:color w:val="auto"/>
              </w:rPr>
            </w:pPr>
            <w:r>
              <w:rPr>
                <w:rFonts w:ascii="Arial" w:cs="Arial" w:eastAsia="Arial" w:hAnsi="Arial"/>
                <w:sz w:val="14"/>
                <w:szCs w:val="14"/>
                <w:color w:val="auto"/>
              </w:rPr>
              <w:t>(33,507)</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26"/>
              <w:spacing w:after="0"/>
              <w:rPr>
                <w:sz w:val="20"/>
                <w:szCs w:val="20"/>
                <w:color w:val="auto"/>
              </w:rPr>
            </w:pPr>
            <w:r>
              <w:rPr>
                <w:rFonts w:ascii="Arial" w:cs="Arial" w:eastAsia="Arial" w:hAnsi="Arial"/>
                <w:sz w:val="14"/>
                <w:szCs w:val="14"/>
                <w:color w:val="auto"/>
              </w:rPr>
              <w:t>1,085</w:t>
            </w:r>
          </w:p>
        </w:tc>
        <w:tc>
          <w:tcPr>
            <w:tcW w:w="3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(32,422)</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Corporation</w:t>
            </w:r>
          </w:p>
        </w:tc>
        <w:tc>
          <w:tcPr>
            <w:tcW w:w="5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2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Net loss per share attributable to</w:t>
            </w: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Telos Corporation</w:t>
            </w: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340"/>
              <w:spacing w:after="0"/>
              <w:rPr>
                <w:sz w:val="20"/>
                <w:szCs w:val="20"/>
                <w:color w:val="auto"/>
              </w:rPr>
            </w:pPr>
            <w:r>
              <w:rPr>
                <w:rFonts w:ascii="Arial" w:cs="Arial" w:eastAsia="Arial" w:hAnsi="Arial"/>
                <w:sz w:val="14"/>
                <w:szCs w:val="14"/>
                <w:color w:val="auto"/>
              </w:rPr>
              <w:t>Basic</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(0.28)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1"/>
              <w:spacing w:after="0"/>
              <w:rPr>
                <w:sz w:val="20"/>
                <w:szCs w:val="20"/>
                <w:color w:val="auto"/>
              </w:rPr>
            </w:pPr>
            <w:r>
              <w:rPr>
                <w:rFonts w:ascii="Arial" w:cs="Arial" w:eastAsia="Arial" w:hAnsi="Arial"/>
                <w:sz w:val="14"/>
                <w:szCs w:val="14"/>
                <w:color w:val="auto"/>
              </w:rPr>
              <w:t>0.02</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7"/>
              <w:spacing w:after="0"/>
              <w:rPr>
                <w:sz w:val="20"/>
                <w:szCs w:val="20"/>
                <w:color w:val="auto"/>
              </w:rPr>
            </w:pPr>
            <w:r>
              <w:rPr>
                <w:rFonts w:ascii="Arial" w:cs="Arial" w:eastAsia="Arial" w:hAnsi="Arial"/>
                <w:sz w:val="14"/>
                <w:szCs w:val="14"/>
                <w:color w:val="auto"/>
              </w:rPr>
              <w:t>(0.51)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0.02</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0.02</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(0.51)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0.02</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518"/>
        </w:trPr>
        <w:tc>
          <w:tcPr>
            <w:tcW w:w="2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left="528"/>
              <w:spacing w:after="0"/>
              <w:rPr>
                <w:sz w:val="20"/>
                <w:szCs w:val="20"/>
                <w:color w:val="auto"/>
              </w:rPr>
            </w:pPr>
            <w:r>
              <w:rPr>
                <w:rFonts w:ascii="Arial" w:cs="Arial" w:eastAsia="Arial" w:hAnsi="Arial"/>
                <w:sz w:val="14"/>
                <w:szCs w:val="14"/>
                <w:b w:val="1"/>
                <w:bCs w:val="1"/>
                <w:color w:val="auto"/>
                <w:w w:val="93"/>
              </w:rPr>
              <w:t>Three Months Ended June 30, 2021</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center"/>
              <w:ind w:left="887"/>
              <w:spacing w:after="0"/>
              <w:rPr>
                <w:sz w:val="20"/>
                <w:szCs w:val="20"/>
                <w:color w:val="auto"/>
              </w:rPr>
            </w:pPr>
            <w:r>
              <w:rPr>
                <w:rFonts w:ascii="Arial" w:cs="Arial" w:eastAsia="Arial" w:hAnsi="Arial"/>
                <w:sz w:val="14"/>
                <w:szCs w:val="14"/>
                <w:b w:val="1"/>
                <w:bCs w:val="1"/>
                <w:color w:val="auto"/>
                <w:w w:val="92"/>
              </w:rPr>
              <w:t>Six Months Ended June 30, 2021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4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6"/>
              </w:rPr>
              <w:t>Previously Reported</w:t>
            </w:r>
          </w:p>
        </w:tc>
        <w:tc>
          <w:tcPr>
            <w:tcW w:w="220" w:type="dxa"/>
            <w:vAlign w:val="bottom"/>
          </w:tcPr>
          <w:p>
            <w:pPr>
              <w:spacing w:after="0"/>
              <w:rPr>
                <w:sz w:val="16"/>
                <w:szCs w:val="16"/>
                <w:color w:val="auto"/>
              </w:rPr>
            </w:pPr>
          </w:p>
        </w:tc>
        <w:tc>
          <w:tcPr>
            <w:tcW w:w="132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w w:val="95"/>
              </w:rPr>
              <w:t>Error Correction</w:t>
            </w:r>
          </w:p>
        </w:tc>
        <w:tc>
          <w:tcPr>
            <w:tcW w:w="380" w:type="dxa"/>
            <w:vAlign w:val="bottom"/>
          </w:tcPr>
          <w:p>
            <w:pPr>
              <w:spacing w:after="0"/>
              <w:rPr>
                <w:sz w:val="16"/>
                <w:szCs w:val="16"/>
                <w:color w:val="auto"/>
              </w:rPr>
            </w:pPr>
          </w:p>
        </w:tc>
        <w:tc>
          <w:tcPr>
            <w:tcW w:w="1120" w:type="dxa"/>
            <w:vAlign w:val="bottom"/>
          </w:tcPr>
          <w:p>
            <w:pPr>
              <w:jc w:val="right"/>
              <w:ind w:right="262"/>
              <w:spacing w:after="0"/>
              <w:rPr>
                <w:sz w:val="20"/>
                <w:szCs w:val="20"/>
                <w:color w:val="auto"/>
              </w:rPr>
            </w:pPr>
            <w:r>
              <w:rPr>
                <w:rFonts w:ascii="Arial" w:cs="Arial" w:eastAsia="Arial" w:hAnsi="Arial"/>
                <w:sz w:val="14"/>
                <w:szCs w:val="14"/>
                <w:b w:val="1"/>
                <w:bCs w:val="1"/>
                <w:color w:val="auto"/>
                <w:w w:val="92"/>
              </w:rPr>
              <w:t>As Adjusted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w w:val="95"/>
              </w:rPr>
              <w:t>Previously Reported</w:t>
            </w:r>
          </w:p>
        </w:tc>
        <w:tc>
          <w:tcPr>
            <w:tcW w:w="220" w:type="dxa"/>
            <w:vAlign w:val="bottom"/>
          </w:tcPr>
          <w:p>
            <w:pPr>
              <w:spacing w:after="0"/>
              <w:rPr>
                <w:sz w:val="16"/>
                <w:szCs w:val="16"/>
                <w:color w:val="auto"/>
              </w:rPr>
            </w:pPr>
          </w:p>
        </w:tc>
        <w:tc>
          <w:tcPr>
            <w:tcW w:w="1280" w:type="dxa"/>
            <w:vAlign w:val="bottom"/>
            <w:gridSpan w:val="2"/>
          </w:tcPr>
          <w:p>
            <w:pPr>
              <w:jc w:val="center"/>
              <w:ind w:right="146"/>
              <w:spacing w:after="0"/>
              <w:rPr>
                <w:sz w:val="20"/>
                <w:szCs w:val="20"/>
                <w:color w:val="auto"/>
              </w:rPr>
            </w:pPr>
            <w:r>
              <w:rPr>
                <w:rFonts w:ascii="Arial" w:cs="Arial" w:eastAsia="Arial" w:hAnsi="Arial"/>
                <w:sz w:val="14"/>
                <w:szCs w:val="14"/>
                <w:b w:val="1"/>
                <w:bCs w:val="1"/>
                <w:color w:val="auto"/>
                <w:w w:val="97"/>
              </w:rPr>
              <w:t>Error Correction</w:t>
            </w:r>
          </w:p>
        </w:tc>
        <w:tc>
          <w:tcPr>
            <w:tcW w:w="320" w:type="dxa"/>
            <w:vAlign w:val="bottom"/>
          </w:tcPr>
          <w:p>
            <w:pPr>
              <w:spacing w:after="0"/>
              <w:rPr>
                <w:sz w:val="16"/>
                <w:szCs w:val="16"/>
                <w:color w:val="auto"/>
              </w:rPr>
            </w:pPr>
          </w:p>
        </w:tc>
        <w:tc>
          <w:tcPr>
            <w:tcW w:w="1160" w:type="dxa"/>
            <w:vAlign w:val="bottom"/>
          </w:tcPr>
          <w:p>
            <w:pPr>
              <w:jc w:val="right"/>
              <w:ind w:right="263"/>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229"/>
        </w:trPr>
        <w:tc>
          <w:tcPr>
            <w:tcW w:w="520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w w:val="99"/>
              </w:rPr>
              <w:t>Condensed Consolidated Statement of Comprehensive Loss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(18,729)</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1"/>
              <w:spacing w:after="0"/>
              <w:rPr>
                <w:sz w:val="20"/>
                <w:szCs w:val="20"/>
                <w:color w:val="auto"/>
              </w:rPr>
            </w:pPr>
            <w:r>
              <w:rPr>
                <w:rFonts w:ascii="Arial" w:cs="Arial" w:eastAsia="Arial" w:hAnsi="Arial"/>
                <w:sz w:val="14"/>
                <w:szCs w:val="14"/>
                <w:color w:val="auto"/>
              </w:rPr>
              <w:t>1,085</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(17,644)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7"/>
              <w:spacing w:after="0"/>
              <w:rPr>
                <w:sz w:val="20"/>
                <w:szCs w:val="20"/>
                <w:color w:val="auto"/>
              </w:rPr>
            </w:pPr>
            <w:r>
              <w:rPr>
                <w:rFonts w:ascii="Arial" w:cs="Arial" w:eastAsia="Arial" w:hAnsi="Arial"/>
                <w:sz w:val="14"/>
                <w:szCs w:val="14"/>
                <w:color w:val="auto"/>
              </w:rPr>
              <w:t>(33,507)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1,085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(32,422)</w:t>
            </w:r>
          </w:p>
        </w:tc>
        <w:tc>
          <w:tcPr>
            <w:tcW w:w="0" w:type="dxa"/>
            <w:vAlign w:val="bottom"/>
          </w:tcPr>
          <w:p>
            <w:pPr>
              <w:spacing w:after="0"/>
              <w:rPr>
                <w:sz w:val="1"/>
                <w:szCs w:val="1"/>
                <w:color w:val="auto"/>
              </w:rPr>
            </w:pPr>
          </w:p>
        </w:tc>
      </w:tr>
      <w:tr>
        <w:trPr>
          <w:trHeight w:val="137"/>
        </w:trPr>
        <w:tc>
          <w:tcPr>
            <w:tcW w:w="22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Comprehensive loss attributable to</w:t>
            </w:r>
          </w:p>
        </w:tc>
        <w:tc>
          <w:tcPr>
            <w:tcW w:w="5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(18,724)</w:t>
            </w:r>
          </w:p>
        </w:tc>
        <w:tc>
          <w:tcPr>
            <w:tcW w:w="22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1,085</w:t>
            </w:r>
          </w:p>
        </w:tc>
        <w:tc>
          <w:tcPr>
            <w:tcW w:w="3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(17,639)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(33,534)</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1,085</w:t>
            </w:r>
          </w:p>
        </w:tc>
        <w:tc>
          <w:tcPr>
            <w:tcW w:w="3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(32,449)</w:t>
            </w:r>
          </w:p>
        </w:tc>
        <w:tc>
          <w:tcPr>
            <w:tcW w:w="0" w:type="dxa"/>
            <w:vAlign w:val="bottom"/>
          </w:tcPr>
          <w:p>
            <w:pPr>
              <w:spacing w:after="0"/>
              <w:rPr>
                <w:sz w:val="1"/>
                <w:szCs w:val="1"/>
                <w:color w:val="auto"/>
              </w:rPr>
            </w:pPr>
          </w:p>
        </w:tc>
      </w:tr>
      <w:tr>
        <w:trPr>
          <w:trHeight w:val="188"/>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Telos Corporation</w:t>
            </w:r>
          </w:p>
        </w:tc>
        <w:tc>
          <w:tcPr>
            <w:tcW w:w="5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June 30, 2021</w:t>
            </w:r>
          </w:p>
        </w:tc>
        <w:tc>
          <w:tcPr>
            <w:tcW w:w="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r>
      <w:tr>
        <w:trPr>
          <w:trHeight w:val="222"/>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ind w:right="291"/>
              <w:spacing w:after="0"/>
              <w:rPr>
                <w:sz w:val="20"/>
                <w:szCs w:val="20"/>
                <w:color w:val="auto"/>
              </w:rPr>
            </w:pPr>
            <w:r>
              <w:rPr>
                <w:rFonts w:ascii="Arial" w:cs="Arial" w:eastAsia="Arial" w:hAnsi="Arial"/>
                <w:sz w:val="18"/>
                <w:szCs w:val="18"/>
                <w:b w:val="1"/>
                <w:bCs w:val="1"/>
                <w:color w:val="auto"/>
                <w:w w:val="94"/>
              </w:rPr>
              <w:t>Previously Reported</w:t>
            </w:r>
          </w:p>
        </w:tc>
        <w:tc>
          <w:tcPr>
            <w:tcW w:w="340" w:type="dxa"/>
            <w:vAlign w:val="bottom"/>
          </w:tcPr>
          <w:p>
            <w:pPr>
              <w:spacing w:after="0"/>
              <w:rPr>
                <w:sz w:val="19"/>
                <w:szCs w:val="19"/>
                <w:color w:val="auto"/>
              </w:rPr>
            </w:pPr>
          </w:p>
        </w:tc>
        <w:tc>
          <w:tcPr>
            <w:tcW w:w="1960" w:type="dxa"/>
            <w:vAlign w:val="bottom"/>
          </w:tcPr>
          <w:p>
            <w:pPr>
              <w:jc w:val="right"/>
              <w:ind w:right="391"/>
              <w:spacing w:after="0"/>
              <w:rPr>
                <w:sz w:val="20"/>
                <w:szCs w:val="20"/>
                <w:color w:val="auto"/>
              </w:rPr>
            </w:pPr>
            <w:r>
              <w:rPr>
                <w:rFonts w:ascii="Arial" w:cs="Arial" w:eastAsia="Arial" w:hAnsi="Arial"/>
                <w:sz w:val="18"/>
                <w:szCs w:val="18"/>
                <w:b w:val="1"/>
                <w:bCs w:val="1"/>
                <w:color w:val="auto"/>
              </w:rPr>
              <w:t>Error Correction</w:t>
            </w:r>
          </w:p>
        </w:tc>
        <w:tc>
          <w:tcPr>
            <w:tcW w:w="440" w:type="dxa"/>
            <w:vAlign w:val="bottom"/>
          </w:tcPr>
          <w:p>
            <w:pPr>
              <w:spacing w:after="0"/>
              <w:rPr>
                <w:sz w:val="19"/>
                <w:szCs w:val="19"/>
                <w:color w:val="auto"/>
              </w:rPr>
            </w:pPr>
          </w:p>
        </w:tc>
        <w:tc>
          <w:tcPr>
            <w:tcW w:w="1860" w:type="dxa"/>
            <w:vAlign w:val="bottom"/>
          </w:tcPr>
          <w:p>
            <w:pPr>
              <w:jc w:val="right"/>
              <w:ind w:right="551"/>
              <w:spacing w:after="0"/>
              <w:rPr>
                <w:sz w:val="20"/>
                <w:szCs w:val="20"/>
                <w:color w:val="auto"/>
              </w:rPr>
            </w:pPr>
            <w:r>
              <w:rPr>
                <w:rFonts w:ascii="Arial" w:cs="Arial" w:eastAsia="Arial" w:hAnsi="Arial"/>
                <w:sz w:val="18"/>
                <w:szCs w:val="18"/>
                <w:b w:val="1"/>
                <w:bCs w:val="1"/>
                <w:color w:val="auto"/>
              </w:rPr>
              <w:t>As Adjusted</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Condensed Consolidated Balance Sheet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Accounts receivable, net of reserve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39,412</w:t>
            </w:r>
          </w:p>
        </w:tc>
        <w:tc>
          <w:tcPr>
            <w:tcW w:w="3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1,085</w:t>
            </w:r>
          </w:p>
        </w:tc>
        <w:tc>
          <w:tcPr>
            <w:tcW w:w="4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40,497</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178,403</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179,488</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220,094</w:t>
            </w:r>
          </w:p>
        </w:tc>
        <w:tc>
          <w:tcPr>
            <w:tcW w:w="340" w:type="dxa"/>
            <w:vAlign w:val="bottom"/>
          </w:tcPr>
          <w:p>
            <w:pPr>
              <w:spacing w:after="0"/>
              <w:rPr>
                <w:sz w:val="19"/>
                <w:szCs w:val="19"/>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1,085</w:t>
            </w: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221,179</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(177,350)</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(176,265)</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164,700</w:t>
            </w:r>
          </w:p>
        </w:tc>
        <w:tc>
          <w:tcPr>
            <w:tcW w:w="340" w:type="dxa"/>
            <w:vAlign w:val="bottom"/>
          </w:tcPr>
          <w:p>
            <w:pPr>
              <w:spacing w:after="0"/>
              <w:rPr>
                <w:sz w:val="19"/>
                <w:szCs w:val="19"/>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1,085</w:t>
            </w: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165,785</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220,094</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221,179</w:t>
            </w: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7"/>
          </w:tcPr>
          <w:p>
            <w:pPr>
              <w:jc w:val="center"/>
              <w:ind w:left="218"/>
              <w:spacing w:after="0"/>
              <w:rPr>
                <w:sz w:val="20"/>
                <w:szCs w:val="20"/>
                <w:color w:val="auto"/>
              </w:rPr>
            </w:pPr>
            <w:r>
              <w:rPr>
                <w:rFonts w:ascii="Arial" w:cs="Arial" w:eastAsia="Arial" w:hAnsi="Arial"/>
                <w:sz w:val="18"/>
                <w:szCs w:val="18"/>
                <w:b w:val="1"/>
                <w:bCs w:val="1"/>
                <w:color w:val="auto"/>
                <w:w w:val="89"/>
              </w:rPr>
              <w:t>Six Months Ended June 30, 2021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40" w:type="dxa"/>
            <w:vAlign w:val="bottom"/>
            <w:gridSpan w:val="3"/>
          </w:tcPr>
          <w:p>
            <w:pPr>
              <w:jc w:val="right"/>
              <w:ind w:right="358"/>
              <w:spacing w:after="0"/>
              <w:rPr>
                <w:sz w:val="20"/>
                <w:szCs w:val="20"/>
                <w:color w:val="auto"/>
              </w:rPr>
            </w:pPr>
            <w:r>
              <w:rPr>
                <w:rFonts w:ascii="Arial" w:cs="Arial" w:eastAsia="Arial" w:hAnsi="Arial"/>
                <w:sz w:val="18"/>
                <w:szCs w:val="18"/>
                <w:b w:val="1"/>
                <w:bCs w:val="1"/>
                <w:color w:val="auto"/>
              </w:rPr>
              <w:t>Previously Reported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left="45"/>
              <w:spacing w:after="0"/>
              <w:rPr>
                <w:sz w:val="20"/>
                <w:szCs w:val="20"/>
                <w:color w:val="auto"/>
              </w:rPr>
            </w:pPr>
            <w:r>
              <w:rPr>
                <w:rFonts w:ascii="Arial" w:cs="Arial" w:eastAsia="Arial" w:hAnsi="Arial"/>
                <w:sz w:val="18"/>
                <w:szCs w:val="18"/>
                <w:b w:val="1"/>
                <w:bCs w:val="1"/>
                <w:color w:val="auto"/>
                <w:w w:val="94"/>
              </w:rPr>
              <w:t>Error Correction</w:t>
            </w:r>
          </w:p>
        </w:tc>
        <w:tc>
          <w:tcPr>
            <w:tcW w:w="2760" w:type="dxa"/>
            <w:vAlign w:val="bottom"/>
            <w:gridSpan w:val="3"/>
          </w:tcPr>
          <w:p>
            <w:pPr>
              <w:jc w:val="right"/>
              <w:ind w:right="559"/>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28"/>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88"/>
              </w:rPr>
              <w:t>Condensed Consolidated Statement of Cash Flows</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6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(33,507)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gridSpan w:val="2"/>
          </w:tcPr>
          <w:p>
            <w:pPr>
              <w:jc w:val="center"/>
              <w:ind w:right="645"/>
              <w:spacing w:after="0"/>
              <w:rPr>
                <w:sz w:val="20"/>
                <w:szCs w:val="20"/>
                <w:color w:val="auto"/>
              </w:rPr>
            </w:pPr>
            <w:r>
              <w:rPr>
                <w:rFonts w:ascii="Arial" w:cs="Arial" w:eastAsia="Arial" w:hAnsi="Arial"/>
                <w:sz w:val="18"/>
                <w:szCs w:val="18"/>
                <w:color w:val="auto"/>
                <w:w w:val="88"/>
              </w:rPr>
              <w:t>1,085</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(32,422)</w:t>
            </w:r>
          </w:p>
        </w:tc>
        <w:tc>
          <w:tcPr>
            <w:tcW w:w="0" w:type="dxa"/>
            <w:vAlign w:val="bottom"/>
          </w:tcPr>
          <w:p>
            <w:pPr>
              <w:spacing w:after="0"/>
              <w:rPr>
                <w:sz w:val="1"/>
                <w:szCs w:val="1"/>
                <w:color w:val="auto"/>
              </w:rPr>
            </w:pPr>
          </w:p>
        </w:tc>
      </w:tr>
      <w:tr>
        <w:trPr>
          <w:trHeight w:val="228"/>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Changes in other operating assets and liabilities</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(10,074)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645"/>
              <w:spacing w:after="0"/>
              <w:rPr>
                <w:sz w:val="20"/>
                <w:szCs w:val="20"/>
                <w:color w:val="auto"/>
              </w:rPr>
            </w:pPr>
            <w:r>
              <w:rPr>
                <w:rFonts w:ascii="Arial" w:cs="Arial" w:eastAsia="Arial" w:hAnsi="Arial"/>
                <w:sz w:val="18"/>
                <w:szCs w:val="18"/>
                <w:color w:val="auto"/>
                <w:w w:val="88"/>
              </w:rPr>
              <w:t>1,351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28"/>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Cash used in operating activities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(5,790)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gridSpan w:val="2"/>
          </w:tcPr>
          <w:p>
            <w:pPr>
              <w:jc w:val="center"/>
              <w:ind w:right="645"/>
              <w:spacing w:after="0"/>
              <w:rPr>
                <w:sz w:val="20"/>
                <w:szCs w:val="20"/>
                <w:color w:val="auto"/>
              </w:rPr>
            </w:pPr>
            <w:r>
              <w:rPr>
                <w:rFonts w:ascii="Arial" w:cs="Arial" w:eastAsia="Arial" w:hAnsi="Arial"/>
                <w:sz w:val="18"/>
                <w:szCs w:val="18"/>
                <w:color w:val="auto"/>
                <w:w w:val="88"/>
              </w:rPr>
              <w:t>2,436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174"/>
        </w:trPr>
        <w:tc>
          <w:tcPr>
            <w:tcW w:w="518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8"/>
                <w:szCs w:val="18"/>
                <w:color w:val="auto"/>
              </w:rPr>
              <w:t>Distribution to Telos ID Class B member - non-controlling</w:t>
            </w:r>
          </w:p>
        </w:tc>
        <w:tc>
          <w:tcPr>
            <w:tcW w:w="4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jc w:val="center"/>
              <w:ind w:right="645"/>
              <w:spacing w:after="0"/>
              <w:rPr>
                <w:sz w:val="20"/>
                <w:szCs w:val="20"/>
                <w:color w:val="auto"/>
              </w:rPr>
            </w:pPr>
            <w:r>
              <w:rPr>
                <w:rFonts w:ascii="Arial" w:cs="Arial" w:eastAsia="Arial" w:hAnsi="Arial"/>
                <w:sz w:val="18"/>
                <w:szCs w:val="18"/>
                <w:color w:val="auto"/>
                <w:w w:val="91"/>
              </w:rPr>
              <w:t>(2,436)</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w w:val="96"/>
              </w:rPr>
              <w:t>Cash provided by financing activities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98"/>
              <w:spacing w:after="0"/>
              <w:rPr>
                <w:sz w:val="20"/>
                <w:szCs w:val="20"/>
                <w:color w:val="auto"/>
              </w:rPr>
            </w:pPr>
            <w:r>
              <w:rPr>
                <w:rFonts w:ascii="Arial" w:cs="Arial" w:eastAsia="Arial" w:hAnsi="Arial"/>
                <w:sz w:val="18"/>
                <w:szCs w:val="18"/>
                <w:color w:val="auto"/>
              </w:rPr>
              <w:t>35,474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gridSpan w:val="2"/>
          </w:tcPr>
          <w:p>
            <w:pPr>
              <w:jc w:val="center"/>
              <w:ind w:right="645"/>
              <w:spacing w:after="0"/>
              <w:rPr>
                <w:sz w:val="20"/>
                <w:szCs w:val="20"/>
                <w:color w:val="auto"/>
              </w:rPr>
            </w:pPr>
            <w:r>
              <w:rPr>
                <w:rFonts w:ascii="Arial" w:cs="Arial" w:eastAsia="Arial" w:hAnsi="Arial"/>
                <w:sz w:val="18"/>
                <w:szCs w:val="18"/>
                <w:color w:val="auto"/>
                <w:w w:val="91"/>
              </w:rPr>
              <w:t>(2,436)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33,038</w:t>
            </w:r>
          </w:p>
        </w:tc>
        <w:tc>
          <w:tcPr>
            <w:tcW w:w="0" w:type="dxa"/>
            <w:vAlign w:val="bottom"/>
          </w:tcPr>
          <w:p>
            <w:pPr>
              <w:spacing w:after="0"/>
              <w:rPr>
                <w:sz w:val="1"/>
                <w:szCs w:val="1"/>
                <w:color w:val="auto"/>
              </w:rPr>
            </w:pPr>
          </w:p>
        </w:tc>
      </w:tr>
      <w:tr>
        <w:trPr>
          <w:trHeight w:val="503"/>
        </w:trPr>
        <w:tc>
          <w:tcPr>
            <w:tcW w:w="22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 2021</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4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6"/>
              </w:rPr>
              <w:t>Previously Reported</w:t>
            </w:r>
          </w:p>
        </w:tc>
        <w:tc>
          <w:tcPr>
            <w:tcW w:w="220" w:type="dxa"/>
            <w:vAlign w:val="bottom"/>
          </w:tcPr>
          <w:p>
            <w:pPr>
              <w:spacing w:after="0"/>
              <w:rPr>
                <w:sz w:val="16"/>
                <w:szCs w:val="16"/>
                <w:color w:val="auto"/>
              </w:rPr>
            </w:pPr>
          </w:p>
        </w:tc>
        <w:tc>
          <w:tcPr>
            <w:tcW w:w="130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w w:val="95"/>
              </w:rPr>
              <w:t>Error Correction</w:t>
            </w:r>
          </w:p>
        </w:tc>
        <w:tc>
          <w:tcPr>
            <w:tcW w:w="400" w:type="dxa"/>
            <w:vAlign w:val="bottom"/>
          </w:tcPr>
          <w:p>
            <w:pPr>
              <w:spacing w:after="0"/>
              <w:rPr>
                <w:sz w:val="16"/>
                <w:szCs w:val="16"/>
                <w:color w:val="auto"/>
              </w:rPr>
            </w:pPr>
          </w:p>
        </w:tc>
        <w:tc>
          <w:tcPr>
            <w:tcW w:w="1120" w:type="dxa"/>
            <w:vAlign w:val="bottom"/>
          </w:tcPr>
          <w:p>
            <w:pPr>
              <w:jc w:val="right"/>
              <w:ind w:right="258"/>
              <w:spacing w:after="0"/>
              <w:rPr>
                <w:sz w:val="20"/>
                <w:szCs w:val="20"/>
                <w:color w:val="auto"/>
              </w:rPr>
            </w:pPr>
            <w:r>
              <w:rPr>
                <w:rFonts w:ascii="Arial" w:cs="Arial" w:eastAsia="Arial" w:hAnsi="Arial"/>
                <w:sz w:val="14"/>
                <w:szCs w:val="14"/>
                <w:b w:val="1"/>
                <w:bCs w:val="1"/>
                <w:color w:val="auto"/>
                <w:w w:val="92"/>
              </w:rPr>
              <w:t>As Adjusted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w w:val="95"/>
              </w:rPr>
              <w:t>Previously Reported</w:t>
            </w:r>
          </w:p>
        </w:tc>
        <w:tc>
          <w:tcPr>
            <w:tcW w:w="220" w:type="dxa"/>
            <w:vAlign w:val="bottom"/>
          </w:tcPr>
          <w:p>
            <w:pPr>
              <w:spacing w:after="0"/>
              <w:rPr>
                <w:sz w:val="16"/>
                <w:szCs w:val="16"/>
                <w:color w:val="auto"/>
              </w:rPr>
            </w:pPr>
          </w:p>
        </w:tc>
        <w:tc>
          <w:tcPr>
            <w:tcW w:w="1260" w:type="dxa"/>
            <w:vAlign w:val="bottom"/>
          </w:tcPr>
          <w:p>
            <w:pPr>
              <w:jc w:val="right"/>
              <w:ind w:right="125"/>
              <w:spacing w:after="0"/>
              <w:rPr>
                <w:sz w:val="20"/>
                <w:szCs w:val="20"/>
                <w:color w:val="auto"/>
              </w:rPr>
            </w:pPr>
            <w:r>
              <w:rPr>
                <w:rFonts w:ascii="Arial" w:cs="Arial" w:eastAsia="Arial" w:hAnsi="Arial"/>
                <w:sz w:val="14"/>
                <w:szCs w:val="14"/>
                <w:b w:val="1"/>
                <w:bCs w:val="1"/>
                <w:color w:val="auto"/>
                <w:w w:val="95"/>
              </w:rPr>
              <w:t>Error Correction</w:t>
            </w:r>
          </w:p>
        </w:tc>
        <w:tc>
          <w:tcPr>
            <w:tcW w:w="34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229"/>
        </w:trPr>
        <w:tc>
          <w:tcPr>
            <w:tcW w:w="558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Condensed Consolidated Statement of Changes in Stockholders' Equity</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(18,729)</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1"/>
              <w:spacing w:after="0"/>
              <w:rPr>
                <w:sz w:val="20"/>
                <w:szCs w:val="20"/>
                <w:color w:val="auto"/>
              </w:rPr>
            </w:pPr>
            <w:r>
              <w:rPr>
                <w:rFonts w:ascii="Arial" w:cs="Arial" w:eastAsia="Arial" w:hAnsi="Arial"/>
                <w:sz w:val="14"/>
                <w:szCs w:val="14"/>
                <w:color w:val="auto"/>
              </w:rPr>
              <w:t>1,085</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(17,644)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
              <w:spacing w:after="0"/>
              <w:rPr>
                <w:sz w:val="20"/>
                <w:szCs w:val="20"/>
                <w:color w:val="auto"/>
              </w:rPr>
            </w:pPr>
            <w:r>
              <w:rPr>
                <w:rFonts w:ascii="Arial" w:cs="Arial" w:eastAsia="Arial" w:hAnsi="Arial"/>
                <w:sz w:val="14"/>
                <w:szCs w:val="14"/>
                <w:color w:val="auto"/>
              </w:rPr>
              <w:t>(33,507)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
              <w:spacing w:after="0"/>
              <w:rPr>
                <w:sz w:val="20"/>
                <w:szCs w:val="20"/>
                <w:color w:val="auto"/>
              </w:rPr>
            </w:pPr>
            <w:r>
              <w:rPr>
                <w:rFonts w:ascii="Arial" w:cs="Arial" w:eastAsia="Arial" w:hAnsi="Arial"/>
                <w:sz w:val="14"/>
                <w:szCs w:val="14"/>
                <w:color w:val="auto"/>
              </w:rPr>
              <w:t>1,085</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(32,422)</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6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(177,350)</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1,085</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(176,265)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(177,350)</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1,085</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(176,265)</w:t>
            </w:r>
          </w:p>
        </w:tc>
        <w:tc>
          <w:tcPr>
            <w:tcW w:w="0" w:type="dxa"/>
            <w:vAlign w:val="bottom"/>
          </w:tcPr>
          <w:p>
            <w:pPr>
              <w:spacing w:after="0"/>
              <w:rPr>
                <w:sz w:val="1"/>
                <w:szCs w:val="1"/>
                <w:color w:val="auto"/>
              </w:rPr>
            </w:pPr>
          </w:p>
        </w:tc>
      </w:tr>
      <w:tr>
        <w:trPr>
          <w:trHeight w:val="181"/>
        </w:trPr>
        <w:tc>
          <w:tcPr>
            <w:tcW w:w="220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66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164,700</w:t>
            </w:r>
          </w:p>
        </w:tc>
        <w:tc>
          <w:tcPr>
            <w:tcW w:w="220" w:type="dxa"/>
            <w:vAlign w:val="bottom"/>
          </w:tcPr>
          <w:p>
            <w:pPr>
              <w:spacing w:after="0"/>
              <w:rPr>
                <w:sz w:val="15"/>
                <w:szCs w:val="15"/>
                <w:color w:val="auto"/>
              </w:rPr>
            </w:pPr>
          </w:p>
        </w:tc>
        <w:tc>
          <w:tcPr>
            <w:tcW w:w="1300" w:type="dxa"/>
            <w:vAlign w:val="bottom"/>
            <w:gridSpan w:val="2"/>
          </w:tcPr>
          <w:p>
            <w:pPr>
              <w:jc w:val="right"/>
              <w:ind w:right="31"/>
              <w:spacing w:after="0"/>
              <w:rPr>
                <w:sz w:val="20"/>
                <w:szCs w:val="20"/>
                <w:color w:val="auto"/>
              </w:rPr>
            </w:pPr>
            <w:r>
              <w:rPr>
                <w:rFonts w:ascii="Arial" w:cs="Arial" w:eastAsia="Arial" w:hAnsi="Arial"/>
                <w:sz w:val="14"/>
                <w:szCs w:val="14"/>
                <w:color w:val="auto"/>
              </w:rPr>
              <w:t>1,085</w:t>
            </w: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165,785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45"/>
              <w:spacing w:after="0"/>
              <w:rPr>
                <w:sz w:val="20"/>
                <w:szCs w:val="20"/>
                <w:color w:val="auto"/>
              </w:rPr>
            </w:pPr>
            <w:r>
              <w:rPr>
                <w:rFonts w:ascii="Arial" w:cs="Arial" w:eastAsia="Arial" w:hAnsi="Arial"/>
                <w:sz w:val="14"/>
                <w:szCs w:val="14"/>
                <w:color w:val="auto"/>
              </w:rPr>
              <w:t>164,700</w:t>
            </w:r>
          </w:p>
        </w:tc>
        <w:tc>
          <w:tcPr>
            <w:tcW w:w="22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Arial" w:cs="Arial" w:eastAsia="Arial" w:hAnsi="Arial"/>
                <w:sz w:val="14"/>
                <w:szCs w:val="14"/>
                <w:color w:val="auto"/>
              </w:rPr>
              <w:t>1,085</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165,785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Adjustments to the period ended September 30,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September 30, 2021</w:t>
            </w:r>
          </w:p>
        </w:tc>
        <w:tc>
          <w:tcPr>
            <w:tcW w:w="500" w:type="dxa"/>
            <w:vAlign w:val="bottom"/>
          </w:tcPr>
          <w:p>
            <w:pPr>
              <w:spacing w:after="0"/>
              <w:rPr>
                <w:sz w:val="16"/>
                <w:szCs w:val="16"/>
                <w:color w:val="auto"/>
              </w:rPr>
            </w:pPr>
          </w:p>
        </w:tc>
        <w:tc>
          <w:tcPr>
            <w:tcW w:w="3960" w:type="dxa"/>
            <w:vAlign w:val="bottom"/>
            <w:gridSpan w:val="5"/>
          </w:tcPr>
          <w:p>
            <w:pPr>
              <w:jc w:val="right"/>
              <w:ind w:right="928"/>
              <w:spacing w:after="0"/>
              <w:rPr>
                <w:sz w:val="20"/>
                <w:szCs w:val="20"/>
                <w:color w:val="auto"/>
              </w:rPr>
            </w:pPr>
            <w:r>
              <w:rPr>
                <w:rFonts w:ascii="Arial" w:cs="Arial" w:eastAsia="Arial" w:hAnsi="Arial"/>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660" w:type="dxa"/>
            <w:vAlign w:val="bottom"/>
            <w:tcBorders>
              <w:top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w w:val="96"/>
              </w:rPr>
              <w:t>Previously Reported</w:t>
            </w:r>
          </w:p>
        </w:tc>
        <w:tc>
          <w:tcPr>
            <w:tcW w:w="1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7"/>
              </w:rPr>
              <w:t>Error Correction</w:t>
            </w: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As Adjusted</w:t>
            </w:r>
          </w:p>
        </w:tc>
        <w:tc>
          <w:tcPr>
            <w:tcW w:w="8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6"/>
              </w:rPr>
              <w:t>Previously Reported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Error Correction</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9"/>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88"/>
              </w:rPr>
              <w:t>Condensed Consolidated Statement of Operations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Revenue - Services</w:t>
            </w:r>
          </w:p>
        </w:tc>
        <w:tc>
          <w:tcPr>
            <w:tcW w:w="520" w:type="dxa"/>
            <w:vAlign w:val="bottom"/>
          </w:tcPr>
          <w:p>
            <w:pPr>
              <w:spacing w:after="0"/>
              <w:rPr>
                <w:sz w:val="16"/>
                <w:szCs w:val="16"/>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63,690</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(735)</w:t>
            </w:r>
          </w:p>
        </w:tc>
        <w:tc>
          <w:tcPr>
            <w:tcW w:w="3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62,955</w:t>
            </w:r>
          </w:p>
        </w:tc>
        <w:tc>
          <w:tcPr>
            <w:tcW w:w="8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163,366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650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164,016</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 Products</w:t>
            </w: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6,376</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6,026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15,017</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14,367</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Revenue</w:t>
            </w:r>
          </w:p>
        </w:tc>
        <w:tc>
          <w:tcPr>
            <w:tcW w:w="520" w:type="dxa"/>
            <w:vAlign w:val="bottom"/>
          </w:tcPr>
          <w:p>
            <w:pPr>
              <w:spacing w:after="0"/>
              <w:rPr>
                <w:sz w:val="16"/>
                <w:szCs w:val="16"/>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70,066</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(1,085)</w:t>
            </w:r>
          </w:p>
        </w:tc>
        <w:tc>
          <w:tcPr>
            <w:tcW w:w="3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68,981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178,383</w:t>
            </w:r>
          </w:p>
        </w:tc>
        <w:tc>
          <w:tcPr>
            <w:tcW w:w="18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178,383</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Services</w:t>
            </w: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40,031</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40,137</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109,134</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108,236</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520" w:type="dxa"/>
            <w:vAlign w:val="bottom"/>
          </w:tcPr>
          <w:p>
            <w:pPr>
              <w:spacing w:after="0"/>
              <w:rPr>
                <w:sz w:val="16"/>
                <w:szCs w:val="16"/>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43,998</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3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44,104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117,400</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(898)</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116,502</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5,396</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4,863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14,783</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14,250</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520" w:type="dxa"/>
            <w:vAlign w:val="bottom"/>
          </w:tcPr>
          <w:p>
            <w:pPr>
              <w:spacing w:after="0"/>
              <w:rPr>
                <w:sz w:val="16"/>
                <w:szCs w:val="16"/>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20,562</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(823)</w:t>
            </w:r>
          </w:p>
        </w:tc>
        <w:tc>
          <w:tcPr>
            <w:tcW w:w="3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19,739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69,271</w:t>
            </w:r>
          </w:p>
        </w:tc>
        <w:tc>
          <w:tcPr>
            <w:tcW w:w="18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69,452</w:t>
            </w:r>
          </w:p>
        </w:tc>
        <w:tc>
          <w:tcPr>
            <w:tcW w:w="0" w:type="dxa"/>
            <w:vAlign w:val="bottom"/>
          </w:tcPr>
          <w:p>
            <w:pPr>
              <w:spacing w:after="0"/>
              <w:rPr>
                <w:sz w:val="1"/>
                <w:szCs w:val="1"/>
                <w:color w:val="auto"/>
              </w:rPr>
            </w:pPr>
          </w:p>
        </w:tc>
      </w:tr>
      <w:tr>
        <w:trPr>
          <w:trHeight w:val="137"/>
        </w:trPr>
        <w:tc>
          <w:tcPr>
            <w:tcW w:w="22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Selling, general and administrative</w:t>
            </w:r>
          </w:p>
        </w:tc>
        <w:tc>
          <w:tcPr>
            <w:tcW w:w="5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31,321</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(1,356)</w:t>
            </w:r>
          </w:p>
        </w:tc>
        <w:tc>
          <w:tcPr>
            <w:tcW w:w="3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29,965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98,287</w:t>
            </w:r>
          </w:p>
        </w:tc>
        <w:tc>
          <w:tcPr>
            <w:tcW w:w="1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97,935</w:t>
            </w:r>
          </w:p>
        </w:tc>
        <w:tc>
          <w:tcPr>
            <w:tcW w:w="0" w:type="dxa"/>
            <w:vAlign w:val="bottom"/>
          </w:tcPr>
          <w:p>
            <w:pPr>
              <w:spacing w:after="0"/>
              <w:rPr>
                <w:sz w:val="1"/>
                <w:szCs w:val="1"/>
                <w:color w:val="auto"/>
              </w:rPr>
            </w:pPr>
          </w:p>
        </w:tc>
      </w:tr>
      <w:tr>
        <w:trPr>
          <w:trHeight w:val="188"/>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5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52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(5,253)</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165</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(5,088)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(37,304)</w:t>
            </w:r>
          </w:p>
        </w:tc>
        <w:tc>
          <w:tcPr>
            <w:tcW w:w="18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1,250</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(36,054)</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(5,428)</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(38,888)</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(37,638)</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(5,387)</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165</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(38,894)</w:t>
            </w:r>
          </w:p>
        </w:tc>
        <w:tc>
          <w:tcPr>
            <w:tcW w:w="18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1,250</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(37,644)</w:t>
            </w:r>
          </w:p>
        </w:tc>
        <w:tc>
          <w:tcPr>
            <w:tcW w:w="0" w:type="dxa"/>
            <w:vAlign w:val="bottom"/>
          </w:tcPr>
          <w:p>
            <w:pPr>
              <w:spacing w:after="0"/>
              <w:rPr>
                <w:sz w:val="1"/>
                <w:szCs w:val="1"/>
                <w:color w:val="auto"/>
              </w:rPr>
            </w:pPr>
          </w:p>
        </w:tc>
      </w:tr>
      <w:tr>
        <w:trPr>
          <w:trHeight w:val="137"/>
        </w:trPr>
        <w:tc>
          <w:tcPr>
            <w:tcW w:w="22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Net loss attributable to Telos</w:t>
            </w:r>
          </w:p>
        </w:tc>
        <w:tc>
          <w:tcPr>
            <w:tcW w:w="5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(5,387)</w:t>
            </w: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165</w:t>
            </w:r>
          </w:p>
        </w:tc>
        <w:tc>
          <w:tcPr>
            <w:tcW w:w="3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(38,894)</w:t>
            </w:r>
          </w:p>
        </w:tc>
        <w:tc>
          <w:tcPr>
            <w:tcW w:w="1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(37,644)</w:t>
            </w:r>
          </w:p>
        </w:tc>
        <w:tc>
          <w:tcPr>
            <w:tcW w:w="0" w:type="dxa"/>
            <w:vAlign w:val="bottom"/>
          </w:tcPr>
          <w:p>
            <w:pPr>
              <w:spacing w:after="0"/>
              <w:rPr>
                <w:sz w:val="1"/>
                <w:szCs w:val="1"/>
                <w:color w:val="auto"/>
              </w:rPr>
            </w:pPr>
          </w:p>
        </w:tc>
      </w:tr>
      <w:tr>
        <w:trPr>
          <w:trHeight w:val="188"/>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Corporation</w:t>
            </w:r>
          </w:p>
        </w:tc>
        <w:tc>
          <w:tcPr>
            <w:tcW w:w="5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Net loss per share attributable to</w:t>
            </w: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Telos Corporation</w:t>
            </w: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(0.08)</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81"/>
        </w:trPr>
        <w:tc>
          <w:tcPr>
            <w:tcW w:w="2200" w:type="dxa"/>
            <w:vAlign w:val="bottom"/>
          </w:tcPr>
          <w:p>
            <w:pPr>
              <w:ind w:left="340"/>
              <w:spacing w:after="0"/>
              <w:rPr>
                <w:sz w:val="20"/>
                <w:szCs w:val="20"/>
                <w:color w:val="auto"/>
              </w:rPr>
            </w:pPr>
            <w:r>
              <w:rPr>
                <w:rFonts w:ascii="Arial" w:cs="Arial" w:eastAsia="Arial" w:hAnsi="Arial"/>
                <w:sz w:val="14"/>
                <w:szCs w:val="14"/>
                <w:color w:val="auto"/>
              </w:rPr>
              <w:t>Diluted</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(0.08)</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(0.59)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 2021</w:t>
            </w:r>
          </w:p>
        </w:tc>
        <w:tc>
          <w:tcPr>
            <w:tcW w:w="500" w:type="dxa"/>
            <w:vAlign w:val="bottom"/>
          </w:tcPr>
          <w:p>
            <w:pPr>
              <w:spacing w:after="0"/>
              <w:rPr>
                <w:sz w:val="16"/>
                <w:szCs w:val="16"/>
                <w:color w:val="auto"/>
              </w:rPr>
            </w:pPr>
          </w:p>
        </w:tc>
        <w:tc>
          <w:tcPr>
            <w:tcW w:w="3960" w:type="dxa"/>
            <w:vAlign w:val="bottom"/>
            <w:gridSpan w:val="5"/>
          </w:tcPr>
          <w:p>
            <w:pPr>
              <w:jc w:val="right"/>
              <w:ind w:right="928"/>
              <w:spacing w:after="0"/>
              <w:rPr>
                <w:sz w:val="20"/>
                <w:szCs w:val="20"/>
                <w:color w:val="auto"/>
              </w:rPr>
            </w:pPr>
            <w:r>
              <w:rPr>
                <w:rFonts w:ascii="Arial" w:cs="Arial" w:eastAsia="Arial" w:hAnsi="Arial"/>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9"/>
              </w:rPr>
              <w:t>Previously Reported</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Error Correction</w:t>
            </w:r>
          </w:p>
        </w:tc>
        <w:tc>
          <w:tcPr>
            <w:tcW w:w="3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As Adjusted</w:t>
            </w:r>
          </w:p>
        </w:tc>
        <w:tc>
          <w:tcPr>
            <w:tcW w:w="8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6"/>
              </w:rPr>
              <w:t>Previously Reported</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Error Correction</w:t>
            </w: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9"/>
        </w:trPr>
        <w:tc>
          <w:tcPr>
            <w:tcW w:w="51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w w:val="99"/>
              </w:rPr>
              <w:t>Condensed Consolidated Statement of Comprehensive Loss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ind w:left="440"/>
              <w:spacing w:after="0"/>
              <w:rPr>
                <w:sz w:val="20"/>
                <w:szCs w:val="20"/>
                <w:color w:val="auto"/>
              </w:rPr>
            </w:pPr>
            <w:r>
              <w:rPr>
                <w:rFonts w:ascii="Arial" w:cs="Arial" w:eastAsia="Arial" w:hAnsi="Arial"/>
                <w:sz w:val="14"/>
                <w:szCs w:val="14"/>
                <w:color w:val="auto"/>
              </w:rPr>
              <w:t>(5,387)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(5,222)</w:t>
            </w:r>
          </w:p>
        </w:tc>
        <w:tc>
          <w:tcPr>
            <w:tcW w:w="8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(38,894)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1,250</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(37,644)</w:t>
            </w:r>
          </w:p>
        </w:tc>
        <w:tc>
          <w:tcPr>
            <w:tcW w:w="0" w:type="dxa"/>
            <w:vAlign w:val="bottom"/>
          </w:tcPr>
          <w:p>
            <w:pPr>
              <w:spacing w:after="0"/>
              <w:rPr>
                <w:sz w:val="1"/>
                <w:szCs w:val="1"/>
                <w:color w:val="auto"/>
              </w:rPr>
            </w:pPr>
          </w:p>
        </w:tc>
      </w:tr>
      <w:tr>
        <w:trPr>
          <w:trHeight w:val="137"/>
        </w:trPr>
        <w:tc>
          <w:tcPr>
            <w:tcW w:w="22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Comprehensive loss attributable to</w:t>
            </w:r>
          </w:p>
        </w:tc>
        <w:tc>
          <w:tcPr>
            <w:tcW w:w="5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(5,400)</w:t>
            </w:r>
          </w:p>
        </w:tc>
        <w:tc>
          <w:tcPr>
            <w:tcW w:w="18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3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(5,235)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(38,934)</w:t>
            </w:r>
          </w:p>
        </w:tc>
        <w:tc>
          <w:tcPr>
            <w:tcW w:w="18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1,250</w:t>
            </w:r>
          </w:p>
        </w:tc>
        <w:tc>
          <w:tcPr>
            <w:tcW w:w="3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(37,684)</w:t>
            </w:r>
          </w:p>
        </w:tc>
        <w:tc>
          <w:tcPr>
            <w:tcW w:w="0" w:type="dxa"/>
            <w:vAlign w:val="bottom"/>
          </w:tcPr>
          <w:p>
            <w:pPr>
              <w:spacing w:after="0"/>
              <w:rPr>
                <w:sz w:val="1"/>
                <w:szCs w:val="1"/>
                <w:color w:val="auto"/>
              </w:rPr>
            </w:pPr>
          </w:p>
        </w:tc>
      </w:tr>
      <w:tr>
        <w:trPr>
          <w:trHeight w:val="188"/>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Telos Corporation</w:t>
            </w:r>
          </w:p>
        </w:tc>
        <w:tc>
          <w:tcPr>
            <w:tcW w:w="5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6"/>
              </w:rPr>
              <w:t>September 30, 2021</w:t>
            </w:r>
          </w:p>
        </w:tc>
        <w:tc>
          <w:tcPr>
            <w:tcW w:w="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r>
      <w:tr>
        <w:trPr>
          <w:trHeight w:val="222"/>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ind w:right="291"/>
              <w:spacing w:after="0"/>
              <w:rPr>
                <w:sz w:val="20"/>
                <w:szCs w:val="20"/>
                <w:color w:val="auto"/>
              </w:rPr>
            </w:pPr>
            <w:r>
              <w:rPr>
                <w:rFonts w:ascii="Arial" w:cs="Arial" w:eastAsia="Arial" w:hAnsi="Arial"/>
                <w:sz w:val="18"/>
                <w:szCs w:val="18"/>
                <w:b w:val="1"/>
                <w:bCs w:val="1"/>
                <w:color w:val="auto"/>
                <w:w w:val="94"/>
              </w:rPr>
              <w:t>Previously Reported</w:t>
            </w:r>
          </w:p>
        </w:tc>
        <w:tc>
          <w:tcPr>
            <w:tcW w:w="280" w:type="dxa"/>
            <w:vAlign w:val="bottom"/>
          </w:tcPr>
          <w:p>
            <w:pPr>
              <w:spacing w:after="0"/>
              <w:rPr>
                <w:sz w:val="19"/>
                <w:szCs w:val="19"/>
                <w:color w:val="auto"/>
              </w:rPr>
            </w:pPr>
          </w:p>
        </w:tc>
        <w:tc>
          <w:tcPr>
            <w:tcW w:w="2040" w:type="dxa"/>
            <w:vAlign w:val="bottom"/>
          </w:tcPr>
          <w:p>
            <w:pPr>
              <w:jc w:val="right"/>
              <w:ind w:right="411"/>
              <w:spacing w:after="0"/>
              <w:rPr>
                <w:sz w:val="20"/>
                <w:szCs w:val="20"/>
                <w:color w:val="auto"/>
              </w:rPr>
            </w:pPr>
            <w:r>
              <w:rPr>
                <w:rFonts w:ascii="Arial" w:cs="Arial" w:eastAsia="Arial" w:hAnsi="Arial"/>
                <w:sz w:val="18"/>
                <w:szCs w:val="18"/>
                <w:b w:val="1"/>
                <w:bCs w:val="1"/>
                <w:color w:val="auto"/>
              </w:rPr>
              <w:t>Error Correction</w:t>
            </w:r>
          </w:p>
        </w:tc>
        <w:tc>
          <w:tcPr>
            <w:tcW w:w="420" w:type="dxa"/>
            <w:vAlign w:val="bottom"/>
          </w:tcPr>
          <w:p>
            <w:pPr>
              <w:spacing w:after="0"/>
              <w:rPr>
                <w:sz w:val="19"/>
                <w:szCs w:val="19"/>
                <w:color w:val="auto"/>
              </w:rPr>
            </w:pPr>
          </w:p>
        </w:tc>
        <w:tc>
          <w:tcPr>
            <w:tcW w:w="1860" w:type="dxa"/>
            <w:vAlign w:val="bottom"/>
          </w:tcPr>
          <w:p>
            <w:pPr>
              <w:jc w:val="right"/>
              <w:ind w:right="551"/>
              <w:spacing w:after="0"/>
              <w:rPr>
                <w:sz w:val="20"/>
                <w:szCs w:val="20"/>
                <w:color w:val="auto"/>
              </w:rPr>
            </w:pPr>
            <w:r>
              <w:rPr>
                <w:rFonts w:ascii="Arial" w:cs="Arial" w:eastAsia="Arial" w:hAnsi="Arial"/>
                <w:sz w:val="18"/>
                <w:szCs w:val="18"/>
                <w:b w:val="1"/>
                <w:bCs w:val="1"/>
                <w:color w:val="auto"/>
              </w:rPr>
              <w:t>As Adjusted</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Condensed Consolidated Balance Sheet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Accounts receivable, net of reserve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49,759</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(1,085)</w:t>
            </w:r>
          </w:p>
        </w:tc>
        <w:tc>
          <w:tcPr>
            <w:tcW w:w="4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48,674</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192,300</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191,215</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16,642</w:t>
            </w:r>
          </w:p>
        </w:tc>
        <w:tc>
          <w:tcPr>
            <w:tcW w:w="280" w:type="dxa"/>
            <w:vAlign w:val="bottom"/>
          </w:tcPr>
          <w:p>
            <w:pPr>
              <w:spacing w:after="0"/>
              <w:rPr>
                <w:sz w:val="19"/>
                <w:szCs w:val="19"/>
                <w:color w:val="auto"/>
              </w:rPr>
            </w:pP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1,280</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17,922</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17,102</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242,667</w:t>
            </w: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(552)</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242,115</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35,102</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34,204</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54,410</w:t>
            </w: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(898)</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53,512</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71,176</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70,278</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354,119</w:t>
            </w:r>
          </w:p>
        </w:tc>
        <w:tc>
          <w:tcPr>
            <w:tcW w:w="280" w:type="dxa"/>
            <w:vAlign w:val="bottom"/>
          </w:tcPr>
          <w:p>
            <w:pPr>
              <w:spacing w:after="0"/>
              <w:rPr>
                <w:sz w:val="19"/>
                <w:szCs w:val="19"/>
                <w:color w:val="auto"/>
              </w:rPr>
            </w:pP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354,300</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(182,737)</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(182,572)</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171,491</w:t>
            </w:r>
          </w:p>
        </w:tc>
        <w:tc>
          <w:tcPr>
            <w:tcW w:w="280" w:type="dxa"/>
            <w:vAlign w:val="bottom"/>
          </w:tcPr>
          <w:p>
            <w:pPr>
              <w:spacing w:after="0"/>
              <w:rPr>
                <w:sz w:val="19"/>
                <w:szCs w:val="19"/>
                <w:color w:val="auto"/>
              </w:rPr>
            </w:pP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346</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171,837</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242,667</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242,115</w:t>
            </w:r>
          </w:p>
        </w:tc>
      </w:tr>
      <w:tr>
        <w:trPr>
          <w:trHeight w:val="859"/>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right"/>
              <w:ind w:right="831"/>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14"/>
        </w:trPr>
        <w:tc>
          <w:tcPr>
            <w:tcW w:w="4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Nine Months Ended September 30, 2021</w:t>
            </w: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40" w:type="dxa"/>
            <w:vAlign w:val="bottom"/>
            <w:gridSpan w:val="3"/>
          </w:tcPr>
          <w:p>
            <w:pPr>
              <w:jc w:val="right"/>
              <w:ind w:right="358"/>
              <w:spacing w:after="0"/>
              <w:rPr>
                <w:sz w:val="20"/>
                <w:szCs w:val="20"/>
                <w:color w:val="auto"/>
              </w:rPr>
            </w:pPr>
            <w:r>
              <w:rPr>
                <w:rFonts w:ascii="Arial" w:cs="Arial" w:eastAsia="Arial" w:hAnsi="Arial"/>
                <w:sz w:val="18"/>
                <w:szCs w:val="18"/>
                <w:b w:val="1"/>
                <w:bCs w:val="1"/>
                <w:color w:val="auto"/>
              </w:rPr>
              <w:t>Previously Reported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2"/>
          </w:tcPr>
          <w:p>
            <w:pPr>
              <w:jc w:val="right"/>
              <w:ind w:right="414"/>
              <w:spacing w:after="0"/>
              <w:rPr>
                <w:sz w:val="20"/>
                <w:szCs w:val="20"/>
                <w:color w:val="auto"/>
              </w:rPr>
            </w:pPr>
            <w:r>
              <w:rPr>
                <w:rFonts w:ascii="Arial" w:cs="Arial" w:eastAsia="Arial" w:hAnsi="Arial"/>
                <w:sz w:val="18"/>
                <w:szCs w:val="18"/>
                <w:b w:val="1"/>
                <w:bCs w:val="1"/>
                <w:color w:val="auto"/>
              </w:rPr>
              <w:t>Error Correction</w:t>
            </w:r>
          </w:p>
        </w:tc>
        <w:tc>
          <w:tcPr>
            <w:tcW w:w="380" w:type="dxa"/>
            <w:vAlign w:val="bottom"/>
          </w:tcPr>
          <w:p>
            <w:pPr>
              <w:spacing w:after="0"/>
              <w:rPr>
                <w:sz w:val="19"/>
                <w:szCs w:val="19"/>
                <w:color w:val="auto"/>
              </w:rPr>
            </w:pPr>
          </w:p>
        </w:tc>
        <w:tc>
          <w:tcPr>
            <w:tcW w:w="1900" w:type="dxa"/>
            <w:vAlign w:val="bottom"/>
            <w:gridSpan w:val="3"/>
          </w:tcPr>
          <w:p>
            <w:pPr>
              <w:jc w:val="right"/>
              <w:ind w:right="558"/>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28"/>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88"/>
              </w:rPr>
              <w:t>Condensed Consolidated Statement of Cash Flows</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6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(38,894)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1,250</w:t>
            </w:r>
          </w:p>
        </w:tc>
        <w:tc>
          <w:tcPr>
            <w:tcW w:w="3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(37,644)</w:t>
            </w:r>
          </w:p>
        </w:tc>
        <w:tc>
          <w:tcPr>
            <w:tcW w:w="0" w:type="dxa"/>
            <w:vAlign w:val="bottom"/>
          </w:tcPr>
          <w:p>
            <w:pPr>
              <w:spacing w:after="0"/>
              <w:rPr>
                <w:sz w:val="1"/>
                <w:szCs w:val="1"/>
                <w:color w:val="auto"/>
              </w:rPr>
            </w:pPr>
          </w:p>
        </w:tc>
      </w:tr>
      <w:tr>
        <w:trPr>
          <w:trHeight w:val="22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Stock-based compensation</w:t>
            </w: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47,197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47,378</w:t>
            </w:r>
          </w:p>
        </w:tc>
        <w:tc>
          <w:tcPr>
            <w:tcW w:w="0" w:type="dxa"/>
            <w:vAlign w:val="bottom"/>
          </w:tcPr>
          <w:p>
            <w:pPr>
              <w:spacing w:after="0"/>
              <w:rPr>
                <w:sz w:val="1"/>
                <w:szCs w:val="1"/>
                <w:color w:val="auto"/>
              </w:rPr>
            </w:pPr>
          </w:p>
        </w:tc>
      </w:tr>
      <w:tr>
        <w:trPr>
          <w:trHeight w:val="228"/>
        </w:trPr>
        <w:tc>
          <w:tcPr>
            <w:tcW w:w="3660" w:type="dxa"/>
            <w:vAlign w:val="bottom"/>
            <w:gridSpan w:val="3"/>
          </w:tcPr>
          <w:p>
            <w:pPr>
              <w:ind w:left="20"/>
              <w:spacing w:after="0"/>
              <w:rPr>
                <w:sz w:val="20"/>
                <w:szCs w:val="20"/>
                <w:color w:val="auto"/>
              </w:rPr>
            </w:pPr>
            <w:r>
              <w:rPr>
                <w:rFonts w:ascii="Arial" w:cs="Arial" w:eastAsia="Arial" w:hAnsi="Arial"/>
                <w:sz w:val="18"/>
                <w:szCs w:val="18"/>
                <w:color w:val="auto"/>
                <w:w w:val="94"/>
              </w:rPr>
              <w:t>Changes in other operating assets and liabilities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(5,900)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1,538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6,668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2,969</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28"/>
        </w:trPr>
        <w:tc>
          <w:tcPr>
            <w:tcW w:w="2960" w:type="dxa"/>
            <w:vAlign w:val="bottom"/>
            <w:gridSpan w:val="2"/>
          </w:tcPr>
          <w:p>
            <w:pPr>
              <w:ind w:left="20"/>
              <w:spacing w:after="0"/>
              <w:rPr>
                <w:sz w:val="20"/>
                <w:szCs w:val="20"/>
                <w:color w:val="auto"/>
              </w:rPr>
            </w:pPr>
            <w:r>
              <w:rPr>
                <w:rFonts w:ascii="Arial" w:cs="Arial" w:eastAsia="Arial" w:hAnsi="Arial"/>
                <w:sz w:val="18"/>
                <w:szCs w:val="18"/>
                <w:color w:val="auto"/>
                <w:w w:val="92"/>
              </w:rPr>
              <w:t>Capitalized software development costs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(6,139)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(13,709)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0" w:type="dxa"/>
            <w:vAlign w:val="bottom"/>
          </w:tcPr>
          <w:p>
            <w:pPr>
              <w:spacing w:after="0"/>
              <w:rPr>
                <w:sz w:val="1"/>
                <w:szCs w:val="1"/>
                <w:color w:val="auto"/>
              </w:rPr>
            </w:pPr>
          </w:p>
        </w:tc>
      </w:tr>
      <w:tr>
        <w:trPr>
          <w:trHeight w:val="174"/>
        </w:trPr>
        <w:tc>
          <w:tcPr>
            <w:tcW w:w="5180" w:type="dxa"/>
            <w:vAlign w:val="bottom"/>
            <w:gridSpan w:val="6"/>
          </w:tcPr>
          <w:p>
            <w:pPr>
              <w:ind w:left="20"/>
              <w:spacing w:after="0" w:line="175" w:lineRule="exact"/>
              <w:rPr>
                <w:sz w:val="20"/>
                <w:szCs w:val="20"/>
                <w:color w:val="auto"/>
              </w:rPr>
            </w:pPr>
            <w:r>
              <w:rPr>
                <w:rFonts w:ascii="Arial" w:cs="Arial" w:eastAsia="Arial" w:hAnsi="Arial"/>
                <w:sz w:val="18"/>
                <w:szCs w:val="18"/>
                <w:color w:val="auto"/>
              </w:rPr>
              <w:t>Distribution to Telos ID Class B member - non-controlling</w:t>
            </w:r>
          </w:p>
        </w:tc>
        <w:tc>
          <w:tcPr>
            <w:tcW w:w="360" w:type="dxa"/>
            <w:vAlign w:val="bottom"/>
          </w:tcPr>
          <w:p>
            <w:pPr>
              <w:spacing w:after="0"/>
              <w:rPr>
                <w:sz w:val="15"/>
                <w:szCs w:val="15"/>
                <w:color w:val="auto"/>
              </w:rPr>
            </w:pPr>
          </w:p>
        </w:tc>
        <w:tc>
          <w:tcPr>
            <w:tcW w:w="1160" w:type="dxa"/>
            <w:vAlign w:val="bottom"/>
            <w:vMerge w:val="restart"/>
          </w:tcPr>
          <w:p>
            <w:pPr>
              <w:jc w:val="right"/>
              <w:ind w:right="9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(2,436)</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interest</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35,131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32,695</w:t>
            </w:r>
          </w:p>
        </w:tc>
        <w:tc>
          <w:tcPr>
            <w:tcW w:w="0" w:type="dxa"/>
            <w:vAlign w:val="bottom"/>
          </w:tcPr>
          <w:p>
            <w:pPr>
              <w:spacing w:after="0"/>
              <w:rPr>
                <w:sz w:val="1"/>
                <w:szCs w:val="1"/>
                <w:color w:val="auto"/>
              </w:rPr>
            </w:pPr>
          </w:p>
        </w:tc>
      </w:tr>
      <w:tr>
        <w:trPr>
          <w:trHeight w:val="518"/>
        </w:trPr>
        <w:tc>
          <w:tcPr>
            <w:tcW w:w="22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right"/>
              <w:ind w:right="898"/>
              <w:spacing w:after="0"/>
              <w:rPr>
                <w:sz w:val="20"/>
                <w:szCs w:val="20"/>
                <w:color w:val="auto"/>
              </w:rPr>
            </w:pPr>
            <w:r>
              <w:rPr>
                <w:rFonts w:ascii="Arial" w:cs="Arial" w:eastAsia="Arial" w:hAnsi="Arial"/>
                <w:sz w:val="14"/>
                <w:szCs w:val="14"/>
                <w:b w:val="1"/>
                <w:bCs w:val="1"/>
                <w:color w:val="auto"/>
              </w:rPr>
              <w:t>Three Months Ended September 30, 2021</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6"/>
          </w:tcPr>
          <w:p>
            <w:pPr>
              <w:jc w:val="right"/>
              <w:ind w:right="918"/>
              <w:spacing w:after="0"/>
              <w:rPr>
                <w:sz w:val="20"/>
                <w:szCs w:val="20"/>
                <w:color w:val="auto"/>
              </w:rPr>
            </w:pPr>
            <w:r>
              <w:rPr>
                <w:rFonts w:ascii="Arial" w:cs="Arial" w:eastAsia="Arial" w:hAnsi="Arial"/>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4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6"/>
              </w:rPr>
              <w:t>Previously Reported</w:t>
            </w:r>
          </w:p>
        </w:tc>
        <w:tc>
          <w:tcPr>
            <w:tcW w:w="220" w:type="dxa"/>
            <w:vAlign w:val="bottom"/>
          </w:tcPr>
          <w:p>
            <w:pPr>
              <w:spacing w:after="0"/>
              <w:rPr>
                <w:sz w:val="16"/>
                <w:szCs w:val="16"/>
                <w:color w:val="auto"/>
              </w:rPr>
            </w:pPr>
          </w:p>
        </w:tc>
        <w:tc>
          <w:tcPr>
            <w:tcW w:w="130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w w:val="95"/>
              </w:rPr>
              <w:t>Error Correction</w:t>
            </w:r>
          </w:p>
        </w:tc>
        <w:tc>
          <w:tcPr>
            <w:tcW w:w="360" w:type="dxa"/>
            <w:vAlign w:val="bottom"/>
          </w:tcPr>
          <w:p>
            <w:pPr>
              <w:spacing w:after="0"/>
              <w:rPr>
                <w:sz w:val="16"/>
                <w:szCs w:val="16"/>
                <w:color w:val="auto"/>
              </w:rPr>
            </w:pPr>
          </w:p>
        </w:tc>
        <w:tc>
          <w:tcPr>
            <w:tcW w:w="1160" w:type="dxa"/>
            <w:vAlign w:val="bottom"/>
          </w:tcPr>
          <w:p>
            <w:pPr>
              <w:jc w:val="right"/>
              <w:ind w:right="258"/>
              <w:spacing w:after="0"/>
              <w:rPr>
                <w:sz w:val="20"/>
                <w:szCs w:val="20"/>
                <w:color w:val="auto"/>
              </w:rPr>
            </w:pPr>
            <w:r>
              <w:rPr>
                <w:rFonts w:ascii="Arial" w:cs="Arial" w:eastAsia="Arial" w:hAnsi="Arial"/>
                <w:sz w:val="14"/>
                <w:szCs w:val="14"/>
                <w:b w:val="1"/>
                <w:bCs w:val="1"/>
                <w:color w:val="auto"/>
                <w:w w:val="97"/>
              </w:rPr>
              <w:t>As Adjusted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ind w:right="66"/>
              <w:spacing w:after="0"/>
              <w:rPr>
                <w:sz w:val="20"/>
                <w:szCs w:val="20"/>
                <w:color w:val="auto"/>
              </w:rPr>
            </w:pPr>
            <w:r>
              <w:rPr>
                <w:rFonts w:ascii="Arial" w:cs="Arial" w:eastAsia="Arial" w:hAnsi="Arial"/>
                <w:sz w:val="14"/>
                <w:szCs w:val="14"/>
                <w:b w:val="1"/>
                <w:bCs w:val="1"/>
                <w:color w:val="auto"/>
                <w:w w:val="95"/>
              </w:rPr>
              <w:t>Previously Reported</w:t>
            </w:r>
          </w:p>
        </w:tc>
        <w:tc>
          <w:tcPr>
            <w:tcW w:w="1480" w:type="dxa"/>
            <w:vAlign w:val="bottom"/>
            <w:gridSpan w:val="3"/>
          </w:tcPr>
          <w:p>
            <w:pPr>
              <w:jc w:val="right"/>
              <w:ind w:right="125"/>
              <w:spacing w:after="0"/>
              <w:rPr>
                <w:sz w:val="20"/>
                <w:szCs w:val="20"/>
                <w:color w:val="auto"/>
              </w:rPr>
            </w:pPr>
            <w:r>
              <w:rPr>
                <w:rFonts w:ascii="Arial" w:cs="Arial" w:eastAsia="Arial" w:hAnsi="Arial"/>
                <w:sz w:val="14"/>
                <w:szCs w:val="14"/>
                <w:b w:val="1"/>
                <w:bCs w:val="1"/>
                <w:color w:val="auto"/>
              </w:rPr>
              <w:t>Error Correction</w:t>
            </w:r>
          </w:p>
        </w:tc>
        <w:tc>
          <w:tcPr>
            <w:tcW w:w="300" w:type="dxa"/>
            <w:vAlign w:val="bottom"/>
          </w:tcPr>
          <w:p>
            <w:pPr>
              <w:spacing w:after="0"/>
              <w:rPr>
                <w:sz w:val="16"/>
                <w:szCs w:val="16"/>
                <w:color w:val="auto"/>
              </w:rPr>
            </w:pPr>
          </w:p>
        </w:tc>
        <w:tc>
          <w:tcPr>
            <w:tcW w:w="1200" w:type="dxa"/>
            <w:vAlign w:val="bottom"/>
          </w:tcPr>
          <w:p>
            <w:pPr>
              <w:jc w:val="right"/>
              <w:ind w:right="258"/>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9"/>
        </w:trPr>
        <w:tc>
          <w:tcPr>
            <w:tcW w:w="554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Condensed Consolidated Statement of Changes in Stockholders' Equity</w:t>
            </w: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(5,387)</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1"/>
              <w:spacing w:after="0"/>
              <w:rPr>
                <w:sz w:val="20"/>
                <w:szCs w:val="20"/>
                <w:color w:val="auto"/>
              </w:rPr>
            </w:pPr>
            <w:r>
              <w:rPr>
                <w:rFonts w:ascii="Arial" w:cs="Arial" w:eastAsia="Arial" w:hAnsi="Arial"/>
                <w:sz w:val="14"/>
                <w:szCs w:val="14"/>
                <w:color w:val="auto"/>
              </w:rPr>
              <w:t>165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(5,222)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6"/>
              <w:spacing w:after="0"/>
              <w:rPr>
                <w:sz w:val="20"/>
                <w:szCs w:val="20"/>
                <w:color w:val="auto"/>
              </w:rPr>
            </w:pPr>
            <w:r>
              <w:rPr>
                <w:rFonts w:ascii="Arial" w:cs="Arial" w:eastAsia="Arial" w:hAnsi="Arial"/>
                <w:sz w:val="14"/>
                <w:szCs w:val="14"/>
                <w:color w:val="auto"/>
              </w:rPr>
              <w:t>(38,894)</w:t>
            </w:r>
          </w:p>
        </w:tc>
        <w:tc>
          <w:tcPr>
            <w:tcW w:w="700" w:type="dxa"/>
            <w:vAlign w:val="bottom"/>
          </w:tcPr>
          <w:p>
            <w:pPr>
              <w:jc w:val="right"/>
              <w:ind w:right="474"/>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400" w:type="dxa"/>
            <w:vAlign w:val="bottom"/>
          </w:tcPr>
          <w:p>
            <w:pPr>
              <w:jc w:val="right"/>
              <w:ind w:right="5"/>
              <w:spacing w:after="0"/>
              <w:rPr>
                <w:sz w:val="20"/>
                <w:szCs w:val="20"/>
                <w:color w:val="auto"/>
              </w:rPr>
            </w:pPr>
            <w:r>
              <w:rPr>
                <w:rFonts w:ascii="Arial" w:cs="Arial" w:eastAsia="Arial" w:hAnsi="Arial"/>
                <w:sz w:val="14"/>
                <w:szCs w:val="14"/>
                <w:color w:val="auto"/>
                <w:w w:val="85"/>
              </w:rPr>
              <w:t>1,250</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(37,644)</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7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354,119</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181</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354,300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354,119</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181</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354,300</w:t>
            </w:r>
          </w:p>
        </w:tc>
        <w:tc>
          <w:tcPr>
            <w:tcW w:w="0" w:type="dxa"/>
            <w:vAlign w:val="bottom"/>
          </w:tcPr>
          <w:p>
            <w:pPr>
              <w:spacing w:after="0"/>
              <w:rPr>
                <w:sz w:val="1"/>
                <w:szCs w:val="1"/>
                <w:color w:val="auto"/>
              </w:rPr>
            </w:pPr>
          </w:p>
        </w:tc>
      </w:tr>
      <w:tr>
        <w:trPr>
          <w:trHeight w:val="134"/>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Accumulated deficit - beginning</w:t>
            </w:r>
          </w:p>
        </w:tc>
        <w:tc>
          <w:tcPr>
            <w:tcW w:w="7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(177,350)</w:t>
            </w:r>
          </w:p>
        </w:tc>
        <w:tc>
          <w:tcPr>
            <w:tcW w:w="220" w:type="dxa"/>
            <w:vAlign w:val="bottom"/>
          </w:tcPr>
          <w:p>
            <w:pPr>
              <w:spacing w:after="0"/>
              <w:rPr>
                <w:sz w:val="11"/>
                <w:szCs w:val="11"/>
                <w:color w:val="auto"/>
              </w:rPr>
            </w:pPr>
          </w:p>
        </w:tc>
        <w:tc>
          <w:tcPr>
            <w:tcW w:w="1300" w:type="dxa"/>
            <w:vAlign w:val="bottom"/>
            <w:gridSpan w:val="2"/>
            <w:vMerge w:val="restart"/>
          </w:tcPr>
          <w:p>
            <w:pPr>
              <w:jc w:val="right"/>
              <w:ind w:right="31"/>
              <w:spacing w:after="0"/>
              <w:rPr>
                <w:sz w:val="20"/>
                <w:szCs w:val="20"/>
                <w:color w:val="auto"/>
              </w:rPr>
            </w:pPr>
            <w:r>
              <w:rPr>
                <w:rFonts w:ascii="Arial" w:cs="Arial" w:eastAsia="Arial" w:hAnsi="Arial"/>
                <w:sz w:val="14"/>
                <w:szCs w:val="14"/>
                <w:color w:val="auto"/>
              </w:rPr>
              <w:t>1,085</w:t>
            </w:r>
          </w:p>
        </w:tc>
        <w:tc>
          <w:tcPr>
            <w:tcW w:w="3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(176,265)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6"/>
              <w:spacing w:after="0"/>
              <w:rPr>
                <w:sz w:val="20"/>
                <w:szCs w:val="20"/>
                <w:color w:val="auto"/>
              </w:rPr>
            </w:pPr>
            <w:r>
              <w:rPr>
                <w:rFonts w:ascii="Arial" w:cs="Arial" w:eastAsia="Arial" w:hAnsi="Arial"/>
                <w:sz w:val="14"/>
                <w:szCs w:val="14"/>
                <w:color w:val="auto"/>
              </w:rPr>
              <w:t>(143,843)</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vMerge w:val="restart"/>
          </w:tcPr>
          <w:p>
            <w:pPr>
              <w:jc w:val="right"/>
              <w:ind w:right="5"/>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(143,843)</w:t>
            </w: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balance</w:t>
            </w:r>
          </w:p>
        </w:tc>
        <w:tc>
          <w:tcPr>
            <w:tcW w:w="7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Accumulated deficit - ending balance</w:t>
            </w:r>
          </w:p>
        </w:tc>
        <w:tc>
          <w:tcPr>
            <w:tcW w:w="7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(182,737)</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165</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(182,572)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(182,737)</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165</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(182,572)</w:t>
            </w:r>
          </w:p>
        </w:tc>
        <w:tc>
          <w:tcPr>
            <w:tcW w:w="0" w:type="dxa"/>
            <w:vAlign w:val="bottom"/>
          </w:tcPr>
          <w:p>
            <w:pPr>
              <w:spacing w:after="0"/>
              <w:rPr>
                <w:sz w:val="1"/>
                <w:szCs w:val="1"/>
                <w:color w:val="auto"/>
              </w:rPr>
            </w:pPr>
          </w:p>
        </w:tc>
      </w:tr>
      <w:tr>
        <w:trPr>
          <w:trHeight w:val="181"/>
        </w:trPr>
        <w:tc>
          <w:tcPr>
            <w:tcW w:w="220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76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171,491</w:t>
            </w:r>
          </w:p>
        </w:tc>
        <w:tc>
          <w:tcPr>
            <w:tcW w:w="220" w:type="dxa"/>
            <w:vAlign w:val="bottom"/>
          </w:tcPr>
          <w:p>
            <w:pPr>
              <w:spacing w:after="0"/>
              <w:rPr>
                <w:sz w:val="15"/>
                <w:szCs w:val="15"/>
                <w:color w:val="auto"/>
              </w:rPr>
            </w:pPr>
          </w:p>
        </w:tc>
        <w:tc>
          <w:tcPr>
            <w:tcW w:w="1300" w:type="dxa"/>
            <w:vAlign w:val="bottom"/>
            <w:gridSpan w:val="2"/>
          </w:tcPr>
          <w:p>
            <w:pPr>
              <w:jc w:val="right"/>
              <w:ind w:right="31"/>
              <w:spacing w:after="0"/>
              <w:rPr>
                <w:sz w:val="20"/>
                <w:szCs w:val="20"/>
                <w:color w:val="auto"/>
              </w:rPr>
            </w:pPr>
            <w:r>
              <w:rPr>
                <w:rFonts w:ascii="Arial" w:cs="Arial" w:eastAsia="Arial" w:hAnsi="Arial"/>
                <w:sz w:val="14"/>
                <w:szCs w:val="14"/>
                <w:color w:val="auto"/>
              </w:rPr>
              <w:t>346</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171,837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46"/>
              <w:spacing w:after="0"/>
              <w:rPr>
                <w:sz w:val="20"/>
                <w:szCs w:val="20"/>
                <w:color w:val="auto"/>
              </w:rPr>
            </w:pPr>
            <w:r>
              <w:rPr>
                <w:rFonts w:ascii="Arial" w:cs="Arial" w:eastAsia="Arial" w:hAnsi="Arial"/>
                <w:sz w:val="14"/>
                <w:szCs w:val="14"/>
                <w:color w:val="auto"/>
              </w:rPr>
              <w:t>171,491</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jc w:val="right"/>
              <w:ind w:right="5"/>
              <w:spacing w:after="0"/>
              <w:rPr>
                <w:sz w:val="20"/>
                <w:szCs w:val="20"/>
                <w:color w:val="auto"/>
              </w:rPr>
            </w:pPr>
            <w:r>
              <w:rPr>
                <w:rFonts w:ascii="Arial" w:cs="Arial" w:eastAsia="Arial" w:hAnsi="Arial"/>
                <w:sz w:val="14"/>
                <w:szCs w:val="14"/>
                <w:color w:val="auto"/>
              </w:rPr>
              <w:t>346</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171,837</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09" w:lineRule="exact"/>
        <w:rPr>
          <w:sz w:val="20"/>
          <w:szCs w:val="20"/>
          <w:color w:val="auto"/>
        </w:rPr>
      </w:pPr>
    </w:p>
    <w:p>
      <w:pPr>
        <w:jc w:val="both"/>
        <w:ind w:right="120" w:firstLine="322"/>
        <w:spacing w:after="0" w:line="261"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w:t>
      </w:r>
    </w:p>
    <w:p>
      <w:pPr>
        <w:spacing w:after="0" w:line="184" w:lineRule="exact"/>
        <w:rPr>
          <w:sz w:val="20"/>
          <w:szCs w:val="20"/>
          <w:color w:val="auto"/>
        </w:rPr>
      </w:pPr>
    </w:p>
    <w:p>
      <w:pPr>
        <w:ind w:right="60" w:firstLine="322"/>
        <w:spacing w:after="0" w:line="270"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ineffective as of December 31, 2021 due to the material weaknesses identified and described below.</w:t>
      </w:r>
    </w:p>
    <w:p>
      <w:pPr>
        <w:spacing w:after="0" w:line="179" w:lineRule="exact"/>
        <w:rPr>
          <w:sz w:val="20"/>
          <w:szCs w:val="20"/>
          <w:color w:val="auto"/>
        </w:rPr>
      </w:pPr>
    </w:p>
    <w:p>
      <w:pPr>
        <w:ind w:right="140" w:firstLine="322"/>
        <w:spacing w:after="0" w:line="257" w:lineRule="auto"/>
        <w:rPr>
          <w:sz w:val="20"/>
          <w:szCs w:val="20"/>
          <w:color w:val="auto"/>
        </w:rPr>
      </w:pPr>
      <w:r>
        <w:rPr>
          <w:rFonts w:ascii="Arial" w:cs="Arial" w:eastAsia="Arial" w:hAnsi="Arial"/>
          <w:sz w:val="18"/>
          <w:szCs w:val="18"/>
          <w:color w:val="auto"/>
        </w:rPr>
        <w:t>In light of the material weaknesses described below, management performed additional analysis and other procedures to ensure that our interim and annual consolidated financial statements were prepared in accordance with U.S. GAAP. Accordingly, management believes that the consolidated financial statements included in this Annual Report on Form 10-K fairly present, in all material respects, our financial position, results of operations, and cash flows as of and for the periods presented, in accordance with U.S. GAAP.</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2" w:lineRule="exact"/>
        <w:rPr>
          <w:sz w:val="20"/>
          <w:szCs w:val="20"/>
          <w:color w:val="auto"/>
        </w:rPr>
      </w:pPr>
    </w:p>
    <w:p>
      <w:pPr>
        <w:jc w:val="both"/>
        <w:ind w:firstLine="32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Internal control over financial reporting includes policies and procedures that provide reasonable assurance regarding the reliability of financial reporting and the preparation of consolidated financial statements for external reporting purposes in accordance with U.S. GAAP. Our internal control over financial reporting includes those policies and procedures that:</w:t>
      </w:r>
    </w:p>
    <w:p>
      <w:pPr>
        <w:spacing w:after="0" w:line="187" w:lineRule="exact"/>
        <w:rPr>
          <w:sz w:val="20"/>
          <w:szCs w:val="20"/>
          <w:color w:val="auto"/>
        </w:rPr>
      </w:pPr>
    </w:p>
    <w:p>
      <w:pPr>
        <w:ind w:left="640" w:hanging="311"/>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3" w:lineRule="exact"/>
        <w:rPr>
          <w:rFonts w:ascii="Arial" w:cs="Arial" w:eastAsia="Arial" w:hAnsi="Arial"/>
          <w:sz w:val="17"/>
          <w:szCs w:val="17"/>
          <w:color w:val="auto"/>
        </w:rPr>
      </w:pPr>
    </w:p>
    <w:p>
      <w:pPr>
        <w:ind w:left="660" w:right="240" w:hanging="331"/>
        <w:spacing w:after="0" w:line="339"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properly to allow for the preparation of financial statements in accordance with U.S. GAAP and that our receipts and expenditures are being made only in accordance with authorizations of our management and directors; and</w:t>
      </w:r>
    </w:p>
    <w:p>
      <w:pPr>
        <w:spacing w:after="0" w:line="124" w:lineRule="exact"/>
        <w:rPr>
          <w:rFonts w:ascii="Arial" w:cs="Arial" w:eastAsia="Arial" w:hAnsi="Arial"/>
          <w:sz w:val="16"/>
          <w:szCs w:val="16"/>
          <w:color w:val="auto"/>
        </w:rPr>
      </w:pPr>
    </w:p>
    <w:p>
      <w:pPr>
        <w:ind w:left="660" w:right="60" w:hanging="331"/>
        <w:spacing w:after="0" w:line="274"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2" w:lineRule="exact"/>
        <w:rPr>
          <w:sz w:val="20"/>
          <w:szCs w:val="20"/>
          <w:color w:val="auto"/>
        </w:rPr>
      </w:pPr>
    </w:p>
    <w:p>
      <w:pPr>
        <w:ind w:right="160" w:firstLine="322"/>
        <w:spacing w:after="0" w:line="339" w:lineRule="auto"/>
        <w:rPr>
          <w:sz w:val="20"/>
          <w:szCs w:val="20"/>
          <w:color w:val="auto"/>
        </w:rPr>
      </w:pPr>
      <w:r>
        <w:rPr>
          <w:rFonts w:ascii="Arial" w:cs="Arial" w:eastAsia="Arial" w:hAnsi="Arial"/>
          <w:sz w:val="16"/>
          <w:szCs w:val="16"/>
          <w:color w:val="auto"/>
        </w:rPr>
        <w:t>Because of its inherent limitations, a system of internal control over financial reporting can provide only reasonable assurance and may not prevent or detect misstatements. Further, because of changing conditions, effectiveness of internal control over financial reporting may vary over time.</w:t>
      </w:r>
    </w:p>
    <w:p>
      <w:pPr>
        <w:spacing w:after="0" w:line="124" w:lineRule="exact"/>
        <w:rPr>
          <w:sz w:val="20"/>
          <w:szCs w:val="20"/>
          <w:color w:val="auto"/>
        </w:rPr>
      </w:pPr>
    </w:p>
    <w:p>
      <w:pPr>
        <w:ind w:firstLine="322"/>
        <w:spacing w:after="0" w:line="285"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our internal control over financial reporting as of December 31, 2021 based on the guidelines established in the Internal Control—Integrated Framework (2013 framework) issued by the Committee of Sponsoring Organizations of the Treadway Commission (COSO). The scope of our efforts to comply with Section 404 of the Sarbanes-Oxley Act with respect to 2021 included all of our operations other than those we acquired in 2021 as described in Note 4 - Acquisition. In accordance with the SEC's published guidance because we acquired these operations during the year, we excluded these operations from our efforts to comply with Section 404 with respect to 2021. The acquired business of DFT constituted 3% of total assets as of December 31, 2021 and no revenue recorded for the year ended December 31, 2021. The SEC's published guidance specifies that the period in which management may omit an assessment of an acquired business's internal control over financial reporting from its assessment of the Company's internal control may not extend beyond one year from the date of acquisition. Based on its assessment, management concluded that the Company’s internal control over financial reporting was ineffective as of December 31, 2021 due to material weaknesses in our control environment whereby the Company did not have adequate controls to sufficiently mitigate risks of material misstatement associated with certain business processes.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Management has determined that the Company had the following material weaknesses in its internal control over financial reporting:</w:t>
      </w:r>
    </w:p>
    <w:p>
      <w:pPr>
        <w:spacing w:after="0" w:line="236" w:lineRule="exact"/>
        <w:rPr>
          <w:sz w:val="20"/>
          <w:szCs w:val="20"/>
          <w:color w:val="auto"/>
        </w:rPr>
      </w:pPr>
    </w:p>
    <w:p>
      <w:pPr>
        <w:ind w:left="660" w:right="140" w:hanging="331"/>
        <w:spacing w:after="0" w:line="248"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18"/>
          <w:szCs w:val="18"/>
          <w:color w:val="auto"/>
        </w:rPr>
        <w:t xml:space="preserve">Management did not maintain appropriately designed entity-level controls impacting the control environment and monitoring activities </w:t>
      </w:r>
      <w:r>
        <w:rPr>
          <w:rFonts w:ascii="Arial" w:cs="Arial" w:eastAsia="Arial" w:hAnsi="Arial"/>
          <w:sz w:val="18"/>
          <w:szCs w:val="18"/>
          <w:color w:val="212529"/>
        </w:rPr>
        <w:t>to prevent</w:t>
      </w:r>
      <w:r>
        <w:rPr>
          <w:rFonts w:ascii="Arial" w:cs="Arial" w:eastAsia="Arial" w:hAnsi="Arial"/>
          <w:sz w:val="18"/>
          <w:szCs w:val="18"/>
          <w:color w:val="auto"/>
        </w:rPr>
        <w:t xml:space="preserve"> </w:t>
      </w:r>
      <w:r>
        <w:rPr>
          <w:rFonts w:ascii="Arial" w:cs="Arial" w:eastAsia="Arial" w:hAnsi="Arial"/>
          <w:sz w:val="18"/>
          <w:szCs w:val="18"/>
          <w:color w:val="212529"/>
        </w:rPr>
        <w:t>or detect material misstatements to the consolidated financial statements</w:t>
      </w:r>
      <w:r>
        <w:rPr>
          <w:rFonts w:ascii="Arial" w:cs="Arial" w:eastAsia="Arial" w:hAnsi="Arial"/>
          <w:sz w:val="18"/>
          <w:szCs w:val="18"/>
          <w:color w:val="000000"/>
        </w:rPr>
        <w:t>. Specifically, the Company did not have sufficient qualified resources to</w:t>
      </w:r>
      <w:r>
        <w:rPr>
          <w:rFonts w:ascii="Arial" w:cs="Arial" w:eastAsia="Arial" w:hAnsi="Arial"/>
          <w:sz w:val="18"/>
          <w:szCs w:val="18"/>
          <w:color w:val="212529"/>
        </w:rPr>
        <w:t xml:space="preserve"> </w:t>
      </w:r>
      <w:r>
        <w:rPr>
          <w:rFonts w:ascii="Arial" w:cs="Arial" w:eastAsia="Arial" w:hAnsi="Arial"/>
          <w:sz w:val="18"/>
          <w:szCs w:val="18"/>
          <w:color w:val="000000"/>
        </w:rPr>
        <w:t>effectively design, operate and oversee internal control over financial reporting, which contributed to the failure in the effectiveness of certain controls.</w:t>
      </w:r>
    </w:p>
    <w:p>
      <w:pPr>
        <w:spacing w:after="0" w:line="234" w:lineRule="exact"/>
        <w:rPr>
          <w:rFonts w:ascii="Arial" w:cs="Arial" w:eastAsia="Arial" w:hAnsi="Arial"/>
          <w:sz w:val="20"/>
          <w:szCs w:val="20"/>
          <w:color w:val="auto"/>
        </w:rPr>
      </w:pPr>
    </w:p>
    <w:p>
      <w:pPr>
        <w:ind w:left="660" w:right="20" w:hanging="331"/>
        <w:spacing w:after="0" w:line="241" w:lineRule="auto"/>
        <w:tabs>
          <w:tab w:leader="none" w:pos="655" w:val="left"/>
        </w:tabs>
        <w:numPr>
          <w:ilvl w:val="0"/>
          <w:numId w:val="32"/>
        </w:numPr>
        <w:rPr>
          <w:rFonts w:ascii="Arial" w:cs="Arial" w:eastAsia="Arial" w:hAnsi="Arial"/>
          <w:sz w:val="21"/>
          <w:szCs w:val="21"/>
          <w:color w:val="auto"/>
        </w:rPr>
      </w:pPr>
      <w:r>
        <w:rPr>
          <w:rFonts w:ascii="Arial" w:cs="Arial" w:eastAsia="Arial" w:hAnsi="Arial"/>
          <w:sz w:val="18"/>
          <w:szCs w:val="18"/>
          <w:color w:val="auto"/>
        </w:rPr>
        <w:t>Management did not maintain appropriately designed information technology general controls in the areas of user access, change management, and segregation of duties, including controls over the recording of journal entries and safeguarding of assets, related to certain information technology systems that support the Company’s financial reporting process.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hanging="311"/>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Management did not maintain appropriately designed and implemented controls over the following:</w:t>
      </w:r>
    </w:p>
    <w:p>
      <w:pPr>
        <w:spacing w:after="0" w:line="206" w:lineRule="exact"/>
        <w:rPr>
          <w:rFonts w:ascii="Arial" w:cs="Arial" w:eastAsia="Arial" w:hAnsi="Arial"/>
          <w:sz w:val="21"/>
          <w:szCs w:val="21"/>
          <w:color w:val="auto"/>
        </w:rPr>
      </w:pPr>
    </w:p>
    <w:p>
      <w:pPr>
        <w:ind w:left="1300" w:hanging="326"/>
        <w:spacing w:after="0"/>
        <w:tabs>
          <w:tab w:leader="none" w:pos="1300" w:val="left"/>
        </w:tabs>
        <w:numPr>
          <w:ilvl w:val="1"/>
          <w:numId w:val="33"/>
        </w:numPr>
        <w:rPr>
          <w:rFonts w:ascii="Arial" w:cs="Arial" w:eastAsia="Arial" w:hAnsi="Arial"/>
          <w:sz w:val="21"/>
          <w:szCs w:val="21"/>
          <w:color w:val="auto"/>
        </w:rPr>
      </w:pPr>
      <w:r>
        <w:rPr>
          <w:rFonts w:ascii="Arial" w:cs="Arial" w:eastAsia="Arial" w:hAnsi="Arial"/>
          <w:sz w:val="18"/>
          <w:szCs w:val="18"/>
          <w:color w:val="auto"/>
        </w:rPr>
        <w:t>Recording of revenue in accordance with ASC Topic 606 , “Revenue from Contracts with Customers.</w:t>
      </w:r>
      <w:r>
        <w:rPr>
          <w:rFonts w:ascii="Arial" w:cs="Arial" w:eastAsia="Arial" w:hAnsi="Arial"/>
          <w:sz w:val="21"/>
          <w:szCs w:val="21"/>
          <w:i w:val="1"/>
          <w:iCs w:val="1"/>
          <w:color w:val="auto"/>
        </w:rPr>
        <w:t>”</w:t>
      </w:r>
    </w:p>
    <w:p>
      <w:pPr>
        <w:spacing w:after="0" w:line="262" w:lineRule="exact"/>
        <w:rPr>
          <w:rFonts w:ascii="Arial" w:cs="Arial" w:eastAsia="Arial" w:hAnsi="Arial"/>
          <w:sz w:val="21"/>
          <w:szCs w:val="21"/>
          <w:color w:val="auto"/>
        </w:rPr>
      </w:pPr>
    </w:p>
    <w:p>
      <w:pPr>
        <w:ind w:left="1300" w:right="100" w:hanging="326"/>
        <w:spacing w:after="0" w:line="237" w:lineRule="auto"/>
        <w:tabs>
          <w:tab w:leader="none" w:pos="1296" w:val="left"/>
        </w:tabs>
        <w:numPr>
          <w:ilvl w:val="1"/>
          <w:numId w:val="33"/>
        </w:numPr>
        <w:rPr>
          <w:rFonts w:ascii="Arial" w:cs="Arial" w:eastAsia="Arial" w:hAnsi="Arial"/>
          <w:sz w:val="21"/>
          <w:szCs w:val="21"/>
          <w:color w:val="auto"/>
        </w:rPr>
      </w:pPr>
      <w:r>
        <w:rPr>
          <w:rFonts w:ascii="Arial" w:cs="Arial" w:eastAsia="Arial" w:hAnsi="Arial"/>
          <w:sz w:val="18"/>
          <w:szCs w:val="18"/>
          <w:color w:val="auto"/>
        </w:rPr>
        <w:t>Accounting for software development costs in accordance with ASC Topic 985-20, “Software – Costs of Software to be Sold, Leased, or Marketed”, and ASC Topic 350-40, “Internal Use Software.”</w:t>
      </w:r>
    </w:p>
    <w:p>
      <w:pPr>
        <w:spacing w:after="0" w:line="241" w:lineRule="exact"/>
        <w:rPr>
          <w:rFonts w:ascii="Arial" w:cs="Arial" w:eastAsia="Arial" w:hAnsi="Arial"/>
          <w:sz w:val="21"/>
          <w:szCs w:val="21"/>
          <w:color w:val="auto"/>
        </w:rPr>
      </w:pPr>
    </w:p>
    <w:p>
      <w:pPr>
        <w:ind w:left="1300" w:hanging="326"/>
        <w:spacing w:after="0" w:line="237" w:lineRule="auto"/>
        <w:tabs>
          <w:tab w:leader="none" w:pos="1296" w:val="left"/>
        </w:tabs>
        <w:numPr>
          <w:ilvl w:val="1"/>
          <w:numId w:val="33"/>
        </w:numPr>
        <w:rPr>
          <w:rFonts w:ascii="Arial" w:cs="Arial" w:eastAsia="Arial" w:hAnsi="Arial"/>
          <w:sz w:val="21"/>
          <w:szCs w:val="21"/>
          <w:color w:val="auto"/>
        </w:rPr>
      </w:pPr>
      <w:r>
        <w:rPr>
          <w:rFonts w:ascii="Arial" w:cs="Arial" w:eastAsia="Arial" w:hAnsi="Arial"/>
          <w:sz w:val="18"/>
          <w:szCs w:val="18"/>
          <w:color w:val="auto"/>
        </w:rPr>
        <w:t>Review of completeness and accuracy of award stock-based compensation expense, and review of the key inputs and assumptions utilized in third-party valuations.</w:t>
      </w:r>
    </w:p>
    <w:p>
      <w:pPr>
        <w:spacing w:after="0" w:line="229" w:lineRule="exact"/>
        <w:rPr>
          <w:rFonts w:ascii="Arial" w:cs="Arial" w:eastAsia="Arial" w:hAnsi="Arial"/>
          <w:sz w:val="21"/>
          <w:szCs w:val="21"/>
          <w:color w:val="auto"/>
        </w:rPr>
      </w:pPr>
    </w:p>
    <w:p>
      <w:pPr>
        <w:ind w:left="1300" w:hanging="326"/>
        <w:spacing w:after="0"/>
        <w:tabs>
          <w:tab w:leader="none" w:pos="1300" w:val="left"/>
        </w:tabs>
        <w:numPr>
          <w:ilvl w:val="1"/>
          <w:numId w:val="33"/>
        </w:numPr>
        <w:rPr>
          <w:rFonts w:ascii="Arial" w:cs="Arial" w:eastAsia="Arial" w:hAnsi="Arial"/>
          <w:sz w:val="21"/>
          <w:szCs w:val="21"/>
          <w:color w:val="auto"/>
        </w:rPr>
      </w:pPr>
      <w:r>
        <w:rPr>
          <w:rFonts w:ascii="Arial" w:cs="Arial" w:eastAsia="Arial" w:hAnsi="Arial"/>
          <w:sz w:val="18"/>
          <w:szCs w:val="18"/>
          <w:color w:val="auto"/>
        </w:rPr>
        <w:t>Preparation and review of projected financial information utilized in the valuation of the business combination.</w:t>
      </w:r>
    </w:p>
    <w:p>
      <w:pPr>
        <w:spacing w:after="0" w:line="240" w:lineRule="exact"/>
        <w:rPr>
          <w:rFonts w:ascii="Arial" w:cs="Arial" w:eastAsia="Arial" w:hAnsi="Arial"/>
          <w:sz w:val="21"/>
          <w:szCs w:val="21"/>
          <w:color w:val="auto"/>
        </w:rPr>
      </w:pPr>
    </w:p>
    <w:p>
      <w:pPr>
        <w:ind w:left="1300" w:right="260" w:hanging="326"/>
        <w:spacing w:after="0" w:line="237" w:lineRule="auto"/>
        <w:tabs>
          <w:tab w:leader="none" w:pos="1296" w:val="left"/>
        </w:tabs>
        <w:numPr>
          <w:ilvl w:val="1"/>
          <w:numId w:val="33"/>
        </w:numPr>
        <w:rPr>
          <w:rFonts w:ascii="Arial" w:cs="Arial" w:eastAsia="Arial" w:hAnsi="Arial"/>
          <w:sz w:val="21"/>
          <w:szCs w:val="21"/>
          <w:color w:val="auto"/>
        </w:rPr>
      </w:pPr>
      <w:r>
        <w:rPr>
          <w:rFonts w:ascii="Arial" w:cs="Arial" w:eastAsia="Arial" w:hAnsi="Arial"/>
          <w:sz w:val="18"/>
          <w:szCs w:val="18"/>
          <w:color w:val="auto"/>
        </w:rPr>
        <w:t>Financial statement close process to ensure the consistent execution, accuracy, and timely review of account reconciliations, as well as review of the statement of cash flows.</w:t>
      </w:r>
    </w:p>
    <w:p>
      <w:pPr>
        <w:spacing w:after="0" w:line="201" w:lineRule="exact"/>
        <w:rPr>
          <w:rFonts w:ascii="Arial" w:cs="Arial" w:eastAsia="Arial" w:hAnsi="Arial"/>
          <w:sz w:val="21"/>
          <w:szCs w:val="21"/>
          <w:color w:val="auto"/>
        </w:rPr>
      </w:pPr>
    </w:p>
    <w:p>
      <w:pPr>
        <w:ind w:left="1300" w:hanging="326"/>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Coding of transactions within the purchase to disbursement cycle.</w:t>
      </w:r>
    </w:p>
    <w:p>
      <w:pPr>
        <w:spacing w:after="0" w:line="222" w:lineRule="exact"/>
        <w:rPr>
          <w:sz w:val="20"/>
          <w:szCs w:val="20"/>
          <w:color w:val="auto"/>
        </w:rPr>
      </w:pPr>
    </w:p>
    <w:p>
      <w:pPr>
        <w:ind w:right="100" w:firstLine="322"/>
        <w:spacing w:after="0" w:line="274" w:lineRule="auto"/>
        <w:rPr>
          <w:sz w:val="20"/>
          <w:szCs w:val="20"/>
          <w:color w:val="auto"/>
        </w:rPr>
      </w:pPr>
      <w:r>
        <w:rPr>
          <w:rFonts w:ascii="Arial" w:cs="Arial" w:eastAsia="Arial" w:hAnsi="Arial"/>
          <w:sz w:val="18"/>
          <w:szCs w:val="18"/>
          <w:color w:val="auto"/>
        </w:rPr>
        <w:t>These material weaknesses were partially related to employee turnover, resulting in a temporary shortage of qualified personnel to effectively perform the internal controls referenced above.</w:t>
      </w:r>
    </w:p>
    <w:p>
      <w:pPr>
        <w:spacing w:after="0" w:line="172" w:lineRule="exact"/>
        <w:rPr>
          <w:sz w:val="20"/>
          <w:szCs w:val="20"/>
          <w:color w:val="auto"/>
        </w:rPr>
      </w:pPr>
    </w:p>
    <w:p>
      <w:pPr>
        <w:ind w:right="200" w:firstLine="322"/>
        <w:spacing w:after="0" w:line="284" w:lineRule="auto"/>
        <w:rPr>
          <w:sz w:val="20"/>
          <w:szCs w:val="20"/>
          <w:color w:val="auto"/>
        </w:rPr>
      </w:pPr>
      <w:r>
        <w:rPr>
          <w:rFonts w:ascii="Arial" w:cs="Arial" w:eastAsia="Arial" w:hAnsi="Arial"/>
          <w:sz w:val="17"/>
          <w:szCs w:val="17"/>
          <w:color w:val="auto"/>
        </w:rPr>
        <w:t>Our independent registered public accounting firm, which has audited our consolidated financial statements, has also audited the effectiveness of our internal control over financial reporting as of December 31, 2021, and has issued an adverse opinion on the effectiveness of our internal control over financial reporting, as stated in their report, which is included in Item 8 of this Annual Report on Form 10-K.</w:t>
      </w:r>
    </w:p>
    <w:p>
      <w:pPr>
        <w:spacing w:after="0" w:line="165" w:lineRule="exact"/>
        <w:rPr>
          <w:sz w:val="20"/>
          <w:szCs w:val="20"/>
          <w:color w:val="auto"/>
        </w:rPr>
      </w:pPr>
    </w:p>
    <w:p>
      <w:pPr>
        <w:ind w:right="220" w:firstLine="322"/>
        <w:spacing w:after="0" w:line="274" w:lineRule="auto"/>
        <w:rPr>
          <w:sz w:val="20"/>
          <w:szCs w:val="20"/>
          <w:color w:val="auto"/>
        </w:rPr>
      </w:pPr>
      <w:r>
        <w:rPr>
          <w:rFonts w:ascii="Arial" w:cs="Arial" w:eastAsia="Arial" w:hAnsi="Arial"/>
          <w:sz w:val="18"/>
          <w:szCs w:val="18"/>
          <w:color w:val="auto"/>
        </w:rPr>
        <w:t>The Company is working to remediate the material weaknesses in internal control over financial reporting and is taking steps to improve the internal control environment. Specifically, the Company is:</w:t>
      </w:r>
    </w:p>
    <w:p>
      <w:pPr>
        <w:spacing w:after="0" w:line="172" w:lineRule="exact"/>
        <w:rPr>
          <w:sz w:val="20"/>
          <w:szCs w:val="20"/>
          <w:color w:val="auto"/>
        </w:rPr>
      </w:pPr>
    </w:p>
    <w:p>
      <w:pPr>
        <w:ind w:left="660" w:right="700" w:hanging="331"/>
        <w:spacing w:after="0" w:line="27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Hiring additional accounting personnel and implementing training of new and existing personnel on proper execution of designed control procedures;</w:t>
      </w:r>
    </w:p>
    <w:p>
      <w:pPr>
        <w:spacing w:after="0" w:line="171" w:lineRule="exact"/>
        <w:rPr>
          <w:rFonts w:ascii="Arial" w:cs="Arial" w:eastAsia="Arial" w:hAnsi="Arial"/>
          <w:sz w:val="18"/>
          <w:szCs w:val="18"/>
          <w:color w:val="auto"/>
        </w:rPr>
      </w:pPr>
    </w:p>
    <w:p>
      <w:pPr>
        <w:ind w:left="660" w:right="380" w:hanging="331"/>
        <w:spacing w:after="0" w:line="27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Enhancing processes, and designing and implementing internal controls around revenue recognition, software development costs, stock-based compensation, business combination, and financial close and reporting; and,</w:t>
      </w:r>
    </w:p>
    <w:p>
      <w:pPr>
        <w:spacing w:after="0" w:line="171" w:lineRule="exact"/>
        <w:rPr>
          <w:rFonts w:ascii="Arial" w:cs="Arial" w:eastAsia="Arial" w:hAnsi="Arial"/>
          <w:sz w:val="18"/>
          <w:szCs w:val="18"/>
          <w:color w:val="auto"/>
        </w:rPr>
      </w:pPr>
    </w:p>
    <w:p>
      <w:pPr>
        <w:ind w:left="640" w:hanging="31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Enhancing user access provisioning and monitoring controls to enforce appropriate system access and segregation of duties.</w:t>
      </w:r>
    </w:p>
    <w:p>
      <w:pPr>
        <w:spacing w:after="0" w:line="222" w:lineRule="exact"/>
        <w:rPr>
          <w:sz w:val="20"/>
          <w:szCs w:val="20"/>
          <w:color w:val="auto"/>
        </w:rPr>
      </w:pPr>
    </w:p>
    <w:p>
      <w:pPr>
        <w:ind w:right="600" w:firstLine="322"/>
        <w:spacing w:after="0" w:line="274" w:lineRule="auto"/>
        <w:rPr>
          <w:sz w:val="20"/>
          <w:szCs w:val="20"/>
          <w:color w:val="auto"/>
        </w:rPr>
      </w:pPr>
      <w:r>
        <w:rPr>
          <w:rFonts w:ascii="Arial" w:cs="Arial" w:eastAsia="Arial" w:hAnsi="Arial"/>
          <w:sz w:val="18"/>
          <w:szCs w:val="18"/>
          <w:color w:val="auto"/>
        </w:rPr>
        <w:t>The material weaknesses will be considered remediated when management concludes that, through testing, the applicable remedial controls are designed and implemented effectively.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2" w:lineRule="exact"/>
        <w:rPr>
          <w:sz w:val="20"/>
          <w:szCs w:val="20"/>
          <w:color w:val="auto"/>
        </w:rPr>
      </w:pPr>
    </w:p>
    <w:p>
      <w:pPr>
        <w:ind w:right="220" w:firstLine="322"/>
        <w:spacing w:after="0" w:line="339" w:lineRule="auto"/>
        <w:rPr>
          <w:sz w:val="20"/>
          <w:szCs w:val="20"/>
          <w:color w:val="auto"/>
        </w:rPr>
      </w:pPr>
      <w:r>
        <w:rPr>
          <w:rFonts w:ascii="Arial" w:cs="Arial" w:eastAsia="Arial" w:hAnsi="Arial"/>
          <w:sz w:val="16"/>
          <w:szCs w:val="16"/>
          <w:color w:val="auto"/>
        </w:rPr>
        <w:t>Other than the material weaknesses described above, there were no changes in our internal control over financial reporting that occurred during the quarter-ended December 31, 2021 that have materially affected, or are reasonably likely to materially effect,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3" w:name="page94"/>
    <w:bookmarkEnd w:id="9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PART III</w:t>
      </w:r>
    </w:p>
    <w:p>
      <w:pPr>
        <w:spacing w:after="0" w:line="228" w:lineRule="exact"/>
        <w:rPr>
          <w:sz w:val="20"/>
          <w:szCs w:val="20"/>
          <w:color w:val="auto"/>
        </w:rPr>
      </w:pPr>
    </w:p>
    <w:p>
      <w:pPr>
        <w:ind w:right="180" w:firstLine="322"/>
        <w:spacing w:after="0" w:line="257" w:lineRule="auto"/>
        <w:rPr>
          <w:sz w:val="20"/>
          <w:szCs w:val="20"/>
          <w:color w:val="auto"/>
        </w:rPr>
      </w:pPr>
      <w:r>
        <w:rPr>
          <w:rFonts w:ascii="Arial" w:cs="Arial" w:eastAsia="Arial" w:hAnsi="Arial"/>
          <w:sz w:val="18"/>
          <w:szCs w:val="18"/>
          <w:color w:val="auto"/>
        </w:rPr>
        <w:t>Certain information required by Part III is omitted from this Annual Report on Form 10-K since we intend to file our definitive proxy statement for our 2021 annual meeting of stockholders, or the Proxy Statement, pursuant to Regulation 14A of the Securities Exchange Act of 1934, as amended, not later than 120 days after the end of the fiscal year covered by this Annual Report on Form 10-K, and certain information to be included in the Proxy Statement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21" w:lineRule="exact"/>
        <w:rPr>
          <w:sz w:val="20"/>
          <w:szCs w:val="20"/>
          <w:color w:val="auto"/>
        </w:rPr>
      </w:pPr>
    </w:p>
    <w:p>
      <w:pPr>
        <w:ind w:right="120" w:firstLine="322"/>
        <w:spacing w:after="0" w:line="291" w:lineRule="auto"/>
        <w:rPr>
          <w:sz w:val="20"/>
          <w:szCs w:val="20"/>
          <w:color w:val="auto"/>
        </w:rPr>
      </w:pPr>
      <w:r>
        <w:rPr>
          <w:rFonts w:ascii="Arial" w:cs="Arial" w:eastAsia="Arial" w:hAnsi="Arial"/>
          <w:sz w:val="16"/>
          <w:szCs w:val="16"/>
          <w:color w:val="auto"/>
        </w:rPr>
        <w:t>Information required by this item regarding executive officers, directors and nominees for directors, including information with respect to our audit committee and audit committee financial expert, and the compliance of certain reporting persons with Section 16(a) of the Securities Exchange Act of 1934, as amended, will be included under Election of Directors, Biographical Information Concerning the Company’s Executive Officers, Section 16(a) Beneficial Ownership Reporting Compliance, Corporate Governance, Independence of Directors, Board of Directors Nomination Process, Role in Risk Oversight, Meetings of the Board of Directors and Committees of the Board of Directors, as well as Audit Committee, Management Development and Compensation Committee, and Nominating and Corporate Governance Committee, in the Proxy Statement and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21" w:lineRule="exact"/>
        <w:rPr>
          <w:sz w:val="20"/>
          <w:szCs w:val="20"/>
          <w:color w:val="auto"/>
        </w:rPr>
      </w:pPr>
    </w:p>
    <w:p>
      <w:pPr>
        <w:ind w:right="820" w:firstLine="322"/>
        <w:spacing w:after="0" w:line="274" w:lineRule="auto"/>
        <w:rPr>
          <w:sz w:val="20"/>
          <w:szCs w:val="20"/>
          <w:color w:val="auto"/>
        </w:rPr>
      </w:pPr>
      <w:r>
        <w:rPr>
          <w:rFonts w:ascii="Arial" w:cs="Arial" w:eastAsia="Arial" w:hAnsi="Arial"/>
          <w:sz w:val="18"/>
          <w:szCs w:val="18"/>
          <w:color w:val="auto"/>
        </w:rPr>
        <w:t>The information required by this item will be included in our Proxy Statement under Compensation of Executive Officers and Directors and is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21" w:lineRule="exact"/>
        <w:rPr>
          <w:sz w:val="20"/>
          <w:szCs w:val="20"/>
          <w:color w:val="auto"/>
        </w:rPr>
      </w:pPr>
    </w:p>
    <w:p>
      <w:pPr>
        <w:ind w:right="1040" w:firstLine="322"/>
        <w:spacing w:after="0" w:line="274" w:lineRule="auto"/>
        <w:rPr>
          <w:sz w:val="20"/>
          <w:szCs w:val="20"/>
          <w:color w:val="auto"/>
        </w:rPr>
      </w:pPr>
      <w:r>
        <w:rPr>
          <w:rFonts w:ascii="Arial" w:cs="Arial" w:eastAsia="Arial" w:hAnsi="Arial"/>
          <w:sz w:val="18"/>
          <w:szCs w:val="18"/>
          <w:color w:val="auto"/>
        </w:rPr>
        <w:t>The information required by this item will be included in our Proxy Statement under Security Ownership of Certain Beneficial Owners and Management and is incorporated herein by reference.</w:t>
      </w:r>
    </w:p>
    <w:p>
      <w:pPr>
        <w:spacing w:after="0" w:line="172" w:lineRule="exact"/>
        <w:rPr>
          <w:sz w:val="20"/>
          <w:szCs w:val="20"/>
          <w:color w:val="auto"/>
        </w:rPr>
      </w:pPr>
    </w:p>
    <w:p>
      <w:pPr>
        <w:ind w:right="460" w:firstLine="322"/>
        <w:spacing w:after="0" w:line="274" w:lineRule="auto"/>
        <w:rPr>
          <w:sz w:val="20"/>
          <w:szCs w:val="20"/>
          <w:color w:val="auto"/>
        </w:rPr>
      </w:pPr>
      <w:r>
        <w:rPr>
          <w:rFonts w:ascii="Arial" w:cs="Arial" w:eastAsia="Arial" w:hAnsi="Arial"/>
          <w:sz w:val="18"/>
          <w:szCs w:val="18"/>
          <w:color w:val="auto"/>
        </w:rPr>
        <w:t>The following table summarizes certain information regarding shares of our common stock that may be issued pursuant to our equity compensation plans existing as of December 31, 2021:</w:t>
      </w:r>
    </w:p>
    <w:p>
      <w:pPr>
        <w:sectPr>
          <w:pgSz w:w="11900" w:h="16838" w:orient="portrait"/>
          <w:cols w:equalWidth="0" w:num="1">
            <w:col w:w="11340"/>
          </w:cols>
          <w:pgMar w:left="32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320"/>
        <w:spacing w:after="0" w:line="283" w:lineRule="auto"/>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Equity compensation plans not approved by security holders</w:t>
      </w:r>
    </w:p>
    <w:p>
      <w:pPr>
        <w:ind w:left="6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Number of</w:t>
      </w:r>
    </w:p>
    <w:p>
      <w:pPr>
        <w:spacing w:after="0" w:line="224" w:lineRule="auto"/>
        <w:rPr>
          <w:sz w:val="20"/>
          <w:szCs w:val="20"/>
          <w:color w:val="auto"/>
        </w:rPr>
      </w:pPr>
      <w:r>
        <w:rPr>
          <w:rFonts w:ascii="Arial" w:cs="Arial" w:eastAsia="Arial" w:hAnsi="Arial"/>
          <w:sz w:val="15"/>
          <w:szCs w:val="15"/>
          <w:color w:val="auto"/>
        </w:rPr>
        <w:t>securities to be issued</w:t>
      </w:r>
    </w:p>
    <w:p>
      <w:pPr>
        <w:spacing w:after="0" w:line="210" w:lineRule="auto"/>
        <w:rPr>
          <w:sz w:val="20"/>
          <w:szCs w:val="20"/>
          <w:color w:val="auto"/>
        </w:rPr>
      </w:pPr>
      <w:r>
        <w:rPr>
          <w:rFonts w:ascii="Arial" w:cs="Arial" w:eastAsia="Arial" w:hAnsi="Arial"/>
          <w:sz w:val="16"/>
          <w:szCs w:val="16"/>
          <w:color w:val="auto"/>
        </w:rPr>
        <w:t>upon exercise of</w:t>
      </w:r>
    </w:p>
    <w:p>
      <w:pPr>
        <w:spacing w:after="0" w:line="210" w:lineRule="auto"/>
        <w:rPr>
          <w:sz w:val="20"/>
          <w:szCs w:val="20"/>
          <w:color w:val="auto"/>
        </w:rPr>
      </w:pPr>
      <w:r>
        <w:rPr>
          <w:rFonts w:ascii="Arial" w:cs="Arial" w:eastAsia="Arial" w:hAnsi="Arial"/>
          <w:sz w:val="16"/>
          <w:szCs w:val="16"/>
          <w:color w:val="auto"/>
        </w:rPr>
        <w:t>outstanding options,</w:t>
      </w:r>
    </w:p>
    <w:p>
      <w:pPr>
        <w:spacing w:after="0"/>
        <w:rPr>
          <w:sz w:val="20"/>
          <w:szCs w:val="20"/>
          <w:color w:val="auto"/>
        </w:rPr>
      </w:pPr>
      <w:r>
        <w:rPr>
          <w:rFonts w:ascii="Arial" w:cs="Arial" w:eastAsia="Arial" w:hAnsi="Arial"/>
          <w:sz w:val="16"/>
          <w:szCs w:val="16"/>
          <w:color w:val="auto"/>
        </w:rPr>
        <w:t>warrants and right</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3,523,335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-130175</wp:posOffset>
            </wp:positionV>
            <wp:extent cx="6991985" cy="1447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1985" cy="14478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158750</wp:posOffset>
            </wp:positionV>
            <wp:extent cx="6991985" cy="170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1985" cy="170180"/>
                    </a:xfrm>
                    <a:prstGeom prst="rect">
                      <a:avLst/>
                    </a:prstGeom>
                    <a:noFill/>
                  </pic:spPr>
                </pic:pic>
              </a:graphicData>
            </a:graphic>
          </wp:anchor>
        </w:drawing>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3,523,335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10312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322"/>
        <w:spacing w:after="0" w:line="266" w:lineRule="auto"/>
        <w:rPr>
          <w:sz w:val="20"/>
          <w:szCs w:val="20"/>
          <w:color w:val="auto"/>
        </w:rPr>
      </w:pPr>
      <w:r>
        <w:rPr>
          <w:rFonts w:ascii="Arial" w:cs="Arial" w:eastAsia="Arial" w:hAnsi="Arial"/>
          <w:sz w:val="14"/>
          <w:szCs w:val="14"/>
          <w:color w:val="auto"/>
        </w:rPr>
        <w:t>Weighted-average exercise price of outstanding options, warrants and rights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w:t>
      </w:r>
    </w:p>
    <w:p>
      <w:pPr>
        <w:spacing w:after="0" w:line="26" w:lineRule="exact"/>
        <w:rPr>
          <w:sz w:val="20"/>
          <w:szCs w:val="20"/>
          <w:color w:val="auto"/>
        </w:rPr>
      </w:pPr>
    </w:p>
    <w:p>
      <w:pPr>
        <w:ind w:left="1680" w:hanging="1362"/>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34</w:t>
      </w:r>
    </w:p>
    <w:p>
      <w:pPr>
        <w:spacing w:after="0" w:line="312" w:lineRule="exact"/>
        <w:rPr>
          <w:rFonts w:ascii="Arial" w:cs="Arial" w:eastAsia="Arial" w:hAnsi="Arial"/>
          <w:sz w:val="16"/>
          <w:szCs w:val="16"/>
          <w:color w:val="auto"/>
        </w:rPr>
      </w:pPr>
    </w:p>
    <w:p>
      <w:pPr>
        <w:ind w:left="1680" w:hanging="1362"/>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Number of</w:t>
      </w:r>
    </w:p>
    <w:p>
      <w:pPr>
        <w:spacing w:after="0" w:line="210" w:lineRule="auto"/>
        <w:rPr>
          <w:sz w:val="20"/>
          <w:szCs w:val="20"/>
          <w:color w:val="auto"/>
        </w:rPr>
      </w:pPr>
      <w:r>
        <w:rPr>
          <w:rFonts w:ascii="Arial" w:cs="Arial" w:eastAsia="Arial" w:hAnsi="Arial"/>
          <w:sz w:val="16"/>
          <w:szCs w:val="16"/>
          <w:color w:val="auto"/>
        </w:rPr>
        <w:t>securities remaining</w:t>
      </w:r>
    </w:p>
    <w:p>
      <w:pPr>
        <w:spacing w:after="0" w:line="210" w:lineRule="auto"/>
        <w:rPr>
          <w:sz w:val="20"/>
          <w:szCs w:val="20"/>
          <w:color w:val="auto"/>
        </w:rPr>
      </w:pPr>
      <w:r>
        <w:rPr>
          <w:rFonts w:ascii="Arial" w:cs="Arial" w:eastAsia="Arial" w:hAnsi="Arial"/>
          <w:sz w:val="16"/>
          <w:szCs w:val="16"/>
          <w:color w:val="auto"/>
        </w:rPr>
        <w:t>available for future</w:t>
      </w:r>
    </w:p>
    <w:p>
      <w:pPr>
        <w:spacing w:after="0" w:line="224" w:lineRule="auto"/>
        <w:rPr>
          <w:sz w:val="20"/>
          <w:szCs w:val="20"/>
          <w:color w:val="auto"/>
        </w:rPr>
      </w:pPr>
      <w:r>
        <w:rPr>
          <w:rFonts w:ascii="Arial" w:cs="Arial" w:eastAsia="Arial" w:hAnsi="Arial"/>
          <w:sz w:val="15"/>
          <w:szCs w:val="15"/>
          <w:color w:val="auto"/>
        </w:rPr>
        <w:t>issuance under equity</w:t>
      </w:r>
    </w:p>
    <w:p>
      <w:pPr>
        <w:spacing w:after="0" w:line="210" w:lineRule="auto"/>
        <w:rPr>
          <w:sz w:val="20"/>
          <w:szCs w:val="20"/>
          <w:color w:val="auto"/>
        </w:rPr>
      </w:pPr>
      <w:r>
        <w:rPr>
          <w:rFonts w:ascii="Arial" w:cs="Arial" w:eastAsia="Arial" w:hAnsi="Arial"/>
          <w:sz w:val="16"/>
          <w:szCs w:val="16"/>
          <w:color w:val="auto"/>
        </w:rPr>
        <w:t>compensation plans</w:t>
      </w:r>
    </w:p>
    <w:p>
      <w:pPr>
        <w:spacing w:after="0" w:line="210" w:lineRule="auto"/>
        <w:rPr>
          <w:sz w:val="20"/>
          <w:szCs w:val="20"/>
          <w:color w:val="auto"/>
        </w:rPr>
      </w:pPr>
      <w:r>
        <w:rPr>
          <w:rFonts w:ascii="Arial" w:cs="Arial" w:eastAsia="Arial" w:hAnsi="Arial"/>
          <w:sz w:val="16"/>
          <w:szCs w:val="16"/>
          <w:color w:val="auto"/>
        </w:rPr>
        <w:t>(excluding securities</w:t>
      </w:r>
    </w:p>
    <w:p>
      <w:pPr>
        <w:spacing w:after="0"/>
        <w:rPr>
          <w:sz w:val="20"/>
          <w:szCs w:val="20"/>
          <w:color w:val="auto"/>
        </w:rPr>
      </w:pPr>
      <w:r>
        <w:rPr>
          <w:rFonts w:ascii="Arial" w:cs="Arial" w:eastAsia="Arial" w:hAnsi="Arial"/>
          <w:sz w:val="15"/>
          <w:szCs w:val="15"/>
          <w:color w:val="auto"/>
        </w:rPr>
        <w:t>reflected in column (a))</w:t>
      </w:r>
    </w:p>
    <w:p>
      <w:pPr>
        <w:spacing w:after="0" w:line="2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5,609,814</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5,609,814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39370</wp:posOffset>
            </wp:positionV>
            <wp:extent cx="991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4">
            <w:col w:w="5320" w:space="720"/>
            <w:col w:w="1540" w:space="180"/>
            <w:col w:w="1860" w:space="180"/>
            <w:col w:w="1540"/>
          </w:cols>
          <w:pgMar w:left="320" w:top="125" w:right="239" w:bottom="1440" w:gutter="0" w:footer="0" w:header="0"/>
          <w:type w:val="continuous"/>
        </w:sectPr>
      </w:pPr>
    </w:p>
    <w:p>
      <w:pPr>
        <w:spacing w:after="0" w:line="143" w:lineRule="exact"/>
        <w:rPr>
          <w:sz w:val="20"/>
          <w:szCs w:val="20"/>
          <w:color w:val="auto"/>
        </w:rPr>
      </w:pPr>
    </w:p>
    <w:p>
      <w:pPr>
        <w:ind w:left="500" w:hanging="171"/>
        <w:spacing w:after="0"/>
        <w:tabs>
          <w:tab w:leader="none" w:pos="50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Consists of the Company's 2016 Omnibus Long-Term Incentive Plan, as amended.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21" w:lineRule="exact"/>
        <w:rPr>
          <w:sz w:val="20"/>
          <w:szCs w:val="20"/>
          <w:color w:val="auto"/>
        </w:rPr>
      </w:pPr>
    </w:p>
    <w:p>
      <w:pPr>
        <w:ind w:right="140" w:firstLine="322"/>
        <w:spacing w:after="0" w:line="274" w:lineRule="auto"/>
        <w:rPr>
          <w:sz w:val="20"/>
          <w:szCs w:val="20"/>
          <w:color w:val="auto"/>
        </w:rPr>
      </w:pPr>
      <w:r>
        <w:rPr>
          <w:rFonts w:ascii="Arial" w:cs="Arial" w:eastAsia="Arial" w:hAnsi="Arial"/>
          <w:sz w:val="18"/>
          <w:szCs w:val="18"/>
          <w:color w:val="auto"/>
        </w:rPr>
        <w:t>The information required by this item will be included in our Proxy Statement under Certain Relationships and Related Transactions, and Independence of Directors and is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21" w:lineRule="exact"/>
        <w:rPr>
          <w:sz w:val="20"/>
          <w:szCs w:val="20"/>
          <w:color w:val="auto"/>
        </w:rPr>
      </w:pPr>
    </w:p>
    <w:p>
      <w:pPr>
        <w:ind w:right="980" w:firstLine="322"/>
        <w:spacing w:after="0" w:line="274" w:lineRule="auto"/>
        <w:rPr>
          <w:sz w:val="20"/>
          <w:szCs w:val="20"/>
          <w:color w:val="auto"/>
        </w:rPr>
      </w:pPr>
      <w:r>
        <w:rPr>
          <w:rFonts w:ascii="Arial" w:cs="Arial" w:eastAsia="Arial" w:hAnsi="Arial"/>
          <w:sz w:val="18"/>
          <w:szCs w:val="18"/>
          <w:color w:val="auto"/>
        </w:rPr>
        <w:t>The information required by this item will be included in our Proxy Statement under Independent Registered Public Accounting Firm and is incorporated herein by reference.</w:t>
      </w:r>
    </w:p>
    <w:p>
      <w:pPr>
        <w:spacing w:after="0" w:line="200" w:lineRule="exact"/>
        <w:rPr>
          <w:sz w:val="20"/>
          <w:szCs w:val="20"/>
          <w:color w:val="auto"/>
        </w:rPr>
      </w:pPr>
    </w:p>
    <w:p>
      <w:pPr>
        <w:spacing w:after="0" w:line="30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type w:val="continuous"/>
        </w:sectPr>
      </w:pPr>
    </w:p>
    <w:bookmarkStart w:id="94" w:name="page95"/>
    <w:bookmarkEnd w:id="9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PART IV</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21" w:lineRule="exact"/>
        <w:rPr>
          <w:sz w:val="20"/>
          <w:szCs w:val="20"/>
          <w:color w:val="auto"/>
        </w:rPr>
      </w:pPr>
    </w:p>
    <w:p>
      <w:pPr>
        <w:ind w:left="740" w:hanging="411"/>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 xml:space="preserve">As listed in the Index to Financial Statements and Supplementary Data on </w:t>
      </w:r>
      <w:hyperlink w:anchor="page48">
        <w:r>
          <w:rPr>
            <w:rFonts w:ascii="Arial" w:cs="Arial" w:eastAsia="Arial" w:hAnsi="Arial"/>
            <w:sz w:val="18"/>
            <w:szCs w:val="18"/>
            <w:u w:val="single" w:color="auto"/>
            <w:color w:val="0000FF"/>
          </w:rPr>
          <w:t>page 49</w:t>
        </w:r>
      </w:hyperlink>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left="740" w:hanging="411"/>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2" w:lineRule="exact"/>
        <w:rPr>
          <w:rFonts w:ascii="Arial" w:cs="Arial" w:eastAsia="Arial" w:hAnsi="Arial"/>
          <w:sz w:val="18"/>
          <w:szCs w:val="18"/>
          <w:color w:val="auto"/>
        </w:rPr>
      </w:pPr>
    </w:p>
    <w:p>
      <w:pPr>
        <w:ind w:left="740"/>
        <w:spacing w:after="0" w:line="274" w:lineRule="auto"/>
        <w:rPr>
          <w:rFonts w:ascii="Arial" w:cs="Arial" w:eastAsia="Arial" w:hAnsi="Arial"/>
          <w:sz w:val="18"/>
          <w:szCs w:val="18"/>
          <w:color w:val="auto"/>
        </w:rPr>
      </w:pPr>
      <w:r>
        <w:rPr>
          <w:rFonts w:ascii="Arial" w:cs="Arial" w:eastAsia="Arial" w:hAnsi="Arial"/>
          <w:sz w:val="18"/>
          <w:szCs w:val="18"/>
          <w:color w:val="auto"/>
        </w:rPr>
        <w:t>All schedules are omitted as the required information is not applicable or the information is presented in the consolidated financial statements or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95" w:name="page96"/>
    <w:bookmarkEnd w:id="95"/>
    <w:p>
      <w:pPr>
        <w:spacing w:after="0"/>
        <w:rPr>
          <w:rFonts w:ascii="Arial" w:cs="Arial" w:eastAsia="Arial" w:hAnsi="Arial"/>
          <w:sz w:val="17"/>
          <w:szCs w:val="17"/>
          <w:i w:val="1"/>
          <w:iCs w:val="1"/>
          <w:u w:val="single" w:color="auto"/>
          <w:color w:val="auto"/>
        </w:rPr>
      </w:pPr>
      <w:hyperlink w:anchor="page2">
        <w:r>
          <w:rPr>
            <w:rFonts w:ascii="Arial" w:cs="Arial" w:eastAsia="Arial" w:hAnsi="Arial"/>
            <w:sz w:val="17"/>
            <w:szCs w:val="17"/>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40" w:hanging="411"/>
        <w:spacing w:after="0"/>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Exhibits:</w:t>
      </w:r>
    </w:p>
    <w:p>
      <w:pPr>
        <w:spacing w:after="0" w:line="165" w:lineRule="exact"/>
        <w:rPr>
          <w:sz w:val="20"/>
          <w:szCs w:val="20"/>
          <w:color w:val="auto"/>
        </w:rPr>
      </w:pPr>
    </w:p>
    <w:p>
      <w:pPr>
        <w:jc w:val="center"/>
        <w:ind w:left="20"/>
        <w:spacing w:after="0"/>
        <w:rPr>
          <w:sz w:val="20"/>
          <w:szCs w:val="20"/>
          <w:color w:val="auto"/>
        </w:rPr>
      </w:pPr>
      <w:r>
        <w:rPr>
          <w:rFonts w:ascii="Arial" w:cs="Arial" w:eastAsia="Arial" w:hAnsi="Arial"/>
          <w:sz w:val="18"/>
          <w:szCs w:val="18"/>
          <w:u w:val="single" w:color="auto"/>
          <w:color w:val="auto"/>
        </w:rPr>
        <w:t>Exhibit Number</w:t>
      </w:r>
    </w:p>
    <w:p>
      <w:pPr>
        <w:spacing w:after="0" w:line="22" w:lineRule="exact"/>
        <w:rPr>
          <w:sz w:val="20"/>
          <w:szCs w:val="20"/>
          <w:color w:val="auto"/>
        </w:rPr>
      </w:pPr>
    </w:p>
    <w:p>
      <w:pPr>
        <w:ind w:left="58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3.1</w:t>
        </w:r>
      </w:hyperlink>
    </w:p>
    <w:p>
      <w:pPr>
        <w:spacing w:after="0" w:line="275" w:lineRule="exact"/>
        <w:rPr>
          <w:sz w:val="20"/>
          <w:szCs w:val="20"/>
          <w:color w:val="auto"/>
        </w:rPr>
      </w:pPr>
    </w:p>
    <w:p>
      <w:pPr>
        <w:ind w:left="580"/>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3.2</w:t>
        </w:r>
      </w:hyperlink>
    </w:p>
    <w:p>
      <w:pPr>
        <w:spacing w:after="0" w:line="276" w:lineRule="exact"/>
        <w:rPr>
          <w:sz w:val="20"/>
          <w:szCs w:val="20"/>
          <w:color w:val="auto"/>
        </w:rPr>
      </w:pPr>
    </w:p>
    <w:p>
      <w:pPr>
        <w:ind w:left="58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4.1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Description</w:t>
      </w:r>
    </w:p>
    <w:p>
      <w:pPr>
        <w:spacing w:after="0" w:line="35" w:lineRule="exact"/>
        <w:rPr>
          <w:sz w:val="20"/>
          <w:szCs w:val="20"/>
          <w:color w:val="auto"/>
        </w:rPr>
      </w:pPr>
    </w:p>
    <w:p>
      <w:pPr>
        <w:ind w:right="100"/>
        <w:spacing w:after="0" w:line="274" w:lineRule="auto"/>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Second Articles of Amendment and Restatement of Telos Corporation dated November 12, 2020 (Incorporated by reference to Exhibit</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3.1 filed with the Company’s Current Report on Form 8-K report on November 16, 2020)</w:t>
        </w:r>
      </w:hyperlink>
    </w:p>
    <w:p>
      <w:pPr>
        <w:spacing w:after="0" w:line="11" w:lineRule="exact"/>
        <w:rPr>
          <w:sz w:val="20"/>
          <w:szCs w:val="20"/>
          <w:color w:val="auto"/>
        </w:rPr>
      </w:pPr>
    </w:p>
    <w:p>
      <w:pPr>
        <w:ind w:right="260"/>
        <w:spacing w:after="0" w:line="274" w:lineRule="auto"/>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Third Amended and Restated Bylaws of Telos Corporation, effective as of March 23, 2021 (Incorporated by reference to Exhibit 3.2</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filed with the Company's Form 10-K report for the year ended December 31, 2020)</w:t>
        </w:r>
      </w:hyperlink>
    </w:p>
    <w:p>
      <w:pPr>
        <w:spacing w:after="0" w:line="11" w:lineRule="exact"/>
        <w:rPr>
          <w:sz w:val="20"/>
          <w:szCs w:val="20"/>
          <w:color w:val="auto"/>
        </w:rPr>
      </w:pPr>
    </w:p>
    <w:p>
      <w:pPr>
        <w:ind w:right="680"/>
        <w:spacing w:after="0" w:line="261" w:lineRule="auto"/>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Credit Agreement, dated January 25, 2017, among Telos Corporation, Xacta Corporation, ubIQuity.com, Inc., Teloworks, Inc.,</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Enlightenment Capital Solutions Fund II, L.P., and the lenders party thereto (Incorporated by reference to Exhibit 4.1 to the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Company’s Current Report on Form 8-K filed on January 31, 2017)</w:t>
        </w:r>
      </w:hyperlink>
    </w:p>
    <w:p>
      <w:pPr>
        <w:spacing w:after="0" w:line="9" w:lineRule="exact"/>
        <w:rPr>
          <w:rFonts w:ascii="Arial" w:cs="Arial" w:eastAsia="Arial" w:hAnsi="Arial"/>
          <w:sz w:val="18"/>
          <w:szCs w:val="18"/>
          <w:u w:val="single" w:color="auto"/>
          <w:color w:val="0000FF"/>
        </w:rPr>
      </w:pPr>
    </w:p>
    <w:p>
      <w:pPr>
        <w:sectPr>
          <w:pgSz w:w="11900" w:h="16838" w:orient="portrait"/>
          <w:cols w:equalWidth="0" w:num="2">
            <w:col w:w="1380" w:space="140"/>
            <w:col w:w="9720"/>
          </w:cols>
          <w:pgMar w:left="320" w:top="125" w:right="339" w:bottom="1440" w:gutter="0" w:footer="0" w:header="0"/>
        </w:sectPr>
      </w:pPr>
    </w:p>
    <w:p>
      <w:pPr>
        <w:ind w:left="580"/>
        <w:spacing w:after="0"/>
        <w:rPr>
          <w:rFonts w:ascii="Arial" w:cs="Arial" w:eastAsia="Arial" w:hAnsi="Arial"/>
          <w:sz w:val="17"/>
          <w:szCs w:val="17"/>
          <w:u w:val="single" w:color="auto"/>
          <w:color w:val="0000FF"/>
        </w:rPr>
      </w:pPr>
      <w:hyperlink r:id="rId134">
        <w:r>
          <w:rPr>
            <w:rFonts w:ascii="Arial" w:cs="Arial" w:eastAsia="Arial" w:hAnsi="Arial"/>
            <w:sz w:val="17"/>
            <w:szCs w:val="17"/>
            <w:u w:val="single" w:color="auto"/>
            <w:color w:val="0000FF"/>
          </w:rPr>
          <w:t>4.2</w:t>
        </w:r>
      </w:hyperlink>
    </w:p>
    <w:p>
      <w:pPr>
        <w:spacing w:after="0" w:line="200" w:lineRule="exact"/>
        <w:rPr>
          <w:rFonts w:ascii="Arial" w:cs="Arial" w:eastAsia="Arial" w:hAnsi="Arial"/>
          <w:sz w:val="18"/>
          <w:szCs w:val="18"/>
          <w:u w:val="single" w:color="auto"/>
          <w:color w:val="0000FF"/>
        </w:rPr>
      </w:pPr>
    </w:p>
    <w:p>
      <w:pPr>
        <w:spacing w:after="0" w:line="302" w:lineRule="exact"/>
        <w:rPr>
          <w:rFonts w:ascii="Arial" w:cs="Arial" w:eastAsia="Arial" w:hAnsi="Arial"/>
          <w:sz w:val="18"/>
          <w:szCs w:val="18"/>
          <w:u w:val="single" w:color="auto"/>
          <w:color w:val="0000FF"/>
        </w:rPr>
      </w:pPr>
    </w:p>
    <w:p>
      <w:pPr>
        <w:ind w:left="580"/>
        <w:spacing w:after="0"/>
        <w:rPr>
          <w:rFonts w:ascii="Arial" w:cs="Arial" w:eastAsia="Arial" w:hAnsi="Arial"/>
          <w:sz w:val="17"/>
          <w:szCs w:val="17"/>
          <w:u w:val="single" w:color="auto"/>
          <w:color w:val="0000FF"/>
        </w:rPr>
      </w:pPr>
      <w:hyperlink r:id="rId135">
        <w:r>
          <w:rPr>
            <w:rFonts w:ascii="Arial" w:cs="Arial" w:eastAsia="Arial" w:hAnsi="Arial"/>
            <w:sz w:val="17"/>
            <w:szCs w:val="17"/>
            <w:u w:val="single" w:color="auto"/>
            <w:color w:val="0000FF"/>
          </w:rPr>
          <w:t>4.3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440"/>
        <w:spacing w:after="0" w:line="303" w:lineRule="auto"/>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First Amendment to Credit Agreement, effective as of February 23, 2017, among Telos Corporation, Xacta Corporation,</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ubIQuity.com, Inc., Teloworks, Inc., Enlightenment Capital Solutions Fund II, L.P., and the lenders party thereto (Incorporated by</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reference to Exhibit 4.2 filed with the Company’s Form 10-K report for the year ended December 31, 2016)</w:t>
        </w:r>
      </w:hyperlink>
    </w:p>
    <w:p>
      <w:pPr>
        <w:spacing w:after="0" w:line="1" w:lineRule="exact"/>
        <w:rPr>
          <w:rFonts w:ascii="Arial" w:cs="Arial" w:eastAsia="Arial" w:hAnsi="Arial"/>
          <w:sz w:val="16"/>
          <w:szCs w:val="16"/>
          <w:u w:val="single" w:color="auto"/>
          <w:color w:val="0000FF"/>
        </w:rPr>
      </w:pPr>
    </w:p>
    <w:p>
      <w:pPr>
        <w:ind w:right="140"/>
        <w:spacing w:after="0" w:line="261" w:lineRule="auto"/>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Second Amendment to Credit Agreement, dated April 18, 2017, among Telos Corporation, Xacta Corporation, ubIQuity.com, Inc.,</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Teloworks, Inc., Enlightenment Capital Solutions Fund II, L.P., and the lenders party thereto (Incorporated by reference to Exhibit 4.1</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filed with the Company’s Current Report on Form 8-K on April 24, 2017)</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820" w:space="700"/>
            <w:col w:w="9720"/>
          </w:cols>
          <w:pgMar w:left="320" w:top="125" w:right="339" w:bottom="1440" w:gutter="0" w:footer="0" w:header="0"/>
          <w:type w:val="continuous"/>
        </w:sectPr>
      </w:pPr>
    </w:p>
    <w:tbl>
      <w:tblPr>
        <w:tblLayout w:type="fixed"/>
        <w:tblInd w:w="580" w:type="dxa"/>
        <w:tblCellMar>
          <w:top w:w="0" w:type="dxa"/>
          <w:left w:w="0" w:type="dxa"/>
          <w:bottom w:w="0" w:type="dxa"/>
          <w:right w:w="0" w:type="dxa"/>
        </w:tblCellMar>
      </w:tblPr>
      <w:tr>
        <w:trPr>
          <w:trHeight w:val="198"/>
        </w:trPr>
        <w:tc>
          <w:tcPr>
            <w:tcW w:w="240" w:type="dxa"/>
            <w:vAlign w:val="bottom"/>
          </w:tcPr>
          <w:p>
            <w:pPr>
              <w:jc w:val="right"/>
              <w:spacing w:after="0" w:line="178" w:lineRule="exact"/>
              <w:rPr>
                <w:rFonts w:ascii="Arial" w:cs="Arial" w:eastAsia="Arial" w:hAnsi="Arial"/>
                <w:sz w:val="18"/>
                <w:szCs w:val="18"/>
                <w:color w:val="0000FF"/>
                <w:w w:val="87"/>
              </w:rPr>
            </w:pPr>
            <w:hyperlink r:id="rId13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700" w:type="dxa"/>
            <w:vAlign w:val="bottom"/>
          </w:tcPr>
          <w:p>
            <w:pPr>
              <w:spacing w:after="0"/>
              <w:rPr>
                <w:sz w:val="17"/>
                <w:szCs w:val="17"/>
                <w:color w:val="auto"/>
              </w:rPr>
            </w:pPr>
          </w:p>
        </w:tc>
        <w:tc>
          <w:tcPr>
            <w:tcW w:w="9300" w:type="dxa"/>
            <w:vAlign w:val="bottom"/>
            <w:gridSpan w:val="3"/>
          </w:tcPr>
          <w:p>
            <w:pPr>
              <w:spacing w:after="0" w:line="178" w:lineRule="exact"/>
              <w:rPr>
                <w:rFonts w:ascii="Arial" w:cs="Arial" w:eastAsia="Arial" w:hAnsi="Arial"/>
                <w:sz w:val="18"/>
                <w:szCs w:val="18"/>
                <w:color w:val="0000FF"/>
                <w:w w:val="93"/>
              </w:rPr>
            </w:pPr>
            <w:hyperlink r:id="rId136">
              <w:r>
                <w:rPr>
                  <w:rFonts w:ascii="Arial" w:cs="Arial" w:eastAsia="Arial" w:hAnsi="Arial"/>
                  <w:sz w:val="18"/>
                  <w:szCs w:val="18"/>
                  <w:color w:val="0000FF"/>
                  <w:w w:val="93"/>
                </w:rPr>
                <w:t>Subordination and Intercreditor Agreement, dated April 18, 2017, among JP Charitable Foundation, Telos Corporation, Xacta</w:t>
              </w:r>
            </w:hyperlink>
          </w:p>
        </w:tc>
      </w:tr>
      <w:tr>
        <w:trPr>
          <w:trHeight w:val="27"/>
        </w:trPr>
        <w:tc>
          <w:tcPr>
            <w:tcW w:w="24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6120" w:type="dxa"/>
            <w:vAlign w:val="bottom"/>
            <w:shd w:val="clear" w:color="auto" w:fill="0000FF"/>
          </w:tcPr>
          <w:p>
            <w:pPr>
              <w:spacing w:after="0"/>
              <w:rPr>
                <w:sz w:val="2"/>
                <w:szCs w:val="2"/>
                <w:color w:val="auto"/>
              </w:rPr>
            </w:pPr>
          </w:p>
        </w:tc>
        <w:tc>
          <w:tcPr>
            <w:tcW w:w="286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201"/>
        </w:trPr>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00" w:type="dxa"/>
            <w:vAlign w:val="bottom"/>
            <w:tcBorders>
              <w:bottom w:val="single" w:sz="8" w:color="0000FF"/>
            </w:tcBorders>
            <w:gridSpan w:val="3"/>
          </w:tcPr>
          <w:p>
            <w:pPr>
              <w:spacing w:after="0" w:line="201"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Corporation, ubIQuity.com, Inc., Teloworks, Inc., and Enlightenment Capital Solutions Fund II, L.P. (Incorporated by reference to</w:t>
              </w:r>
            </w:hyperlink>
          </w:p>
        </w:tc>
      </w:tr>
      <w:tr>
        <w:trPr>
          <w:trHeight w:val="195"/>
        </w:trPr>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300" w:type="dxa"/>
            <w:vAlign w:val="bottom"/>
            <w:gridSpan w:val="3"/>
          </w:tcPr>
          <w:p>
            <w:pPr>
              <w:spacing w:after="0" w:line="195" w:lineRule="exact"/>
              <w:rPr>
                <w:rFonts w:ascii="Arial" w:cs="Arial" w:eastAsia="Arial" w:hAnsi="Arial"/>
                <w:sz w:val="18"/>
                <w:szCs w:val="18"/>
                <w:color w:val="0000FF"/>
              </w:rPr>
            </w:pPr>
            <w:hyperlink r:id="rId136">
              <w:r>
                <w:rPr>
                  <w:rFonts w:ascii="Arial" w:cs="Arial" w:eastAsia="Arial" w:hAnsi="Arial"/>
                  <w:sz w:val="18"/>
                  <w:szCs w:val="18"/>
                  <w:color w:val="0000FF"/>
                </w:rPr>
                <w:t>Exhibit 4.2 filed with the Company’s Current Report on Form 8-K on April 24, 2017)</w:t>
              </w:r>
            </w:hyperlink>
          </w:p>
        </w:tc>
      </w:tr>
      <w:tr>
        <w:trPr>
          <w:trHeight w:val="20"/>
        </w:trPr>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580"/>
        <w:spacing w:after="0"/>
        <w:rPr>
          <w:rFonts w:ascii="Arial" w:cs="Arial" w:eastAsia="Arial" w:hAnsi="Arial"/>
          <w:sz w:val="17"/>
          <w:szCs w:val="17"/>
          <w:u w:val="single" w:color="auto"/>
          <w:color w:val="0000FF"/>
        </w:rPr>
      </w:pPr>
      <w:hyperlink r:id="rId137">
        <w:r>
          <w:rPr>
            <w:rFonts w:ascii="Arial" w:cs="Arial" w:eastAsia="Arial" w:hAnsi="Arial"/>
            <w:sz w:val="17"/>
            <w:szCs w:val="17"/>
            <w:u w:val="single" w:color="auto"/>
            <w:color w:val="0000FF"/>
          </w:rPr>
          <w:t>4.5</w:t>
        </w:r>
      </w:hyperlink>
    </w:p>
    <w:p>
      <w:pPr>
        <w:spacing w:after="0" w:line="200" w:lineRule="exact"/>
        <w:rPr>
          <w:sz w:val="20"/>
          <w:szCs w:val="20"/>
          <w:color w:val="auto"/>
        </w:rPr>
      </w:pPr>
    </w:p>
    <w:p>
      <w:pPr>
        <w:spacing w:after="0" w:line="302" w:lineRule="exact"/>
        <w:rPr>
          <w:sz w:val="20"/>
          <w:szCs w:val="20"/>
          <w:color w:val="auto"/>
        </w:rPr>
      </w:pPr>
    </w:p>
    <w:p>
      <w:pPr>
        <w:ind w:left="580"/>
        <w:spacing w:after="0"/>
        <w:rPr>
          <w:rFonts w:ascii="Arial" w:cs="Arial" w:eastAsia="Arial" w:hAnsi="Arial"/>
          <w:sz w:val="17"/>
          <w:szCs w:val="17"/>
          <w:u w:val="single" w:color="auto"/>
          <w:color w:val="0000FF"/>
        </w:rPr>
      </w:pPr>
      <w:hyperlink r:id="rId138">
        <w:r>
          <w:rPr>
            <w:rFonts w:ascii="Arial" w:cs="Arial" w:eastAsia="Arial" w:hAnsi="Arial"/>
            <w:sz w:val="17"/>
            <w:szCs w:val="17"/>
            <w:u w:val="single" w:color="auto"/>
            <w:color w:val="0000FF"/>
          </w:rPr>
          <w:t>4.6</w:t>
        </w:r>
      </w:hyperlink>
    </w:p>
    <w:p>
      <w:pPr>
        <w:spacing w:after="0" w:line="20" w:lineRule="exact"/>
        <w:rPr>
          <w:sz w:val="20"/>
          <w:szCs w:val="20"/>
          <w:color w:val="auto"/>
        </w:rPr>
      </w:pPr>
      <w:r>
        <w:rPr>
          <w:sz w:val="20"/>
          <w:szCs w:val="20"/>
          <w:color w:val="auto"/>
        </w:rPr>
        <w:br w:type="column"/>
      </w:r>
    </w:p>
    <w:p>
      <w:pPr>
        <w:jc w:val="both"/>
        <w:ind w:right="360"/>
        <w:spacing w:after="0" w:line="261"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Subordination and Intercreditor Agreement, dated April 18, 2017, among Porter Foundation Switzerland, Telos Corporation, Xacta</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Corporation, ubIQuity.com, Inc., Teloworks, Inc., and Enlightenment Capital Solutions Fund II, L.P. (Incorporated by reference to</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Exhibit 4.3 filed with the Company’s Current Report on Form 8-K on April 24, 2017)</w:t>
        </w:r>
      </w:hyperlink>
    </w:p>
    <w:p>
      <w:pPr>
        <w:spacing w:after="0" w:line="23" w:lineRule="exact"/>
        <w:rPr>
          <w:rFonts w:ascii="Arial" w:cs="Arial" w:eastAsia="Arial" w:hAnsi="Arial"/>
          <w:sz w:val="18"/>
          <w:szCs w:val="18"/>
          <w:u w:val="single" w:color="auto"/>
          <w:color w:val="0000FF"/>
        </w:rPr>
      </w:pPr>
    </w:p>
    <w:p>
      <w:pPr>
        <w:ind w:right="280"/>
        <w:spacing w:after="0" w:line="288" w:lineRule="auto"/>
        <w:rPr>
          <w:rFonts w:ascii="Arial" w:cs="Arial" w:eastAsia="Arial" w:hAnsi="Arial"/>
          <w:sz w:val="17"/>
          <w:szCs w:val="17"/>
          <w:u w:val="single" w:color="auto"/>
          <w:color w:val="0000FF"/>
        </w:rPr>
      </w:pPr>
      <w:hyperlink r:id="rId138">
        <w:r>
          <w:rPr>
            <w:rFonts w:ascii="Arial" w:cs="Arial" w:eastAsia="Arial" w:hAnsi="Arial"/>
            <w:sz w:val="17"/>
            <w:szCs w:val="17"/>
            <w:u w:val="single" w:color="auto"/>
            <w:color w:val="0000FF"/>
          </w:rPr>
          <w:t>First Amendment to Subordinated Loan Agreement, dated April 18, 2017, between Telos Corporation and JP Charitable Foundation</w:t>
        </w:r>
      </w:hyperlink>
      <w:r>
        <w:rPr>
          <w:rFonts w:ascii="Arial" w:cs="Arial" w:eastAsia="Arial" w:hAnsi="Arial"/>
          <w:sz w:val="17"/>
          <w:szCs w:val="17"/>
          <w:u w:val="single" w:color="auto"/>
          <w:color w:val="0000FF"/>
        </w:rPr>
        <w:t xml:space="preserve"> </w:t>
      </w:r>
      <w:hyperlink r:id="rId138">
        <w:r>
          <w:rPr>
            <w:rFonts w:ascii="Arial" w:cs="Arial" w:eastAsia="Arial" w:hAnsi="Arial"/>
            <w:sz w:val="17"/>
            <w:szCs w:val="17"/>
            <w:u w:val="single" w:color="auto"/>
            <w:color w:val="0000FF"/>
          </w:rPr>
          <w:t>(Incorporated by reference to Exhibit 4.4 filed with the Company’s Current Report on Form 8-K on April 24, 2017)</w:t>
        </w:r>
      </w:hyperlink>
    </w:p>
    <w:p>
      <w:pPr>
        <w:spacing w:after="0" w:line="1" w:lineRule="exact"/>
        <w:rPr>
          <w:sz w:val="20"/>
          <w:szCs w:val="20"/>
          <w:color w:val="auto"/>
        </w:rPr>
      </w:pPr>
    </w:p>
    <w:p>
      <w:pPr>
        <w:sectPr>
          <w:pgSz w:w="11900" w:h="16838" w:orient="portrait"/>
          <w:cols w:equalWidth="0" w:num="2">
            <w:col w:w="820" w:space="700"/>
            <w:col w:w="9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580" w:type="dxa"/>
            <w:vAlign w:val="bottom"/>
            <w:gridSpan w:val="2"/>
          </w:tcPr>
          <w:p>
            <w:pPr>
              <w:spacing w:after="0"/>
              <w:rPr>
                <w:sz w:val="16"/>
                <w:szCs w:val="16"/>
                <w:color w:val="auto"/>
              </w:rPr>
            </w:pPr>
          </w:p>
        </w:tc>
        <w:tc>
          <w:tcPr>
            <w:tcW w:w="240" w:type="dxa"/>
            <w:vAlign w:val="bottom"/>
          </w:tcPr>
          <w:p>
            <w:pPr>
              <w:jc w:val="center"/>
              <w:spacing w:after="0" w:line="170" w:lineRule="exact"/>
              <w:rPr>
                <w:rFonts w:ascii="Arial" w:cs="Arial" w:eastAsia="Arial" w:hAnsi="Arial"/>
                <w:sz w:val="18"/>
                <w:szCs w:val="18"/>
                <w:color w:val="0000FF"/>
                <w:w w:val="95"/>
              </w:rPr>
            </w:pPr>
            <w:hyperlink r:id="rId13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7</w:t>
              </w:r>
            </w:hyperlink>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720" w:type="dxa"/>
            <w:vAlign w:val="bottom"/>
            <w:gridSpan w:val="16"/>
          </w:tcPr>
          <w:p>
            <w:pPr>
              <w:spacing w:after="0" w:line="170" w:lineRule="exact"/>
              <w:rPr>
                <w:rFonts w:ascii="Arial" w:cs="Arial" w:eastAsia="Arial" w:hAnsi="Arial"/>
                <w:sz w:val="18"/>
                <w:szCs w:val="18"/>
                <w:color w:val="0000FF"/>
                <w:w w:val="98"/>
              </w:rPr>
            </w:pPr>
            <w:hyperlink r:id="rId139">
              <w:r>
                <w:rPr>
                  <w:rFonts w:ascii="Arial" w:cs="Arial" w:eastAsia="Arial" w:hAnsi="Arial"/>
                  <w:sz w:val="18"/>
                  <w:szCs w:val="18"/>
                  <w:color w:val="0000FF"/>
                  <w:w w:val="98"/>
                </w:rPr>
                <w:t>First Amendment to Subordinated Loan Agreement, dated April 18, 2017, between Telos Corporation and Porter Foundation</w:t>
              </w:r>
            </w:hyperlink>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0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20" w:type="dxa"/>
            <w:vAlign w:val="bottom"/>
            <w:gridSpan w:val="16"/>
          </w:tcPr>
          <w:p>
            <w:pPr>
              <w:spacing w:after="0" w:line="201" w:lineRule="exact"/>
              <w:rPr>
                <w:rFonts w:ascii="Arial" w:cs="Arial" w:eastAsia="Arial" w:hAnsi="Arial"/>
                <w:sz w:val="18"/>
                <w:szCs w:val="18"/>
                <w:color w:val="0000FF"/>
                <w:w w:val="97"/>
              </w:rPr>
            </w:pPr>
            <w:hyperlink r:id="rId139">
              <w:r>
                <w:rPr>
                  <w:rFonts w:ascii="Arial" w:cs="Arial" w:eastAsia="Arial" w:hAnsi="Arial"/>
                  <w:sz w:val="18"/>
                  <w:szCs w:val="18"/>
                  <w:color w:val="0000FF"/>
                  <w:w w:val="97"/>
                </w:rPr>
                <w:t>Switzerland (Incorporated by reference to Exhibit 4.5 filed with the Company’s Current Report on Form 8-K on April 24, 2017)</w:t>
              </w:r>
            </w:hyperlink>
          </w:p>
        </w:tc>
        <w:tc>
          <w:tcPr>
            <w:tcW w:w="0" w:type="dxa"/>
            <w:vAlign w:val="bottom"/>
          </w:tcPr>
          <w:p>
            <w:pPr>
              <w:spacing w:after="0"/>
              <w:rPr>
                <w:sz w:val="1"/>
                <w:szCs w:val="1"/>
                <w:color w:val="auto"/>
              </w:rPr>
            </w:pPr>
          </w:p>
        </w:tc>
      </w:tr>
      <w:tr>
        <w:trPr>
          <w:trHeight w:val="235"/>
        </w:trPr>
        <w:tc>
          <w:tcPr>
            <w:tcW w:w="580" w:type="dxa"/>
            <w:vAlign w:val="bottom"/>
            <w:gridSpan w:val="2"/>
          </w:tcPr>
          <w:p>
            <w:pPr>
              <w:spacing w:after="0"/>
              <w:rPr>
                <w:sz w:val="20"/>
                <w:szCs w:val="20"/>
                <w:color w:val="auto"/>
              </w:rPr>
            </w:pPr>
          </w:p>
        </w:tc>
        <w:tc>
          <w:tcPr>
            <w:tcW w:w="240" w:type="dxa"/>
            <w:vAlign w:val="bottom"/>
          </w:tcPr>
          <w:p>
            <w:pPr>
              <w:jc w:val="center"/>
              <w:spacing w:after="0"/>
              <w:rPr>
                <w:rFonts w:ascii="Arial" w:cs="Arial" w:eastAsia="Arial" w:hAnsi="Arial"/>
                <w:sz w:val="18"/>
                <w:szCs w:val="18"/>
                <w:color w:val="0000FF"/>
                <w:w w:val="95"/>
              </w:rPr>
            </w:pPr>
            <w:hyperlink r:id="rId14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8</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160" w:type="dxa"/>
            <w:vAlign w:val="bottom"/>
            <w:tcBorders>
              <w:top w:val="single" w:sz="8" w:color="0000FF"/>
            </w:tcBorders>
            <w:gridSpan w:val="10"/>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Amended and Restated Subordinated Promissory Note, dated April 18, 2017, by Telos Corporation in favor of JP Charitable</w:t>
              </w:r>
            </w:hyperlink>
          </w:p>
        </w:tc>
        <w:tc>
          <w:tcPr>
            <w:tcW w:w="5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0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20" w:type="dxa"/>
            <w:vAlign w:val="bottom"/>
            <w:gridSpan w:val="16"/>
          </w:tcPr>
          <w:p>
            <w:pPr>
              <w:spacing w:after="0" w:line="201" w:lineRule="exact"/>
              <w:rPr>
                <w:rFonts w:ascii="Arial" w:cs="Arial" w:eastAsia="Arial" w:hAnsi="Arial"/>
                <w:sz w:val="18"/>
                <w:szCs w:val="18"/>
                <w:color w:val="0000FF"/>
                <w:w w:val="97"/>
              </w:rPr>
            </w:pPr>
            <w:hyperlink r:id="rId140">
              <w:r>
                <w:rPr>
                  <w:rFonts w:ascii="Arial" w:cs="Arial" w:eastAsia="Arial" w:hAnsi="Arial"/>
                  <w:sz w:val="18"/>
                  <w:szCs w:val="18"/>
                  <w:color w:val="0000FF"/>
                  <w:w w:val="97"/>
                </w:rPr>
                <w:t>Foundation (Incorporated by reference to Exhibit 4.6 filed with the Company’s Current Report on Form 8-K on April 24, 2017)</w:t>
              </w:r>
            </w:hyperlink>
          </w:p>
        </w:tc>
        <w:tc>
          <w:tcPr>
            <w:tcW w:w="0" w:type="dxa"/>
            <w:vAlign w:val="bottom"/>
          </w:tcPr>
          <w:p>
            <w:pPr>
              <w:spacing w:after="0"/>
              <w:rPr>
                <w:sz w:val="1"/>
                <w:szCs w:val="1"/>
                <w:color w:val="auto"/>
              </w:rPr>
            </w:pPr>
          </w:p>
        </w:tc>
      </w:tr>
      <w:tr>
        <w:trPr>
          <w:trHeight w:val="20"/>
        </w:trPr>
        <w:tc>
          <w:tcPr>
            <w:tcW w:w="580" w:type="dxa"/>
            <w:vAlign w:val="bottom"/>
            <w:gridSpan w:val="2"/>
            <w:vMerge w:val="restart"/>
          </w:tcPr>
          <w:p>
            <w:pPr>
              <w:spacing w:after="0" w:line="20" w:lineRule="exact"/>
              <w:rPr>
                <w:sz w:val="1"/>
                <w:szCs w:val="1"/>
                <w:color w:val="auto"/>
              </w:rPr>
            </w:pPr>
          </w:p>
        </w:tc>
        <w:tc>
          <w:tcPr>
            <w:tcW w:w="240" w:type="dxa"/>
            <w:vAlign w:val="bottom"/>
            <w:vMerge w:val="restart"/>
          </w:tcPr>
          <w:p>
            <w:pPr>
              <w:jc w:val="center"/>
              <w:spacing w:after="0"/>
              <w:rPr>
                <w:rFonts w:ascii="Arial" w:cs="Arial" w:eastAsia="Arial" w:hAnsi="Arial"/>
                <w:sz w:val="18"/>
                <w:szCs w:val="18"/>
                <w:color w:val="0000FF"/>
                <w:w w:val="95"/>
              </w:rPr>
            </w:pPr>
            <w:hyperlink r:id="rId14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9</w:t>
              </w:r>
            </w:hyperlink>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80" w:type="dxa"/>
            <w:vAlign w:val="bottom"/>
            <w:gridSpan w:val="2"/>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20" w:type="dxa"/>
            <w:vAlign w:val="bottom"/>
            <w:gridSpan w:val="16"/>
          </w:tcPr>
          <w:p>
            <w:pPr>
              <w:spacing w:after="0"/>
              <w:rPr>
                <w:rFonts w:ascii="Arial" w:cs="Arial" w:eastAsia="Arial" w:hAnsi="Arial"/>
                <w:sz w:val="18"/>
                <w:szCs w:val="18"/>
                <w:color w:val="0000FF"/>
                <w:w w:val="95"/>
              </w:rPr>
            </w:pPr>
            <w:hyperlink r:id="rId141">
              <w:r>
                <w:rPr>
                  <w:rFonts w:ascii="Arial" w:cs="Arial" w:eastAsia="Arial" w:hAnsi="Arial"/>
                  <w:sz w:val="18"/>
                  <w:szCs w:val="18"/>
                  <w:color w:val="0000FF"/>
                  <w:w w:val="95"/>
                </w:rPr>
                <w:t>Amended and Restated Subordinated Promissory Note, dated April 18, 2017, by Telos Corporation in favor of Porter Foundation</w:t>
              </w:r>
            </w:hyperlink>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tcBorders>
              <w:top w:val="single" w:sz="8" w:color="0000FF"/>
            </w:tcBorders>
            <w:gridSpan w:val="11"/>
          </w:tcPr>
          <w:p>
            <w:pPr>
              <w:spacing w:after="0" w:line="201"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Switzerland (Incorporated by reference to Exhibit 4.7 filed with the Company’s Current Report on Form 8-K on April 24, 2017)</w:t>
              </w:r>
            </w:hyperlink>
          </w:p>
        </w:tc>
        <w:tc>
          <w:tcPr>
            <w:tcW w:w="5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gridSpan w:val="2"/>
          </w:tcPr>
          <w:p>
            <w:pPr>
              <w:spacing w:after="0"/>
              <w:rPr>
                <w:sz w:val="20"/>
                <w:szCs w:val="20"/>
                <w:color w:val="auto"/>
              </w:rPr>
            </w:pPr>
          </w:p>
        </w:tc>
        <w:tc>
          <w:tcPr>
            <w:tcW w:w="240" w:type="dxa"/>
            <w:vAlign w:val="bottom"/>
          </w:tcPr>
          <w:p>
            <w:pPr>
              <w:jc w:val="center"/>
              <w:spacing w:after="0"/>
              <w:rPr>
                <w:rFonts w:ascii="Arial" w:cs="Arial" w:eastAsia="Arial" w:hAnsi="Arial"/>
                <w:sz w:val="18"/>
                <w:szCs w:val="18"/>
                <w:color w:val="0000FF"/>
                <w:w w:val="79"/>
              </w:rPr>
            </w:pPr>
            <w:hyperlink r:id="rId142">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10</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160" w:type="dxa"/>
            <w:vAlign w:val="bottom"/>
            <w:tcBorders>
              <w:top w:val="single" w:sz="8" w:color="0000FF"/>
            </w:tcBorders>
            <w:gridSpan w:val="10"/>
          </w:tcPr>
          <w:p>
            <w:pPr>
              <w:spacing w:after="0"/>
              <w:rPr>
                <w:rFonts w:ascii="Arial" w:cs="Arial" w:eastAsia="Arial" w:hAnsi="Arial"/>
                <w:sz w:val="18"/>
                <w:szCs w:val="18"/>
                <w:color w:val="0000FF"/>
                <w:w w:val="94"/>
              </w:rPr>
            </w:pPr>
            <w:hyperlink r:id="rId142">
              <w:r>
                <w:rPr>
                  <w:rFonts w:ascii="Arial" w:cs="Arial" w:eastAsia="Arial" w:hAnsi="Arial"/>
                  <w:sz w:val="18"/>
                  <w:szCs w:val="18"/>
                  <w:color w:val="0000FF"/>
                  <w:w w:val="94"/>
                </w:rPr>
                <w:t>Third Amendment to Credit Agreement and Waiver, dated March 30, 2018, among Telos Corporation, Xacta Corporation,</w:t>
              </w:r>
            </w:hyperlink>
          </w:p>
        </w:tc>
        <w:tc>
          <w:tcPr>
            <w:tcW w:w="5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0" w:type="dxa"/>
            <w:vAlign w:val="bottom"/>
            <w:tcBorders>
              <w:right w:val="single" w:sz="8" w:color="0000FF"/>
            </w:tcBorders>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0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20" w:type="dxa"/>
            <w:vAlign w:val="bottom"/>
            <w:gridSpan w:val="3"/>
          </w:tcPr>
          <w:p>
            <w:pPr>
              <w:spacing w:after="0"/>
              <w:rPr>
                <w:sz w:val="2"/>
                <w:szCs w:val="2"/>
                <w:color w:val="auto"/>
              </w:rPr>
            </w:pPr>
          </w:p>
        </w:tc>
        <w:tc>
          <w:tcPr>
            <w:tcW w:w="1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20" w:type="dxa"/>
            <w:vAlign w:val="bottom"/>
            <w:gridSpan w:val="16"/>
          </w:tcPr>
          <w:p>
            <w:pPr>
              <w:spacing w:after="0" w:line="201"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ubIQuity.com, Inc., Teloworks, Inc., Enlightenment Capital Solutions Fund II, L.P., and the lenders party thereto (Incorporated by</w:t>
              </w:r>
            </w:hyperlink>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0" w:type="dxa"/>
            <w:vAlign w:val="bottom"/>
            <w:tcBorders>
              <w:top w:val="single" w:sz="8" w:color="0000FF"/>
              <w:bottom w:val="single" w:sz="8" w:color="0000FF"/>
            </w:tcBorders>
            <w:gridSpan w:val="4"/>
          </w:tcPr>
          <w:p>
            <w:pPr>
              <w:spacing w:after="0" w:line="195"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reference to Exhibit 4.10 filed with the Company’s Form 10-K report for the year ended December 31, 2017)</w:t>
              </w:r>
            </w:hyperlink>
          </w:p>
        </w:tc>
        <w:tc>
          <w:tcPr>
            <w:tcW w:w="1480" w:type="dxa"/>
            <w:vAlign w:val="bottom"/>
            <w:tcBorders>
              <w:top w:val="single" w:sz="8" w:color="0000FF"/>
            </w:tcBorders>
            <w:gridSpan w:val="8"/>
          </w:tcPr>
          <w:p>
            <w:pPr>
              <w:spacing w:after="0"/>
              <w:rPr>
                <w:sz w:val="16"/>
                <w:szCs w:val="16"/>
                <w:color w:val="auto"/>
              </w:rPr>
            </w:pPr>
          </w:p>
        </w:tc>
        <w:tc>
          <w:tcPr>
            <w:tcW w:w="4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80" w:type="dxa"/>
            <w:vAlign w:val="bottom"/>
            <w:gridSpan w:val="2"/>
          </w:tcPr>
          <w:p>
            <w:pPr>
              <w:spacing w:after="0"/>
              <w:rPr>
                <w:sz w:val="21"/>
                <w:szCs w:val="21"/>
                <w:color w:val="auto"/>
              </w:rPr>
            </w:pPr>
          </w:p>
        </w:tc>
        <w:tc>
          <w:tcPr>
            <w:tcW w:w="240" w:type="dxa"/>
            <w:vAlign w:val="bottom"/>
          </w:tcPr>
          <w:p>
            <w:pPr>
              <w:jc w:val="center"/>
              <w:spacing w:after="0"/>
              <w:rPr>
                <w:rFonts w:ascii="Arial" w:cs="Arial" w:eastAsia="Arial" w:hAnsi="Arial"/>
                <w:sz w:val="18"/>
                <w:szCs w:val="18"/>
                <w:color w:val="0000FF"/>
                <w:w w:val="79"/>
              </w:rPr>
            </w:pPr>
            <w:hyperlink r:id="rId14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11</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20" w:type="dxa"/>
            <w:vAlign w:val="bottom"/>
            <w:gridSpan w:val="16"/>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Fourth Amendment to Credit Agreement and Waiver; First Amendment to Fee Letter between Telos Corporation and Enlightenment</w:t>
              </w:r>
            </w:hyperlink>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9"/>
          </w:tcPr>
          <w:p>
            <w:pPr>
              <w:spacing w:after="0" w:line="201"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Capital Solutions Fund II, L.P. dated July 19, 2019 (Incorporated by reference to Exhibit 99.1 filed with the Company’s Current</w:t>
              </w:r>
            </w:hyperlink>
          </w:p>
        </w:tc>
        <w:tc>
          <w:tcPr>
            <w:tcW w:w="320" w:type="dxa"/>
            <w:vAlign w:val="bottom"/>
            <w:tcBorders>
              <w:top w:val="single" w:sz="8" w:color="0000FF"/>
            </w:tcBorders>
            <w:gridSpan w:val="4"/>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60" w:type="dxa"/>
            <w:vAlign w:val="bottom"/>
            <w:tcBorders>
              <w:bottom w:val="single" w:sz="8" w:color="0000FF"/>
            </w:tcBorders>
            <w:gridSpan w:val="3"/>
          </w:tcPr>
          <w:p>
            <w:pPr>
              <w:spacing w:after="0" w:line="195"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Report on Form 8-K on July 23, 2019)</w:t>
              </w:r>
            </w:hyperlink>
          </w:p>
        </w:tc>
        <w:tc>
          <w:tcPr>
            <w:tcW w:w="696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80" w:type="dxa"/>
            <w:vAlign w:val="bottom"/>
            <w:gridSpan w:val="2"/>
          </w:tcPr>
          <w:p>
            <w:pPr>
              <w:spacing w:after="0"/>
              <w:rPr>
                <w:sz w:val="21"/>
                <w:szCs w:val="21"/>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79"/>
              </w:rPr>
            </w:pPr>
            <w:hyperlink r:id="rId14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12</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500" w:type="dxa"/>
            <w:vAlign w:val="bottom"/>
            <w:tcBorders>
              <w:bottom w:val="single" w:sz="8" w:color="0000FF"/>
            </w:tcBorders>
            <w:gridSpan w:val="15"/>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Fifth Amendment to Credit Agreement and Second Amendment to Fee Letter between Telos Corporation and Enlightenment Capital</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00" w:type="dxa"/>
            <w:vAlign w:val="bottom"/>
            <w:tcBorders>
              <w:bottom w:val="single" w:sz="8" w:color="0000FF"/>
            </w:tcBorders>
            <w:gridSpan w:val="15"/>
          </w:tcPr>
          <w:p>
            <w:pPr>
              <w:spacing w:after="0" w:line="201"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Solutions Fund II, L.P. dated March 26, 2020 (Incorporated by reference to Exhibit 99.1 filed with the Company’s Current Report on</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80" w:type="dxa"/>
            <w:vAlign w:val="bottom"/>
            <w:tcBorders>
              <w:bottom w:val="single" w:sz="8" w:color="0000FF"/>
            </w:tcBorders>
          </w:tcPr>
          <w:p>
            <w:pPr>
              <w:spacing w:after="0" w:line="195"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Form 8-K on March 30, 2020)</w:t>
              </w:r>
            </w:hyperlink>
          </w:p>
        </w:tc>
        <w:tc>
          <w:tcPr>
            <w:tcW w:w="754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520" w:type="dxa"/>
            <w:vAlign w:val="bottom"/>
            <w:gridSpan w:val="5"/>
          </w:tcPr>
          <w:p>
            <w:pPr>
              <w:jc w:val="center"/>
              <w:ind w:right="120"/>
              <w:spacing w:after="0"/>
              <w:rPr>
                <w:rFonts w:ascii="Arial" w:cs="Arial" w:eastAsia="Arial" w:hAnsi="Arial"/>
                <w:sz w:val="18"/>
                <w:szCs w:val="18"/>
                <w:color w:val="0000FF"/>
                <w:w w:val="87"/>
              </w:rPr>
            </w:pPr>
            <w:hyperlink w:anchor="page10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13+</w:t>
              </w:r>
            </w:hyperlink>
          </w:p>
        </w:tc>
        <w:tc>
          <w:tcPr>
            <w:tcW w:w="9720" w:type="dxa"/>
            <w:vAlign w:val="bottom"/>
            <w:gridSpan w:val="16"/>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Description of our Capital Stock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Borders>
              <w:bottom w:val="single" w:sz="8" w:color="0000FF"/>
            </w:tcBorders>
            <w:gridSpan w:val="2"/>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00" w:type="dxa"/>
            <w:vAlign w:val="bottom"/>
            <w:gridSpan w:val="4"/>
          </w:tcPr>
          <w:p>
            <w:pPr>
              <w:jc w:val="center"/>
              <w:ind w:left="411"/>
              <w:spacing w:after="0"/>
              <w:rPr>
                <w:rFonts w:ascii="Arial" w:cs="Arial" w:eastAsia="Arial" w:hAnsi="Arial"/>
                <w:sz w:val="18"/>
                <w:szCs w:val="18"/>
                <w:color w:val="0000FF"/>
                <w:w w:val="95"/>
              </w:rPr>
            </w:pPr>
            <w:hyperlink r:id="rId14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620" w:type="dxa"/>
            <w:vAlign w:val="bottom"/>
          </w:tcPr>
          <w:p>
            <w:pPr>
              <w:spacing w:after="0"/>
              <w:rPr>
                <w:sz w:val="20"/>
                <w:szCs w:val="20"/>
                <w:color w:val="auto"/>
              </w:rPr>
            </w:pPr>
          </w:p>
        </w:tc>
        <w:tc>
          <w:tcPr>
            <w:tcW w:w="9720" w:type="dxa"/>
            <w:vAlign w:val="bottom"/>
            <w:gridSpan w:val="16"/>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Second Amended Employment Agreement, dated as of November 12, 2012, between the Company and John B. Wood (Incorporated</w:t>
              </w:r>
            </w:hyperlink>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9480" w:type="dxa"/>
            <w:vAlign w:val="bottom"/>
            <w:tcBorders>
              <w:top w:val="single" w:sz="8" w:color="0000FF"/>
            </w:tcBorders>
            <w:gridSpan w:val="14"/>
          </w:tcPr>
          <w:p>
            <w:pPr>
              <w:spacing w:after="0" w:line="201" w:lineRule="exact"/>
              <w:rPr>
                <w:rFonts w:ascii="Arial" w:cs="Arial" w:eastAsia="Arial" w:hAnsi="Arial"/>
                <w:sz w:val="18"/>
                <w:szCs w:val="18"/>
                <w:color w:val="0000FF"/>
              </w:rPr>
            </w:pPr>
            <w:hyperlink r:id="rId145">
              <w:r>
                <w:rPr>
                  <w:rFonts w:ascii="Arial" w:cs="Arial" w:eastAsia="Arial" w:hAnsi="Arial"/>
                  <w:sz w:val="18"/>
                  <w:szCs w:val="18"/>
                  <w:color w:val="0000FF"/>
                </w:rPr>
                <w:t>by reference to Exhibit 10.1 filed with the Company’s Form 10-Q report for the quarter ended September 30, 2012)</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0" w:type="dxa"/>
            <w:vAlign w:val="bottom"/>
            <w:tcBorders>
              <w:top w:val="single" w:sz="8" w:color="0000FF"/>
            </w:tcBorders>
            <w:gridSpan w:val="4"/>
          </w:tcPr>
          <w:p>
            <w:pPr>
              <w:ind w:left="4020"/>
              <w:spacing w:after="0"/>
              <w:rPr>
                <w:sz w:val="20"/>
                <w:szCs w:val="20"/>
                <w:color w:val="auto"/>
              </w:rPr>
            </w:pPr>
            <w:r>
              <w:rPr>
                <w:rFonts w:ascii="Arial" w:cs="Arial" w:eastAsia="Arial" w:hAnsi="Arial"/>
                <w:sz w:val="18"/>
                <w:szCs w:val="18"/>
                <w:color w:val="auto"/>
              </w:rPr>
              <w:t>96</w:t>
            </w:r>
          </w:p>
        </w:tc>
        <w:tc>
          <w:tcPr>
            <w:tcW w:w="4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rFonts w:ascii="Arial" w:cs="Arial" w:eastAsia="Arial" w:hAnsi="Arial"/>
          <w:sz w:val="15"/>
          <w:szCs w:val="15"/>
          <w:i w:val="1"/>
          <w:iCs w:val="1"/>
          <w:u w:val="single" w:color="auto"/>
          <w:color w:val="auto"/>
        </w:rPr>
      </w:pPr>
      <w:hyperlink w:anchor="page2">
        <w:r>
          <w:rPr>
            <w:rFonts w:ascii="Arial" w:cs="Arial" w:eastAsia="Arial" w:hAnsi="Arial"/>
            <w:sz w:val="15"/>
            <w:szCs w:val="15"/>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10.2*</w:t>
        </w:r>
      </w:hyperlink>
    </w:p>
    <w:p>
      <w:pPr>
        <w:spacing w:after="0" w:line="276" w:lineRule="exact"/>
        <w:rPr>
          <w:sz w:val="20"/>
          <w:szCs w:val="20"/>
          <w:color w:val="auto"/>
        </w:rPr>
      </w:pPr>
    </w:p>
    <w:p>
      <w:pPr>
        <w:ind w:left="500"/>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10.3*</w:t>
        </w:r>
      </w:hyperlink>
    </w:p>
    <w:p>
      <w:pPr>
        <w:spacing w:after="0" w:line="276" w:lineRule="exact"/>
        <w:rPr>
          <w:sz w:val="20"/>
          <w:szCs w:val="20"/>
          <w:color w:val="auto"/>
        </w:rPr>
      </w:pPr>
    </w:p>
    <w:p>
      <w:pPr>
        <w:ind w:left="50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10.4*</w:t>
        </w:r>
      </w:hyperlink>
    </w:p>
    <w:p>
      <w:pPr>
        <w:spacing w:after="0" w:line="276" w:lineRule="exact"/>
        <w:rPr>
          <w:sz w:val="20"/>
          <w:szCs w:val="20"/>
          <w:color w:val="auto"/>
        </w:rPr>
      </w:pPr>
    </w:p>
    <w:p>
      <w:pPr>
        <w:ind w:left="500"/>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10.5*</w:t>
        </w:r>
      </w:hyperlink>
    </w:p>
    <w:p>
      <w:pPr>
        <w:spacing w:after="0" w:line="276" w:lineRule="exact"/>
        <w:rPr>
          <w:sz w:val="20"/>
          <w:szCs w:val="20"/>
          <w:color w:val="auto"/>
        </w:rPr>
      </w:pPr>
    </w:p>
    <w:p>
      <w:pPr>
        <w:ind w:left="500"/>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10.6*</w:t>
        </w:r>
      </w:hyperlink>
    </w:p>
    <w:p>
      <w:pPr>
        <w:spacing w:after="0" w:line="276" w:lineRule="exact"/>
        <w:rPr>
          <w:sz w:val="20"/>
          <w:szCs w:val="20"/>
          <w:color w:val="auto"/>
        </w:rPr>
      </w:pPr>
    </w:p>
    <w:p>
      <w:pPr>
        <w:ind w:left="540"/>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10.7</w:t>
        </w:r>
      </w:hyperlink>
    </w:p>
    <w:p>
      <w:pPr>
        <w:spacing w:after="0" w:line="276" w:lineRule="exact"/>
        <w:rPr>
          <w:sz w:val="20"/>
          <w:szCs w:val="20"/>
          <w:color w:val="auto"/>
        </w:rPr>
      </w:pPr>
    </w:p>
    <w:p>
      <w:pPr>
        <w:ind w:left="54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10.8</w:t>
        </w:r>
      </w:hyperlink>
    </w:p>
    <w:p>
      <w:pPr>
        <w:spacing w:after="0" w:line="276" w:lineRule="exact"/>
        <w:rPr>
          <w:sz w:val="20"/>
          <w:szCs w:val="20"/>
          <w:color w:val="auto"/>
        </w:rPr>
      </w:pPr>
    </w:p>
    <w:p>
      <w:pPr>
        <w:ind w:left="54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10.9</w:t>
        </w:r>
      </w:hyperlink>
    </w:p>
    <w:p>
      <w:pPr>
        <w:spacing w:after="0" w:line="276" w:lineRule="exact"/>
        <w:rPr>
          <w:sz w:val="20"/>
          <w:szCs w:val="20"/>
          <w:color w:val="auto"/>
        </w:rPr>
      </w:pPr>
    </w:p>
    <w:p>
      <w:pPr>
        <w:ind w:left="50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10.10</w:t>
        </w:r>
      </w:hyperlink>
    </w:p>
    <w:p>
      <w:pPr>
        <w:spacing w:after="0" w:line="276" w:lineRule="exact"/>
        <w:rPr>
          <w:sz w:val="20"/>
          <w:szCs w:val="20"/>
          <w:color w:val="auto"/>
        </w:rPr>
      </w:pPr>
    </w:p>
    <w:p>
      <w:pPr>
        <w:ind w:left="50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10.11</w:t>
        </w:r>
      </w:hyperlink>
    </w:p>
    <w:p>
      <w:pPr>
        <w:spacing w:after="0" w:line="276" w:lineRule="exact"/>
        <w:rPr>
          <w:sz w:val="20"/>
          <w:szCs w:val="20"/>
          <w:color w:val="auto"/>
        </w:rPr>
      </w:pPr>
    </w:p>
    <w:p>
      <w:pPr>
        <w:ind w:left="460"/>
        <w:spacing w:after="0"/>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10.12*</w:t>
        </w:r>
      </w:hyperlink>
    </w:p>
    <w:p>
      <w:pPr>
        <w:spacing w:after="0" w:line="276" w:lineRule="exact"/>
        <w:rPr>
          <w:sz w:val="20"/>
          <w:szCs w:val="20"/>
          <w:color w:val="auto"/>
        </w:rPr>
      </w:pPr>
    </w:p>
    <w:p>
      <w:pPr>
        <w:ind w:left="460"/>
        <w:spacing w:after="0"/>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10.13*</w:t>
        </w:r>
      </w:hyperlink>
    </w:p>
    <w:p>
      <w:pPr>
        <w:spacing w:after="0" w:line="276" w:lineRule="exact"/>
        <w:rPr>
          <w:sz w:val="20"/>
          <w:szCs w:val="20"/>
          <w:color w:val="auto"/>
        </w:rPr>
      </w:pPr>
    </w:p>
    <w:p>
      <w:pPr>
        <w:ind w:left="50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10.14</w:t>
        </w:r>
      </w:hyperlink>
    </w:p>
    <w:p>
      <w:pPr>
        <w:spacing w:after="0" w:line="276" w:lineRule="exact"/>
        <w:rPr>
          <w:sz w:val="20"/>
          <w:szCs w:val="20"/>
          <w:color w:val="auto"/>
        </w:rPr>
      </w:pPr>
    </w:p>
    <w:p>
      <w:pPr>
        <w:ind w:left="460"/>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10.15*</w:t>
        </w:r>
      </w:hyperlink>
    </w:p>
    <w:p>
      <w:pPr>
        <w:spacing w:after="0" w:line="276" w:lineRule="exact"/>
        <w:rPr>
          <w:sz w:val="20"/>
          <w:szCs w:val="20"/>
          <w:color w:val="auto"/>
        </w:rPr>
      </w:pPr>
    </w:p>
    <w:p>
      <w:pPr>
        <w:ind w:left="460"/>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10.16*</w:t>
        </w:r>
      </w:hyperlink>
    </w:p>
    <w:p>
      <w:pPr>
        <w:spacing w:after="0" w:line="276" w:lineRule="exact"/>
        <w:rPr>
          <w:sz w:val="20"/>
          <w:szCs w:val="20"/>
          <w:color w:val="auto"/>
        </w:rPr>
      </w:pPr>
    </w:p>
    <w:p>
      <w:pPr>
        <w:ind w:left="460"/>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10.17*</w:t>
        </w:r>
      </w:hyperlink>
    </w:p>
    <w:p>
      <w:pPr>
        <w:spacing w:after="0" w:line="276" w:lineRule="exact"/>
        <w:rPr>
          <w:sz w:val="20"/>
          <w:szCs w:val="20"/>
          <w:color w:val="auto"/>
        </w:rPr>
      </w:pPr>
    </w:p>
    <w:p>
      <w:pPr>
        <w:ind w:left="460"/>
        <w:spacing w:after="0"/>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10.18*</w:t>
        </w:r>
      </w:hyperlink>
    </w:p>
    <w:p>
      <w:pPr>
        <w:spacing w:after="0" w:line="276" w:lineRule="exact"/>
        <w:rPr>
          <w:sz w:val="20"/>
          <w:szCs w:val="20"/>
          <w:color w:val="auto"/>
        </w:rPr>
      </w:pPr>
    </w:p>
    <w:p>
      <w:pPr>
        <w:ind w:left="500"/>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10.19</w:t>
        </w:r>
      </w:hyperlink>
    </w:p>
    <w:p>
      <w:pPr>
        <w:spacing w:after="0" w:line="276" w:lineRule="exact"/>
        <w:rPr>
          <w:sz w:val="20"/>
          <w:szCs w:val="20"/>
          <w:color w:val="auto"/>
        </w:rPr>
      </w:pPr>
    </w:p>
    <w:p>
      <w:pPr>
        <w:ind w:left="460"/>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10.20*</w:t>
        </w:r>
      </w:hyperlink>
    </w:p>
    <w:p>
      <w:pPr>
        <w:spacing w:after="0" w:line="276" w:lineRule="exact"/>
        <w:rPr>
          <w:sz w:val="20"/>
          <w:szCs w:val="20"/>
          <w:color w:val="auto"/>
        </w:rPr>
      </w:pPr>
    </w:p>
    <w:p>
      <w:pPr>
        <w:ind w:left="56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21+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80"/>
        <w:spacing w:after="0" w:line="315" w:lineRule="auto"/>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Second Amended Employment Agreement, dated as of November 12, 2012, between the Company and Edward L. Williams</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(Incorporated by reference to Exhibit 10.2 filed with the Company’s Form 10-Q report for the quarter ended September 30, 2012)</w:t>
        </w:r>
      </w:hyperlink>
    </w:p>
    <w:p>
      <w:pPr>
        <w:ind w:right="380"/>
        <w:spacing w:after="0" w:line="315" w:lineRule="auto"/>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Second Amended Employment Agreement, dated as of November 12, 2012, between the Company and Michele Nakazawa</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(Incorporated by reference to Exhibit 10.3 filed with the Company’s Form 10-Q report for the quarter ended September 30, 2012)</w:t>
        </w:r>
      </w:hyperlink>
    </w:p>
    <w:p>
      <w:pPr>
        <w:spacing w:after="0" w:line="315" w:lineRule="auto"/>
        <w:rPr>
          <w:rFonts w:ascii="Arial" w:cs="Arial" w:eastAsia="Arial" w:hAnsi="Arial"/>
          <w:sz w:val="16"/>
          <w:szCs w:val="16"/>
          <w:u w:val="single" w:color="auto"/>
          <w:color w:val="0000FF"/>
        </w:rPr>
      </w:pPr>
      <w:hyperlink r:id="rId150">
        <w:r>
          <w:rPr>
            <w:rFonts w:ascii="Arial" w:cs="Arial" w:eastAsia="Arial" w:hAnsi="Arial"/>
            <w:sz w:val="16"/>
            <w:szCs w:val="16"/>
            <w:u w:val="single" w:color="auto"/>
            <w:color w:val="0000FF"/>
          </w:rPr>
          <w:t>Amendment to Employment Agreement, dated as of November 12, 2012, between the Company and Brendan D. Malloy (Incorporated</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by reference to Exhibit 10.4 filed with the Company’s Form 10-Q report for the quarter ended September 30, 2012)</w:t>
        </w:r>
      </w:hyperlink>
    </w:p>
    <w:p>
      <w:pPr>
        <w:ind w:right="260"/>
        <w:spacing w:after="0" w:line="274" w:lineRule="auto"/>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Form of Employment Agreement between the Company and six of its executive officers (Incorporated by reference to Exhibit 10.5</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filed with the Company’s Form 10-Q report for the quarter ended September 30, 2012)</w:t>
        </w:r>
      </w:hyperlink>
    </w:p>
    <w:p>
      <w:pPr>
        <w:spacing w:after="0" w:line="11" w:lineRule="exact"/>
        <w:rPr>
          <w:sz w:val="20"/>
          <w:szCs w:val="20"/>
          <w:color w:val="auto"/>
        </w:rPr>
      </w:pPr>
    </w:p>
    <w:p>
      <w:pPr>
        <w:ind w:right="280"/>
        <w:spacing w:after="0" w:line="274" w:lineRule="auto"/>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Employment Agreement, dated as of January 4, 2013, between the Company and Jefferson V. Wright (Incorporated by reference to</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Exhibit 10.29 filed with the Company’s Form 10-K report for the year ended December 31, 2013)</w:t>
        </w:r>
      </w:hyperlink>
    </w:p>
    <w:p>
      <w:pPr>
        <w:spacing w:after="0" w:line="11" w:lineRule="exact"/>
        <w:rPr>
          <w:sz w:val="20"/>
          <w:szCs w:val="20"/>
          <w:color w:val="auto"/>
        </w:rPr>
      </w:pPr>
    </w:p>
    <w:p>
      <w:pPr>
        <w:ind w:right="540"/>
        <w:spacing w:after="0" w:line="315" w:lineRule="auto"/>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Second Amended and Restated Operating Agreement of Telos Identity Management Solutions, LLC, dated December 24, 2014</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(Incorporated by reference to Exhibit 99.2 filed with the Company’s Current Report on Form 8-K on December 31, 2014)</w:t>
        </w:r>
      </w:hyperlink>
    </w:p>
    <w:p>
      <w:pPr>
        <w:ind w:right="400"/>
        <w:spacing w:after="0" w:line="315" w:lineRule="auto"/>
        <w:rPr>
          <w:rFonts w:ascii="Arial" w:cs="Arial" w:eastAsia="Arial" w:hAnsi="Arial"/>
          <w:sz w:val="16"/>
          <w:szCs w:val="16"/>
          <w:u w:val="single" w:color="auto"/>
          <w:color w:val="0000FF"/>
        </w:rPr>
      </w:pPr>
      <w:hyperlink r:id="rId154">
        <w:r>
          <w:rPr>
            <w:rFonts w:ascii="Arial" w:cs="Arial" w:eastAsia="Arial" w:hAnsi="Arial"/>
            <w:sz w:val="16"/>
            <w:szCs w:val="16"/>
            <w:u w:val="single" w:color="auto"/>
            <w:color w:val="0000FF"/>
          </w:rPr>
          <w:t>Subordinated Loan Agreement between the Company and Porter Foundation Switzerland dated March 31, 2015 (Incorporated by</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reference to Exhibit 10.37 filed with the Company’s Form 10-K/A report for the year ended December 31, 2014)</w:t>
        </w:r>
      </w:hyperlink>
    </w:p>
    <w:p>
      <w:pPr>
        <w:ind w:right="400"/>
        <w:spacing w:after="0" w:line="315" w:lineRule="auto"/>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Subordinated Promissory Note between the Company and Porter Foundation Switzerland dated March 31, 2015 (Incorporated by</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reference to Exhibit 10.38 filed with the Company’s Form 10-K/A report for the year ended December 31, 2014)</w:t>
        </w:r>
      </w:hyperlink>
    </w:p>
    <w:p>
      <w:pPr>
        <w:ind w:right="100"/>
        <w:spacing w:after="0" w:line="315" w:lineRule="auto"/>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Subordinated Loan Agreement between the Company and JP Charitable Foundation Switzerland dated March 31, 2015 (Incorporated</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by reference to Exhibit 10.39 filed with the Company’s Form 10-K/A report for the year ended December 31, 2014)</w:t>
        </w:r>
      </w:hyperlink>
    </w:p>
    <w:p>
      <w:pPr>
        <w:ind w:right="100"/>
        <w:spacing w:after="0" w:line="315" w:lineRule="auto"/>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Subordinated Promissory Note between the Company and JP Charitable Foundation Switzerland dated March 31, 2015 (Incorporated</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by reference to Exhibit 10.40 filed with the Company’s Form 10-K/A report for the year ended December 31, 2014)</w:t>
        </w:r>
      </w:hyperlink>
    </w:p>
    <w:p>
      <w:pPr>
        <w:ind w:right="400"/>
        <w:spacing w:after="0" w:line="274" w:lineRule="auto"/>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Telos Corporation 2016 Omnibus Long-Term Incentive Plan (Incorporated by reference to Exhibit 10.3 filed with the Company’s</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Form 10-Q report for the quarter ended June 30, 2016)</w:t>
        </w:r>
      </w:hyperlink>
    </w:p>
    <w:p>
      <w:pPr>
        <w:spacing w:after="0" w:line="11" w:lineRule="exact"/>
        <w:rPr>
          <w:sz w:val="20"/>
          <w:szCs w:val="20"/>
          <w:color w:val="auto"/>
        </w:rPr>
      </w:pPr>
    </w:p>
    <w:p>
      <w:pPr>
        <w:ind w:right="360"/>
        <w:spacing w:after="0" w:line="274" w:lineRule="auto"/>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Notice of Grant of Restricted Stock (Incorporated by reference to Exhibit 10.4 filed with the Company’s Form 10-Q report for the</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quarter ended June 30, 2016)</w:t>
        </w:r>
      </w:hyperlink>
    </w:p>
    <w:p>
      <w:pPr>
        <w:spacing w:after="0" w:line="11" w:lineRule="exact"/>
        <w:rPr>
          <w:sz w:val="20"/>
          <w:szCs w:val="20"/>
          <w:color w:val="auto"/>
        </w:rPr>
      </w:pPr>
    </w:p>
    <w:p>
      <w:pPr>
        <w:ind w:right="20"/>
        <w:spacing w:after="0" w:line="274" w:lineRule="auto"/>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Membership Interest Purchase Agreement, dated October 5, 2020 (Incorporated by reference to Exhibit 99.1 filed with the Company’s</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Current Report on Form 8-K on October 6, 2020)</w:t>
        </w:r>
      </w:hyperlink>
    </w:p>
    <w:p>
      <w:pPr>
        <w:spacing w:after="0" w:line="11" w:lineRule="exact"/>
        <w:rPr>
          <w:sz w:val="20"/>
          <w:szCs w:val="20"/>
          <w:color w:val="auto"/>
        </w:rPr>
      </w:pPr>
    </w:p>
    <w:p>
      <w:pPr>
        <w:spacing w:after="0" w:line="274"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Amendment No. 1 to the 2016 Omnibus Long-Term Incentive Plan (Incorporated by reference to Exhibit 4.4 filed with the Company’s</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Form S-8 on January 25, 2021)</w:t>
        </w:r>
      </w:hyperlink>
    </w:p>
    <w:p>
      <w:pPr>
        <w:spacing w:after="0" w:line="11" w:lineRule="exact"/>
        <w:rPr>
          <w:sz w:val="20"/>
          <w:szCs w:val="20"/>
          <w:color w:val="auto"/>
        </w:rPr>
      </w:pPr>
    </w:p>
    <w:p>
      <w:pPr>
        <w:ind w:right="300"/>
        <w:spacing w:after="0" w:line="274" w:lineRule="auto"/>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The Company’s Annual Cash Incentive Plan for 2021 (Incorporated by reference to Exhibit 99.2 filed with the Company’s Current</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Report on Form 8-K on November 12, 2020)</w:t>
        </w:r>
      </w:hyperlink>
    </w:p>
    <w:p>
      <w:pPr>
        <w:spacing w:after="0" w:line="11" w:lineRule="exact"/>
        <w:rPr>
          <w:sz w:val="20"/>
          <w:szCs w:val="20"/>
          <w:color w:val="auto"/>
        </w:rPr>
      </w:pPr>
    </w:p>
    <w:p>
      <w:pPr>
        <w:ind w:right="20"/>
        <w:spacing w:after="0" w:line="274"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Form of Restricted Share Unit Award Notice and Restricted Share or Restricted Share Unit Agreement (Time-Based) (Incorporated by</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reference to Exhibit 99.1 filed with the Company’s Current Report on Form 8-K on February 3, 2021)</w:t>
        </w:r>
      </w:hyperlink>
    </w:p>
    <w:p>
      <w:pPr>
        <w:spacing w:after="0" w:line="11" w:lineRule="exact"/>
        <w:rPr>
          <w:sz w:val="20"/>
          <w:szCs w:val="20"/>
          <w:color w:val="auto"/>
        </w:rPr>
      </w:pPr>
    </w:p>
    <w:p>
      <w:pPr>
        <w:spacing w:after="0"/>
        <w:rPr>
          <w:rFonts w:ascii="Arial" w:cs="Arial" w:eastAsia="Arial" w:hAnsi="Arial"/>
          <w:sz w:val="17"/>
          <w:szCs w:val="17"/>
          <w:u w:val="single" w:color="auto"/>
          <w:color w:val="0000FF"/>
        </w:rPr>
      </w:pPr>
      <w:hyperlink r:id="rId164">
        <w:r>
          <w:rPr>
            <w:rFonts w:ascii="Arial" w:cs="Arial" w:eastAsia="Arial" w:hAnsi="Arial"/>
            <w:sz w:val="17"/>
            <w:szCs w:val="17"/>
            <w:u w:val="single" w:color="auto"/>
            <w:color w:val="0000FF"/>
          </w:rPr>
          <w:t>Form of Restricted Share Unit Award Notice and Restricted Share or Restricted Share Unit Agreement (Performance-Based)</w:t>
        </w:r>
      </w:hyperlink>
    </w:p>
    <w:p>
      <w:pPr>
        <w:spacing w:after="0" w:line="34" w:lineRule="exact"/>
        <w:rPr>
          <w:sz w:val="20"/>
          <w:szCs w:val="20"/>
          <w:color w:val="auto"/>
        </w:rPr>
      </w:pPr>
    </w:p>
    <w:p>
      <w:pPr>
        <w:spacing w:after="0"/>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(Incorporated by reference to Exhibit 99.2 filed with the Company’s Current Report on Form 8-K on February 3, 2021)</w:t>
        </w:r>
      </w:hyperlink>
    </w:p>
    <w:p>
      <w:pPr>
        <w:spacing w:after="0" w:line="47" w:lineRule="exact"/>
        <w:rPr>
          <w:sz w:val="20"/>
          <w:szCs w:val="20"/>
          <w:color w:val="auto"/>
        </w:rPr>
      </w:pPr>
    </w:p>
    <w:p>
      <w:pPr>
        <w:ind w:right="140"/>
        <w:spacing w:after="0" w:line="274"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Forms of Indemnification Agreement between the Company and 16 of its directors and executive officers (Incorporated by reference</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to Exhibit 10.1 filed with the Company's Form 10-Q for the quarter ended March 31, 2021)</w:t>
        </w:r>
      </w:hyperlink>
    </w:p>
    <w:p>
      <w:pPr>
        <w:spacing w:after="0" w:line="11" w:lineRule="exact"/>
        <w:rPr>
          <w:sz w:val="20"/>
          <w:szCs w:val="20"/>
          <w:color w:val="auto"/>
        </w:rPr>
      </w:pPr>
    </w:p>
    <w:p>
      <w:pPr>
        <w:ind w:right="160"/>
        <w:spacing w:after="0" w:line="274"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Executive Employment Agreement between Mark Bendza and the Company, dated as of July 19, 2021 (Incorporated by reference to</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Exhibit 10.1 filed with the Company's Form 10-Q for the quarter ended June 30, 2021)</w:t>
        </w:r>
      </w:hyperlink>
    </w:p>
    <w:p>
      <w:pPr>
        <w:spacing w:after="0" w:line="11" w:lineRule="exact"/>
        <w:rPr>
          <w:sz w:val="20"/>
          <w:szCs w:val="20"/>
          <w:color w:val="auto"/>
        </w:rPr>
      </w:pPr>
    </w:p>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List of subsidiaries of Telos Corporation</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69215</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1260" w:space="260"/>
            <w:col w:w="9640"/>
          </w:cols>
          <w:pgMar w:left="320" w:top="125" w:right="419" w:bottom="1440" w:gutter="0" w:footer="0" w:header="0"/>
        </w:sectPr>
      </w:pPr>
    </w:p>
    <w:bookmarkStart w:id="97" w:name="page98"/>
    <w:bookmarkEnd w:id="97"/>
    <w:p>
      <w:pPr>
        <w:spacing w:after="0"/>
        <w:rPr>
          <w:rFonts w:ascii="Arial" w:cs="Arial" w:eastAsia="Arial" w:hAnsi="Arial"/>
          <w:sz w:val="15"/>
          <w:szCs w:val="15"/>
          <w:i w:val="1"/>
          <w:iCs w:val="1"/>
          <w:u w:val="single" w:color="auto"/>
          <w:color w:val="auto"/>
        </w:rPr>
      </w:pPr>
      <w:hyperlink w:anchor="page2">
        <w:r>
          <w:rPr>
            <w:rFonts w:ascii="Arial" w:cs="Arial" w:eastAsia="Arial" w:hAnsi="Arial"/>
            <w:sz w:val="15"/>
            <w:szCs w:val="15"/>
            <w:i w:val="1"/>
            <w:iCs w:val="1"/>
            <w:u w:val="single" w:color="auto"/>
            <w:color w:val="auto"/>
          </w:rPr>
          <w:t>Table of Contents</w:t>
        </w:r>
      </w:hyperlink>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23.1+</w:t>
        </w:r>
      </w:hyperlink>
    </w:p>
    <w:p>
      <w:pPr>
        <w:spacing w:after="0" w:line="61" w:lineRule="exact"/>
        <w:rPr>
          <w:sz w:val="20"/>
          <w:szCs w:val="20"/>
          <w:color w:val="auto"/>
        </w:rPr>
      </w:pPr>
    </w:p>
    <w:p>
      <w:pPr>
        <w:jc w:val="center"/>
        <w:ind w:left="32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24+</w:t>
        </w:r>
      </w:hyperlink>
    </w:p>
    <w:p>
      <w:pPr>
        <w:spacing w:after="0" w:line="61" w:lineRule="exact"/>
        <w:rPr>
          <w:sz w:val="20"/>
          <w:szCs w:val="20"/>
          <w:color w:val="auto"/>
        </w:rPr>
      </w:pPr>
    </w:p>
    <w:p>
      <w:pPr>
        <w:jc w:val="center"/>
        <w:ind w:left="32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31.1+</w:t>
        </w:r>
      </w:hyperlink>
    </w:p>
    <w:p>
      <w:pPr>
        <w:spacing w:after="0" w:line="61" w:lineRule="exact"/>
        <w:rPr>
          <w:sz w:val="20"/>
          <w:szCs w:val="20"/>
          <w:color w:val="auto"/>
        </w:rPr>
      </w:pPr>
    </w:p>
    <w:p>
      <w:pPr>
        <w:jc w:val="center"/>
        <w:ind w:left="32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31.2+</w:t>
        </w:r>
      </w:hyperlink>
    </w:p>
    <w:p>
      <w:pPr>
        <w:spacing w:after="0" w:line="61" w:lineRule="exact"/>
        <w:rPr>
          <w:sz w:val="20"/>
          <w:szCs w:val="20"/>
          <w:color w:val="auto"/>
        </w:rPr>
      </w:pPr>
    </w:p>
    <w:p>
      <w:pPr>
        <w:jc w:val="center"/>
        <w:ind w:left="32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32+</w:t>
        </w:r>
      </w:hyperlink>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101.INS^</w:t>
      </w:r>
    </w:p>
    <w:p>
      <w:pPr>
        <w:spacing w:after="0" w:line="28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101.SCH^</w:t>
      </w:r>
    </w:p>
    <w:p>
      <w:pPr>
        <w:spacing w:after="0" w:line="84"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101.CAL^</w:t>
      </w:r>
    </w:p>
    <w:p>
      <w:pPr>
        <w:spacing w:after="0" w:line="73"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101.DEF^</w:t>
      </w:r>
    </w:p>
    <w:p>
      <w:pPr>
        <w:spacing w:after="0" w:line="73"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101.LAB^</w:t>
      </w:r>
    </w:p>
    <w:p>
      <w:pPr>
        <w:spacing w:after="0" w:line="7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101.PRE^</w:t>
      </w:r>
    </w:p>
    <w:p>
      <w:pPr>
        <w:spacing w:after="0" w:line="8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Consent of Independent Registered Public Accounting Firm</w:t>
        </w:r>
      </w:hyperlink>
    </w:p>
    <w:p>
      <w:pPr>
        <w:spacing w:after="0" w:line="61" w:lineRule="exact"/>
        <w:rPr>
          <w:sz w:val="20"/>
          <w:szCs w:val="20"/>
          <w:color w:val="auto"/>
        </w:rPr>
      </w:pPr>
    </w:p>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Power of Attorney</w:t>
        </w:r>
      </w:hyperlink>
    </w:p>
    <w:p>
      <w:pPr>
        <w:spacing w:after="0" w:line="61" w:lineRule="exact"/>
        <w:rPr>
          <w:sz w:val="20"/>
          <w:szCs w:val="20"/>
          <w:color w:val="auto"/>
        </w:rPr>
      </w:pPr>
    </w:p>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Certification pursuant to Rule 13a-14(a)/15d-14(a) under the Securities Exchange Act of 1934</w:t>
        </w:r>
      </w:hyperlink>
    </w:p>
    <w:p>
      <w:pPr>
        <w:spacing w:after="0" w:line="61" w:lineRule="exact"/>
        <w:rPr>
          <w:sz w:val="20"/>
          <w:szCs w:val="20"/>
          <w:color w:val="auto"/>
        </w:rPr>
      </w:pPr>
    </w:p>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Certification pursuant to Rule 13a-14(a)/15d-14(a) under the Securities Exchange Act of 1934</w:t>
        </w:r>
      </w:hyperlink>
    </w:p>
    <w:p>
      <w:pPr>
        <w:spacing w:after="0" w:line="61" w:lineRule="exact"/>
        <w:rPr>
          <w:sz w:val="20"/>
          <w:szCs w:val="20"/>
          <w:color w:val="auto"/>
        </w:rPr>
      </w:pPr>
    </w:p>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Certification pursuant to 18 USC Section 1350</w:t>
        </w:r>
      </w:hyperlink>
    </w:p>
    <w:p>
      <w:pPr>
        <w:spacing w:after="0" w:line="6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6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Cover Page Interactive Data File - the cover page iXBRL tags are embedded within the Inline XBRL document contained in Exhibit 101</w:t>
      </w:r>
    </w:p>
    <w:p>
      <w:pPr>
        <w:spacing w:after="0" w:line="104" w:lineRule="exact"/>
        <w:rPr>
          <w:sz w:val="20"/>
          <w:szCs w:val="20"/>
          <w:color w:val="auto"/>
        </w:rPr>
      </w:pPr>
    </w:p>
    <w:p>
      <w:pPr>
        <w:sectPr>
          <w:pgSz w:w="11900" w:h="16838" w:orient="portrait"/>
          <w:cols w:equalWidth="0" w:num="2">
            <w:col w:w="1080" w:space="440"/>
            <w:col w:w="9500"/>
          </w:cols>
          <w:pgMar w:left="320" w:top="125" w:right="559" w:bottom="1440" w:gutter="0" w:footer="0" w:header="0"/>
          <w:type w:val="continuous"/>
        </w:sectPr>
      </w:pPr>
    </w:p>
    <w:p>
      <w:pPr>
        <w:ind w:left="180" w:right="5340" w:firstLine="11"/>
        <w:spacing w:after="0" w:line="265" w:lineRule="auto"/>
        <w:tabs>
          <w:tab w:leader="none" w:pos="4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 + filed herewith</w:t>
      </w:r>
    </w:p>
    <w:p>
      <w:pPr>
        <w:ind w:left="480" w:right="480" w:hanging="286"/>
        <w:spacing w:after="0" w:line="233"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Annual Report on Form 10-K shall be deemed to be “furnished” and not “filed”</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98" w:name="page99"/>
    <w:bookmarkEnd w:id="9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228" w:lineRule="exact"/>
        <w:rPr>
          <w:sz w:val="20"/>
          <w:szCs w:val="20"/>
          <w:color w:val="auto"/>
        </w:rPr>
      </w:pPr>
    </w:p>
    <w:p>
      <w:pPr>
        <w:ind w:right="140" w:firstLine="322"/>
        <w:spacing w:after="0" w:line="274" w:lineRule="auto"/>
        <w:rPr>
          <w:sz w:val="20"/>
          <w:szCs w:val="20"/>
          <w:color w:val="auto"/>
        </w:rPr>
      </w:pPr>
      <w:r>
        <w:rPr>
          <w:rFonts w:ascii="Arial" w:cs="Arial" w:eastAsia="Arial" w:hAnsi="Arial"/>
          <w:sz w:val="18"/>
          <w:szCs w:val="18"/>
          <w:color w:val="auto"/>
        </w:rPr>
        <w:t>Pursuant to the requirements of Section 13 or 15(d) of the Securities Exchange Act of 1934, Telos Corporation has duly caused this report to be signed on its behalf by the undersigned, thereunto duly authorized.</w:t>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TELOS CORPORATION</w:t>
      </w:r>
    </w:p>
    <w:p>
      <w:pPr>
        <w:spacing w:after="0" w:line="290" w:lineRule="exact"/>
        <w:rPr>
          <w:sz w:val="20"/>
          <w:szCs w:val="20"/>
          <w:color w:val="auto"/>
        </w:rPr>
      </w:pPr>
    </w:p>
    <w:p>
      <w:pPr>
        <w:ind w:left="708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13970</wp:posOffset>
            </wp:positionV>
            <wp:extent cx="24542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ind w:left="7680"/>
        <w:spacing w:after="0"/>
        <w:rPr>
          <w:sz w:val="20"/>
          <w:szCs w:val="20"/>
          <w:color w:val="auto"/>
        </w:rPr>
      </w:pPr>
      <w:r>
        <w:rPr>
          <w:rFonts w:ascii="Arial" w:cs="Arial" w:eastAsia="Arial" w:hAnsi="Arial"/>
          <w:sz w:val="18"/>
          <w:szCs w:val="18"/>
          <w:color w:val="auto"/>
        </w:rPr>
        <w:t>John B. Wood</w:t>
      </w:r>
    </w:p>
    <w:p>
      <w:pPr>
        <w:ind w:left="7680"/>
        <w:spacing w:after="0" w:line="202" w:lineRule="auto"/>
        <w:rPr>
          <w:sz w:val="20"/>
          <w:szCs w:val="20"/>
          <w:color w:val="auto"/>
        </w:rPr>
      </w:pPr>
      <w:r>
        <w:rPr>
          <w:rFonts w:ascii="Arial" w:cs="Arial" w:eastAsia="Arial" w:hAnsi="Arial"/>
          <w:sz w:val="18"/>
          <w:szCs w:val="18"/>
          <w:color w:val="auto"/>
        </w:rPr>
        <w:t>Chief Executive Officer and</w:t>
      </w:r>
    </w:p>
    <w:p>
      <w:pPr>
        <w:ind w:left="7680"/>
        <w:spacing w:after="0" w:line="202" w:lineRule="auto"/>
        <w:rPr>
          <w:sz w:val="20"/>
          <w:szCs w:val="20"/>
          <w:color w:val="auto"/>
        </w:rPr>
      </w:pPr>
      <w:r>
        <w:rPr>
          <w:rFonts w:ascii="Arial" w:cs="Arial" w:eastAsia="Arial" w:hAnsi="Arial"/>
          <w:sz w:val="18"/>
          <w:szCs w:val="18"/>
          <w:color w:val="auto"/>
        </w:rPr>
        <w:t>Chairman of the Board (Principal</w:t>
      </w:r>
    </w:p>
    <w:p>
      <w:pPr>
        <w:spacing w:after="0" w:line="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Executive Officer)</w:t>
      </w:r>
    </w:p>
    <w:p>
      <w:pPr>
        <w:spacing w:after="0" w:line="274" w:lineRule="exact"/>
        <w:rPr>
          <w:sz w:val="20"/>
          <w:szCs w:val="20"/>
          <w:color w:val="auto"/>
        </w:rPr>
      </w:pPr>
    </w:p>
    <w:p>
      <w:pPr>
        <w:ind w:left="6940"/>
        <w:spacing w:after="0"/>
        <w:tabs>
          <w:tab w:leader="none" w:pos="7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28, 2022</w:t>
      </w:r>
    </w:p>
    <w:p>
      <w:pPr>
        <w:spacing w:after="0" w:line="303" w:lineRule="exact"/>
        <w:rPr>
          <w:sz w:val="20"/>
          <w:szCs w:val="20"/>
          <w:color w:val="auto"/>
        </w:rPr>
      </w:pPr>
    </w:p>
    <w:p>
      <w:pPr>
        <w:ind w:right="840" w:firstLine="322"/>
        <w:spacing w:after="0" w:line="274"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Telos Corporation and in the capacities and on the dates indicated.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4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Signature</w:t>
            </w:r>
          </w:p>
        </w:tc>
        <w:tc>
          <w:tcPr>
            <w:tcW w:w="44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230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09"/>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/s/ John B. Wood</w:t>
            </w:r>
          </w:p>
        </w:tc>
        <w:tc>
          <w:tcPr>
            <w:tcW w:w="4400" w:type="dxa"/>
            <w:vAlign w:val="bottom"/>
          </w:tcPr>
          <w:p>
            <w:pPr>
              <w:ind w:left="80"/>
              <w:spacing w:after="0"/>
              <w:rPr>
                <w:sz w:val="20"/>
                <w:szCs w:val="20"/>
                <w:color w:val="auto"/>
              </w:rPr>
            </w:pPr>
            <w:r>
              <w:rPr>
                <w:rFonts w:ascii="Arial" w:cs="Arial" w:eastAsia="Arial" w:hAnsi="Arial"/>
                <w:sz w:val="18"/>
                <w:szCs w:val="18"/>
                <w:color w:val="auto"/>
              </w:rPr>
              <w:t>Chief Executive Officer and Chairman</w:t>
            </w:r>
          </w:p>
        </w:tc>
        <w:tc>
          <w:tcPr>
            <w:tcW w:w="2300" w:type="dxa"/>
            <w:vAlign w:val="bottom"/>
            <w:vMerge w:val="restart"/>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33"/>
        </w:trPr>
        <w:tc>
          <w:tcPr>
            <w:tcW w:w="4540" w:type="dxa"/>
            <w:vAlign w:val="bottom"/>
            <w:tcBorders>
              <w:bottom w:val="single" w:sz="8" w:color="auto"/>
            </w:tcBorders>
            <w:vMerge w:val="continue"/>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rPr>
              <w:t>of the Board (Principal Executive Officer)</w:t>
            </w: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140"/>
              <w:spacing w:after="0"/>
              <w:rPr>
                <w:sz w:val="20"/>
                <w:szCs w:val="20"/>
                <w:color w:val="auto"/>
              </w:rPr>
            </w:pPr>
            <w:r>
              <w:rPr>
                <w:rFonts w:ascii="Arial" w:cs="Arial" w:eastAsia="Arial" w:hAnsi="Arial"/>
                <w:sz w:val="18"/>
                <w:szCs w:val="18"/>
                <w:color w:val="auto"/>
              </w:rPr>
              <w:t>John B. Wood</w:t>
            </w:r>
          </w:p>
        </w:tc>
        <w:tc>
          <w:tcPr>
            <w:tcW w:w="4400" w:type="dxa"/>
            <w:vAlign w:val="bottom"/>
            <w:vMerge w:val="restart"/>
          </w:tcPr>
          <w:p>
            <w:pPr>
              <w:ind w:left="80"/>
              <w:spacing w:after="0"/>
              <w:rPr>
                <w:sz w:val="20"/>
                <w:szCs w:val="20"/>
                <w:color w:val="auto"/>
              </w:rPr>
            </w:pPr>
            <w:r>
              <w:rPr>
                <w:rFonts w:ascii="Arial" w:cs="Arial" w:eastAsia="Arial" w:hAnsi="Arial"/>
                <w:sz w:val="18"/>
                <w:szCs w:val="18"/>
                <w:color w:val="auto"/>
              </w:rPr>
              <w:t>Chief Financial Officer (Principal</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/s/ Mark Bendza</w:t>
            </w:r>
          </w:p>
        </w:tc>
        <w:tc>
          <w:tcPr>
            <w:tcW w:w="4400" w:type="dxa"/>
            <w:vAlign w:val="bottom"/>
            <w:vMerge w:val="continue"/>
          </w:tcPr>
          <w:p>
            <w:pPr>
              <w:spacing w:after="0"/>
              <w:rPr>
                <w:sz w:val="15"/>
                <w:szCs w:val="15"/>
                <w:color w:val="auto"/>
              </w:rPr>
            </w:pPr>
          </w:p>
        </w:tc>
        <w:tc>
          <w:tcPr>
            <w:tcW w:w="2300" w:type="dxa"/>
            <w:vAlign w:val="bottom"/>
            <w:vMerge w:val="restart"/>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33"/>
        </w:trPr>
        <w:tc>
          <w:tcPr>
            <w:tcW w:w="4540" w:type="dxa"/>
            <w:vAlign w:val="bottom"/>
            <w:tcBorders>
              <w:bottom w:val="single" w:sz="8" w:color="auto"/>
            </w:tcBorders>
            <w:vMerge w:val="continue"/>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rPr>
              <w:t>Financial Officer)</w:t>
            </w: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140"/>
              <w:spacing w:after="0"/>
              <w:rPr>
                <w:sz w:val="20"/>
                <w:szCs w:val="20"/>
                <w:color w:val="auto"/>
              </w:rPr>
            </w:pPr>
            <w:r>
              <w:rPr>
                <w:rFonts w:ascii="Arial" w:cs="Arial" w:eastAsia="Arial" w:hAnsi="Arial"/>
                <w:sz w:val="18"/>
                <w:szCs w:val="18"/>
                <w:color w:val="auto"/>
              </w:rPr>
              <w:t>Mark Bendza</w:t>
            </w:r>
          </w:p>
        </w:tc>
        <w:tc>
          <w:tcPr>
            <w:tcW w:w="4400" w:type="dxa"/>
            <w:vAlign w:val="bottom"/>
            <w:vMerge w:val="restart"/>
          </w:tcPr>
          <w:p>
            <w:pPr>
              <w:ind w:left="80"/>
              <w:spacing w:after="0"/>
              <w:rPr>
                <w:sz w:val="20"/>
                <w:szCs w:val="20"/>
                <w:color w:val="auto"/>
              </w:rPr>
            </w:pPr>
            <w:r>
              <w:rPr>
                <w:rFonts w:ascii="Arial" w:cs="Arial" w:eastAsia="Arial" w:hAnsi="Arial"/>
                <w:sz w:val="18"/>
                <w:szCs w:val="18"/>
                <w:color w:val="auto"/>
              </w:rPr>
              <w:t>Controller and Chief Accounting Officer (Principal</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/s/ Victoria Harding</w:t>
            </w:r>
          </w:p>
        </w:tc>
        <w:tc>
          <w:tcPr>
            <w:tcW w:w="4400" w:type="dxa"/>
            <w:vAlign w:val="bottom"/>
            <w:vMerge w:val="continue"/>
          </w:tcPr>
          <w:p>
            <w:pPr>
              <w:spacing w:after="0"/>
              <w:rPr>
                <w:sz w:val="15"/>
                <w:szCs w:val="15"/>
                <w:color w:val="auto"/>
              </w:rPr>
            </w:pPr>
          </w:p>
        </w:tc>
        <w:tc>
          <w:tcPr>
            <w:tcW w:w="2300" w:type="dxa"/>
            <w:vAlign w:val="bottom"/>
            <w:vMerge w:val="restart"/>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33"/>
        </w:trPr>
        <w:tc>
          <w:tcPr>
            <w:tcW w:w="4540" w:type="dxa"/>
            <w:vAlign w:val="bottom"/>
            <w:tcBorders>
              <w:bottom w:val="single" w:sz="8" w:color="auto"/>
            </w:tcBorders>
            <w:vMerge w:val="continue"/>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Accounting Officer)</w:t>
            </w: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40" w:type="dxa"/>
            <w:vAlign w:val="bottom"/>
          </w:tcPr>
          <w:p>
            <w:pPr>
              <w:ind w:left="140"/>
              <w:spacing w:after="0"/>
              <w:rPr>
                <w:sz w:val="20"/>
                <w:szCs w:val="20"/>
                <w:color w:val="auto"/>
              </w:rPr>
            </w:pPr>
            <w:r>
              <w:rPr>
                <w:rFonts w:ascii="Arial" w:cs="Arial" w:eastAsia="Arial" w:hAnsi="Arial"/>
                <w:sz w:val="18"/>
                <w:szCs w:val="18"/>
                <w:color w:val="auto"/>
              </w:rPr>
              <w:t>Victoria Harding</w:t>
            </w:r>
          </w:p>
        </w:tc>
        <w:tc>
          <w:tcPr>
            <w:tcW w:w="4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Bernard C. Bailey</w:t>
            </w:r>
          </w:p>
        </w:tc>
        <w:tc>
          <w:tcPr>
            <w:tcW w:w="440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21"/>
        </w:trPr>
        <w:tc>
          <w:tcPr>
            <w:tcW w:w="4540" w:type="dxa"/>
            <w:vAlign w:val="bottom"/>
          </w:tcPr>
          <w:p>
            <w:pPr>
              <w:ind w:left="140"/>
              <w:spacing w:after="0"/>
              <w:rPr>
                <w:sz w:val="20"/>
                <w:szCs w:val="20"/>
                <w:color w:val="auto"/>
              </w:rPr>
            </w:pPr>
            <w:r>
              <w:rPr>
                <w:rFonts w:ascii="Arial" w:cs="Arial" w:eastAsia="Arial" w:hAnsi="Arial"/>
                <w:sz w:val="18"/>
                <w:szCs w:val="18"/>
                <w:color w:val="auto"/>
              </w:rPr>
              <w:t>Bernard C. Bailey</w:t>
            </w:r>
          </w:p>
        </w:tc>
        <w:tc>
          <w:tcPr>
            <w:tcW w:w="4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David Borland *</w:t>
            </w:r>
          </w:p>
        </w:tc>
        <w:tc>
          <w:tcPr>
            <w:tcW w:w="440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21"/>
        </w:trPr>
        <w:tc>
          <w:tcPr>
            <w:tcW w:w="4540" w:type="dxa"/>
            <w:vAlign w:val="bottom"/>
          </w:tcPr>
          <w:p>
            <w:pPr>
              <w:ind w:left="140"/>
              <w:spacing w:after="0"/>
              <w:rPr>
                <w:sz w:val="20"/>
                <w:szCs w:val="20"/>
                <w:color w:val="auto"/>
              </w:rPr>
            </w:pPr>
            <w:r>
              <w:rPr>
                <w:rFonts w:ascii="Arial" w:cs="Arial" w:eastAsia="Arial" w:hAnsi="Arial"/>
                <w:sz w:val="18"/>
                <w:szCs w:val="18"/>
                <w:color w:val="auto"/>
              </w:rPr>
              <w:t>David Borland</w:t>
            </w:r>
          </w:p>
        </w:tc>
        <w:tc>
          <w:tcPr>
            <w:tcW w:w="4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Bonnie L. Carroll *</w:t>
            </w:r>
          </w:p>
        </w:tc>
        <w:tc>
          <w:tcPr>
            <w:tcW w:w="440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21"/>
        </w:trPr>
        <w:tc>
          <w:tcPr>
            <w:tcW w:w="4540" w:type="dxa"/>
            <w:vAlign w:val="bottom"/>
          </w:tcPr>
          <w:p>
            <w:pPr>
              <w:ind w:left="140"/>
              <w:spacing w:after="0"/>
              <w:rPr>
                <w:sz w:val="20"/>
                <w:szCs w:val="20"/>
                <w:color w:val="auto"/>
              </w:rPr>
            </w:pPr>
            <w:r>
              <w:rPr>
                <w:rFonts w:ascii="Arial" w:cs="Arial" w:eastAsia="Arial" w:hAnsi="Arial"/>
                <w:sz w:val="18"/>
                <w:szCs w:val="18"/>
                <w:color w:val="auto"/>
              </w:rPr>
              <w:t>Bonnie L. Carroll</w:t>
            </w:r>
          </w:p>
        </w:tc>
        <w:tc>
          <w:tcPr>
            <w:tcW w:w="4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Fredrick D. Shaufeld *</w:t>
            </w:r>
          </w:p>
        </w:tc>
        <w:tc>
          <w:tcPr>
            <w:tcW w:w="440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21"/>
        </w:trPr>
        <w:tc>
          <w:tcPr>
            <w:tcW w:w="4540" w:type="dxa"/>
            <w:vAlign w:val="bottom"/>
          </w:tcPr>
          <w:p>
            <w:pPr>
              <w:ind w:left="140"/>
              <w:spacing w:after="0"/>
              <w:rPr>
                <w:sz w:val="20"/>
                <w:szCs w:val="20"/>
                <w:color w:val="auto"/>
              </w:rPr>
            </w:pPr>
            <w:r>
              <w:rPr>
                <w:rFonts w:ascii="Arial" w:cs="Arial" w:eastAsia="Arial" w:hAnsi="Arial"/>
                <w:sz w:val="18"/>
                <w:szCs w:val="18"/>
                <w:color w:val="auto"/>
              </w:rPr>
              <w:t>Fredrick D. Shaufeld</w:t>
            </w:r>
          </w:p>
        </w:tc>
        <w:tc>
          <w:tcPr>
            <w:tcW w:w="4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John W. Maluda *</w:t>
            </w:r>
          </w:p>
        </w:tc>
        <w:tc>
          <w:tcPr>
            <w:tcW w:w="440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21"/>
        </w:trPr>
        <w:tc>
          <w:tcPr>
            <w:tcW w:w="4540" w:type="dxa"/>
            <w:vAlign w:val="bottom"/>
          </w:tcPr>
          <w:p>
            <w:pPr>
              <w:ind w:left="140"/>
              <w:spacing w:after="0"/>
              <w:rPr>
                <w:sz w:val="20"/>
                <w:szCs w:val="20"/>
                <w:color w:val="auto"/>
              </w:rPr>
            </w:pPr>
            <w:r>
              <w:rPr>
                <w:rFonts w:ascii="Arial" w:cs="Arial" w:eastAsia="Arial" w:hAnsi="Arial"/>
                <w:sz w:val="18"/>
                <w:szCs w:val="18"/>
                <w:color w:val="auto"/>
              </w:rPr>
              <w:t>John W. Maluda, Major Gen., USAF (Ret)</w:t>
            </w:r>
          </w:p>
        </w:tc>
        <w:tc>
          <w:tcPr>
            <w:tcW w:w="4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Bradley W. Jacobs *</w:t>
            </w:r>
          </w:p>
        </w:tc>
        <w:tc>
          <w:tcPr>
            <w:tcW w:w="440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21"/>
        </w:trPr>
        <w:tc>
          <w:tcPr>
            <w:tcW w:w="4540" w:type="dxa"/>
            <w:vAlign w:val="bottom"/>
          </w:tcPr>
          <w:p>
            <w:pPr>
              <w:ind w:left="140"/>
              <w:spacing w:after="0"/>
              <w:rPr>
                <w:sz w:val="20"/>
                <w:szCs w:val="20"/>
                <w:color w:val="auto"/>
              </w:rPr>
            </w:pPr>
            <w:r>
              <w:rPr>
                <w:rFonts w:ascii="Arial" w:cs="Arial" w:eastAsia="Arial" w:hAnsi="Arial"/>
                <w:sz w:val="18"/>
                <w:szCs w:val="18"/>
                <w:color w:val="auto"/>
              </w:rPr>
              <w:t>Bradley W. Jacobs</w:t>
            </w:r>
          </w:p>
        </w:tc>
        <w:tc>
          <w:tcPr>
            <w:tcW w:w="4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Derrick Dockery *</w:t>
            </w:r>
          </w:p>
        </w:tc>
        <w:tc>
          <w:tcPr>
            <w:tcW w:w="440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31"/>
              <w:spacing w:after="0"/>
              <w:rPr>
                <w:sz w:val="20"/>
                <w:szCs w:val="20"/>
                <w:color w:val="auto"/>
              </w:rPr>
            </w:pPr>
            <w:r>
              <w:rPr>
                <w:rFonts w:ascii="Arial" w:cs="Arial" w:eastAsia="Arial" w:hAnsi="Arial"/>
                <w:sz w:val="18"/>
                <w:szCs w:val="18"/>
                <w:color w:val="auto"/>
                <w:w w:val="91"/>
              </w:rPr>
              <w:t>March 28, 2022</w:t>
            </w:r>
          </w:p>
        </w:tc>
        <w:tc>
          <w:tcPr>
            <w:tcW w:w="0" w:type="dxa"/>
            <w:vAlign w:val="bottom"/>
          </w:tcPr>
          <w:p>
            <w:pPr>
              <w:spacing w:after="0"/>
              <w:rPr>
                <w:sz w:val="1"/>
                <w:szCs w:val="1"/>
                <w:color w:val="auto"/>
              </w:rPr>
            </w:pPr>
          </w:p>
        </w:tc>
      </w:tr>
      <w:tr>
        <w:trPr>
          <w:trHeight w:val="223"/>
        </w:trPr>
        <w:tc>
          <w:tcPr>
            <w:tcW w:w="4540" w:type="dxa"/>
            <w:vAlign w:val="bottom"/>
          </w:tcPr>
          <w:p>
            <w:pPr>
              <w:ind w:left="140"/>
              <w:spacing w:after="0"/>
              <w:rPr>
                <w:sz w:val="20"/>
                <w:szCs w:val="20"/>
                <w:color w:val="auto"/>
              </w:rPr>
            </w:pPr>
            <w:r>
              <w:rPr>
                <w:rFonts w:ascii="Arial" w:cs="Arial" w:eastAsia="Arial" w:hAnsi="Arial"/>
                <w:sz w:val="18"/>
                <w:szCs w:val="18"/>
                <w:color w:val="auto"/>
              </w:rPr>
              <w:t>Derrick Dockery</w:t>
            </w:r>
          </w:p>
        </w:tc>
        <w:tc>
          <w:tcPr>
            <w:tcW w:w="4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454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4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above-named directors of the Registrant sign this Annual Report on Form 10-K by John B. Wood, their attorney-in-fact, pursuant to Powers of</w:t>
      </w:r>
    </w:p>
    <w:p>
      <w:pPr>
        <w:spacing w:after="0" w:line="6" w:lineRule="exact"/>
        <w:rPr>
          <w:sz w:val="20"/>
          <w:szCs w:val="20"/>
          <w:color w:val="auto"/>
        </w:rPr>
      </w:pPr>
    </w:p>
    <w:p>
      <w:pPr>
        <w:ind w:left="620" w:right="380" w:hanging="595"/>
        <w:spacing w:after="0" w:line="224"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Attorney signed by the above-named directors, which Powers of Attorney are filed with this Annual Report on Form 10-K in Exhibit 24, in the capacities indicated and on the 28th day of March, 2022.</w:t>
      </w:r>
    </w:p>
    <w:p>
      <w:pPr>
        <w:spacing w:after="0" w:line="269"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Wood</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John B. Wood</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25" w:right="339" w:bottom="1440" w:gutter="0" w:footer="0" w:header="0"/>
        </w:sectPr>
      </w:pPr>
    </w:p>
    <w:bookmarkStart w:id="99" w:name="page100"/>
    <w:bookmarkEnd w:id="99"/>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OUR CAPITAL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3"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The following description summarizes the most important terms of our capital stock and certain provisions of the Maryland General Corporation Law (“MGCL”) that may be applicable to holders of the Corporation’s capital stock. This summary does not purport to be complete and is qualified in its entirety by the provisions of our Charter, as amended and restated (the “Charter”), our Bylaws, as amended and restated the “Bylaws”), each of which are incorporated by reference as exhibits 3.1 and 3.2, respectively, to this Annual Report on Form 10-K, and certain applicable provisions of the MGCL. For a complete description of our capital stock, you should refer to our Charter, our Bylaws, and to the applicable provisions of the MGCL.</w:t>
      </w:r>
    </w:p>
    <w:p>
      <w:pPr>
        <w:spacing w:after="0" w:line="190"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Our authorized capital stock consists of 250,000,000 shares of common stock, $0.001 par value per share, and 10,000,000 shares of preferred stock, $0.01 par value per share. Our Charter authorizes our Board of Directors to classify or reclassify shares of our capital stock in one or more classes or series, to cause the issuance of additional shares of our capital stock, and to amend our Charter without stockholder approval to increase or decrease the number of shares of stock that we have authority to issue. As of March 21, 2022, there were 67,867,500 shares of our common stock issued and outstanding, 3,590,233 shares of common stock reserved for issuance for future grants under the Telos Corporation 2016 Omnibus Long-Term Incentive Plan, and there are no shares of stock issuable upon the exercise of any warrants. There are no shares of preferred stock outstanding. All issued and outstanding shares of our capital stock are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09" w:lineRule="exact"/>
        <w:rPr>
          <w:sz w:val="20"/>
          <w:szCs w:val="20"/>
          <w:color w:val="auto"/>
        </w:rPr>
      </w:pPr>
    </w:p>
    <w:p>
      <w:pPr>
        <w:ind w:right="260"/>
        <w:spacing w:after="0" w:line="22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will be entitled to receive dividends out of funds legally available if our Board of Directors, in its discretion, determines to issue dividends and then only at the times and in the amounts that our Board of Directors may determine.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09"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Holders of our common stock are entitled to one vote for each share held on all matters properly submitted to a vote of stockholders on which holders of common stock are entitled to vote. We have not provided for cumulative voting for the election of directors in our Charter. The directors will be elected by a plurality of the outstanding shares entitled to vote on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09"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 Holders of our common stock are not be entitled to exercise any rights of an objecting stockholder under Title 3, Subtitle 2 of the MGCL, or any successor statute, unless otherwise determined by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209" w:lineRule="exact"/>
        <w:rPr>
          <w:sz w:val="20"/>
          <w:szCs w:val="20"/>
          <w:color w:val="auto"/>
        </w:rPr>
      </w:pPr>
    </w:p>
    <w:p>
      <w:pPr>
        <w:ind w:right="660"/>
        <w:spacing w:after="0" w:line="234" w:lineRule="auto"/>
        <w:rPr>
          <w:sz w:val="20"/>
          <w:szCs w:val="20"/>
          <w:color w:val="auto"/>
        </w:rPr>
      </w:pPr>
      <w:r>
        <w:rPr>
          <w:rFonts w:ascii="Arial" w:cs="Arial" w:eastAsia="Arial" w:hAnsi="Arial"/>
          <w:sz w:val="18"/>
          <w:szCs w:val="18"/>
          <w:color w:val="auto"/>
        </w:rPr>
        <w:t>Our Charter provides that, subject to the terms of any preferred stock that may be outstanding, a director may be removed by the affirmative vote of stockholders entitled to cast at least two-thirds of the votes entitled to be cast generally in the election of directors.</w:t>
      </w:r>
    </w:p>
    <w:p>
      <w:pPr>
        <w:spacing w:after="0" w:line="187"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Our Charter provide that, subject to the terms of any preferred stock that may be outstanding, vacancies in our board of directors may be filled only by a majority vote of the remaining directors then in office, even if the remaining directors do not constitute a quorum.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auto"/>
        </w:rPr>
        <w:t>4856-9289-1153.v3</w:t>
      </w:r>
    </w:p>
    <w:p>
      <w:pPr>
        <w:sectPr>
          <w:pgSz w:w="11900" w:h="16838" w:orient="portrait"/>
          <w:cols w:equalWidth="0" w:num="1">
            <w:col w:w="11240"/>
          </w:cols>
          <w:pgMar w:left="320" w:top="1440"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Advance Notice of Stockholder Director Nominations and Proposals</w:t>
      </w:r>
    </w:p>
    <w:p>
      <w:pPr>
        <w:spacing w:after="0" w:line="209"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Our Bylaws provide that stockholder nominations for directors or proposals for business at an annual or special stockholders meeting must comply with certain advance notice provisions set forth in our Bylaws.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Maryland Business Combination Act</w:t>
      </w:r>
    </w:p>
    <w:p>
      <w:pPr>
        <w:spacing w:after="0" w:line="209"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We are subject to Subtitle 6 of Title 3 of the MGCL, the Maryland Business Combination Act. The Business Combination Act may discourage third parties from trying to acquire control of us and increase the difficulty of consummating such an offer.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Maryland Control Share Acquisition Act</w:t>
      </w:r>
    </w:p>
    <w:p>
      <w:pPr>
        <w:spacing w:after="0" w:line="209"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We are subject to Subtitle 7 of Title 3 of the MGCL, the Maryland Control Share Acquisition Act.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Our Board of Directors is authorized, subject to limitations prescribed by Maryland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without any further vote or action by our stockholders. Our Board of Directors may authorize the issuance of preferred stock with voting or conversion rights that could adversely affect the voting power or other rights of the holders of our common stock or other series of preferred stock. The issuance of preferred stock, while providing flexibility in connection with possible financings, acquisitions and other corporate purposes, could, among other things, have the effect of delaying, deferring or preventing a change in our control of our company and might adversely affect the market price of our common stock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4856-9289-1153.v3</w:t>
      </w:r>
    </w:p>
    <w:p>
      <w:pPr>
        <w:sectPr>
          <w:pgSz w:w="11900" w:h="16838" w:orient="portrait"/>
          <w:cols w:equalWidth="0" w:num="1">
            <w:col w:w="11220"/>
          </w:cols>
          <w:pgMar w:left="320" w:top="1400" w:right="359" w:bottom="1440" w:gutter="0" w:footer="0" w:header="0"/>
        </w:sectPr>
      </w:pPr>
    </w:p>
    <w:bookmarkStart w:id="101" w:name="page102"/>
    <w:bookmarkEnd w:id="101"/>
    <w:p>
      <w:pPr>
        <w:ind w:left="10440"/>
        <w:spacing w:after="0"/>
        <w:rPr>
          <w:sz w:val="20"/>
          <w:szCs w:val="20"/>
          <w:color w:val="auto"/>
        </w:rPr>
      </w:pPr>
      <w:r>
        <w:rPr>
          <w:rFonts w:ascii="Arial" w:cs="Arial" w:eastAsia="Arial" w:hAnsi="Arial"/>
          <w:sz w:val="16"/>
          <w:szCs w:val="16"/>
          <w:b w:val="1"/>
          <w:bCs w:val="1"/>
          <w:color w:val="auto"/>
        </w:rPr>
        <w:t>Exhibit 21</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SUBSIDIARIES</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Active Subsidiaries of the Company as of December 31, 2021</w:t>
      </w:r>
    </w:p>
    <w:p>
      <w:pPr>
        <w:sectPr>
          <w:pgSz w:w="11900" w:h="16838" w:orient="portrait"/>
          <w:cols w:equalWidth="0" w:num="1">
            <w:col w:w="11220"/>
          </w:cols>
          <w:pgMar w:left="340" w:top="886"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State/Country of Incorporation</w:t>
      </w:r>
    </w:p>
    <w:p>
      <w:pPr>
        <w:spacing w:after="0" w:line="200" w:lineRule="exact"/>
        <w:rPr>
          <w:sz w:val="20"/>
          <w:szCs w:val="20"/>
          <w:color w:val="auto"/>
        </w:rPr>
      </w:pPr>
    </w:p>
    <w:p>
      <w:pPr>
        <w:sectPr>
          <w:pgSz w:w="11900" w:h="16838" w:orient="portrait"/>
          <w:cols w:equalWidth="0" w:num="2">
            <w:col w:w="7900" w:space="720"/>
            <w:col w:w="2600"/>
          </w:cols>
          <w:pgMar w:left="340" w:top="886" w:right="3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Ubiquity.com, Inc.</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67" w:lineRule="exact"/>
        <w:rPr>
          <w:sz w:val="20"/>
          <w:szCs w:val="20"/>
          <w:color w:val="auto"/>
        </w:rPr>
      </w:pPr>
    </w:p>
    <w:p>
      <w:pPr>
        <w:sectPr>
          <w:pgSz w:w="11900" w:h="16838" w:orient="portrait"/>
          <w:cols w:equalWidth="0" w:num="2">
            <w:col w:w="7480" w:space="720"/>
            <w:col w:w="3020"/>
          </w:cols>
          <w:pgMar w:left="340" w:top="886" w:right="339" w:bottom="1440" w:gutter="0" w:footer="0" w:header="0"/>
          <w:type w:val="continuous"/>
        </w:sectPr>
      </w:pPr>
    </w:p>
    <w:p>
      <w:pPr>
        <w:spacing w:after="0"/>
        <w:rPr>
          <w:sz w:val="20"/>
          <w:szCs w:val="20"/>
          <w:color w:val="auto"/>
        </w:rPr>
      </w:pPr>
      <w:r>
        <w:rPr>
          <w:rFonts w:ascii="Arial" w:cs="Arial" w:eastAsia="Arial" w:hAnsi="Arial"/>
          <w:sz w:val="14"/>
          <w:szCs w:val="14"/>
          <w:color w:val="auto"/>
        </w:rPr>
        <w:t>Xacta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Delaware</w:t>
      </w:r>
    </w:p>
    <w:p>
      <w:pPr>
        <w:spacing w:after="0" w:line="67" w:lineRule="exact"/>
        <w:rPr>
          <w:sz w:val="20"/>
          <w:szCs w:val="20"/>
          <w:color w:val="auto"/>
        </w:rPr>
      </w:pPr>
    </w:p>
    <w:p>
      <w:pPr>
        <w:sectPr>
          <w:pgSz w:w="11900" w:h="16838" w:orient="portrait"/>
          <w:cols w:equalWidth="0" w:num="2">
            <w:col w:w="7480" w:space="720"/>
            <w:col w:w="3020"/>
          </w:cols>
          <w:pgMar w:left="340" w:top="886" w:right="339" w:bottom="1440" w:gutter="0" w:footer="0" w:header="0"/>
          <w:type w:val="continuous"/>
        </w:sectPr>
      </w:pPr>
    </w:p>
    <w:p>
      <w:pPr>
        <w:spacing w:after="0"/>
        <w:rPr>
          <w:sz w:val="20"/>
          <w:szCs w:val="20"/>
          <w:color w:val="auto"/>
        </w:rPr>
      </w:pPr>
      <w:r>
        <w:rPr>
          <w:rFonts w:ascii="Arial" w:cs="Arial" w:eastAsia="Arial" w:hAnsi="Arial"/>
          <w:sz w:val="14"/>
          <w:szCs w:val="14"/>
          <w:color w:val="auto"/>
        </w:rPr>
        <w:t>Teloworks,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Delaware</w:t>
      </w:r>
    </w:p>
    <w:p>
      <w:pPr>
        <w:spacing w:after="0" w:line="67" w:lineRule="exact"/>
        <w:rPr>
          <w:sz w:val="20"/>
          <w:szCs w:val="20"/>
          <w:color w:val="auto"/>
        </w:rPr>
      </w:pPr>
    </w:p>
    <w:p>
      <w:pPr>
        <w:sectPr>
          <w:pgSz w:w="11900" w:h="16838" w:orient="portrait"/>
          <w:cols w:equalWidth="0" w:num="2">
            <w:col w:w="7480" w:space="720"/>
            <w:col w:w="3020"/>
          </w:cols>
          <w:pgMar w:left="340" w:top="886" w:right="339" w:bottom="1440" w:gutter="0" w:footer="0" w:header="0"/>
          <w:type w:val="continuous"/>
        </w:sectPr>
      </w:pPr>
    </w:p>
    <w:p>
      <w:pPr>
        <w:spacing w:after="0"/>
        <w:rPr>
          <w:sz w:val="20"/>
          <w:szCs w:val="20"/>
          <w:color w:val="auto"/>
        </w:rPr>
      </w:pPr>
      <w:r>
        <w:rPr>
          <w:rFonts w:ascii="Arial" w:cs="Arial" w:eastAsia="Arial" w:hAnsi="Arial"/>
          <w:sz w:val="15"/>
          <w:szCs w:val="15"/>
          <w:color w:val="auto"/>
        </w:rPr>
        <w:t>Telos Identity Management Solutions, LLC (DBA Telos 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Delaware</w:t>
      </w:r>
    </w:p>
    <w:p>
      <w:pPr>
        <w:spacing w:after="0" w:line="67" w:lineRule="exact"/>
        <w:rPr>
          <w:sz w:val="20"/>
          <w:szCs w:val="20"/>
          <w:color w:val="auto"/>
        </w:rPr>
      </w:pPr>
    </w:p>
    <w:p>
      <w:pPr>
        <w:sectPr>
          <w:pgSz w:w="11900" w:h="16838" w:orient="portrait"/>
          <w:cols w:equalWidth="0" w:num="2">
            <w:col w:w="7480" w:space="720"/>
            <w:col w:w="3020"/>
          </w:cols>
          <w:pgMar w:left="340" w:top="886" w:right="339" w:bottom="1440" w:gutter="0" w:footer="0" w:header="0"/>
          <w:type w:val="continuous"/>
        </w:sectPr>
      </w:pPr>
    </w:p>
    <w:p>
      <w:pPr>
        <w:spacing w:after="0"/>
        <w:rPr>
          <w:sz w:val="20"/>
          <w:szCs w:val="20"/>
          <w:color w:val="auto"/>
        </w:rPr>
      </w:pPr>
      <w:r>
        <w:rPr>
          <w:rFonts w:ascii="Arial" w:cs="Arial" w:eastAsia="Arial" w:hAnsi="Arial"/>
          <w:sz w:val="15"/>
          <w:szCs w:val="15"/>
          <w:color w:val="auto"/>
        </w:rPr>
        <w:t>Teloworks Philippines,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Philippines</w:t>
      </w:r>
    </w:p>
    <w:p>
      <w:pPr>
        <w:spacing w:after="0" w:line="56" w:lineRule="exact"/>
        <w:rPr>
          <w:sz w:val="20"/>
          <w:szCs w:val="20"/>
          <w:color w:val="auto"/>
        </w:rPr>
      </w:pPr>
    </w:p>
    <w:p>
      <w:pPr>
        <w:sectPr>
          <w:pgSz w:w="11900" w:h="16838" w:orient="portrait"/>
          <w:cols w:equalWidth="0" w:num="2">
            <w:col w:w="7480" w:space="720"/>
            <w:col w:w="3020"/>
          </w:cols>
          <w:pgMar w:left="340" w:top="886" w:right="339" w:bottom="1440" w:gutter="0" w:footer="0" w:header="0"/>
          <w:type w:val="continuous"/>
        </w:sectPr>
      </w:pPr>
    </w:p>
    <w:p>
      <w:pPr>
        <w:spacing w:after="0"/>
        <w:rPr>
          <w:sz w:val="20"/>
          <w:szCs w:val="20"/>
          <w:color w:val="auto"/>
        </w:rPr>
      </w:pPr>
      <w:r>
        <w:rPr>
          <w:rFonts w:ascii="Arial" w:cs="Arial" w:eastAsia="Arial" w:hAnsi="Arial"/>
          <w:sz w:val="14"/>
          <w:szCs w:val="14"/>
          <w:color w:val="auto"/>
        </w:rPr>
        <w:t>Telos APAC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Singapore</w:t>
      </w:r>
    </w:p>
    <w:p>
      <w:pPr>
        <w:sectPr>
          <w:pgSz w:w="11900" w:h="16838" w:orient="portrait"/>
          <w:cols w:equalWidth="0" w:num="2">
            <w:col w:w="7480" w:space="720"/>
            <w:col w:w="3020"/>
          </w:cols>
          <w:pgMar w:left="340" w:top="886" w:right="3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Telos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Ashburn, Virginia</w:t>
      </w:r>
    </w:p>
    <w:p>
      <w:pPr>
        <w:spacing w:after="0" w:line="200" w:lineRule="exact"/>
        <w:rPr>
          <w:sz w:val="20"/>
          <w:szCs w:val="20"/>
          <w:color w:val="auto"/>
        </w:rPr>
      </w:pP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333-252400) of Telos Corporation of our reports dated March 28, 2022, relating to the consolidated financial statements and the effectiveness of Telos Corporation’s internal control over financial reporting, which appear in this Form 10-K. Our report on the effectiveness of internal control over financial reporting expresses an adverse opinion on the effectiveness of the Company’s internal control over financial reporting as of December 31, 2021.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ectPr>
          <w:pgSz w:w="11900" w:h="16838" w:orient="portrait"/>
          <w:cols w:equalWidth="0" w:num="1">
            <w:col w:w="11240"/>
          </w:cols>
          <w:pgMar w:left="320" w:top="886"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24</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5" w:lineRule="exact"/>
        <w:rPr>
          <w:sz w:val="20"/>
          <w:szCs w:val="20"/>
          <w:color w:val="auto"/>
        </w:rPr>
      </w:pPr>
    </w:p>
    <w:p>
      <w:pPr>
        <w:jc w:val="both"/>
        <w:ind w:firstLine="644"/>
        <w:spacing w:after="0" w:line="212" w:lineRule="auto"/>
        <w:rPr>
          <w:sz w:val="20"/>
          <w:szCs w:val="20"/>
          <w:color w:val="auto"/>
        </w:rPr>
      </w:pPr>
      <w:r>
        <w:rPr>
          <w:rFonts w:ascii="Arial" w:cs="Arial" w:eastAsia="Arial" w:hAnsi="Arial"/>
          <w:sz w:val="19"/>
          <w:szCs w:val="19"/>
          <w:color w:val="auto"/>
        </w:rPr>
        <w:t>KNOW ALL PERSONS BY THESE PRESENTS, that each of the undersigned, in their capacities as directors and/or executive officers of Telos Corporation, a Maryland corporation (the “</w:t>
      </w:r>
      <w:r>
        <w:rPr>
          <w:rFonts w:ascii="Arial" w:cs="Arial" w:eastAsia="Arial" w:hAnsi="Arial"/>
          <w:sz w:val="19"/>
          <w:szCs w:val="19"/>
          <w:b w:val="1"/>
          <w:bCs w:val="1"/>
          <w:color w:val="auto"/>
        </w:rPr>
        <w:t>Registrant</w:t>
      </w:r>
      <w:r>
        <w:rPr>
          <w:rFonts w:ascii="Arial" w:cs="Arial" w:eastAsia="Arial" w:hAnsi="Arial"/>
          <w:sz w:val="19"/>
          <w:szCs w:val="19"/>
          <w:color w:val="auto"/>
        </w:rPr>
        <w:t>”), hereby constitute and appoint each of John B. Wood, Mark Bendza, and E. Hutchinson Robbins, Jr., as his/her true and lawful attorney-in-fact and agent with full power of substitution, for him/her and in his/her name, place and stead, in any and all capacities, to take all actions and execute for or on his/her behalf all documents necessary in connection with, and including, this Annual Report on Form 10-K for the year ended December 31, 2021 (the “</w:t>
      </w:r>
      <w:r>
        <w:rPr>
          <w:rFonts w:ascii="Arial" w:cs="Arial" w:eastAsia="Arial" w:hAnsi="Arial"/>
          <w:sz w:val="19"/>
          <w:szCs w:val="19"/>
          <w:b w:val="1"/>
          <w:bCs w:val="1"/>
          <w:color w:val="auto"/>
        </w:rPr>
        <w:t>Annual Report</w:t>
      </w:r>
      <w:r>
        <w:rPr>
          <w:rFonts w:ascii="Arial" w:cs="Arial" w:eastAsia="Arial" w:hAnsi="Arial"/>
          <w:sz w:val="19"/>
          <w:szCs w:val="19"/>
          <w:color w:val="auto"/>
        </w:rPr>
        <w:t>”) under the Securities Exchange Act of 1934, as amended (the “</w:t>
      </w:r>
      <w:r>
        <w:rPr>
          <w:rFonts w:ascii="Arial" w:cs="Arial" w:eastAsia="Arial" w:hAnsi="Arial"/>
          <w:sz w:val="19"/>
          <w:szCs w:val="19"/>
          <w:b w:val="1"/>
          <w:bCs w:val="1"/>
          <w:color w:val="auto"/>
        </w:rPr>
        <w:t>1934 Act</w:t>
      </w:r>
      <w:r>
        <w:rPr>
          <w:rFonts w:ascii="Arial" w:cs="Arial" w:eastAsia="Arial" w:hAnsi="Arial"/>
          <w:sz w:val="19"/>
          <w:szCs w:val="19"/>
          <w:color w:val="auto"/>
        </w:rPr>
        <w:t>”), and any and all amendments (including post-effective amendments) to the Annual Report, with all exhibits thereto and all documents in connection therewith, with the Securities and Exchange Commission to comply with the 1934 Act and other applicable federal laws, and hereby grant unto said attorney-in-fact and agent full power and authority to do and perform each and every act and thing requisite and necessary to be done in connection therewith, as fully to all intents and purposes as he/she might or could do in person, hereby ratifying and confirming that said attorney-in-fact and agent, or his substitute, may lawfully do or cause to be done by virtue hereof.</w:t>
      </w:r>
    </w:p>
    <w:p>
      <w:pPr>
        <w:spacing w:after="0" w:line="185" w:lineRule="exact"/>
        <w:rPr>
          <w:sz w:val="20"/>
          <w:szCs w:val="20"/>
          <w:color w:val="auto"/>
        </w:rPr>
      </w:pPr>
    </w:p>
    <w:p>
      <w:pPr>
        <w:jc w:val="both"/>
        <w:ind w:firstLine="644"/>
        <w:spacing w:after="0" w:line="228" w:lineRule="auto"/>
        <w:rPr>
          <w:sz w:val="20"/>
          <w:szCs w:val="20"/>
          <w:color w:val="auto"/>
        </w:rPr>
      </w:pPr>
      <w:r>
        <w:rPr>
          <w:rFonts w:ascii="Arial" w:cs="Arial" w:eastAsia="Arial" w:hAnsi="Arial"/>
          <w:sz w:val="20"/>
          <w:szCs w:val="20"/>
          <w:color w:val="auto"/>
        </w:rPr>
        <w:t>Pursuant to the requirements of the 1934 Act, this Annual Report has been signed by the following persons in the capacities and on the dates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20" w:type="dxa"/>
            <w:vAlign w:val="bottom"/>
          </w:tcPr>
          <w:p>
            <w:pPr>
              <w:ind w:left="1800"/>
              <w:spacing w:after="0"/>
              <w:rPr>
                <w:sz w:val="20"/>
                <w:szCs w:val="20"/>
                <w:color w:val="auto"/>
              </w:rPr>
            </w:pPr>
            <w:r>
              <w:rPr>
                <w:rFonts w:ascii="Arial" w:cs="Arial" w:eastAsia="Arial" w:hAnsi="Arial"/>
                <w:sz w:val="18"/>
                <w:szCs w:val="18"/>
                <w:b w:val="1"/>
                <w:bCs w:val="1"/>
                <w:color w:val="auto"/>
              </w:rPr>
              <w:t>Signature</w:t>
            </w:r>
          </w:p>
        </w:tc>
        <w:tc>
          <w:tcPr>
            <w:tcW w:w="3560" w:type="dxa"/>
            <w:vAlign w:val="bottom"/>
          </w:tcPr>
          <w:p>
            <w:pPr>
              <w:ind w:left="1980"/>
              <w:spacing w:after="0"/>
              <w:rPr>
                <w:sz w:val="20"/>
                <w:szCs w:val="20"/>
                <w:color w:val="auto"/>
              </w:rPr>
            </w:pPr>
            <w:r>
              <w:rPr>
                <w:rFonts w:ascii="Arial" w:cs="Arial" w:eastAsia="Arial" w:hAnsi="Arial"/>
                <w:sz w:val="18"/>
                <w:szCs w:val="18"/>
                <w:b w:val="1"/>
                <w:bCs w:val="1"/>
                <w:color w:val="auto"/>
              </w:rPr>
              <w:t>Title</w:t>
            </w:r>
          </w:p>
        </w:tc>
        <w:tc>
          <w:tcPr>
            <w:tcW w:w="2800" w:type="dxa"/>
            <w:vAlign w:val="bottom"/>
          </w:tcPr>
          <w:p>
            <w:pPr>
              <w:jc w:val="center"/>
              <w:ind w:left="651"/>
              <w:spacing w:after="0"/>
              <w:rPr>
                <w:sz w:val="20"/>
                <w:szCs w:val="20"/>
                <w:color w:val="auto"/>
              </w:rPr>
            </w:pPr>
            <w:r>
              <w:rPr>
                <w:rFonts w:ascii="Arial" w:cs="Arial" w:eastAsia="Arial" w:hAnsi="Arial"/>
                <w:sz w:val="18"/>
                <w:szCs w:val="18"/>
                <w:b w:val="1"/>
                <w:bCs w:val="1"/>
                <w:color w:val="auto"/>
                <w:w w:val="87"/>
              </w:rPr>
              <w:t>Date</w:t>
            </w:r>
          </w:p>
        </w:tc>
      </w:tr>
      <w:tr>
        <w:trPr>
          <w:trHeight w:val="27"/>
        </w:trPr>
        <w:tc>
          <w:tcPr>
            <w:tcW w:w="43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517"/>
        </w:trPr>
        <w:tc>
          <w:tcPr>
            <w:tcW w:w="4320" w:type="dxa"/>
            <w:vAlign w:val="bottom"/>
          </w:tcPr>
          <w:p>
            <w:pPr>
              <w:ind w:left="180"/>
              <w:spacing w:after="0"/>
              <w:rPr>
                <w:sz w:val="20"/>
                <w:szCs w:val="20"/>
                <w:color w:val="auto"/>
              </w:rPr>
            </w:pPr>
            <w:r>
              <w:rPr>
                <w:rFonts w:ascii="Arial" w:cs="Arial" w:eastAsia="Arial" w:hAnsi="Arial"/>
                <w:sz w:val="18"/>
                <w:szCs w:val="18"/>
                <w:color w:val="auto"/>
              </w:rPr>
              <w:t>/s/ David Borland</w:t>
            </w:r>
          </w:p>
        </w:tc>
        <w:tc>
          <w:tcPr>
            <w:tcW w:w="35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651"/>
              <w:spacing w:after="0"/>
              <w:rPr>
                <w:sz w:val="20"/>
                <w:szCs w:val="20"/>
                <w:color w:val="auto"/>
              </w:rPr>
            </w:pPr>
            <w:r>
              <w:rPr>
                <w:rFonts w:ascii="Arial" w:cs="Arial" w:eastAsia="Arial" w:hAnsi="Arial"/>
                <w:sz w:val="18"/>
                <w:szCs w:val="18"/>
                <w:color w:val="auto"/>
                <w:w w:val="92"/>
              </w:rPr>
              <w:t>March 4, 2022</w:t>
            </w:r>
          </w:p>
        </w:tc>
      </w:tr>
      <w:tr>
        <w:trPr>
          <w:trHeight w:val="27"/>
        </w:trPr>
        <w:tc>
          <w:tcPr>
            <w:tcW w:w="4320" w:type="dxa"/>
            <w:vAlign w:val="bottom"/>
            <w:tcBorders>
              <w:bottom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35"/>
        </w:trPr>
        <w:tc>
          <w:tcPr>
            <w:tcW w:w="4320" w:type="dxa"/>
            <w:vAlign w:val="bottom"/>
          </w:tcPr>
          <w:p>
            <w:pPr>
              <w:ind w:left="140"/>
              <w:spacing w:after="0"/>
              <w:rPr>
                <w:sz w:val="20"/>
                <w:szCs w:val="20"/>
                <w:color w:val="auto"/>
              </w:rPr>
            </w:pPr>
            <w:r>
              <w:rPr>
                <w:rFonts w:ascii="Arial" w:cs="Arial" w:eastAsia="Arial" w:hAnsi="Arial"/>
                <w:sz w:val="18"/>
                <w:szCs w:val="18"/>
                <w:color w:val="auto"/>
              </w:rPr>
              <w:t>David Borland</w:t>
            </w:r>
          </w:p>
        </w:tc>
        <w:tc>
          <w:tcPr>
            <w:tcW w:w="35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77"/>
        </w:trPr>
        <w:tc>
          <w:tcPr>
            <w:tcW w:w="4320" w:type="dxa"/>
            <w:vAlign w:val="bottom"/>
          </w:tcPr>
          <w:p>
            <w:pPr>
              <w:ind w:left="180"/>
              <w:spacing w:after="0"/>
              <w:rPr>
                <w:sz w:val="20"/>
                <w:szCs w:val="20"/>
                <w:color w:val="auto"/>
              </w:rPr>
            </w:pPr>
            <w:r>
              <w:rPr>
                <w:rFonts w:ascii="Arial" w:cs="Arial" w:eastAsia="Arial" w:hAnsi="Arial"/>
                <w:sz w:val="18"/>
                <w:szCs w:val="18"/>
                <w:color w:val="auto"/>
              </w:rPr>
              <w:t>/s/ Bonnie L. Carroll</w:t>
            </w:r>
          </w:p>
        </w:tc>
        <w:tc>
          <w:tcPr>
            <w:tcW w:w="35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651"/>
              <w:spacing w:after="0"/>
              <w:rPr>
                <w:sz w:val="20"/>
                <w:szCs w:val="20"/>
                <w:color w:val="auto"/>
              </w:rPr>
            </w:pPr>
            <w:r>
              <w:rPr>
                <w:rFonts w:ascii="Arial" w:cs="Arial" w:eastAsia="Arial" w:hAnsi="Arial"/>
                <w:sz w:val="18"/>
                <w:szCs w:val="18"/>
                <w:color w:val="auto"/>
                <w:w w:val="92"/>
              </w:rPr>
              <w:t>March 4, 2022</w:t>
            </w:r>
          </w:p>
        </w:tc>
      </w:tr>
      <w:tr>
        <w:trPr>
          <w:trHeight w:val="27"/>
        </w:trPr>
        <w:tc>
          <w:tcPr>
            <w:tcW w:w="4320" w:type="dxa"/>
            <w:vAlign w:val="bottom"/>
            <w:tcBorders>
              <w:bottom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35"/>
        </w:trPr>
        <w:tc>
          <w:tcPr>
            <w:tcW w:w="4320" w:type="dxa"/>
            <w:vAlign w:val="bottom"/>
          </w:tcPr>
          <w:p>
            <w:pPr>
              <w:ind w:left="140"/>
              <w:spacing w:after="0"/>
              <w:rPr>
                <w:sz w:val="20"/>
                <w:szCs w:val="20"/>
                <w:color w:val="auto"/>
              </w:rPr>
            </w:pPr>
            <w:r>
              <w:rPr>
                <w:rFonts w:ascii="Arial" w:cs="Arial" w:eastAsia="Arial" w:hAnsi="Arial"/>
                <w:sz w:val="18"/>
                <w:szCs w:val="18"/>
                <w:color w:val="auto"/>
              </w:rPr>
              <w:t>Bonnie L. Carroll</w:t>
            </w:r>
          </w:p>
        </w:tc>
        <w:tc>
          <w:tcPr>
            <w:tcW w:w="35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77"/>
        </w:trPr>
        <w:tc>
          <w:tcPr>
            <w:tcW w:w="4320" w:type="dxa"/>
            <w:vAlign w:val="bottom"/>
          </w:tcPr>
          <w:p>
            <w:pPr>
              <w:ind w:left="180"/>
              <w:spacing w:after="0"/>
              <w:rPr>
                <w:sz w:val="20"/>
                <w:szCs w:val="20"/>
                <w:color w:val="auto"/>
              </w:rPr>
            </w:pPr>
            <w:r>
              <w:rPr>
                <w:rFonts w:ascii="Arial" w:cs="Arial" w:eastAsia="Arial" w:hAnsi="Arial"/>
                <w:sz w:val="18"/>
                <w:szCs w:val="18"/>
                <w:color w:val="auto"/>
              </w:rPr>
              <w:t>/s/ Frederick D. Shaufeld</w:t>
            </w:r>
          </w:p>
        </w:tc>
        <w:tc>
          <w:tcPr>
            <w:tcW w:w="35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651"/>
              <w:spacing w:after="0"/>
              <w:rPr>
                <w:sz w:val="20"/>
                <w:szCs w:val="20"/>
                <w:color w:val="auto"/>
              </w:rPr>
            </w:pPr>
            <w:r>
              <w:rPr>
                <w:rFonts w:ascii="Arial" w:cs="Arial" w:eastAsia="Arial" w:hAnsi="Arial"/>
                <w:sz w:val="18"/>
                <w:szCs w:val="18"/>
                <w:color w:val="auto"/>
                <w:w w:val="92"/>
              </w:rPr>
              <w:t>March 5, 2022</w:t>
            </w:r>
          </w:p>
        </w:tc>
      </w:tr>
      <w:tr>
        <w:trPr>
          <w:trHeight w:val="27"/>
        </w:trPr>
        <w:tc>
          <w:tcPr>
            <w:tcW w:w="4320" w:type="dxa"/>
            <w:vAlign w:val="bottom"/>
            <w:tcBorders>
              <w:bottom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35"/>
        </w:trPr>
        <w:tc>
          <w:tcPr>
            <w:tcW w:w="4320" w:type="dxa"/>
            <w:vAlign w:val="bottom"/>
          </w:tcPr>
          <w:p>
            <w:pPr>
              <w:ind w:left="140"/>
              <w:spacing w:after="0"/>
              <w:rPr>
                <w:sz w:val="20"/>
                <w:szCs w:val="20"/>
                <w:color w:val="auto"/>
              </w:rPr>
            </w:pPr>
            <w:r>
              <w:rPr>
                <w:rFonts w:ascii="Arial" w:cs="Arial" w:eastAsia="Arial" w:hAnsi="Arial"/>
                <w:sz w:val="18"/>
                <w:szCs w:val="18"/>
                <w:color w:val="auto"/>
              </w:rPr>
              <w:t>Fredrick D. Shaufeld</w:t>
            </w:r>
          </w:p>
        </w:tc>
        <w:tc>
          <w:tcPr>
            <w:tcW w:w="35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77"/>
        </w:trPr>
        <w:tc>
          <w:tcPr>
            <w:tcW w:w="4320" w:type="dxa"/>
            <w:vAlign w:val="bottom"/>
          </w:tcPr>
          <w:p>
            <w:pPr>
              <w:ind w:left="180"/>
              <w:spacing w:after="0"/>
              <w:rPr>
                <w:sz w:val="20"/>
                <w:szCs w:val="20"/>
                <w:color w:val="auto"/>
              </w:rPr>
            </w:pPr>
            <w:r>
              <w:rPr>
                <w:rFonts w:ascii="Arial" w:cs="Arial" w:eastAsia="Arial" w:hAnsi="Arial"/>
                <w:sz w:val="18"/>
                <w:szCs w:val="18"/>
                <w:color w:val="auto"/>
              </w:rPr>
              <w:t>/s/ John W. Maluda</w:t>
            </w:r>
          </w:p>
        </w:tc>
        <w:tc>
          <w:tcPr>
            <w:tcW w:w="35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651"/>
              <w:spacing w:after="0"/>
              <w:rPr>
                <w:sz w:val="20"/>
                <w:szCs w:val="20"/>
                <w:color w:val="auto"/>
              </w:rPr>
            </w:pPr>
            <w:r>
              <w:rPr>
                <w:rFonts w:ascii="Arial" w:cs="Arial" w:eastAsia="Arial" w:hAnsi="Arial"/>
                <w:sz w:val="18"/>
                <w:szCs w:val="18"/>
                <w:color w:val="auto"/>
                <w:w w:val="92"/>
              </w:rPr>
              <w:t>March 4, 2022</w:t>
            </w:r>
          </w:p>
        </w:tc>
      </w:tr>
      <w:tr>
        <w:trPr>
          <w:trHeight w:val="27"/>
        </w:trPr>
        <w:tc>
          <w:tcPr>
            <w:tcW w:w="4320" w:type="dxa"/>
            <w:vAlign w:val="bottom"/>
            <w:tcBorders>
              <w:bottom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35"/>
        </w:trPr>
        <w:tc>
          <w:tcPr>
            <w:tcW w:w="4320" w:type="dxa"/>
            <w:vAlign w:val="bottom"/>
          </w:tcPr>
          <w:p>
            <w:pPr>
              <w:ind w:left="140"/>
              <w:spacing w:after="0"/>
              <w:rPr>
                <w:sz w:val="20"/>
                <w:szCs w:val="20"/>
                <w:color w:val="auto"/>
              </w:rPr>
            </w:pPr>
            <w:r>
              <w:rPr>
                <w:rFonts w:ascii="Arial" w:cs="Arial" w:eastAsia="Arial" w:hAnsi="Arial"/>
                <w:sz w:val="18"/>
                <w:szCs w:val="18"/>
                <w:color w:val="auto"/>
              </w:rPr>
              <w:t>John W. Maluda, Major Gen., USAF (Ret)</w:t>
            </w:r>
          </w:p>
        </w:tc>
        <w:tc>
          <w:tcPr>
            <w:tcW w:w="35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77"/>
        </w:trPr>
        <w:tc>
          <w:tcPr>
            <w:tcW w:w="4320" w:type="dxa"/>
            <w:vAlign w:val="bottom"/>
          </w:tcPr>
          <w:p>
            <w:pPr>
              <w:ind w:left="180"/>
              <w:spacing w:after="0"/>
              <w:rPr>
                <w:sz w:val="20"/>
                <w:szCs w:val="20"/>
                <w:color w:val="auto"/>
              </w:rPr>
            </w:pPr>
            <w:r>
              <w:rPr>
                <w:rFonts w:ascii="Arial" w:cs="Arial" w:eastAsia="Arial" w:hAnsi="Arial"/>
                <w:sz w:val="18"/>
                <w:szCs w:val="18"/>
                <w:color w:val="auto"/>
              </w:rPr>
              <w:t>/s/ Bradley W. Jacobs</w:t>
            </w:r>
          </w:p>
        </w:tc>
        <w:tc>
          <w:tcPr>
            <w:tcW w:w="35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651"/>
              <w:spacing w:after="0"/>
              <w:rPr>
                <w:sz w:val="20"/>
                <w:szCs w:val="20"/>
                <w:color w:val="auto"/>
              </w:rPr>
            </w:pPr>
            <w:r>
              <w:rPr>
                <w:rFonts w:ascii="Arial" w:cs="Arial" w:eastAsia="Arial" w:hAnsi="Arial"/>
                <w:sz w:val="18"/>
                <w:szCs w:val="18"/>
                <w:color w:val="auto"/>
                <w:w w:val="92"/>
              </w:rPr>
              <w:t>March 3, 2022</w:t>
            </w:r>
          </w:p>
        </w:tc>
      </w:tr>
      <w:tr>
        <w:trPr>
          <w:trHeight w:val="27"/>
        </w:trPr>
        <w:tc>
          <w:tcPr>
            <w:tcW w:w="4320" w:type="dxa"/>
            <w:vAlign w:val="bottom"/>
            <w:tcBorders>
              <w:bottom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35"/>
        </w:trPr>
        <w:tc>
          <w:tcPr>
            <w:tcW w:w="4320" w:type="dxa"/>
            <w:vAlign w:val="bottom"/>
          </w:tcPr>
          <w:p>
            <w:pPr>
              <w:ind w:left="140"/>
              <w:spacing w:after="0"/>
              <w:rPr>
                <w:sz w:val="20"/>
                <w:szCs w:val="20"/>
                <w:color w:val="auto"/>
              </w:rPr>
            </w:pPr>
            <w:r>
              <w:rPr>
                <w:rFonts w:ascii="Arial" w:cs="Arial" w:eastAsia="Arial" w:hAnsi="Arial"/>
                <w:sz w:val="18"/>
                <w:szCs w:val="18"/>
                <w:color w:val="auto"/>
              </w:rPr>
              <w:t>Bradley W. Jacobs</w:t>
            </w:r>
          </w:p>
        </w:tc>
        <w:tc>
          <w:tcPr>
            <w:tcW w:w="35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77"/>
        </w:trPr>
        <w:tc>
          <w:tcPr>
            <w:tcW w:w="4320" w:type="dxa"/>
            <w:vAlign w:val="bottom"/>
          </w:tcPr>
          <w:p>
            <w:pPr>
              <w:ind w:left="180"/>
              <w:spacing w:after="0"/>
              <w:rPr>
                <w:sz w:val="20"/>
                <w:szCs w:val="20"/>
                <w:color w:val="auto"/>
              </w:rPr>
            </w:pPr>
            <w:r>
              <w:rPr>
                <w:rFonts w:ascii="Arial" w:cs="Arial" w:eastAsia="Arial" w:hAnsi="Arial"/>
                <w:sz w:val="18"/>
                <w:szCs w:val="18"/>
                <w:color w:val="auto"/>
              </w:rPr>
              <w:t>/s/ Derrick Dockery</w:t>
            </w:r>
          </w:p>
        </w:tc>
        <w:tc>
          <w:tcPr>
            <w:tcW w:w="35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651"/>
              <w:spacing w:after="0"/>
              <w:rPr>
                <w:sz w:val="20"/>
                <w:szCs w:val="20"/>
                <w:color w:val="auto"/>
              </w:rPr>
            </w:pPr>
            <w:r>
              <w:rPr>
                <w:rFonts w:ascii="Arial" w:cs="Arial" w:eastAsia="Arial" w:hAnsi="Arial"/>
                <w:sz w:val="18"/>
                <w:szCs w:val="18"/>
                <w:color w:val="auto"/>
                <w:w w:val="92"/>
              </w:rPr>
              <w:t>March 4, 2022</w:t>
            </w:r>
          </w:p>
        </w:tc>
      </w:tr>
      <w:tr>
        <w:trPr>
          <w:trHeight w:val="27"/>
        </w:trPr>
        <w:tc>
          <w:tcPr>
            <w:tcW w:w="4320" w:type="dxa"/>
            <w:vAlign w:val="bottom"/>
            <w:tcBorders>
              <w:bottom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35"/>
        </w:trPr>
        <w:tc>
          <w:tcPr>
            <w:tcW w:w="4320" w:type="dxa"/>
            <w:vAlign w:val="bottom"/>
          </w:tcPr>
          <w:p>
            <w:pPr>
              <w:ind w:left="140"/>
              <w:spacing w:after="0"/>
              <w:rPr>
                <w:sz w:val="20"/>
                <w:szCs w:val="20"/>
                <w:color w:val="auto"/>
              </w:rPr>
            </w:pPr>
            <w:r>
              <w:rPr>
                <w:rFonts w:ascii="Arial" w:cs="Arial" w:eastAsia="Arial" w:hAnsi="Arial"/>
                <w:sz w:val="18"/>
                <w:szCs w:val="18"/>
                <w:color w:val="auto"/>
              </w:rPr>
              <w:t>Derrick Dockery</w:t>
            </w:r>
          </w:p>
        </w:tc>
        <w:tc>
          <w:tcPr>
            <w:tcW w:w="356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ectPr>
          <w:pgSz w:w="11900" w:h="16838" w:orient="portrait"/>
          <w:cols w:equalWidth="0" w:num="1">
            <w:col w:w="11240"/>
          </w:cols>
          <w:pgMar w:left="320" w:top="949"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John B. Wood, certify that:</w:t>
      </w:r>
    </w:p>
    <w:p>
      <w:pPr>
        <w:spacing w:after="0" w:line="222" w:lineRule="exact"/>
        <w:rPr>
          <w:sz w:val="20"/>
          <w:szCs w:val="20"/>
          <w:color w:val="auto"/>
        </w:rPr>
      </w:pPr>
    </w:p>
    <w:p>
      <w:pPr>
        <w:ind w:left="820" w:hanging="329"/>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Telos Corporation;</w:t>
      </w:r>
    </w:p>
    <w:p>
      <w:pPr>
        <w:spacing w:after="0" w:line="222" w:lineRule="exact"/>
        <w:rPr>
          <w:rFonts w:ascii="Arial" w:cs="Arial" w:eastAsia="Arial" w:hAnsi="Arial"/>
          <w:sz w:val="18"/>
          <w:szCs w:val="18"/>
          <w:color w:val="auto"/>
        </w:rPr>
      </w:pPr>
    </w:p>
    <w:p>
      <w:pPr>
        <w:jc w:val="both"/>
        <w:ind w:left="820" w:right="20" w:hanging="329"/>
        <w:spacing w:after="0" w:line="261"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240" w:hanging="329"/>
        <w:spacing w:after="0" w:line="305" w:lineRule="auto"/>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820" w:right="20" w:hanging="329"/>
        <w:spacing w:after="0" w:line="261"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right="440" w:firstLine="483"/>
        <w:spacing w:after="0" w:line="261"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ind w:right="100" w:firstLine="483"/>
        <w:spacing w:after="0" w:line="261"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right="980" w:firstLine="483"/>
        <w:spacing w:after="0" w:line="339" w:lineRule="auto"/>
        <w:rPr>
          <w:sz w:val="20"/>
          <w:szCs w:val="20"/>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right="60" w:firstLine="483"/>
        <w:spacing w:after="0" w:line="261"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820" w:right="200" w:hanging="329"/>
        <w:spacing w:after="0" w:line="339" w:lineRule="auto"/>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4" w:lineRule="exact"/>
        <w:rPr>
          <w:sz w:val="20"/>
          <w:szCs w:val="20"/>
          <w:color w:val="auto"/>
        </w:rPr>
      </w:pPr>
    </w:p>
    <w:p>
      <w:pPr>
        <w:ind w:right="360" w:firstLine="483"/>
        <w:spacing w:after="0" w:line="27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sz w:val="20"/>
          <w:szCs w:val="20"/>
          <w:color w:val="auto"/>
        </w:rPr>
      </w:pPr>
    </w:p>
    <w:p>
      <w:pPr>
        <w:ind w:right="340" w:firstLine="483"/>
        <w:spacing w:after="0" w:line="274"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 March 28, 2022</w:t>
      </w:r>
    </w:p>
    <w:p>
      <w:pPr>
        <w:spacing w:after="0" w:line="18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13970</wp:posOffset>
            </wp:positionV>
            <wp:extent cx="39287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3928745" cy="8255"/>
                    </a:xfrm>
                    <a:prstGeom prst="rect">
                      <a:avLst/>
                    </a:prstGeom>
                    <a:noFill/>
                  </pic:spPr>
                </pic:pic>
              </a:graphicData>
            </a:graphic>
          </wp:anchor>
        </w:drawing>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John B. Wood</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40"/>
          </w:cols>
          <w:pgMar w:left="320" w:top="886"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Mark Bendza, certify that:</w:t>
      </w:r>
    </w:p>
    <w:p>
      <w:pPr>
        <w:spacing w:after="0" w:line="222" w:lineRule="exact"/>
        <w:rPr>
          <w:sz w:val="20"/>
          <w:szCs w:val="20"/>
          <w:color w:val="auto"/>
        </w:rPr>
      </w:pPr>
    </w:p>
    <w:p>
      <w:pPr>
        <w:ind w:left="820" w:hanging="329"/>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Telos Corporation;</w:t>
      </w:r>
    </w:p>
    <w:p>
      <w:pPr>
        <w:spacing w:after="0" w:line="222" w:lineRule="exact"/>
        <w:rPr>
          <w:rFonts w:ascii="Arial" w:cs="Arial" w:eastAsia="Arial" w:hAnsi="Arial"/>
          <w:sz w:val="18"/>
          <w:szCs w:val="18"/>
          <w:color w:val="auto"/>
        </w:rPr>
      </w:pPr>
    </w:p>
    <w:p>
      <w:pPr>
        <w:jc w:val="both"/>
        <w:ind w:left="820" w:right="20" w:hanging="329"/>
        <w:spacing w:after="0" w:line="261"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260" w:hanging="329"/>
        <w:spacing w:after="0" w:line="339" w:lineRule="auto"/>
        <w:tabs>
          <w:tab w:leader="none" w:pos="8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4" w:lineRule="exact"/>
        <w:rPr>
          <w:rFonts w:ascii="Arial" w:cs="Arial" w:eastAsia="Arial" w:hAnsi="Arial"/>
          <w:sz w:val="16"/>
          <w:szCs w:val="16"/>
          <w:color w:val="auto"/>
        </w:rPr>
      </w:pPr>
    </w:p>
    <w:p>
      <w:pPr>
        <w:ind w:left="820" w:right="20" w:hanging="329"/>
        <w:spacing w:after="0" w:line="261"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right="440" w:firstLine="483"/>
        <w:spacing w:after="0" w:line="261"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ind w:right="100" w:firstLine="483"/>
        <w:spacing w:after="0" w:line="261"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right="980" w:firstLine="483"/>
        <w:spacing w:after="0" w:line="339" w:lineRule="auto"/>
        <w:rPr>
          <w:sz w:val="20"/>
          <w:szCs w:val="20"/>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right="60" w:firstLine="483"/>
        <w:spacing w:after="0" w:line="261"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820" w:right="200" w:hanging="329"/>
        <w:spacing w:after="0" w:line="339" w:lineRule="auto"/>
        <w:tabs>
          <w:tab w:leader="none" w:pos="8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4" w:lineRule="exact"/>
        <w:rPr>
          <w:sz w:val="20"/>
          <w:szCs w:val="20"/>
          <w:color w:val="auto"/>
        </w:rPr>
      </w:pPr>
    </w:p>
    <w:p>
      <w:pPr>
        <w:ind w:right="360" w:firstLine="483"/>
        <w:spacing w:after="0" w:line="27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sz w:val="20"/>
          <w:szCs w:val="20"/>
          <w:color w:val="auto"/>
        </w:rPr>
      </w:pPr>
    </w:p>
    <w:p>
      <w:pPr>
        <w:ind w:right="340" w:firstLine="483"/>
        <w:spacing w:after="0" w:line="274"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 March 28, 2022</w:t>
      </w:r>
    </w:p>
    <w:p>
      <w:pPr>
        <w:spacing w:after="0" w:line="18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13970</wp:posOffset>
            </wp:positionV>
            <wp:extent cx="39287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3928745" cy="8255"/>
                    </a:xfrm>
                    <a:prstGeom prst="rect">
                      <a:avLst/>
                    </a:prstGeom>
                    <a:noFill/>
                  </pic:spPr>
                </pic:pic>
              </a:graphicData>
            </a:graphic>
          </wp:anchor>
        </w:drawing>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Mark Bendza</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1240"/>
          </w:cols>
          <w:pgMar w:left="320" w:top="886"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460"/>
        <w:spacing w:after="0" w:line="284" w:lineRule="auto"/>
        <w:rPr>
          <w:sz w:val="20"/>
          <w:szCs w:val="20"/>
          <w:color w:val="auto"/>
        </w:rPr>
      </w:pPr>
      <w:r>
        <w:rPr>
          <w:rFonts w:ascii="Arial" w:cs="Arial" w:eastAsia="Arial" w:hAnsi="Arial"/>
          <w:sz w:val="17"/>
          <w:szCs w:val="17"/>
          <w:color w:val="auto"/>
        </w:rPr>
        <w:t>In connection with the Annual Report of Telos Corporation (the "Company") on Form 10-K for the period ending December 31, 2021 as filed with the Securities and Exchange Commission on the date hereof (the "Report"), we, John B. Wood, Mark Bendza and Victoria Harding, certify, pursuant to 18 U.S.C. Section 1350, as adopted pursuant to Section 906 of the Sarbanes-Oxley Act of 2002, that to our knowledge:</w:t>
      </w:r>
    </w:p>
    <w:p>
      <w:pPr>
        <w:spacing w:after="0" w:line="165" w:lineRule="exact"/>
        <w:rPr>
          <w:sz w:val="20"/>
          <w:szCs w:val="20"/>
          <w:color w:val="auto"/>
        </w:rPr>
      </w:pPr>
    </w:p>
    <w:p>
      <w:pPr>
        <w:ind w:left="640" w:hanging="311"/>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2" w:lineRule="exact"/>
        <w:rPr>
          <w:rFonts w:ascii="Arial" w:cs="Arial" w:eastAsia="Arial" w:hAnsi="Arial"/>
          <w:sz w:val="18"/>
          <w:szCs w:val="18"/>
          <w:color w:val="auto"/>
        </w:rPr>
      </w:pPr>
    </w:p>
    <w:p>
      <w:pPr>
        <w:ind w:left="640" w:hanging="311"/>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 March 28, 2022</w:t>
      </w:r>
    </w:p>
    <w:p>
      <w:pPr>
        <w:spacing w:after="0" w:line="18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13970</wp:posOffset>
            </wp:positionV>
            <wp:extent cx="39287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3928745" cy="8255"/>
                    </a:xfrm>
                    <a:prstGeom prst="rect">
                      <a:avLst/>
                    </a:prstGeom>
                    <a:noFill/>
                  </pic:spPr>
                </pic:pic>
              </a:graphicData>
            </a:graphic>
          </wp:anchor>
        </w:drawing>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John B. Wood</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Executive Officer (Principal Executive Officer)</w:t>
      </w:r>
    </w:p>
    <w:p>
      <w:pPr>
        <w:spacing w:after="0" w:line="34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 March 28, 2022</w:t>
      </w:r>
    </w:p>
    <w:p>
      <w:pPr>
        <w:spacing w:after="0" w:line="18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13970</wp:posOffset>
            </wp:positionV>
            <wp:extent cx="39287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3928745" cy="8255"/>
                    </a:xfrm>
                    <a:prstGeom prst="rect">
                      <a:avLst/>
                    </a:prstGeom>
                    <a:noFill/>
                  </pic:spPr>
                </pic:pic>
              </a:graphicData>
            </a:graphic>
          </wp:anchor>
        </w:drawing>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Mark Bendza</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 (Principal Financial Officer)</w:t>
      </w:r>
    </w:p>
    <w:p>
      <w:pPr>
        <w:spacing w:after="0" w:line="28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Date: March 28, 2022</w:t>
      </w:r>
    </w:p>
    <w:p>
      <w:pPr>
        <w:spacing w:after="0" w:line="29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Victoria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13970</wp:posOffset>
            </wp:positionV>
            <wp:extent cx="39287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3928745" cy="8255"/>
                    </a:xfrm>
                    <a:prstGeom prst="rect">
                      <a:avLst/>
                    </a:prstGeom>
                    <a:noFill/>
                  </pic:spPr>
                </pic:pic>
              </a:graphicData>
            </a:graphic>
          </wp:anchor>
        </w:drawing>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Victoria Harding</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Controller and Chief Accounting Officer (Principal Accounting Officer)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2"/>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upperLetter"/>
      <w:start w:val="6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lvl w:ilvl="1">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3"/>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5"/>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31" Type="http://schemas.openxmlformats.org/officeDocument/2006/relationships/hyperlink" Target="https://www.sec.gov/Archives/edgar/data/320121/000114036120025576/nt10015254x5_ex3-1.htm" TargetMode="External"/><Relationship Id="rId132" Type="http://schemas.openxmlformats.org/officeDocument/2006/relationships/hyperlink" Target="https://www.sec.gov/Archives/edgar/data/0000320121/000114036121009988/ex_3-2.htm" TargetMode="External"/><Relationship Id="rId133" Type="http://schemas.openxmlformats.org/officeDocument/2006/relationships/hyperlink" Target="https://www.sec.gov/Archives/edgar/data/320121/000032012117000003/ex4-1.htm" TargetMode="External"/><Relationship Id="rId134" Type="http://schemas.openxmlformats.org/officeDocument/2006/relationships/hyperlink" Target="https://www.sec.gov/Archives/edgar/data/320121/000032012117000007/ex4_2.htm" TargetMode="External"/><Relationship Id="rId135" Type="http://schemas.openxmlformats.org/officeDocument/2006/relationships/hyperlink" Target="https://www.sec.gov/Archives/edgar/data/320121/000032012117000013/ex4-1.htm" TargetMode="External"/><Relationship Id="rId136" Type="http://schemas.openxmlformats.org/officeDocument/2006/relationships/hyperlink" Target="https://www.sec.gov/Archives/edgar/data/320121/000032012117000013/ex4-2.htm" TargetMode="External"/><Relationship Id="rId137" Type="http://schemas.openxmlformats.org/officeDocument/2006/relationships/hyperlink" Target="https://www.sec.gov/Archives/edgar/data/320121/000032012117000013/ex4-3.htm" TargetMode="External"/><Relationship Id="rId138" Type="http://schemas.openxmlformats.org/officeDocument/2006/relationships/hyperlink" Target="https://www.sec.gov/Archives/edgar/data/320121/000032012117000013/ex4-4.htm" TargetMode="External"/><Relationship Id="rId139" Type="http://schemas.openxmlformats.org/officeDocument/2006/relationships/hyperlink" Target="https://www.sec.gov/Archives/edgar/data/320121/000032012117000013/ex4-5.htm" TargetMode="External"/><Relationship Id="rId140" Type="http://schemas.openxmlformats.org/officeDocument/2006/relationships/hyperlink" Target="https://www.sec.gov/Archives/edgar/data/320121/000032012117000013/ex4-6.htm" TargetMode="External"/><Relationship Id="rId141" Type="http://schemas.openxmlformats.org/officeDocument/2006/relationships/hyperlink" Target="https://www.sec.gov/Archives/edgar/data/320121/000032012117000013/ex4-7.htm" TargetMode="External"/><Relationship Id="rId142" Type="http://schemas.openxmlformats.org/officeDocument/2006/relationships/hyperlink" Target="https://www.sec.gov/Archives/edgar/data/320121/000032012118000011/ex4_10.htm" TargetMode="External"/><Relationship Id="rId143" Type="http://schemas.openxmlformats.org/officeDocument/2006/relationships/hyperlink" Target="https://www.sec.gov/Archives/edgar/data/320121/000032012119000019/ex99_1.htm" TargetMode="External"/><Relationship Id="rId144" Type="http://schemas.openxmlformats.org/officeDocument/2006/relationships/hyperlink" Target="https://www.sec.gov/Archives/edgar/data/320121/000032012120000005/ex99_1.htm" TargetMode="External"/><Relationship Id="rId145" Type="http://schemas.openxmlformats.org/officeDocument/2006/relationships/hyperlink" Target="https://www.sec.gov/Archives/edgar/data/320121/000114036112047304/ex10_1.htm" TargetMode="External"/><Relationship Id="rId148" Type="http://schemas.openxmlformats.org/officeDocument/2006/relationships/hyperlink" Target="https://www.sec.gov/Archives/edgar/data/320121/000114036112047304/ex10_2.htm" TargetMode="External"/><Relationship Id="rId149" Type="http://schemas.openxmlformats.org/officeDocument/2006/relationships/hyperlink" Target="https://www.sec.gov/Archives/edgar/data/320121/000114036112047304/ex10_3.htm" TargetMode="External"/><Relationship Id="rId150" Type="http://schemas.openxmlformats.org/officeDocument/2006/relationships/hyperlink" Target="https://www.sec.gov/Archives/edgar/data/320121/000114036112047304/ex10_4.htm" TargetMode="External"/><Relationship Id="rId151" Type="http://schemas.openxmlformats.org/officeDocument/2006/relationships/hyperlink" Target="https://www.sec.gov/Archives/edgar/data/320121/000114036112047304/ex10_5.htm" TargetMode="External"/><Relationship Id="rId152" Type="http://schemas.openxmlformats.org/officeDocument/2006/relationships/hyperlink" Target="https://www.sec.gov/Archives/edgar/data/320121/000114036114014708/ex10_29.htm" TargetMode="External"/><Relationship Id="rId153" Type="http://schemas.openxmlformats.org/officeDocument/2006/relationships/hyperlink" Target="https://www.sec.gov/Archives/edgar/data/320121/000032012114000017/ex99_2.htm" TargetMode="External"/><Relationship Id="rId154" Type="http://schemas.openxmlformats.org/officeDocument/2006/relationships/hyperlink" Target="https://www.sec.gov/Archives/edgar/data/320121/000032012115000011/ex10_37.htm" TargetMode="External"/><Relationship Id="rId155" Type="http://schemas.openxmlformats.org/officeDocument/2006/relationships/hyperlink" Target="https://www.sec.gov/Archives/edgar/data/320121/000032012115000011/ex10_38.htm" TargetMode="External"/><Relationship Id="rId156" Type="http://schemas.openxmlformats.org/officeDocument/2006/relationships/hyperlink" Target="https://www.sec.gov/Archives/edgar/data/320121/000032012115000011/ex10_39.htm" TargetMode="External"/><Relationship Id="rId157" Type="http://schemas.openxmlformats.org/officeDocument/2006/relationships/hyperlink" Target="https://www.sec.gov/Archives/edgar/data/320121/000032012115000011/ex10_40.htm" TargetMode="External"/><Relationship Id="rId158" Type="http://schemas.openxmlformats.org/officeDocument/2006/relationships/hyperlink" Target="https://www.sec.gov/Archives/edgar/data/320121/000032012116000064/ex10_3.htm" TargetMode="External"/><Relationship Id="rId159" Type="http://schemas.openxmlformats.org/officeDocument/2006/relationships/hyperlink" Target="https://www.sec.gov/Archives/edgar/data/320121/000032012116000064/ex10_4.htm" TargetMode="External"/><Relationship Id="rId160" Type="http://schemas.openxmlformats.org/officeDocument/2006/relationships/hyperlink" Target="https://www.sec.gov/Archives/edgar/data/320121/000114036120022536/nt10015254x3_ex99-1.htm" TargetMode="External"/><Relationship Id="rId161" Type="http://schemas.openxmlformats.org/officeDocument/2006/relationships/hyperlink" Target="https://www.sec.gov/Archives/edgar/data/320121/000114036121002039/nt10019277x1_ex4-4.htm" TargetMode="External"/><Relationship Id="rId162" Type="http://schemas.openxmlformats.org/officeDocument/2006/relationships/hyperlink" Target="https://www.sec.gov/Archives/edgar/data/320121/000032012120000042/ex99-2.htm" TargetMode="External"/><Relationship Id="rId163" Type="http://schemas.openxmlformats.org/officeDocument/2006/relationships/hyperlink" Target="https://www.sec.gov/Archives/edgar/data/320121/000032012121000003/ex99-1.htm" TargetMode="External"/><Relationship Id="rId164" Type="http://schemas.openxmlformats.org/officeDocument/2006/relationships/hyperlink" Target="https://www.sec.gov/Archives/edgar/data/320121/000032012121000003/ex99-2.htm" TargetMode="External"/><Relationship Id="rId165" Type="http://schemas.openxmlformats.org/officeDocument/2006/relationships/hyperlink" Target="https://www.sec.gov/Archives/edgar/data/0000320121/000032012121000018/ex10_1-1.htm" TargetMode="External"/><Relationship Id="rId166" Type="http://schemas.openxmlformats.org/officeDocument/2006/relationships/hyperlink" Target="https://www.sec.gov/Archives/edgar/data/0000320121/000032012121000039/executiveemploymentag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2022-03-28T07:07:08Z</dcterms:created>
  <dcterms:modified xsi:type="dcterms:W3CDTF">2022-03-28T07:07:08Z</dcterms:modified>
</cp:coreProperties>
</file>