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337820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6772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0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4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Commission file number: 001-08443</w:t>
      </w:r>
    </w:p>
    <w:p>
      <w:pPr>
        <w:spacing w:after="0" w:line="16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TELOS CORPORATION</w:t>
      </w:r>
    </w:p>
    <w:p>
      <w:pPr>
        <w:spacing w:after="0" w:line="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480" w:type="dxa"/>
        <w:tblCellMar>
          <w:top w:w="0" w:type="dxa"/>
          <w:left w:w="0" w:type="dxa"/>
          <w:bottom w:w="0" w:type="dxa"/>
          <w:right w:w="0" w:type="dxa"/>
        </w:tblCellMar>
      </w:tblPr>
      <w:tr>
        <w:trPr>
          <w:trHeight w:val="233"/>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6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52-0880974</w:t>
            </w:r>
          </w:p>
        </w:tc>
      </w:tr>
      <w:tr>
        <w:trPr>
          <w:trHeight w:val="234"/>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19886 Ashburn Road, Ashburn, Virginia</w:t>
            </w:r>
          </w:p>
        </w:tc>
        <w:tc>
          <w:tcPr>
            <w:tcW w:w="36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20147-2358</w:t>
            </w:r>
          </w:p>
        </w:tc>
      </w:tr>
      <w:tr>
        <w:trPr>
          <w:trHeight w:val="234"/>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(703) 724-3800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234" w:right="419" w:bottom="1440" w:gutter="0" w:footer="0" w:header="0"/>
        </w:sectPr>
      </w:pPr>
    </w:p>
    <w:p>
      <w:pPr>
        <w:spacing w:after="0" w:line="144"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Common stock, $0.001 par value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060" w:space="720"/>
            <w:col w:w="1440" w:space="720"/>
            <w:col w:w="4220"/>
          </w:cols>
          <w:pgMar w:left="320" w:top="234" w:right="419" w:bottom="1440" w:gutter="0" w:footer="0" w:header="0"/>
          <w:type w:val="continuous"/>
        </w:sectPr>
      </w:pPr>
    </w:p>
    <w:p>
      <w:pPr>
        <w:spacing w:after="0" w:line="20" w:lineRule="exact"/>
        <w:rPr>
          <w:sz w:val="24"/>
          <w:szCs w:val="24"/>
          <w:color w:val="auto"/>
        </w:rPr>
      </w:pPr>
    </w:p>
    <w:p>
      <w:pPr>
        <w:ind w:right="2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72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5, 2022, the registrant had outstanding 67,593,945 shares of common1 stock</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4"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20" w:type="dxa"/>
            <w:vAlign w:val="bottom"/>
            <w:gridSpan w:val="49"/>
          </w:tcPr>
          <w:p>
            <w:pPr>
              <w:spacing w:after="0"/>
              <w:rPr>
                <w:sz w:val="20"/>
                <w:szCs w:val="20"/>
                <w:color w:val="auto"/>
              </w:rPr>
            </w:pPr>
            <w:r>
              <w:rPr>
                <w:rFonts w:ascii="Times New Roman" w:cs="Times New Roman" w:eastAsia="Times New Roman" w:hAnsi="Times New Roman"/>
                <w:sz w:val="18"/>
                <w:szCs w:val="18"/>
                <w:b w:val="1"/>
                <w:bCs w:val="1"/>
                <w:color w:val="auto"/>
              </w:rPr>
              <w:t>Table of Contents to Second Quarter 2022 Form 10-Q</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1080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420" w:type="dxa"/>
            <w:vAlign w:val="bottom"/>
            <w:gridSpan w:val="4"/>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420" w:type="dxa"/>
            <w:vAlign w:val="bottom"/>
            <w:gridSpan w:val="4"/>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420" w:type="dxa"/>
            <w:vAlign w:val="bottom"/>
            <w:gridSpan w:val="4"/>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420" w:type="dxa"/>
            <w:vAlign w:val="bottom"/>
            <w:gridSpan w:val="4"/>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420" w:type="dxa"/>
            <w:vAlign w:val="bottom"/>
            <w:gridSpan w:val="4"/>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420" w:type="dxa"/>
            <w:vAlign w:val="bottom"/>
            <w:gridSpan w:val="4"/>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3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Changes in Stockholders' Equity</w:t>
            </w:r>
          </w:p>
        </w:tc>
        <w:tc>
          <w:tcPr>
            <w:tcW w:w="5380" w:type="dxa"/>
            <w:vAlign w:val="bottom"/>
            <w:gridSpan w:val="2"/>
            <w:shd w:val="clear" w:color="auto" w:fill="CCEEFF"/>
          </w:tcPr>
          <w:p>
            <w:pPr>
              <w:spacing w:after="0"/>
              <w:rPr>
                <w:sz w:val="16"/>
                <w:szCs w:val="16"/>
                <w:color w:val="auto"/>
              </w:rPr>
            </w:pPr>
          </w:p>
        </w:tc>
        <w:tc>
          <w:tcPr>
            <w:tcW w:w="420" w:type="dxa"/>
            <w:vAlign w:val="bottom"/>
            <w:gridSpan w:val="4"/>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5380" w:type="dxa"/>
            <w:vAlign w:val="bottom"/>
            <w:gridSpan w:val="2"/>
          </w:tcPr>
          <w:p>
            <w:pPr>
              <w:spacing w:after="0"/>
              <w:rPr>
                <w:sz w:val="16"/>
                <w:szCs w:val="16"/>
                <w:color w:val="auto"/>
              </w:rPr>
            </w:pPr>
          </w:p>
        </w:tc>
        <w:tc>
          <w:tcPr>
            <w:tcW w:w="420" w:type="dxa"/>
            <w:vAlign w:val="bottom"/>
            <w:gridSpan w:val="4"/>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 Organization</w:t>
            </w:r>
          </w:p>
        </w:tc>
        <w:tc>
          <w:tcPr>
            <w:tcW w:w="8460" w:type="dxa"/>
            <w:vAlign w:val="bottom"/>
            <w:gridSpan w:val="32"/>
            <w:shd w:val="clear" w:color="auto" w:fill="CCEEFF"/>
          </w:tcPr>
          <w:p>
            <w:pPr>
              <w:spacing w:after="0"/>
              <w:rPr>
                <w:sz w:val="16"/>
                <w:szCs w:val="16"/>
                <w:color w:val="auto"/>
              </w:rPr>
            </w:pPr>
          </w:p>
        </w:tc>
        <w:tc>
          <w:tcPr>
            <w:tcW w:w="420" w:type="dxa"/>
            <w:vAlign w:val="bottom"/>
            <w:gridSpan w:val="4"/>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8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2. Significant Accounting Policies</w:t>
            </w:r>
          </w:p>
        </w:tc>
        <w:tc>
          <w:tcPr>
            <w:tcW w:w="420" w:type="dxa"/>
            <w:vAlign w:val="bottom"/>
            <w:gridSpan w:val="4"/>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3. Revenue Recognition</w:t>
            </w:r>
          </w:p>
        </w:tc>
        <w:tc>
          <w:tcPr>
            <w:tcW w:w="7840" w:type="dxa"/>
            <w:vAlign w:val="bottom"/>
            <w:tcBorders>
              <w:bottom w:val="single" w:sz="8" w:color="CCEEFF"/>
            </w:tcBorders>
            <w:gridSpan w:val="26"/>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8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4. Accounts Receivable, Net</w:t>
            </w:r>
          </w:p>
        </w:tc>
        <w:tc>
          <w:tcPr>
            <w:tcW w:w="420" w:type="dxa"/>
            <w:vAlign w:val="bottom"/>
            <w:gridSpan w:val="4"/>
          </w:tcPr>
          <w:p>
            <w:pPr>
              <w:jc w:val="right"/>
              <w:ind w:right="240"/>
              <w:spacing w:after="0" w:line="189" w:lineRule="exact"/>
              <w:rPr>
                <w:sz w:val="20"/>
                <w:szCs w:val="20"/>
                <w:color w:val="auto"/>
              </w:rPr>
            </w:pPr>
            <w:r>
              <w:rPr>
                <w:rFonts w:ascii="Times New Roman" w:cs="Times New Roman" w:eastAsia="Times New Roman" w:hAnsi="Times New Roman"/>
                <w:sz w:val="18"/>
                <w:szCs w:val="18"/>
                <w:color w:val="0000FF"/>
                <w:w w:val="88"/>
              </w:rPr>
              <w:t>11</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5. Inventories, Net</w:t>
            </w:r>
          </w:p>
        </w:tc>
        <w:tc>
          <w:tcPr>
            <w:tcW w:w="8240" w:type="dxa"/>
            <w:vAlign w:val="bottom"/>
            <w:tcBorders>
              <w:bottom w:val="single" w:sz="8" w:color="CCEEFF"/>
            </w:tcBorders>
            <w:gridSpan w:val="30"/>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12</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8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6. Property and Equipment, Net</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12</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58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7. Goodwill</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12</w:t>
            </w: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8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8. Intangible Assets, Net</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12</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58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9. Acquisition</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12</w:t>
            </w: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10.</w:t>
            </w:r>
          </w:p>
        </w:tc>
        <w:tc>
          <w:tcPr>
            <w:tcW w:w="9340" w:type="dxa"/>
            <w:vAlign w:val="bottom"/>
            <w:gridSpan w:val="41"/>
          </w:tcPr>
          <w:p>
            <w:pPr>
              <w:ind w:left="40"/>
              <w:spacing w:after="0" w:line="189" w:lineRule="exact"/>
              <w:rPr>
                <w:sz w:val="20"/>
                <w:szCs w:val="20"/>
                <w:color w:val="auto"/>
              </w:rPr>
            </w:pPr>
            <w:r>
              <w:rPr>
                <w:rFonts w:ascii="Times New Roman" w:cs="Times New Roman" w:eastAsia="Times New Roman" w:hAnsi="Times New Roman"/>
                <w:sz w:val="18"/>
                <w:szCs w:val="18"/>
                <w:color w:val="0000FF"/>
              </w:rPr>
              <w:t>Purchase of Telos ID Non-controlling Interests</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13</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11.</w:t>
            </w:r>
          </w:p>
        </w:tc>
        <w:tc>
          <w:tcPr>
            <w:tcW w:w="3520" w:type="dxa"/>
            <w:vAlign w:val="bottom"/>
            <w:tcBorders>
              <w:bottom w:val="single" w:sz="8" w:color="0000FF"/>
            </w:tcBorders>
            <w:gridSpan w:val="35"/>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0000FF"/>
                <w:w w:val="99"/>
              </w:rPr>
              <w:t>Accounts Payable and Other Accrued Liabilities</w:t>
            </w:r>
          </w:p>
        </w:tc>
        <w:tc>
          <w:tcPr>
            <w:tcW w:w="5820" w:type="dxa"/>
            <w:vAlign w:val="bottom"/>
            <w:tcBorders>
              <w:bottom w:val="single" w:sz="8" w:color="CCEEFF"/>
            </w:tcBorders>
            <w:gridSpan w:val="6"/>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13</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3"/>
          </w:tcPr>
          <w:p>
            <w:pPr>
              <w:ind w:left="220"/>
              <w:spacing w:after="0" w:line="189" w:lineRule="exact"/>
              <w:rPr>
                <w:sz w:val="20"/>
                <w:szCs w:val="20"/>
                <w:color w:val="auto"/>
              </w:rPr>
            </w:pPr>
            <w:r>
              <w:rPr>
                <w:rFonts w:ascii="Times New Roman" w:cs="Times New Roman" w:eastAsia="Times New Roman" w:hAnsi="Times New Roman"/>
                <w:sz w:val="18"/>
                <w:szCs w:val="18"/>
                <w:color w:val="0000FF"/>
                <w:w w:val="97"/>
              </w:rPr>
              <w:t>12.</w:t>
            </w:r>
          </w:p>
        </w:tc>
        <w:tc>
          <w:tcPr>
            <w:tcW w:w="9340" w:type="dxa"/>
            <w:vAlign w:val="bottom"/>
            <w:gridSpan w:val="41"/>
          </w:tcPr>
          <w:p>
            <w:pPr>
              <w:ind w:left="4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13</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13.</w:t>
            </w:r>
          </w:p>
        </w:tc>
        <w:tc>
          <w:tcPr>
            <w:tcW w:w="1400" w:type="dxa"/>
            <w:vAlign w:val="bottom"/>
            <w:tcBorders>
              <w:bottom w:val="single" w:sz="8" w:color="0000FF"/>
            </w:tcBorders>
            <w:gridSpan w:val="14"/>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0000FF"/>
                <w:w w:val="98"/>
              </w:rPr>
              <w:t>Share Repurchases</w:t>
            </w:r>
          </w:p>
        </w:tc>
        <w:tc>
          <w:tcPr>
            <w:tcW w:w="794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3"/>
          </w:tcPr>
          <w:p>
            <w:pPr>
              <w:ind w:left="220"/>
              <w:spacing w:after="0" w:line="189" w:lineRule="exact"/>
              <w:rPr>
                <w:sz w:val="20"/>
                <w:szCs w:val="20"/>
                <w:color w:val="auto"/>
              </w:rPr>
            </w:pPr>
            <w:r>
              <w:rPr>
                <w:rFonts w:ascii="Times New Roman" w:cs="Times New Roman" w:eastAsia="Times New Roman" w:hAnsi="Times New Roman"/>
                <w:sz w:val="18"/>
                <w:szCs w:val="18"/>
                <w:color w:val="0000FF"/>
                <w:w w:val="97"/>
              </w:rPr>
              <w:t>14.</w:t>
            </w:r>
          </w:p>
        </w:tc>
        <w:tc>
          <w:tcPr>
            <w:tcW w:w="9340" w:type="dxa"/>
            <w:vAlign w:val="bottom"/>
            <w:gridSpan w:val="41"/>
          </w:tcPr>
          <w:p>
            <w:pPr>
              <w:ind w:left="40"/>
              <w:spacing w:after="0" w:line="189" w:lineRule="exact"/>
              <w:rPr>
                <w:sz w:val="20"/>
                <w:szCs w:val="20"/>
                <w:color w:val="auto"/>
              </w:rPr>
            </w:pPr>
            <w:r>
              <w:rPr>
                <w:rFonts w:ascii="Times New Roman" w:cs="Times New Roman" w:eastAsia="Times New Roman" w:hAnsi="Times New Roman"/>
                <w:sz w:val="18"/>
                <w:szCs w:val="18"/>
                <w:color w:val="0000FF"/>
              </w:rPr>
              <w:t>Accumulated Other Comprehensive Loss</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15.</w:t>
            </w:r>
          </w:p>
        </w:tc>
        <w:tc>
          <w:tcPr>
            <w:tcW w:w="1100" w:type="dxa"/>
            <w:vAlign w:val="bottom"/>
            <w:tcBorders>
              <w:bottom w:val="single" w:sz="8" w:color="0000FF"/>
            </w:tcBorders>
            <w:gridSpan w:val="11"/>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0000FF"/>
                <w:w w:val="97"/>
              </w:rPr>
              <w:t>Loss per Share</w:t>
            </w:r>
          </w:p>
        </w:tc>
        <w:tc>
          <w:tcPr>
            <w:tcW w:w="8240" w:type="dxa"/>
            <w:vAlign w:val="bottom"/>
            <w:tcBorders>
              <w:bottom w:val="single" w:sz="8" w:color="CCEEFF"/>
            </w:tcBorders>
            <w:gridSpan w:val="30"/>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3"/>
          </w:tcPr>
          <w:p>
            <w:pPr>
              <w:ind w:left="220"/>
              <w:spacing w:after="0" w:line="189" w:lineRule="exact"/>
              <w:rPr>
                <w:sz w:val="20"/>
                <w:szCs w:val="20"/>
                <w:color w:val="auto"/>
              </w:rPr>
            </w:pPr>
            <w:r>
              <w:rPr>
                <w:rFonts w:ascii="Times New Roman" w:cs="Times New Roman" w:eastAsia="Times New Roman" w:hAnsi="Times New Roman"/>
                <w:sz w:val="18"/>
                <w:szCs w:val="18"/>
                <w:color w:val="0000FF"/>
                <w:w w:val="97"/>
              </w:rPr>
              <w:t>16.</w:t>
            </w:r>
          </w:p>
        </w:tc>
        <w:tc>
          <w:tcPr>
            <w:tcW w:w="9340" w:type="dxa"/>
            <w:vAlign w:val="bottom"/>
            <w:gridSpan w:val="41"/>
          </w:tcPr>
          <w:p>
            <w:pPr>
              <w:ind w:left="40"/>
              <w:spacing w:after="0" w:line="189" w:lineRule="exact"/>
              <w:rPr>
                <w:sz w:val="20"/>
                <w:szCs w:val="20"/>
                <w:color w:val="auto"/>
              </w:rPr>
            </w:pPr>
            <w:r>
              <w:rPr>
                <w:rFonts w:ascii="Times New Roman" w:cs="Times New Roman" w:eastAsia="Times New Roman" w:hAnsi="Times New Roman"/>
                <w:sz w:val="18"/>
                <w:szCs w:val="18"/>
                <w:color w:val="0000FF"/>
              </w:rPr>
              <w:t>Related Party Transactions</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15</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17.</w:t>
            </w:r>
          </w:p>
        </w:tc>
        <w:tc>
          <w:tcPr>
            <w:tcW w:w="9340" w:type="dxa"/>
            <w:vAlign w:val="bottom"/>
            <w:gridSpan w:val="41"/>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15</w:t>
            </w: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18.</w:t>
            </w:r>
          </w:p>
        </w:tc>
        <w:tc>
          <w:tcPr>
            <w:tcW w:w="9340" w:type="dxa"/>
            <w:vAlign w:val="bottom"/>
            <w:gridSpan w:val="41"/>
          </w:tcPr>
          <w:p>
            <w:pPr>
              <w:ind w:left="40"/>
              <w:spacing w:after="0" w:line="189" w:lineRule="exact"/>
              <w:rPr>
                <w:sz w:val="20"/>
                <w:szCs w:val="20"/>
                <w:color w:val="auto"/>
              </w:rPr>
            </w:pPr>
            <w:r>
              <w:rPr>
                <w:rFonts w:ascii="Times New Roman" w:cs="Times New Roman" w:eastAsia="Times New Roman" w:hAnsi="Times New Roman"/>
                <w:sz w:val="18"/>
                <w:szCs w:val="18"/>
                <w:color w:val="0000FF"/>
              </w:rPr>
              <w:t>Revision of Prior Year Interim Financial Statements</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16</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19.</w:t>
            </w:r>
          </w:p>
        </w:tc>
        <w:tc>
          <w:tcPr>
            <w:tcW w:w="9340" w:type="dxa"/>
            <w:vAlign w:val="bottom"/>
            <w:gridSpan w:val="41"/>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18</w:t>
            </w: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20.</w:t>
            </w:r>
          </w:p>
        </w:tc>
        <w:tc>
          <w:tcPr>
            <w:tcW w:w="9340" w:type="dxa"/>
            <w:vAlign w:val="bottom"/>
            <w:gridSpan w:val="41"/>
          </w:tcPr>
          <w:p>
            <w:pPr>
              <w:ind w:left="40"/>
              <w:spacing w:after="0" w:line="189" w:lineRule="exact"/>
              <w:rPr>
                <w:sz w:val="20"/>
                <w:szCs w:val="20"/>
                <w:color w:val="auto"/>
              </w:rPr>
            </w:pPr>
            <w:r>
              <w:rPr>
                <w:rFonts w:ascii="Times New Roman" w:cs="Times New Roman" w:eastAsia="Times New Roman" w:hAnsi="Times New Roman"/>
                <w:sz w:val="18"/>
                <w:szCs w:val="18"/>
                <w:color w:val="0000FF"/>
              </w:rPr>
              <w:t>Supplemental Cash Flow Information</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18</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440" w:type="dxa"/>
            <w:vAlign w:val="bottom"/>
            <w:tcBorders>
              <w:top w:val="single" w:sz="8" w:color="0000FF"/>
            </w:tcBorders>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Forward-Looking Statements</w:t>
            </w:r>
          </w:p>
        </w:tc>
        <w:tc>
          <w:tcPr>
            <w:tcW w:w="336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4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0000FF"/>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General and Business Overview</w:t>
            </w:r>
          </w:p>
        </w:tc>
        <w:tc>
          <w:tcPr>
            <w:tcW w:w="7480" w:type="dxa"/>
            <w:vAlign w:val="bottom"/>
            <w:tcBorders>
              <w:bottom w:val="single" w:sz="8" w:color="CCEEFF"/>
            </w:tcBorders>
            <w:gridSpan w:val="20"/>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Business Environment</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20</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Backlog</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22</w:t>
            </w: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Results of Operations</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22</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0000FF"/>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Non-GAAP Financial Measures</w:t>
            </w:r>
          </w:p>
        </w:tc>
        <w:tc>
          <w:tcPr>
            <w:tcW w:w="7480" w:type="dxa"/>
            <w:vAlign w:val="bottom"/>
            <w:tcBorders>
              <w:bottom w:val="single" w:sz="8" w:color="CCEEFF"/>
            </w:tcBorders>
            <w:gridSpan w:val="20"/>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25</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27</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0000FF"/>
            </w:tcBorders>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Critical Accounting Policies and Estimates</w:t>
            </w:r>
          </w:p>
        </w:tc>
        <w:tc>
          <w:tcPr>
            <w:tcW w:w="6700" w:type="dxa"/>
            <w:vAlign w:val="bottom"/>
            <w:tcBorders>
              <w:bottom w:val="single" w:sz="8" w:color="CCEEFF"/>
            </w:tcBorders>
            <w:gridSpan w:val="1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27</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27</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80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9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8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31</w:t>
            </w: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40" w:type="dxa"/>
            <w:vAlign w:val="bottom"/>
          </w:tcPr>
          <w:p>
            <w:pPr>
              <w:spacing w:after="0"/>
              <w:rPr>
                <w:sz w:val="18"/>
                <w:szCs w:val="18"/>
                <w:color w:val="auto"/>
              </w:rPr>
            </w:pPr>
          </w:p>
        </w:tc>
      </w:tr>
      <w:tr>
        <w:trPr>
          <w:trHeight w:val="90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gridSpan w:val="2"/>
          </w:tcPr>
          <w:p>
            <w:pPr>
              <w:spacing w:after="0"/>
              <w:rPr>
                <w:sz w:val="24"/>
                <w:szCs w:val="24"/>
                <w:color w:val="auto"/>
              </w:rPr>
            </w:pPr>
          </w:p>
        </w:tc>
        <w:tc>
          <w:tcPr>
            <w:tcW w:w="5680" w:type="dxa"/>
            <w:vAlign w:val="bottom"/>
            <w:gridSpan w:val="38"/>
          </w:tcPr>
          <w:p>
            <w:pPr>
              <w:jc w:val="right"/>
              <w:ind w:right="1800"/>
              <w:spacing w:after="0"/>
              <w:rPr>
                <w:sz w:val="20"/>
                <w:szCs w:val="20"/>
                <w:color w:val="auto"/>
              </w:rPr>
            </w:pPr>
            <w:r>
              <w:rPr>
                <w:rFonts w:ascii="Times New Roman" w:cs="Times New Roman" w:eastAsia="Times New Roman" w:hAnsi="Times New Roman"/>
                <w:sz w:val="18"/>
                <w:szCs w:val="18"/>
                <w:color w:val="auto"/>
              </w:rPr>
              <w:t>2</w:t>
            </w:r>
          </w:p>
        </w:tc>
        <w:tc>
          <w:tcPr>
            <w:tcW w:w="33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5"/>
          </w:tcPr>
          <w:p>
            <w:pPr>
              <w:ind w:left="4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Pr>
          <w:p>
            <w:pPr>
              <w:spacing w:after="0"/>
              <w:rPr>
                <w:sz w:val="18"/>
                <w:szCs w:val="18"/>
                <w:color w:val="auto"/>
              </w:rPr>
            </w:pPr>
          </w:p>
        </w:tc>
        <w:tc>
          <w:tcPr>
            <w:tcW w:w="300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10"/>
        </w:trPr>
        <w:tc>
          <w:tcPr>
            <w:tcW w:w="4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2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 services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101,061</w:t>
            </w:r>
          </w:p>
        </w:tc>
      </w:tr>
      <w:tr>
        <w:trPr>
          <w:trHeight w:val="213"/>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Revenue – products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8,341</w:t>
            </w: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105,951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109,402</w:t>
            </w:r>
          </w:p>
        </w:tc>
      </w:tr>
      <w:tr>
        <w:trPr>
          <w:trHeight w:val="207"/>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 services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68,099</w:t>
            </w:r>
          </w:p>
        </w:tc>
      </w:tr>
      <w:tr>
        <w:trPr>
          <w:trHeight w:val="232"/>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products</w:t>
            </w: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r>
      <w:tr>
        <w:trPr>
          <w:trHeight w:val="20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34,862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31,110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66,151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72,398</w:t>
            </w: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37,004</w:t>
            </w: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8,869</w:t>
            </w:r>
          </w:p>
        </w:tc>
      </w:tr>
      <w:tr>
        <w:trPr>
          <w:trHeight w:val="213"/>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9,388</w:t>
            </w: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49,712</w:t>
            </w:r>
          </w:p>
        </w:tc>
      </w:tr>
      <w:tr>
        <w:trPr>
          <w:trHeight w:val="20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selling, general and administrative expenses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66,700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67,969</w:t>
            </w: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(30,965)</w:t>
            </w: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income/(expense)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(32,375)</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(32,422)</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6"/>
        </w:trPr>
        <w:tc>
          <w:tcPr>
            <w:tcW w:w="4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19"/>
        </w:trPr>
        <w:tc>
          <w:tcPr>
            <w:tcW w:w="4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65,621</w:t>
            </w:r>
          </w:p>
        </w:tc>
      </w:tr>
      <w:tr>
        <w:trPr>
          <w:trHeight w:val="210"/>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65,621</w:t>
            </w:r>
          </w:p>
        </w:tc>
      </w:tr>
    </w:tbl>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5"/>
          </w:tcPr>
          <w:p>
            <w:pPr>
              <w:ind w:left="4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Pr>
          <w:p>
            <w:pPr>
              <w:spacing w:after="0"/>
              <w:rPr>
                <w:sz w:val="18"/>
                <w:szCs w:val="18"/>
                <w:color w:val="auto"/>
              </w:rPr>
            </w:pPr>
          </w:p>
        </w:tc>
        <w:tc>
          <w:tcPr>
            <w:tcW w:w="300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10"/>
        </w:trPr>
        <w:tc>
          <w:tcPr>
            <w:tcW w:w="4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(loss)/income, net of tax:</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(17,639)</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(32,449)</w:t>
            </w:r>
          </w:p>
        </w:tc>
      </w:tr>
      <w:tr>
        <w:trPr>
          <w:trHeight w:val="23"/>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June 30, 2022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2021</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122,588</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126,562</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59,844</w:t>
            </w:r>
          </w:p>
        </w:tc>
        <w:tc>
          <w:tcPr>
            <w:tcW w:w="0" w:type="dxa"/>
            <w:vAlign w:val="bottom"/>
          </w:tcPr>
          <w:p>
            <w:pPr>
              <w:spacing w:after="0"/>
              <w:rPr>
                <w:sz w:val="1"/>
                <w:szCs w:val="1"/>
                <w:color w:val="auto"/>
              </w:rPr>
            </w:pPr>
          </w:p>
        </w:tc>
      </w:tr>
      <w:tr>
        <w:trPr>
          <w:trHeight w:val="213"/>
        </w:trPr>
        <w:tc>
          <w:tcPr>
            <w:tcW w:w="70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12"/>
        </w:trPr>
        <w:tc>
          <w:tcPr>
            <w:tcW w:w="7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191,714</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19,199</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07"/>
        </w:trPr>
        <w:tc>
          <w:tcPr>
            <w:tcW w:w="7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241,958</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246,081</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34,548</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Contract liabilities</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Finance lease obligations, current portion</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Operating lease obligations, current portion</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12"/>
        </w:trPr>
        <w:tc>
          <w:tcPr>
            <w:tcW w:w="70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50,941</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Finance lease obligations, non-current portion</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12,840</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 non-current portion</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67,646</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65,827</w:t>
            </w:r>
          </w:p>
        </w:tc>
        <w:tc>
          <w:tcPr>
            <w:tcW w:w="0" w:type="dxa"/>
            <w:vAlign w:val="bottom"/>
          </w:tcPr>
          <w:p>
            <w:pPr>
              <w:spacing w:after="0"/>
              <w:rPr>
                <w:sz w:val="1"/>
                <w:szCs w:val="1"/>
                <w:color w:val="auto"/>
              </w:rPr>
            </w:pPr>
          </w:p>
        </w:tc>
      </w:tr>
      <w:tr>
        <w:trPr>
          <w:trHeight w:val="179"/>
        </w:trPr>
        <w:tc>
          <w:tcPr>
            <w:tcW w:w="7000" w:type="dxa"/>
            <w:vAlign w:val="bottom"/>
            <w:gridSpan w:val="3"/>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color w:val="0000FF"/>
              </w:rPr>
              <w:t>Note 19</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3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500" w:type="dxa"/>
            <w:vAlign w:val="bottom"/>
            <w:tcBorders>
              <w:top w:val="single" w:sz="8" w:color="0000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00" w:type="dxa"/>
            <w:vAlign w:val="bottom"/>
            <w:gridSpan w:val="3"/>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Common stock, $0.001 par value, 250,000,000 shares authorized, 67,594,301 shares and 66,767,450</w:t>
            </w:r>
          </w:p>
        </w:tc>
        <w:tc>
          <w:tcPr>
            <w:tcW w:w="32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shares issued and outstanding as of June 30, 2022 and December 31, 2021, respectively</w:t>
            </w:r>
          </w:p>
        </w:tc>
        <w:tc>
          <w:tcPr>
            <w:tcW w:w="32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388,464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367,153</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(214,249)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(186,977)</w:t>
            </w:r>
          </w:p>
        </w:tc>
        <w:tc>
          <w:tcPr>
            <w:tcW w:w="0" w:type="dxa"/>
            <w:vAlign w:val="bottom"/>
          </w:tcPr>
          <w:p>
            <w:pPr>
              <w:spacing w:after="0"/>
              <w:rPr>
                <w:sz w:val="1"/>
                <w:szCs w:val="1"/>
                <w:color w:val="auto"/>
              </w:rPr>
            </w:pPr>
          </w:p>
        </w:tc>
      </w:tr>
      <w:tr>
        <w:trPr>
          <w:trHeight w:val="212"/>
        </w:trPr>
        <w:tc>
          <w:tcPr>
            <w:tcW w:w="70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174,312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180,254</w:t>
            </w:r>
          </w:p>
        </w:tc>
        <w:tc>
          <w:tcPr>
            <w:tcW w:w="0" w:type="dxa"/>
            <w:vAlign w:val="bottom"/>
          </w:tcPr>
          <w:p>
            <w:pPr>
              <w:spacing w:after="0"/>
              <w:rPr>
                <w:sz w:val="1"/>
                <w:szCs w:val="1"/>
                <w:color w:val="auto"/>
              </w:rPr>
            </w:pPr>
          </w:p>
        </w:tc>
      </w:tr>
      <w:tr>
        <w:trPr>
          <w:trHeight w:val="207"/>
        </w:trPr>
        <w:tc>
          <w:tcPr>
            <w:tcW w:w="7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241,958</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246,081</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4"/>
          </w:tcPr>
          <w:p>
            <w:pPr>
              <w:jc w:val="right"/>
              <w:ind w:right="11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10"/>
        </w:trPr>
        <w:tc>
          <w:tcPr>
            <w:tcW w:w="7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7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tcPr>
          <w:p>
            <w:pPr>
              <w:spacing w:after="0"/>
              <w:rPr>
                <w:sz w:val="18"/>
                <w:szCs w:val="18"/>
                <w:color w:val="auto"/>
              </w:rPr>
            </w:pPr>
          </w:p>
        </w:tc>
      </w:tr>
      <w:tr>
        <w:trPr>
          <w:trHeight w:val="23"/>
        </w:trPr>
        <w:tc>
          <w:tcPr>
            <w:tcW w:w="7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(27,272)</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(32,422)</w:t>
            </w:r>
          </w:p>
        </w:tc>
      </w:tr>
      <w:tr>
        <w:trPr>
          <w:trHeight w:val="21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cash flows provided by/(used in) operating activities: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35,006</w:t>
            </w:r>
          </w:p>
        </w:tc>
      </w:tr>
      <w:tr>
        <w:trPr>
          <w:trHeight w:val="21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r>
      <w:tr>
        <w:trPr>
          <w:trHeight w:val="213"/>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discount on acquisition holdback</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(Recovery from)/provision for inventory obsolescence</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0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(9,595)</w:t>
            </w:r>
          </w:p>
        </w:tc>
      </w:tr>
      <w:tr>
        <w:trPr>
          <w:trHeight w:val="219"/>
        </w:trPr>
        <w:tc>
          <w:tcPr>
            <w:tcW w:w="7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r>
      <w:tr>
        <w:trPr>
          <w:trHeight w:val="213"/>
        </w:trPr>
        <w:tc>
          <w:tcPr>
            <w:tcW w:w="70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19"/>
        </w:trPr>
        <w:tc>
          <w:tcPr>
            <w:tcW w:w="7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payable and other accrued payables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r>
      <w:tr>
        <w:trPr>
          <w:trHeight w:val="213"/>
        </w:trPr>
        <w:tc>
          <w:tcPr>
            <w:tcW w:w="70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19"/>
        </w:trPr>
        <w:tc>
          <w:tcPr>
            <w:tcW w:w="7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3"/>
        </w:trPr>
        <w:tc>
          <w:tcPr>
            <w:tcW w:w="70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Other current liabilities and other liabilities</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r>
      <w:tr>
        <w:trPr>
          <w:trHeight w:val="21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8,132</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w:t>
            </w: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r>
      <w:tr>
        <w:trPr>
          <w:trHeight w:val="213"/>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21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w:t>
            </w: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under finance lease obligations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tax withholding related to net share settlement of equity awards</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r>
      <w:tr>
        <w:trPr>
          <w:trHeight w:val="21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34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64,269</w:t>
            </w:r>
          </w:p>
        </w:tc>
      </w:tr>
      <w:tr>
        <w:trPr>
          <w:trHeight w:val="21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outstanding warrants</w:t>
            </w:r>
          </w:p>
        </w:tc>
        <w:tc>
          <w:tcPr>
            <w:tcW w:w="3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(26,894)</w:t>
            </w:r>
          </w:p>
        </w:tc>
      </w:tr>
      <w:tr>
        <w:trPr>
          <w:trHeight w:val="21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Telos ID Class B member – non-controlling interest</w:t>
            </w:r>
          </w:p>
        </w:tc>
        <w:tc>
          <w:tcPr>
            <w:tcW w:w="34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r>
      <w:tr>
        <w:trPr>
          <w:trHeight w:val="212"/>
        </w:trPr>
        <w:tc>
          <w:tcPr>
            <w:tcW w:w="7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(6,199)</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33,038</w:t>
            </w:r>
          </w:p>
        </w:tc>
      </w:tr>
      <w:tr>
        <w:trPr>
          <w:trHeight w:val="207"/>
        </w:trPr>
        <w:tc>
          <w:tcPr>
            <w:tcW w:w="7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24,951</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106,045</w:t>
            </w:r>
          </w:p>
        </w:tc>
      </w:tr>
      <w:tr>
        <w:trPr>
          <w:trHeight w:val="207"/>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122,720</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130,996</w:t>
            </w:r>
          </w:p>
        </w:tc>
      </w:tr>
      <w:tr>
        <w:trPr>
          <w:trHeight w:val="23"/>
        </w:trPr>
        <w:tc>
          <w:tcPr>
            <w:tcW w:w="7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vMerge w:val="restart"/>
          </w:tcPr>
          <w:p>
            <w:pPr>
              <w:jc w:val="right"/>
              <w:ind w:right="599"/>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6"/>
            <w:vMerge w:val="continue"/>
          </w:tcPr>
          <w:p>
            <w:pPr>
              <w:spacing w:after="0"/>
              <w:rPr>
                <w:sz w:val="12"/>
                <w:szCs w:val="12"/>
                <w:color w:val="auto"/>
              </w:rPr>
            </w:pPr>
          </w:p>
        </w:tc>
        <w:tc>
          <w:tcPr>
            <w:tcW w:w="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6"/>
                <w:szCs w:val="16"/>
                <w:color w:val="auto"/>
              </w:rPr>
              <w:t>Additional 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20" w:type="dxa"/>
            <w:vAlign w:val="bottom"/>
          </w:tcPr>
          <w:p>
            <w:pPr>
              <w:spacing w:after="0"/>
              <w:rPr>
                <w:sz w:val="12"/>
                <w:szCs w:val="12"/>
                <w:color w:val="auto"/>
              </w:rPr>
            </w:pPr>
          </w:p>
        </w:tc>
        <w:tc>
          <w:tcPr>
            <w:tcW w:w="13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color w:val="auto"/>
              </w:rPr>
              <w:t>Total Stockholders’</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Shares</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rPr>
              <w:t>Capital</w:t>
            </w:r>
          </w:p>
        </w:tc>
        <w:tc>
          <w:tcPr>
            <w:tcW w:w="8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Income/(Loss)</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Deficit</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8"/>
          </w:tcPr>
          <w:p>
            <w:pPr>
              <w:ind w:left="9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(201,960)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175,061</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62"/>
        </w:trPr>
        <w:tc>
          <w:tcPr>
            <w:tcW w:w="31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tcPr>
          <w:p>
            <w:pPr>
              <w:spacing w:after="0"/>
              <w:rPr>
                <w:sz w:val="14"/>
                <w:szCs w:val="14"/>
                <w:color w:val="auto"/>
              </w:rPr>
            </w:pPr>
          </w:p>
        </w:tc>
        <w:tc>
          <w:tcPr>
            <w:tcW w:w="11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14,553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14,553</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excluding accrued compensation</w:t>
            </w:r>
          </w:p>
        </w:tc>
        <w:tc>
          <w:tcPr>
            <w:tcW w:w="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0" w:type="dxa"/>
            <w:vAlign w:val="bottom"/>
          </w:tcPr>
          <w:p>
            <w:pPr>
              <w:spacing w:after="0"/>
              <w:rPr>
                <w:sz w:val="1"/>
                <w:szCs w:val="1"/>
                <w:color w:val="auto"/>
              </w:rPr>
            </w:pPr>
          </w:p>
        </w:tc>
      </w:tr>
      <w:tr>
        <w:trPr>
          <w:trHeight w:val="162"/>
        </w:trPr>
        <w:tc>
          <w:tcPr>
            <w:tcW w:w="31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RSUs vested, net of shares withheld to cover</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withholding</w:t>
            </w: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388,464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w w:val="96"/>
              </w:rPr>
              <w:t>(9)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174,312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284,470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(158,621)</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125,964</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64,269</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21,336</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outstanding warrants</w:t>
            </w:r>
          </w:p>
        </w:tc>
        <w:tc>
          <w:tcPr>
            <w:tcW w:w="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207"/>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66,635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341,928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(176,265)</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165,785</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40" w:type="dxa"/>
            <w:vAlign w:val="bottom"/>
            <w:gridSpan w:val="7"/>
            <w:vMerge w:val="restart"/>
          </w:tcPr>
          <w:p>
            <w:pPr>
              <w:ind w:left="660"/>
              <w:spacing w:after="0"/>
              <w:rPr>
                <w:sz w:val="20"/>
                <w:szCs w:val="20"/>
                <w:color w:val="auto"/>
              </w:rPr>
            </w:pPr>
            <w:r>
              <w:rPr>
                <w:rFonts w:ascii="Times New Roman" w:cs="Times New Roman" w:eastAsia="Times New Roman" w:hAnsi="Times New Roman"/>
                <w:sz w:val="16"/>
                <w:szCs w:val="16"/>
                <w:color w:val="auto"/>
              </w:rPr>
              <w:t>Common Stock</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tcBorders>
              <w:bottom w:val="single" w:sz="8" w:color="auto"/>
            </w:tcBorders>
            <w:gridSpan w:val="7"/>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6"/>
                <w:szCs w:val="16"/>
                <w:color w:val="auto"/>
              </w:rPr>
              <w:t>Additional 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20" w:type="dxa"/>
            <w:vAlign w:val="bottom"/>
          </w:tcPr>
          <w:p>
            <w:pPr>
              <w:spacing w:after="0"/>
              <w:rPr>
                <w:sz w:val="12"/>
                <w:szCs w:val="12"/>
                <w:color w:val="auto"/>
              </w:rPr>
            </w:pPr>
          </w:p>
        </w:tc>
        <w:tc>
          <w:tcPr>
            <w:tcW w:w="13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color w:val="auto"/>
              </w:rPr>
              <w:t>Total Stockholders’</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Shares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Amount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Income/(Loss)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Deficit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8"/>
          </w:tcPr>
          <w:p>
            <w:pPr>
              <w:ind w:left="9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367,153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(186,977)</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180,254</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(27,272)</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62"/>
        </w:trPr>
        <w:tc>
          <w:tcPr>
            <w:tcW w:w="31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tcPr>
          <w:p>
            <w:pPr>
              <w:spacing w:after="0"/>
              <w:rPr>
                <w:sz w:val="14"/>
                <w:szCs w:val="14"/>
                <w:color w:val="auto"/>
              </w:rPr>
            </w:pPr>
          </w:p>
        </w:tc>
        <w:tc>
          <w:tcPr>
            <w:tcW w:w="11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center"/>
              <w:ind w:left="7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27,200</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excluding accrued compensation</w:t>
            </w:r>
          </w:p>
        </w:tc>
        <w:tc>
          <w:tcPr>
            <w:tcW w:w="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0" w:type="dxa"/>
            <w:vAlign w:val="bottom"/>
          </w:tcPr>
          <w:p>
            <w:pPr>
              <w:spacing w:after="0"/>
              <w:rPr>
                <w:sz w:val="1"/>
                <w:szCs w:val="1"/>
                <w:color w:val="auto"/>
              </w:rPr>
            </w:pPr>
          </w:p>
        </w:tc>
      </w:tr>
      <w:tr>
        <w:trPr>
          <w:trHeight w:val="162"/>
        </w:trPr>
        <w:tc>
          <w:tcPr>
            <w:tcW w:w="31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RSUs vested, net of shares withheld to cover</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(2,887)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center"/>
              <w:ind w:left="7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withholding</w:t>
            </w: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67,594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388,464</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174,312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(143,843)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127,104</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64,269</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35,006</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outstanding warrants</w:t>
            </w:r>
          </w:p>
        </w:tc>
        <w:tc>
          <w:tcPr>
            <w:tcW w:w="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(26,894)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207"/>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66,635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341,928</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center"/>
              <w:ind w:left="879"/>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(176,265)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165,785</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ORGANIZATION</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 capital of Xacta Corporation, a subsidiary that develops, markets and sells government-validated secure enterprise solutions to government and commercial customers. We also own all of the issued and outstanding share capital of Ubiquity.com, Inc., a holding company for Xacta Corporation. We also have a 100% ownership interest in Telos Identity Management Solutions, LLC (“Telos ID”), Teloworks, Inc. (“Teloworks”) and Telos APAC Pte. Ltd. (“Telos APAC”).</w:t>
      </w:r>
    </w:p>
    <w:p>
      <w:pPr>
        <w:spacing w:after="0" w:line="13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November 12, 2020, we amended our charter to effect an approximate 0.794-for-1 reverse stock split with respect to our common stock. The par value and the authorized shares of the common stock were not adjusted as a result of the reverse stock split. The accompanying consolidated financial statements and notes to the consolidated financial statements give retroactive effect to the reverse stock split for all periods presented.</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19, 2020, we completed our initial public offering ("IPO") of shares of our common stock. We issued 17.2 million shares of our common stock at a price of $17.00 per share, generating net proceeds of approximately $272.8 million. We used approximately $108.9 million of the net proceeds in connection with the conversion of our outstanding shares of Exchangeable Redeemable Preferred Stock into the right to receive cash and shares of our common stock, $30.0 million to fund our acquisition of the outstanding Class B Units of Telos ID, and $21.0 million to repay our outstanding senior term loan and subordinated debt. We intend to use the remaining net proceeds for general corporate purposes.</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6, 2021, we completed our follow-on offering of 9.1 million shares of our common stock at a price of $33.00 per share, including 7.0 million shares of common stock held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the warrants to purchase 900,970 shares of our common stock owned by certain affiliates of Enlightenment Capital Solutions ("EnCap"). We intend to use the remaining net proceeds for general corporate purposes.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SIGNIFICANT ACCOUNTING POLICIES</w:t>
      </w:r>
    </w:p>
    <w:p>
      <w:pPr>
        <w:spacing w:after="0" w:line="17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17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Telos and its subsidiaries, including Ubiquity.com, Inc., Xacta Corporation, Telos ID, Teloworks, and Telos APAC, all of whose issued and outstanding share capital is wholly-owned directly and indirectly by Telos Corporation. All intercompany transactions have been eliminated in consolidation.</w:t>
      </w:r>
    </w:p>
    <w:p>
      <w:pPr>
        <w:spacing w:after="0" w:line="122"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for Interim Periods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for the annual financial statements prepared in accordance with accounting principles generally accepted in the United States of America ("U.S. GAAP") have been condensed or omitted for the interim periods presented. We believe that the unaudited interim financial statements include all adjustments (which are normal and recurring in nature) necessary to state fairly our financial position and the results of operations and cash flows for the periods presented.</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2021, included in our Annual Report on Form 10-K for the fiscal year then ended (the "2021 10-K"). We have continued to follow the accounting policies set forth in those financial statements.</w:t>
      </w:r>
    </w:p>
    <w:p>
      <w:pPr>
        <w:spacing w:after="0" w:line="12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Reporting</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financial information is available and evaluated regularly by the chief operating decision maker (“CODM”), or decision-making group, in deciding how to allocate resources and assess performance.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fourth quarter of 2021, we reorganized our internal management reporting structure and the financial results evaluated by our CODM; therefore, we changed our operating segments to align with how our CODM currently oversees the business, allocates resources and evaluates operating performance. As a result of the segment reorganization, we reported two reportable and operating segments: Security Solutions and Secure Networks. The segments enable the alignment of our strategies and objectives and provide a framework for timely and rational allocation of resources within the lines of business. We eliminate any inter-segment revenues and expenses upon consolidation.</w:t>
      </w:r>
    </w:p>
    <w:p>
      <w:pPr>
        <w:spacing w:after="0" w:line="1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Prior period segment information has been recast to reflect the change. The segment reorganization had no impact on previously reported unaudited consolidated financial results.</w:t>
      </w:r>
    </w:p>
    <w:p>
      <w:pPr>
        <w:spacing w:after="0" w:line="9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Basis of Comparison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Revision of Previously Issued Interim Financial Statements</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recorded certain revisions related to the previously issued unaudited condensed consolidated financial statements. The Company considered the errors identified in accordance with the SEC's Staff Accounting Bulletin No. 99 and determined the impact was immaterial to the previously issued condensed consolidated interim financial statements. Nonetheless, the Company corrected these errors when identified in 2021.</w:t>
      </w:r>
    </w:p>
    <w:p>
      <w:pPr>
        <w:spacing w:after="0" w:line="10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During the third quarter of 2021, the Company identified out-of-period adjustments on certain revenue and expense classification. Further, we corrected the cash flow presentation to properly reflect the final payment to fully acquire all of the membership interest of Telos ID as financing activities. Further information regarding the misstatements and related revisions are included in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Revision of Prior Year Interim Financial Statements</w:t>
      </w:r>
      <w:r>
        <w:rPr>
          <w:rFonts w:ascii="Times New Roman" w:cs="Times New Roman" w:eastAsia="Times New Roman" w:hAnsi="Times New Roman"/>
          <w:sz w:val="18"/>
          <w:szCs w:val="18"/>
          <w:color w:val="auto"/>
        </w:rPr>
        <w:t xml:space="preserve"> to the condensed consolidated financial statements.</w:t>
      </w:r>
    </w:p>
    <w:p>
      <w:pPr>
        <w:spacing w:after="0" w:line="8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preparation of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 The most significant items involving management estimates include estimates of revenue recognition, allowance for credit losses, allowance for inventory obsolescence, the valuation allowance for deferred tax assets, the provision for income taxes, share-based compensation, contingencies and litigation, and valuation of intangibles and goodwill. The impact of changes in estimates is recorded in the period in which they become known.</w:t>
      </w:r>
    </w:p>
    <w:p>
      <w:pPr>
        <w:spacing w:after="0" w:line="135"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Changes to U.S. GAAP are established by the Financial Accounting Standards Board ("FASB") in the form of Accounting Standards Updates ("ASUs") to the FASB's Accounting Standards Codification ("ASC"). We consider the applicability and impact of all recent ASUs. ASUs not listed below were assessed and determined to be not applicable.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 (Topic 805): Accounting for Contract Assets and Contract Liabilities from Contracts with Customers,” which requires entities to apply Topic 606 to recognize and measure contract assets and contract liabilities in a business combination. The ASU improves comparability after the business combination by providing consistent recognition and measurement guidance for revenue contracts with customers acquired in a business combination and revenue contracts with customers not acquired in a business combination. Entities should apply the amendments prospectively to business combinations that occur after the effective date. This standard will be effective for reporting periods beginning after December 15, 2022, with early adoption permitted. While we are currently assessing the impact of the adoption of this ASU, we do not believe the adoption of this ASU will have a material impact on our unaudited consolidated financial position, results of operations and cash flows.</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 (Topic 820): Fair Value Measurement of Equity Securities Subject to Contractual Sale Restrictions," which clarifies that a contractual restriction on the sale of an equity security is not considered part of the unit of account of the equity security and, therefore, is not considered in measuring fair value. This standard will be effective for reporting periods beginning December 15, 2023, with early adoption permitted. While we are currently assessing the impact of the adoption of this ASU, we do not believe the adoption of this ASU will have a material impact on our unaudited consolidated financial position, results of operations and cash flows.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REVENUE RECOGNITION</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recognize revenue in accordance with ASC Topic 606, "Revenue from Contracts with Customers." The unit of account in ASC 606 is a performance obligation, which is a promise in a contract with a customer to transfer a good or service to the customer.</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majority of our revenue is recognized over time, as control is transferred continuously to our customers who receive and consume benefits as we perform, and is classified as services revenue. Revenue transferred to customers over time accounted for 90% and 93% of our revenue for the three and six months ended June 30, 2022, and 91% and 92% of our revenue for the three and six months ended June 30, 2021, respectively. All of our business groups earn services revenue under a variety of contract types, including time and materials, firm-fixed price, firm-fixed price level of effort, and cost-plus fixed fee contract types, which may include variable consideration as discussed further below.</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transferred to customers at a point in time accounted for 10% and 7% of our revenue for the three and six months ended June 30, 2022, and 9% and 8% of our revenue for the three and six months ended June 30, 2021, respectively. Revenue on these contracts is recognized when the customer obtains control of the transferred product or service, which is generally upon delivery of the product to the customer for their use, due to us maintaining control of the product until that point.</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provide for anticipated losses on contracts during the period when the loss is determined by recording an expense for the total expected costs that exceed the total estimated revenue for a performance obligation. No contract losses were recorded during the three and six months ended June 30, 2022 and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identified two reportable segments. We treat sales to U.S. customers as sales within the U.S., regardless of where the services are performed.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revenues are generated from U.S. customers.</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3.1: Revenue by Operating Segments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Security Solutions: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3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25,298</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27,595</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50,165</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46,725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Total Security Solutions revenue</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55,066</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72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Secure Networks: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356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24,972</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21,408</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48,213</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54,336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Total Secure Networks revenue</w:t>
            </w: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24,972</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21,408</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48,213</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54,336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105,951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3.2: Revenue by Customer Type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3"/>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Pr>
          <w:p>
            <w:pPr>
              <w:spacing w:after="0"/>
              <w:rPr>
                <w:sz w:val="18"/>
                <w:szCs w:val="18"/>
                <w:color w:val="auto"/>
              </w:rPr>
            </w:pPr>
          </w:p>
        </w:tc>
        <w:tc>
          <w:tcPr>
            <w:tcW w:w="300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Security Solutions: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Federal</w:t>
            </w:r>
          </w:p>
        </w:tc>
        <w:tc>
          <w:tcPr>
            <w:tcW w:w="3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27,251</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29,830</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51,853</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50,281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&amp; local, and commercial</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Total Security Solutions revenue</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55,066</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72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Secure Networks: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Federal</w:t>
            </w:r>
          </w:p>
        </w:tc>
        <w:tc>
          <w:tcPr>
            <w:tcW w:w="356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24,962</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48,203</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54,198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&amp; local, and commercial</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Total Secure Networks revenue</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54,336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105,951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3.3: Revenue by Contract Type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Security Solutions: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Firm fixed-price</w:t>
            </w:r>
          </w:p>
        </w:tc>
        <w:tc>
          <w:tcPr>
            <w:tcW w:w="3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26,275</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27,457</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48,742</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45,469</w:t>
            </w: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Time-and-materials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w:t>
            </w:r>
          </w:p>
        </w:tc>
      </w:tr>
      <w:tr>
        <w:trPr>
          <w:trHeight w:val="213"/>
        </w:trPr>
        <w:tc>
          <w:tcPr>
            <w:tcW w:w="2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Cost plus fixed fee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w:t>
            </w:r>
          </w:p>
        </w:tc>
      </w:tr>
      <w:tr>
        <w:trPr>
          <w:trHeight w:val="212"/>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Security Solutions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55,066</w:t>
            </w:r>
          </w:p>
        </w:tc>
      </w:tr>
      <w:tr>
        <w:trPr>
          <w:trHeight w:val="155"/>
        </w:trPr>
        <w:tc>
          <w:tcPr>
            <w:tcW w:w="20" w:type="dxa"/>
            <w:vAlign w:val="bottom"/>
          </w:tcPr>
          <w:p>
            <w:pPr>
              <w:spacing w:after="0"/>
              <w:rPr>
                <w:sz w:val="13"/>
                <w:szCs w:val="13"/>
                <w:color w:val="auto"/>
              </w:rPr>
            </w:pPr>
          </w:p>
        </w:tc>
        <w:tc>
          <w:tcPr>
            <w:tcW w:w="472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auto"/>
              </w:rPr>
              <w:t>Secure Networks: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Firm fixed-price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50,014</w:t>
            </w:r>
          </w:p>
        </w:tc>
      </w:tr>
      <w:tr>
        <w:trPr>
          <w:trHeight w:val="213"/>
        </w:trPr>
        <w:tc>
          <w:tcPr>
            <w:tcW w:w="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Time-and-materials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plus fixed fee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w:t>
            </w:r>
          </w:p>
        </w:tc>
      </w:tr>
      <w:tr>
        <w:trPr>
          <w:trHeight w:val="207"/>
        </w:trPr>
        <w:tc>
          <w:tcPr>
            <w:tcW w:w="2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Total Secure Networks revenue</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54,336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105,951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Revenue resulting from contracts and subcontracts with the U.S. government accounted for 94% and 95% of our revenue for the three months ended June 30, 2022 and 2021, respectively, and 94% and 96% of our revenue for the six months ended June 30, 2022 and 2021, respectively. As our primary customer base includes agencies of the U.S. government, we have a concentration of credit risk associated with our accounts receivable, as 95% of our billed accounts receivable as of June 30, 2022, were directly with U.S. government customers. We perform ongoing credit evaluations of all our customers and generally do not require collateral or other guarantee from our customers. We maintain allowances for potential losses.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3.4: Revenue Concentrations Greater than 10% of Total 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gridSpan w:val="4"/>
          </w:tcPr>
          <w:p>
            <w:pPr>
              <w:ind w:left="7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3340" w:type="dxa"/>
            <w:vAlign w:val="bottom"/>
            <w:tcBorders>
              <w:top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4080" w:type="dxa"/>
            <w:vAlign w:val="bottom"/>
          </w:tcPr>
          <w:p>
            <w:pPr>
              <w:spacing w:after="0"/>
              <w:rPr>
                <w:sz w:val="18"/>
                <w:szCs w:val="18"/>
                <w:color w:val="auto"/>
              </w:rPr>
            </w:pPr>
          </w:p>
        </w:tc>
        <w:tc>
          <w:tcPr>
            <w:tcW w:w="190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color w:val="auto"/>
              </w:rPr>
              <w:t>June 30, 2022</w:t>
            </w:r>
          </w:p>
        </w:tc>
        <w:tc>
          <w:tcPr>
            <w:tcW w:w="14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2021</w:t>
            </w:r>
          </w:p>
        </w:tc>
        <w:tc>
          <w:tcPr>
            <w:tcW w:w="460" w:type="dxa"/>
            <w:vAlign w:val="bottom"/>
          </w:tcPr>
          <w:p>
            <w:pPr>
              <w:spacing w:after="0"/>
              <w:rPr>
                <w:sz w:val="18"/>
                <w:szCs w:val="18"/>
                <w:color w:val="auto"/>
              </w:rPr>
            </w:pPr>
          </w:p>
        </w:tc>
        <w:tc>
          <w:tcPr>
            <w:tcW w:w="19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rPr>
              <w:t>June 30, 2022</w:t>
            </w:r>
          </w:p>
        </w:tc>
        <w:tc>
          <w:tcPr>
            <w:tcW w:w="14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June 30, 2021</w:t>
            </w: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Department of Defense ("DoD")</w:t>
            </w:r>
          </w:p>
        </w:tc>
        <w:tc>
          <w:tcPr>
            <w:tcW w:w="144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72%</w:t>
            </w:r>
          </w:p>
        </w:tc>
        <w:tc>
          <w:tcPr>
            <w:tcW w:w="4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67%</w:t>
            </w:r>
          </w:p>
        </w:tc>
        <w:tc>
          <w:tcPr>
            <w:tcW w:w="4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71%</w:t>
            </w:r>
          </w:p>
        </w:tc>
        <w:tc>
          <w:tcPr>
            <w:tcW w:w="4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76%</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Civilian</w:t>
            </w:r>
          </w:p>
        </w:tc>
        <w:tc>
          <w:tcPr>
            <w:tcW w:w="14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22%</w:t>
            </w:r>
          </w:p>
        </w:tc>
        <w:tc>
          <w:tcPr>
            <w:tcW w:w="46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28%</w:t>
            </w:r>
          </w:p>
        </w:tc>
        <w:tc>
          <w:tcPr>
            <w:tcW w:w="46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23%</w:t>
            </w:r>
          </w:p>
        </w:tc>
        <w:tc>
          <w:tcPr>
            <w:tcW w:w="460" w:type="dxa"/>
            <w:vAlign w:val="bottom"/>
          </w:tcPr>
          <w:p>
            <w:pPr>
              <w:spacing w:after="0"/>
              <w:rPr>
                <w:sz w:val="18"/>
                <w:szCs w:val="18"/>
                <w:color w:val="auto"/>
              </w:rPr>
            </w:pPr>
          </w:p>
        </w:tc>
        <w:tc>
          <w:tcPr>
            <w:tcW w:w="14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3.5: Contract Balances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49"/>
        </w:trPr>
        <w:tc>
          <w:tcPr>
            <w:tcW w:w="70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2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80" w:type="dxa"/>
            <w:vAlign w:val="bottom"/>
          </w:tcPr>
          <w:p>
            <w:pPr>
              <w:spacing w:after="0"/>
              <w:rPr>
                <w:sz w:val="21"/>
                <w:szCs w:val="2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 (unbilled receivables)</w:t>
            </w:r>
          </w:p>
        </w:tc>
        <w:tc>
          <w:tcPr>
            <w:tcW w:w="1540" w:type="dxa"/>
            <w:vAlign w:val="bottom"/>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41,374</w:t>
            </w: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1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r>
    </w:tbl>
    <w:p>
      <w:pPr>
        <w:spacing w:after="0" w:line="24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change in the Company's contract assets and contract liabilities during the period were primarily the result of the timing differences between the Company's performance, invoicing and customer payments. Revenue recognized for the three and six months ended June 30, 2022, that was included in the contract liabilities balance at the beginning of each reporting period was $1.6 million and $4.1 million, respectively. Revenue recognized for the three and six months ended June 30, 2021, that was included in the contract liabilities balance at the beginning of each reporting period was $1.2 million and $3.2 million, respectively.</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June 30, 2022, we had $100.5 million of remaining performance obligations, which we also refer to as funded backlog. We expect to recognize approximately 76% of our remaining performance obligations as revenue in 2022, an additional 20% in 2023, and the balance thereafter.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ACCOUNTS RECEIVABLE,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 Details of Accounts Receivable,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2022</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2021</w:t>
            </w:r>
          </w:p>
        </w:tc>
      </w:tr>
      <w:tr>
        <w:trPr>
          <w:trHeight w:val="216"/>
        </w:trPr>
        <w:tc>
          <w:tcPr>
            <w:tcW w:w="7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4"/>
        </w:trPr>
        <w:tc>
          <w:tcPr>
            <w:tcW w:w="7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 accounts receivable</w:t>
            </w: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18,586</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1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41,374</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5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59,844</w:t>
            </w:r>
          </w:p>
        </w:tc>
      </w:tr>
      <w:tr>
        <w:trPr>
          <w:trHeight w:val="23"/>
        </w:trPr>
        <w:tc>
          <w:tcPr>
            <w:tcW w:w="70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INVENTORIES,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5: Details of Inventories,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2022</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2021</w:t>
            </w:r>
          </w:p>
        </w:tc>
      </w:tr>
      <w:tr>
        <w:trPr>
          <w:trHeight w:val="216"/>
        </w:trPr>
        <w:tc>
          <w:tcPr>
            <w:tcW w:w="7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inventory</w:t>
            </w:r>
          </w:p>
        </w:tc>
        <w:tc>
          <w:tcPr>
            <w:tcW w:w="158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inventory obsolescence</w:t>
            </w:r>
          </w:p>
        </w:tc>
        <w:tc>
          <w:tcPr>
            <w:tcW w:w="1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(753)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34"/>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PROPERTY AND EQUIPMENT,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 Details of Property and Equipment,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2022</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2021</w:t>
            </w:r>
          </w:p>
        </w:tc>
      </w:tr>
      <w:tr>
        <w:trPr>
          <w:trHeight w:val="216"/>
        </w:trPr>
        <w:tc>
          <w:tcPr>
            <w:tcW w:w="7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150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15,420</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w:t>
            </w:r>
          </w:p>
        </w:tc>
        <w:tc>
          <w:tcPr>
            <w:tcW w:w="1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w:t>
            </w:r>
          </w:p>
        </w:tc>
      </w:tr>
      <w:tr>
        <w:trPr>
          <w:trHeight w:val="212"/>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at cost</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18,414</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(13,304)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(12,326)</w:t>
            </w: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expense was $0.5 million and $1.2 million for the three and six months ended June 30, 2022, respectively, compared to $0.5 million and $0.9 million for the three and six months ended June 30,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GOODWILL</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goodwill balance was $17.9 million as of June 30, 2022, and December 31, 2021, of which $3.0 million is allocated to the Security Solutions segment and $14.9 million is allocated to the Secure Networks segment. Goodwill is subject to annual impairment tests and if triggering events are present in the interim before the annual tests, we will assess impairment. For the three and six months ended June 30, 2022 and 2021, no impairment charges were taken.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INTANGIBLE ASSETS,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8.1: Details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June 30, 2022</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December 31, 2021</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rPr>
              <w:t>Gross</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320" w:type="dxa"/>
            <w:vAlign w:val="bottom"/>
          </w:tcPr>
          <w:p>
            <w:pPr>
              <w:spacing w:after="0"/>
              <w:rPr>
                <w:sz w:val="13"/>
                <w:szCs w:val="13"/>
                <w:color w:val="auto"/>
              </w:rPr>
            </w:pPr>
          </w:p>
        </w:tc>
        <w:tc>
          <w:tcPr>
            <w:tcW w:w="102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rPr>
              <w:t>Net</w:t>
            </w:r>
          </w:p>
        </w:tc>
        <w:tc>
          <w:tcPr>
            <w:tcW w:w="8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rPr>
              <w:t>Gross</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Net</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Amortization</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development costs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15,790</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31,322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19,199</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Amortization expense was $0.4 million and $0.8 million for the three and six months ended June 30, 2022, respectively, and $0.5 million and $0.9 million for the three and six months ended June 30, 2021,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ACQUISITION</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July 30, 2021, the Company acquired the assets of Diamond Fortress Technologies ("DFT") and wholly-owned subsidiaries for a total purchase consideration of $6.7 million, inclusive of $0.3 million related to a pre-existing contractual arrangement with DFT. Upon closing, $5.9 million of cash was paid with an additional $0.6 million payable to DFT 18 months after the close date (the "holdback"). The holdback amount has been discounted to its present value of $0.5 million using a discount rate relevant to the acquisition. The acquisition adds several new patents to the Company’s library of biometric and digital identity intellectual property. The addition of contactless biometrics technology will enable the Company to better serve the needs of organizations in existing and new markets. The acquisition of the assets of DFT has been accounted for under U.S. GAAP using the acquisition method of accounting. The total purchase consideration of $6.7 million has been allocated among the assets acquired at their fair value at the acquisition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recognized $3.7 million of intangible assets and $3.0 million of goodwill, which is housed in the Telos ID reporting unit, part of the Security Solutions operating segment. Goodwill is primarily attributable to an excess of the purchase price over the acquired identifiable net tangible and intangible assets. The acquired intangible assets will be amortized on a straight-line basis over 3 - 8 years. The acquisition was considered an asset purchase for tax purposes and the recognized goodwill is deductible for tax purposes.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PURCHASE OF TELOS ID NON-CONTROLLING INTERESTS</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Telos ID was formed as a limited liability company under the Delaware Limited Liability Company Act in 2007. Prior to the IPO, the Company owned a 50% interest in Telos ID, with the remaining interest owned by Hoya ID Fund A, LLC ("Hoya") as the non-controlling interest. Distributions were made to the members only when and to the extent determined by Telos ID’s Board of Directors, in accordance with its Operating Agreement.</w:t>
      </w:r>
    </w:p>
    <w:p>
      <w:pPr>
        <w:spacing w:after="0" w:line="12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October 5, 2020, we entered into a Membership Interest Purchase Agreement between the Company and Hoya to purchase all of the Class B Units of Telos ID owned by Hoya (the “Telos ID Purchase”). Upon the closing of the Telos ID Purchase, Telos ID became our wholly owned subsidiary. On November 23, 2020, the Telos ID Purchase was consummated with the Company transferring $30.0 million in cash and issuing 7.3 million shares of our common stock at $20.39 per share (which totals approximately $148.4 million); the total consideration transferred to Hoya was $178.4 million. As part of the common stock issuance, the Company recognized an increase to additional paid-in capital (“APIC”) of $148.4 million. The Company further recognized a reduction to APIC of $173.9 million as part of the elimination of Hoya’s non-controlling interest in Telos ID. The net impact to APIC associated with the acquisition of the additional 50% interest in Telos ID was a reduction of $25.5 million. Hoya received a final distribution of $2.4 million in January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ACCOUNTS PAYABLE AND OTHER ACCRUED LIABILITIES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 Details of Accounts Payable and Other Accrued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2022</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2021</w:t>
            </w:r>
          </w:p>
        </w:tc>
      </w:tr>
      <w:tr>
        <w:trPr>
          <w:trHeight w:val="216"/>
        </w:trPr>
        <w:tc>
          <w:tcPr>
            <w:tcW w:w="7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7,869</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1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25,300</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Others</w:t>
            </w:r>
          </w:p>
        </w:tc>
        <w:tc>
          <w:tcPr>
            <w:tcW w:w="15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35,412</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34,548</w:t>
            </w:r>
          </w:p>
        </w:tc>
      </w:tr>
      <w:tr>
        <w:trPr>
          <w:trHeight w:val="23"/>
        </w:trPr>
        <w:tc>
          <w:tcPr>
            <w:tcW w:w="70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w:t>
      </w:r>
    </w:p>
    <w:p>
      <w:pPr>
        <w:spacing w:after="0" w:line="17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2016 Omnibus Long-Term Incentive Plan (the "2016 LTIP") provides for the grant of restricted stock units with time-based vesting ("Service-Based RSU" or "RSU") and restricted stock units with performance-based vesting (Performance-Based RSU" or "PRSU") to our senior executives, directors, employees, and other service providers. Awards granted under the 2016 LTIP vest over the periods determined by the Board of Directors or the Compensation Committee of the Board of Directors, generally one to three years. The Company records stock-based compensation related to accrued compensation in which it intends to settle in shares of the Company’s common stock. However, it is the Company’s discretion whether this compensation will ultimately be paid in stock or cash, as it has the right to dictate the form of these payments up until the date at which they are paid.</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includes an immaterial adjustment of $0.7 million and $1.3 million for the three and six months ended June 30, 2022 related to the prior year. There were no income tax benefits recognized on the share-based compensation expense for both periods.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12.1: Details of Stock Compensation Expense by Department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47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
        </w:trPr>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services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21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28,861</w:t>
            </w:r>
          </w:p>
        </w:tc>
      </w:tr>
      <w:tr>
        <w:trPr>
          <w:trHeight w:val="237"/>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35,006</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12.2: Service-Based RSU and Performance-Based RSU Award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Performance-Based</w:t>
            </w: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39"/>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Service-Based RSU</w:t>
            </w:r>
          </w:p>
        </w:tc>
        <w:tc>
          <w:tcPr>
            <w:tcW w:w="1580" w:type="dxa"/>
            <w:vAlign w:val="bottom"/>
            <w:gridSpan w:val="2"/>
            <w:vMerge w:val="continue"/>
          </w:tcPr>
          <w:p>
            <w:pPr>
              <w:spacing w:after="0"/>
              <w:rPr>
                <w:sz w:val="14"/>
                <w:szCs w:val="14"/>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RSU</w:t>
            </w: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Value</w:t>
            </w:r>
          </w:p>
        </w:tc>
        <w:tc>
          <w:tcPr>
            <w:tcW w:w="0" w:type="dxa"/>
            <w:vAlign w:val="bottom"/>
          </w:tcPr>
          <w:p>
            <w:pPr>
              <w:spacing w:after="0"/>
              <w:rPr>
                <w:sz w:val="1"/>
                <w:szCs w:val="1"/>
                <w:color w:val="auto"/>
              </w:rPr>
            </w:pPr>
          </w:p>
        </w:tc>
      </w:tr>
      <w:tr>
        <w:trPr>
          <w:trHeight w:val="212"/>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3,030,608</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492,727</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3,523,335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0" w:type="dxa"/>
            <w:vAlign w:val="bottom"/>
          </w:tcPr>
          <w:p>
            <w:pPr>
              <w:spacing w:after="0"/>
              <w:rPr>
                <w:sz w:val="1"/>
                <w:szCs w:val="1"/>
                <w:color w:val="auto"/>
              </w:rPr>
            </w:pPr>
          </w:p>
        </w:tc>
      </w:tr>
      <w:tr>
        <w:trPr>
          <w:trHeight w:val="213"/>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3,759,037</w:t>
            </w:r>
          </w:p>
        </w:tc>
        <w:tc>
          <w:tcPr>
            <w:tcW w:w="1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(1,416,116)</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(260,588)</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(113,566)</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(374,154)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5,112,941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379,161</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5,492,102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of June 30, 2022, the intrinsic value of the RSUs and PRSUs outstanding, exercisable, and vested or expected to vest was $44.2 million. There was $61.0 million of total compensation costs related to stock-based awards not yet recognized as of June 30, 2022, which is expected to be recognized on a straight-line basis over a weighted-average remaining vesting period of approximately 1.3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SHARE REPURCHASES</w:t>
      </w:r>
    </w:p>
    <w:p>
      <w:pPr>
        <w:spacing w:after="0" w:line="17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 As of June 30, 2022, there was $47.0 million of the remaining authorization for future common stock repurchases under the SRP.</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13: Shares Repurchase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700" w:type="dxa"/>
            <w:vAlign w:val="bottom"/>
            <w:tcBorders>
              <w:top w:val="single" w:sz="8" w:color="auto"/>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4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2021</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6"/>
          </w:tcPr>
          <w:p>
            <w:pPr>
              <w:ind w:left="220"/>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Amount paid for shares repurchased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360,439</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Average per share price paid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r>
    </w:tbl>
    <w:p>
      <w:pPr>
        <w:spacing w:after="0" w:line="166"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paid for repurchases on the open 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5, 2022, the Company repurchased an additional 142,536 shares of its common stock, for $1.1 million since June 30,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ACCUMULATED OTHER COMPREHENSIVE LOSS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functional currency is the U.S. Dollar. 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loss.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14: Details of Accumulated Other Comprehensive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June 30, 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2021</w:t>
            </w:r>
          </w:p>
        </w:tc>
      </w:tr>
      <w:tr>
        <w:trPr>
          <w:trHeight w:val="216"/>
        </w:trPr>
        <w:tc>
          <w:tcPr>
            <w:tcW w:w="6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6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foreign currency translation loss</w:t>
            </w:r>
          </w:p>
        </w:tc>
        <w:tc>
          <w:tcPr>
            <w:tcW w:w="160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Cumulative actuarial gain on pension liability adjustment</w:t>
            </w: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3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0" w:type="dxa"/>
            <w:vAlign w:val="bottom"/>
            <w:tcBorders>
              <w:bottom w:val="single" w:sz="8" w:color="auto"/>
            </w:tcBorders>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LOSS PER SHARE</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net earnings (loss) per share is computed by dividing the net earnings (loss) by the weighted-average number of common shares outstanding for the period, without consideration for potentially dilutive securities. Diluted net earnings (loss) per share is computed by dividing the net earnings (loss) by the weighted-average number of shares of common stock and dilutive common stock equivalents outstanding for the period determined using the treasury-stock and if-converted methods. Dilutive common stock equivalents are comprised of unvested restricted common stock and warrants.</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period of net loss, potentially dilutive securities are not included in the calculation of diluted net earnings (loss) per share, because to do so would be anti-dilutive.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 Potentially Dilutive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4"/>
          </w:tcPr>
          <w:p>
            <w:pPr>
              <w:ind w:left="68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3220" w:type="dxa"/>
            <w:vAlign w:val="bottom"/>
            <w:tcBorders>
              <w:top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4"/>
          </w:tcPr>
          <w:p>
            <w:pPr>
              <w:ind w:left="1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and restricted stock units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warrants, exercisable at $1.665 per share</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37"/>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Unvested antidilutive stock units excluded from the dilutive effect</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40" w:type="dxa"/>
            <w:vAlign w:val="bottom"/>
            <w:vMerge w:val="continue"/>
          </w:tcPr>
          <w:p>
            <w:pPr>
              <w:spacing w:after="0"/>
              <w:rPr>
                <w:sz w:val="9"/>
                <w:szCs w:val="9"/>
                <w:color w:val="auto"/>
              </w:rPr>
            </w:pPr>
          </w:p>
        </w:tc>
        <w:tc>
          <w:tcPr>
            <w:tcW w:w="15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3,056</w:t>
            </w:r>
          </w:p>
        </w:tc>
        <w:tc>
          <w:tcPr>
            <w:tcW w:w="80" w:type="dxa"/>
            <w:vAlign w:val="bottom"/>
          </w:tcPr>
          <w:p>
            <w:pPr>
              <w:spacing w:after="0"/>
              <w:rPr>
                <w:sz w:val="9"/>
                <w:szCs w:val="9"/>
                <w:color w:val="auto"/>
              </w:rPr>
            </w:pPr>
          </w:p>
        </w:tc>
        <w:tc>
          <w:tcPr>
            <w:tcW w:w="1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1,348</w:t>
            </w:r>
          </w:p>
        </w:tc>
        <w:tc>
          <w:tcPr>
            <w:tcW w:w="80" w:type="dxa"/>
            <w:vAlign w:val="bottom"/>
          </w:tcPr>
          <w:p>
            <w:pPr>
              <w:spacing w:after="0"/>
              <w:rPr>
                <w:sz w:val="9"/>
                <w:szCs w:val="9"/>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RELATED PARTY TRANSACTIONS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Emmett J. Wood, the brother of our Chairman and CEO, has been an employee of the Company since 1996. The amounts paid to this individual as compensation were $93,000 and $605,000 for the three and six months ended June 30, 2022, respectively, and $83,000 and $301,000 for the three and six months ended June 30, 2021, respectively. Additionally, Mr. Wood owned 94,547 and 73,562 shares of the Company’s common stock as of June 30, 2022, and December 31, 2021.</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One of the Company’s directors serves as a consultant to the Company. In February 2022, the director and the Company amended the consulting agreement to provide that the Company would pay the remainder of the director’s consulting fees for 2022 in a fixed price amount in the form of restricted stock units. The Company granted the director 26,091 restricted stock units on February 1, 2022, which vest quarterly in four equal amounts through the end of the year, subject to the director’s continued performance under the consulting agreement. The amounts paid for his consulting services were $25,000 for the three and six months ended June 30, 2022, and $70,500 and $141,000 for the three and six months ended June 30, 2021,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SEGMENT INFORMATION</w:t>
      </w:r>
    </w:p>
    <w:p>
      <w:pPr>
        <w:spacing w:after="0" w:line="17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during the fourth quarter of 2021, as a result of the segment reorganization, our CODM began evaluating, overseeing and managing the financial performance of our operations through two operating segments: Security Solutions and Secure Networks. The segments enable the alignment of our strategies and objectives and provide a framework for timely and rational allocation of resources within the lines of business. We eliminate any inter-segment revenues and expenses upon consolidation.</w:t>
      </w:r>
    </w:p>
    <w:p>
      <w:pPr>
        <w:spacing w:after="0" w:line="109"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8"/>
          <w:szCs w:val="18"/>
          <w:color w:val="auto"/>
        </w:rPr>
        <w:t>The Security Solutions segment is primarily focused on cybersecurity, cloud and identity solutions, and secure messaging through Xacta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Telos Ghost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Telos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Advanced Cyber Analytics, Telos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AMHS and Telos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progress or completion of cloud and/or cybersecurity solutions during the period. The majority of the operating costs relates to labor, material, and overhead costs. Software sales have immaterial operation costs associated with them, thus yielding higher margins. Gross profit and margin are a function of operational efficiency on security solutions and changes in the volume of software sales.</w:t>
      </w:r>
    </w:p>
    <w:p>
      <w:pPr>
        <w:spacing w:after="0" w:line="9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 on individual contracts.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17: Results of Operations by Business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0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46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2022</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June 30, 2021</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2022</w:t>
            </w: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5"/>
          </w:tcPr>
          <w:p>
            <w:pPr>
              <w:ind w:left="10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30,819</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32,236</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57,738</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55,066</w:t>
            </w: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21,408</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54,336</w:t>
            </w:r>
          </w:p>
        </w:tc>
      </w:tr>
      <w:tr>
        <w:trPr>
          <w:trHeight w:val="207"/>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55,791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53,644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105,951</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109,402</w:t>
            </w:r>
          </w:p>
        </w:tc>
      </w:tr>
      <w:tr>
        <w:trPr>
          <w:trHeight w:val="19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w:t>
            </w:r>
          </w:p>
        </w:tc>
        <w:tc>
          <w:tcPr>
            <w:tcW w:w="2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17,188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31,485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26,515</w:t>
            </w: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4,496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5,346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8,315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10,489</w:t>
            </w:r>
          </w:p>
        </w:tc>
      </w:tr>
      <w:tr>
        <w:trPr>
          <w:trHeight w:val="207"/>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profit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37,004</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67,969</w:t>
            </w:r>
          </w:p>
        </w:tc>
      </w:tr>
      <w:tr>
        <w:trPr>
          <w:trHeight w:val="20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(30,965)</w:t>
            </w: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income/(expense)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r>
      <w:tr>
        <w:trPr>
          <w:trHeight w:val="21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(32,375)</w:t>
            </w:r>
          </w:p>
        </w:tc>
      </w:tr>
      <w:tr>
        <w:trPr>
          <w:trHeight w:val="21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34"/>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(27,272)</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 Under U.S. government Cost Accounting Standards, indirect costs including depreciation and amortization expense, are collected in numerous indirect cost pools, which are then collectively allocated out to the Company’s reportable segments based on a representative causal or beneficial relationship of the costs in the pool to the costs in the base. While depreciation and amortization expense is a component of the allocated costs, the allocation process precludes depreciation and amortization expense from being specifically identified by the Company’s individual reportable and operating segments. For this reason, the non-cash items by a reportable and operating segment have not been reported above.</w:t>
      </w:r>
    </w:p>
    <w:p>
      <w:pPr>
        <w:spacing w:after="0" w:line="1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REVISION OF PRIOR YEAR INTERIM FINANCIAL STATEMENTS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third quarter of 2021, the Company identified that stock compensation for a single individual was incorrectly charged to "cost of sales - services" instead of "general and administrative expense." The total amount of stock compensation incorrectly charged to cost of sales was $0.3 million, of which $0.1 million was related to the first quarter of 2021, and $0.2 million related to the second quarter of 2021. The Company corrected the error during the third quarter of 2021.</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third quarter of 2021, the Company identified that the allocation of stock compensation for two of the Company's overhead cost pools was incorrectly charged to "cost of sales" instead of "general and administrative expense" during the second quarter of 2021. The total amount of the allocated stock compensation incorrectly charged to cost of sales was $0.7 million, which the Company corrected during the third quarter of 2021.</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third quarter of 2021, the Company identified $1.1 million in revenue related to the stub period of a newly awarded contract that should have been recognized as income during the second quarter of 2021. The Company initially corrected the error during the third quarter of 2021. Additionally, and related to this contract, in the fourth quarter of 2021 the Company identified $0.3 million of products revenue for the second quarter of 2021 that should be classified in the condensed consolidated statements of operations as services revenue.</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erroneously presented the $2.4 million final payment to fully acquire all membership interest of Telos ID as an operating activity on the condensed consolidated statements of cash flows. The Company corrected the presentation to properly reflect the final payment within financing activities on the consolidated statements of cash flows in the fourth quarter of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18.1: Impact of the Correction to the Condensed Consolidated Statement of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gridSpan w:val="13"/>
          </w:tcPr>
          <w:p>
            <w:pPr>
              <w:jc w:val="right"/>
              <w:ind w:right="680"/>
              <w:spacing w:after="0"/>
              <w:rPr>
                <w:sz w:val="20"/>
                <w:szCs w:val="20"/>
                <w:color w:val="auto"/>
              </w:rPr>
            </w:pPr>
            <w:r>
              <w:rPr>
                <w:rFonts w:ascii="Times New Roman" w:cs="Times New Roman" w:eastAsia="Times New Roman" w:hAnsi="Times New Roman"/>
                <w:sz w:val="16"/>
                <w:szCs w:val="16"/>
                <w:color w:val="auto"/>
              </w:rPr>
              <w:t>For the Three Months Ended June 30, 2021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gridSpan w:val="9"/>
          </w:tcPr>
          <w:p>
            <w:pPr>
              <w:jc w:val="right"/>
              <w:ind w:right="699"/>
              <w:spacing w:after="0"/>
              <w:rPr>
                <w:sz w:val="20"/>
                <w:szCs w:val="20"/>
                <w:color w:val="auto"/>
              </w:rPr>
            </w:pPr>
            <w:r>
              <w:rPr>
                <w:rFonts w:ascii="Times New Roman" w:cs="Times New Roman" w:eastAsia="Times New Roman" w:hAnsi="Times New Roman"/>
                <w:sz w:val="16"/>
                <w:szCs w:val="16"/>
                <w:color w:val="auto"/>
              </w:rPr>
              <w:t>For the Six Months Ended June 30, 2021</w:t>
            </w: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320"/>
              <w:spacing w:after="0" w:line="158" w:lineRule="exact"/>
              <w:rPr>
                <w:sz w:val="20"/>
                <w:szCs w:val="20"/>
                <w:color w:val="auto"/>
              </w:rPr>
            </w:pPr>
            <w:r>
              <w:rPr>
                <w:rFonts w:ascii="Times New Roman" w:cs="Times New Roman" w:eastAsia="Times New Roman" w:hAnsi="Times New Roman"/>
                <w:sz w:val="16"/>
                <w:szCs w:val="16"/>
                <w:color w:val="auto"/>
              </w:rPr>
              <w:t>Previously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Error Correction</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As Adjusted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12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Error Correction</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As Adjusted</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Reported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Reported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8"/>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 services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47,618</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49,003</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101,061</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 products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53,644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109,402</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 services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28,609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68,099</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72,398</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29,635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49,712</w:t>
            </w:r>
          </w:p>
        </w:tc>
        <w:tc>
          <w:tcPr>
            <w:tcW w:w="0" w:type="dxa"/>
            <w:vAlign w:val="bottom"/>
          </w:tcPr>
          <w:p>
            <w:pPr>
              <w:spacing w:after="0"/>
              <w:rPr>
                <w:sz w:val="1"/>
                <w:szCs w:val="1"/>
                <w:color w:val="auto"/>
              </w:rPr>
            </w:pPr>
          </w:p>
        </w:tc>
      </w:tr>
      <w:tr>
        <w:trPr>
          <w:trHeight w:val="165"/>
        </w:trPr>
        <w:tc>
          <w:tcPr>
            <w:tcW w:w="2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39,113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40,005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67,969</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(30,965)</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(32,375)</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(18,729)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0" w:type="dxa"/>
            <w:vAlign w:val="bottom"/>
          </w:tcPr>
          <w:p>
            <w:pPr>
              <w:spacing w:after="0"/>
              <w:rPr>
                <w:sz w:val="1"/>
                <w:szCs w:val="1"/>
                <w:color w:val="auto"/>
              </w:rPr>
            </w:pPr>
          </w:p>
        </w:tc>
      </w:tr>
      <w:tr>
        <w:trPr>
          <w:trHeight w:val="21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Telos Corporation</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(18,729)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loss per share attributable to Telos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(0.28)</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10"/>
        </w:trPr>
        <w:tc>
          <w:tcPr>
            <w:tcW w:w="2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502"/>
        </w:trPr>
        <w:tc>
          <w:tcPr>
            <w:tcW w:w="7240" w:type="dxa"/>
            <w:vAlign w:val="bottom"/>
            <w:tcBorders>
              <w:bottom w:val="single" w:sz="8" w:color="auto"/>
            </w:tcBorders>
            <w:gridSpan w:val="19"/>
          </w:tcPr>
          <w:p>
            <w:pPr>
              <w:ind w:left="20"/>
              <w:spacing w:after="0"/>
              <w:rPr>
                <w:sz w:val="20"/>
                <w:szCs w:val="20"/>
                <w:color w:val="auto"/>
              </w:rPr>
            </w:pPr>
            <w:r>
              <w:rPr>
                <w:rFonts w:ascii="Times New Roman" w:cs="Times New Roman" w:eastAsia="Times New Roman" w:hAnsi="Times New Roman"/>
                <w:sz w:val="16"/>
                <w:szCs w:val="16"/>
                <w:b w:val="1"/>
                <w:bCs w:val="1"/>
                <w:color w:val="auto"/>
              </w:rPr>
              <w:t>Table 18.2: Impact of the Correction to the Condensed Consolidated Statement of Comprehensive Loss</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13"/>
          </w:tcPr>
          <w:p>
            <w:pPr>
              <w:jc w:val="right"/>
              <w:ind w:right="700"/>
              <w:spacing w:after="0"/>
              <w:rPr>
                <w:sz w:val="20"/>
                <w:szCs w:val="20"/>
                <w:color w:val="auto"/>
              </w:rPr>
            </w:pPr>
            <w:r>
              <w:rPr>
                <w:rFonts w:ascii="Times New Roman" w:cs="Times New Roman" w:eastAsia="Times New Roman" w:hAnsi="Times New Roman"/>
                <w:sz w:val="16"/>
                <w:szCs w:val="16"/>
                <w:color w:val="auto"/>
              </w:rPr>
              <w:t>For the Three Months Ended June 30, 2021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9"/>
          </w:tcPr>
          <w:p>
            <w:pPr>
              <w:jc w:val="right"/>
              <w:ind w:right="699"/>
              <w:spacing w:after="0"/>
              <w:rPr>
                <w:sz w:val="20"/>
                <w:szCs w:val="20"/>
                <w:color w:val="auto"/>
              </w:rPr>
            </w:pPr>
            <w:r>
              <w:rPr>
                <w:rFonts w:ascii="Times New Roman" w:cs="Times New Roman" w:eastAsia="Times New Roman" w:hAnsi="Times New Roman"/>
                <w:sz w:val="16"/>
                <w:szCs w:val="16"/>
                <w:color w:val="auto"/>
              </w:rPr>
              <w:t>For the Six Months Ended June 30, 2021</w:t>
            </w: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Error Correction</w:t>
            </w:r>
          </w:p>
        </w:tc>
        <w:tc>
          <w:tcPr>
            <w:tcW w:w="160" w:type="dxa"/>
            <w:vAlign w:val="bottom"/>
            <w:gridSpan w:val="2"/>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As Adjusted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12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Error Correction</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As Adjusted</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Reported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Reported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(18,729)</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Comprehensive loss attributable to</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(18,724)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(17,639)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(32,449)</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Telos Corporation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9"/>
        </w:trPr>
        <w:tc>
          <w:tcPr>
            <w:tcW w:w="6920" w:type="dxa"/>
            <w:vAlign w:val="bottom"/>
            <w:tcBorders>
              <w:bottom w:val="single" w:sz="8" w:color="auto"/>
            </w:tcBorders>
            <w:gridSpan w:val="16"/>
          </w:tcPr>
          <w:p>
            <w:pPr>
              <w:ind w:left="20"/>
              <w:spacing w:after="0"/>
              <w:rPr>
                <w:sz w:val="20"/>
                <w:szCs w:val="20"/>
                <w:color w:val="auto"/>
              </w:rPr>
            </w:pPr>
            <w:r>
              <w:rPr>
                <w:rFonts w:ascii="Times New Roman" w:cs="Times New Roman" w:eastAsia="Times New Roman" w:hAnsi="Times New Roman"/>
                <w:sz w:val="16"/>
                <w:szCs w:val="16"/>
                <w:b w:val="1"/>
                <w:bCs w:val="1"/>
                <w:color w:val="auto"/>
              </w:rPr>
              <w:t>Table 18.3. Impact of the Correction to the Condensed Consolidated Statement of Cash Flows</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13"/>
          </w:tcPr>
          <w:p>
            <w:pPr>
              <w:jc w:val="center"/>
              <w:ind w:left="260"/>
              <w:spacing w:after="0"/>
              <w:rPr>
                <w:sz w:val="20"/>
                <w:szCs w:val="20"/>
                <w:color w:val="auto"/>
              </w:rPr>
            </w:pPr>
            <w:r>
              <w:rPr>
                <w:rFonts w:ascii="Times New Roman" w:cs="Times New Roman" w:eastAsia="Times New Roman" w:hAnsi="Times New Roman"/>
                <w:sz w:val="16"/>
                <w:szCs w:val="16"/>
                <w:color w:val="auto"/>
              </w:rPr>
              <w:t>For the Six Months Ended June 30, 2021</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7"/>
          </w:tcPr>
          <w:p>
            <w:pPr>
              <w:jc w:val="right"/>
              <w:ind w:right="480"/>
              <w:spacing w:after="0"/>
              <w:rPr>
                <w:sz w:val="20"/>
                <w:szCs w:val="20"/>
                <w:color w:val="auto"/>
              </w:rPr>
            </w:pPr>
            <w:r>
              <w:rPr>
                <w:rFonts w:ascii="Times New Roman" w:cs="Times New Roman" w:eastAsia="Times New Roman" w:hAnsi="Times New Roman"/>
                <w:sz w:val="16"/>
                <w:szCs w:val="16"/>
                <w:color w:val="auto"/>
              </w:rPr>
              <w:t>Previously Reported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Error Correction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color w:val="auto"/>
              </w:rPr>
              <w:t>As Adjusted</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0" w:type="dxa"/>
            <w:vAlign w:val="bottom"/>
          </w:tcPr>
          <w:p>
            <w:pPr>
              <w:spacing w:after="0"/>
              <w:rPr>
                <w:sz w:val="1"/>
                <w:szCs w:val="1"/>
                <w:color w:val="auto"/>
              </w:rPr>
            </w:pPr>
          </w:p>
        </w:tc>
      </w:tr>
      <w:tr>
        <w:trPr>
          <w:trHeight w:val="213"/>
        </w:trPr>
        <w:tc>
          <w:tcPr>
            <w:tcW w:w="40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1,351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2,436</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0" w:type="dxa"/>
            <w:vAlign w:val="bottom"/>
          </w:tcPr>
          <w:p>
            <w:pPr>
              <w:spacing w:after="0"/>
              <w:rPr>
                <w:sz w:val="1"/>
                <w:szCs w:val="1"/>
                <w:color w:val="auto"/>
              </w:rPr>
            </w:pPr>
          </w:p>
        </w:tc>
      </w:tr>
      <w:tr>
        <w:trPr>
          <w:trHeight w:val="227"/>
        </w:trPr>
        <w:tc>
          <w:tcPr>
            <w:tcW w:w="560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Distribution to Telos ID Class B member – non-controlling interest</w:t>
            </w:r>
          </w:p>
        </w:tc>
        <w:tc>
          <w:tcPr>
            <w:tcW w:w="14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33,038</w:t>
            </w:r>
          </w:p>
        </w:tc>
        <w:tc>
          <w:tcPr>
            <w:tcW w:w="0" w:type="dxa"/>
            <w:vAlign w:val="bottom"/>
          </w:tcPr>
          <w:p>
            <w:pPr>
              <w:spacing w:after="0"/>
              <w:rPr>
                <w:sz w:val="1"/>
                <w:szCs w:val="1"/>
                <w:color w:val="auto"/>
              </w:rPr>
            </w:pPr>
          </w:p>
        </w:tc>
      </w:tr>
      <w:tr>
        <w:trPr>
          <w:trHeight w:val="496"/>
        </w:trPr>
        <w:tc>
          <w:tcPr>
            <w:tcW w:w="8460" w:type="dxa"/>
            <w:vAlign w:val="bottom"/>
            <w:tcBorders>
              <w:bottom w:val="single" w:sz="8" w:color="auto"/>
            </w:tcBorders>
            <w:gridSpan w:val="21"/>
          </w:tcPr>
          <w:p>
            <w:pPr>
              <w:ind w:left="20"/>
              <w:spacing w:after="0"/>
              <w:rPr>
                <w:sz w:val="20"/>
                <w:szCs w:val="20"/>
                <w:color w:val="auto"/>
              </w:rPr>
            </w:pPr>
            <w:r>
              <w:rPr>
                <w:rFonts w:ascii="Times New Roman" w:cs="Times New Roman" w:eastAsia="Times New Roman" w:hAnsi="Times New Roman"/>
                <w:sz w:val="16"/>
                <w:szCs w:val="16"/>
                <w:b w:val="1"/>
                <w:bCs w:val="1"/>
                <w:color w:val="auto"/>
              </w:rPr>
              <w:t>Table 18.4. Impact of the Correction to the Condensed Consolidated Statement of Changes in Stockholders' Equity</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13"/>
          </w:tcPr>
          <w:p>
            <w:pPr>
              <w:jc w:val="right"/>
              <w:ind w:right="700"/>
              <w:spacing w:after="0"/>
              <w:rPr>
                <w:sz w:val="20"/>
                <w:szCs w:val="20"/>
                <w:color w:val="auto"/>
              </w:rPr>
            </w:pPr>
            <w:r>
              <w:rPr>
                <w:rFonts w:ascii="Times New Roman" w:cs="Times New Roman" w:eastAsia="Times New Roman" w:hAnsi="Times New Roman"/>
                <w:sz w:val="16"/>
                <w:szCs w:val="16"/>
                <w:color w:val="auto"/>
              </w:rPr>
              <w:t>For the Three Months Ended June 30, 2021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9"/>
          </w:tcPr>
          <w:p>
            <w:pPr>
              <w:jc w:val="right"/>
              <w:ind w:right="699"/>
              <w:spacing w:after="0"/>
              <w:rPr>
                <w:sz w:val="20"/>
                <w:szCs w:val="20"/>
                <w:color w:val="auto"/>
              </w:rPr>
            </w:pPr>
            <w:r>
              <w:rPr>
                <w:rFonts w:ascii="Times New Roman" w:cs="Times New Roman" w:eastAsia="Times New Roman" w:hAnsi="Times New Roman"/>
                <w:sz w:val="16"/>
                <w:szCs w:val="16"/>
                <w:color w:val="auto"/>
              </w:rPr>
              <w:t>For the Six Months Ended June 30, 2021</w:t>
            </w: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Error Correction</w:t>
            </w:r>
          </w:p>
        </w:tc>
        <w:tc>
          <w:tcPr>
            <w:tcW w:w="160" w:type="dxa"/>
            <w:vAlign w:val="bottom"/>
            <w:gridSpan w:val="2"/>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As Adjusted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12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Error Correction</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As Adjusted</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Reported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Reported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3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(18,729)</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(176,265)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(176,265)</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165,785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COMMITMENT AND CONTINGENCIES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February 7, 2022, Telos and certain of its current and former officers were named as defendants in a lawsuit filed in the United States District Court for the Eastern District of Virginia. In the complaint, the plaintiffs, who purport to represent a class of purchasers of Telos common stock between November 19, 2020, and March 16, 2022, allege that the defendants violated securities laws by failing to disclose delays relating to the launch of certain contracts between Telos and the Transportation Security Administration ("TSA") and the Centers for Medicare and Medicaid Services and to take into account those delays when providing a financial forecast for the Company’s 2021 performance. On June 15, 2022, the Plaintiffs filed a consolidated complaint which added claims (i) concerning Telos' disclosure of revenue projections for these contracts, (ii) against the directors of Telos at the time of its initial public offering, and (iii) pursuant to Sections 11 and 15 of the Securities Act of 1933. The Company is vigorously defending the case, but given the early stage, although a loss may reasonably be possible, the Company is unable to predict the likelihood of success of plaintiffs' claims or estimate a loss or range of loss. As a result, no material liability has been recorded as of June 30, 2022 and December, 31, 2021, respectively.</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the Company is a party to litigation arising in the ordinary course of business. In the opinion of management, while the results of such litigation cannot be predicted with any reasonable degree of certainty, the final outcome of such known matters will not, based upon all available information, have a material adverse effect on the Company's unaudited consolidated financial position, results of operations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 Government Contracts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SUPPLEMENTAL CASH FLOW INFORMATION</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20.1: Details of Cash, Cash Equivalent,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2021</w:t>
            </w:r>
          </w:p>
        </w:tc>
      </w:tr>
      <w:tr>
        <w:trPr>
          <w:trHeight w:val="216"/>
        </w:trPr>
        <w:tc>
          <w:tcPr>
            <w:tcW w:w="7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126,562</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Restricted cash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122,720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consists of a commercial money market account held as a deposit on the Ashburn lease and is recorded under "Other assets" on the Consolidated Balance Sheets</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20.2: Supplemental Cash Flow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3800" w:type="dxa"/>
            <w:vAlign w:val="bottom"/>
            <w:tcBorders>
              <w:top w:val="single" w:sz="8" w:color="auto"/>
              <w:bottom w:val="single" w:sz="8" w:color="auto"/>
            </w:tcBorders>
            <w:gridSpan w:val="4"/>
          </w:tcPr>
          <w:p>
            <w:pPr>
              <w:jc w:val="center"/>
              <w:ind w:left="359"/>
              <w:spacing w:after="0"/>
              <w:rPr>
                <w:sz w:val="20"/>
                <w:szCs w:val="20"/>
                <w:color w:val="auto"/>
              </w:rPr>
            </w:pPr>
            <w:r>
              <w:rPr>
                <w:rFonts w:ascii="Times New Roman" w:cs="Times New Roman" w:eastAsia="Times New Roman" w:hAnsi="Times New Roman"/>
                <w:sz w:val="16"/>
                <w:szCs w:val="16"/>
                <w:color w:val="auto"/>
              </w:rPr>
              <w:t>For the Six Months Ended</w:t>
            </w:r>
          </w:p>
        </w:tc>
        <w:tc>
          <w:tcPr>
            <w:tcW w:w="440" w:type="dxa"/>
            <w:vAlign w:val="bottom"/>
            <w:tcBorders>
              <w:top w:val="single" w:sz="8" w:color="auto"/>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June 30, 2022</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June 30, 2021</w:t>
            </w:r>
          </w:p>
        </w:tc>
        <w:tc>
          <w:tcPr>
            <w:tcW w:w="44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0" w:type="dxa"/>
            <w:vAlign w:val="bottom"/>
            <w:gridSpan w:val="3"/>
          </w:tcPr>
          <w:p>
            <w:pPr>
              <w:jc w:val="center"/>
              <w:ind w:right="10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8"/>
                <w:szCs w:val="18"/>
                <w:color w:val="auto"/>
              </w:rPr>
            </w:pPr>
          </w:p>
        </w:tc>
      </w:tr>
      <w:tr>
        <w:trPr>
          <w:trHeight w:val="23"/>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9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paid during the period for:</w:t>
            </w:r>
          </w:p>
        </w:tc>
        <w:tc>
          <w:tcPr>
            <w:tcW w:w="1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4900" w:type="dxa"/>
            <w:vAlign w:val="bottom"/>
            <w:tcBorders>
              <w:top w:val="single" w:sz="8" w:color="CCEEFF"/>
            </w:tcBorders>
            <w:gridSpan w:val="2"/>
          </w:tcPr>
          <w:p>
            <w:pPr>
              <w:spacing w:after="0"/>
              <w:rPr>
                <w:sz w:val="18"/>
                <w:szCs w:val="18"/>
                <w:color w:val="auto"/>
              </w:rPr>
            </w:pPr>
          </w:p>
        </w:tc>
        <w:tc>
          <w:tcPr>
            <w:tcW w:w="1600" w:type="dxa"/>
            <w:vAlign w:val="bottom"/>
            <w:tcBorders>
              <w:top w:val="single" w:sz="8" w:color="CCEEFF"/>
            </w:tcBorders>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175"/>
        </w:trPr>
        <w:tc>
          <w:tcPr>
            <w:tcW w:w="20" w:type="dxa"/>
            <w:vAlign w:val="bottom"/>
          </w:tcPr>
          <w:p>
            <w:pPr>
              <w:spacing w:after="0"/>
              <w:rPr>
                <w:sz w:val="15"/>
                <w:szCs w:val="15"/>
                <w:color w:val="auto"/>
              </w:rPr>
            </w:pPr>
          </w:p>
        </w:tc>
        <w:tc>
          <w:tcPr>
            <w:tcW w:w="69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ROU assets obtained in exchange for operating lease liabilities</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13"/>
        </w:trPr>
        <w:tc>
          <w:tcPr>
            <w:tcW w:w="20" w:type="dxa"/>
            <w:vAlign w:val="bottom"/>
          </w:tcPr>
          <w:p>
            <w:pPr>
              <w:spacing w:after="0"/>
              <w:rPr>
                <w:sz w:val="18"/>
                <w:szCs w:val="18"/>
                <w:color w:val="auto"/>
              </w:rPr>
            </w:pPr>
          </w:p>
        </w:tc>
        <w:tc>
          <w:tcPr>
            <w:tcW w:w="69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Capital expenditure activity in accounts payable and other accrued liabilities</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repurchase under SRP</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ind w:right="380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For this purpose, any statements contained herein that are not statements of historical fact may be deemed to be forward-looking statements. Without limiting the foregoing, the words “believes,” “anticipates,” “plans,” “expects” and similar expressions are intended to identify forward-looking statements. There are a number of important factors that could cause the Company’s actual results to differ materially from those indicated by such forward-looking statements. These factors include, without limitation, those set forth in the risk factors section included in the Company’s Form 10-K for the year ended December 31, 2021, as filed with the SEC.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Business Overview</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mission is to protect our customers’ people, systems, and vital information assets with offerings for cybersecurity, cloud security, and enterprise security. In the current global environment, our mission is more critical than ever. The emergence of each new information and communications technology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1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 Our security solutions span across the following domains: cybersecurity, cloud security, and enterprise security.</w:t>
      </w:r>
    </w:p>
    <w:p>
      <w:pPr>
        <w:spacing w:after="0" w:line="12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As a result of the change in our organization and leadership structure in the fourth quarter of 2021, we established and operate in two reportable segments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Security Solutions and Secure Networks.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Solutions</w:t>
      </w:r>
    </w:p>
    <w:p>
      <w:pPr>
        <w:spacing w:after="0" w:line="175"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Security Solutions focuses on cybersecurity, cloud and identity solutions, which includes Information Assurance, Secure Communications, and Telos ID. Cybersecurity solutions help our customers ensure the ongoing security, integrity, and compliance of their on-premises and related cloud-based systems by reducing threats and vulnerabilities to foil cyber adversaries before they can attack. Our security engineers and subject matter experts assess our customers’ cybersecurity environments and design, engineer, and operate systems needed to strengthen their cybersecurity posture. Our cloud solutions leverage the specialized skills and experience needed to help our customers plan, engineer, execute and accelerate secure cloud migrations while assuring ongoing management and security of enterprise cloud technology environments. Our identity solutions deliver digital identity, biometric, and nationwide enrollment services and address Know Your Customer ("KYC") and identity management challenges for enterprises working within regulated and critical infrastructure environments.</w:t>
      </w:r>
    </w:p>
    <w:p>
      <w:pPr>
        <w:spacing w:after="0" w:line="13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Information Assurance</w:t>
      </w:r>
    </w:p>
    <w:p>
      <w:pPr>
        <w:spacing w:after="0" w:line="173" w:lineRule="exact"/>
        <w:rPr>
          <w:rFonts w:ascii="Times New Roman" w:cs="Times New Roman" w:eastAsia="Times New Roman" w:hAnsi="Times New Roman"/>
          <w:sz w:val="18"/>
          <w:szCs w:val="18"/>
          <w:color w:val="auto"/>
        </w:rPr>
      </w:pPr>
    </w:p>
    <w:p>
      <w:pPr>
        <w:ind w:left="1300" w:right="200" w:hanging="320"/>
        <w:spacing w:after="0" w:line="261" w:lineRule="auto"/>
        <w:tabs>
          <w:tab w:leader="none" w:pos="1296" w:val="left"/>
        </w:tabs>
        <w:numPr>
          <w:ilvl w:val="1"/>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Xacta</w:t>
      </w:r>
      <w:r>
        <w:rPr>
          <w:rFonts w:ascii="Times New Roman" w:cs="Times New Roman" w:eastAsia="Times New Roman" w:hAnsi="Times New Roman"/>
          <w:sz w:val="18"/>
          <w:szCs w:val="18"/>
          <w:color w:val="auto"/>
        </w:rPr>
        <w:t>: a premier platform for enterprise cyber risk management and security compliance automation, delivering security awareness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in the cloud, on-premises, and in hybrid and multi-cloud environments. Xacta delivers automated cyber risk and compliance management solutions to large commercial and government enterprises. Across the U.S. federal government, Xacta is the de facto commercial cyber risk and compliance management solution.</w:t>
      </w:r>
    </w:p>
    <w:p>
      <w:pPr>
        <w:spacing w:after="0" w:line="125" w:lineRule="exact"/>
        <w:rPr>
          <w:rFonts w:ascii="Times New Roman" w:cs="Times New Roman" w:eastAsia="Times New Roman" w:hAnsi="Times New Roman"/>
          <w:sz w:val="18"/>
          <w:szCs w:val="18"/>
          <w:b w:val="1"/>
          <w:bCs w:val="1"/>
          <w:i w:val="1"/>
          <w:iCs w:val="1"/>
          <w:color w:val="auto"/>
        </w:rPr>
      </w:pPr>
    </w:p>
    <w:p>
      <w:pPr>
        <w:ind w:left="1300" w:right="60" w:hanging="320"/>
        <w:spacing w:after="0" w:line="261"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Telos Advanced Cyber Analytics ("ACA")</w:t>
      </w:r>
      <w:r>
        <w:rPr>
          <w:rFonts w:ascii="Times New Roman" w:cs="Times New Roman" w:eastAsia="Times New Roman" w:hAnsi="Times New Roman"/>
          <w:sz w:val="18"/>
          <w:szCs w:val="18"/>
          <w:color w:val="auto"/>
        </w:rPr>
        <w:t>: a solution-as-a-service that delivers timely, accurate, actionable intelligence at speed and scale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illuminate threats to enterprise assets. It enables organizations to detect malicious activity earlier and to uncover and identify previously unknown attacks and new malicious behavior. Further, it assists in the attribution of events and provides sophisticated and comprehensive analytics without expensive overhead.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Secure Communications:</w:t>
      </w:r>
    </w:p>
    <w:p>
      <w:pPr>
        <w:spacing w:after="0" w:line="173" w:lineRule="exact"/>
        <w:rPr>
          <w:rFonts w:ascii="Times New Roman" w:cs="Times New Roman" w:eastAsia="Times New Roman" w:hAnsi="Times New Roman"/>
          <w:sz w:val="18"/>
          <w:szCs w:val="18"/>
          <w:b w:val="1"/>
          <w:bCs w:val="1"/>
          <w:i w:val="1"/>
          <w:iCs w:val="1"/>
          <w:color w:val="auto"/>
        </w:rPr>
      </w:pPr>
    </w:p>
    <w:p>
      <w:pPr>
        <w:ind w:left="1300" w:right="320" w:hanging="401"/>
        <w:spacing w:after="0" w:line="258" w:lineRule="auto"/>
        <w:tabs>
          <w:tab w:leader="none" w:pos="1296" w:val="left"/>
        </w:tabs>
        <w:numPr>
          <w:ilvl w:val="1"/>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Telos Ghost: </w:t>
      </w:r>
      <w:r>
        <w:rPr>
          <w:rFonts w:ascii="Times New Roman" w:cs="Times New Roman" w:eastAsia="Times New Roman" w:hAnsi="Times New Roman"/>
          <w:sz w:val="18"/>
          <w:szCs w:val="18"/>
          <w:color w:val="auto"/>
        </w:rPr>
        <w:t>a virtual obfuscation network-as-a-service with encryption and managed attribution capabilities to ensure the safety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129" w:lineRule="exact"/>
        <w:rPr>
          <w:rFonts w:ascii="Times New Roman" w:cs="Times New Roman" w:eastAsia="Times New Roman" w:hAnsi="Times New Roman"/>
          <w:sz w:val="18"/>
          <w:szCs w:val="18"/>
          <w:b w:val="1"/>
          <w:bCs w:val="1"/>
          <w:i w:val="1"/>
          <w:iCs w:val="1"/>
          <w:color w:val="auto"/>
        </w:rPr>
      </w:pPr>
    </w:p>
    <w:p>
      <w:pPr>
        <w:ind w:left="1300" w:hanging="401"/>
        <w:spacing w:after="0" w:line="258"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Telos Automated Message Handling System (“AMHS”): </w:t>
      </w:r>
      <w:r>
        <w:rPr>
          <w:rFonts w:ascii="Times New Roman" w:cs="Times New Roman" w:eastAsia="Times New Roman" w:hAnsi="Times New Roman"/>
          <w:sz w:val="18"/>
          <w:szCs w:val="18"/>
          <w:color w:val="auto"/>
        </w:rPr>
        <w:t>web-based organizational message distribution and management for mission-critical communications; the recognized gold standard for organizational messaging in the U.S. government. Telos AMHS is used by military field operatives for critical communications on the battlefield and is the only web-based solution for assured messaging and directory services using the Defense Information System Agency's Organizational Messaging Service and its specialized communications protocols.</w:t>
      </w:r>
    </w:p>
    <w:p>
      <w:pPr>
        <w:spacing w:after="0" w:line="127" w:lineRule="exact"/>
        <w:rPr>
          <w:rFonts w:ascii="Times New Roman" w:cs="Times New Roman" w:eastAsia="Times New Roman" w:hAnsi="Times New Roman"/>
          <w:sz w:val="18"/>
          <w:szCs w:val="18"/>
          <w:color w:val="auto"/>
        </w:rPr>
      </w:pPr>
    </w:p>
    <w:p>
      <w:pPr>
        <w:ind w:left="660" w:hanging="328"/>
        <w:spacing w:after="0" w:line="22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Telos ID: </w:t>
      </w:r>
      <w:r>
        <w:rPr>
          <w:rFonts w:ascii="Times New Roman" w:cs="Times New Roman" w:eastAsia="Times New Roman" w:hAnsi="Times New Roman"/>
          <w:sz w:val="18"/>
          <w:szCs w:val="18"/>
          <w:color w:val="auto"/>
        </w:rPr>
        <w:t>offering identity trust and digital services through IDTrust360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an enterprise-class digital identity risk platform for extending flexible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hybrid cloud identity services enabled for mobile and enterprise environments and custom digital identity services that mitigate threats through the integration of advanced technologies that fuse biometrics, credentials, and other identity-centric data used to continuously monitor trust. In April 2021, we announced the acquisition of the assets of DFT, whose ONYX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touchless mobile fingerprint software is being integrated with the IDTrust360 platform. We maintain government certifications and designations that distinguish Telos ID, including TSA PreCheck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enrollment provider, Designated Aviation Channeling provider, FBI-approved Channeler, and Financial Industry Regulatory Authority Electronic Fingerprint Submission provider.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 Networks</w:t>
      </w:r>
    </w:p>
    <w:p>
      <w:pPr>
        <w:spacing w:after="0" w:line="17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Secure Networks focuses on enterprise security. Secure Networks provides secure networking architectures and solutions to the DoD, the federal Intelligence Community and other federal government agencies. Our net-centric solutions enable collaboration and connectivity in order to increase efficiency, reduce costs, and improve mission outcomes. We provide an extensive range of wired and wireless, fixed and deployable, classified and unclassified voice, data, and video secure network solutions and services to support defense and civilian missions. Capabilities include network design, operations and sustainment; system integration and engineering; network security and compliance; deployable comms; innovation and digital transformation; service desk; defensive cyber operations; and program management.</w:t>
      </w:r>
    </w:p>
    <w:p>
      <w:pPr>
        <w:spacing w:after="0" w:line="129" w:lineRule="exact"/>
        <w:rPr>
          <w:sz w:val="20"/>
          <w:szCs w:val="20"/>
          <w:color w:val="auto"/>
        </w:rPr>
      </w:pPr>
    </w:p>
    <w:p>
      <w:pPr>
        <w:jc w:val="both"/>
        <w:ind w:left="660" w:right="440" w:hanging="328"/>
        <w:spacing w:after="0" w:line="268" w:lineRule="auto"/>
        <w:tabs>
          <w:tab w:leader="none" w:pos="6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Secure Mobility: </w:t>
      </w:r>
      <w:r>
        <w:rPr>
          <w:rFonts w:ascii="Times New Roman" w:cs="Times New Roman" w:eastAsia="Times New Roman" w:hAnsi="Times New Roman"/>
          <w:sz w:val="18"/>
          <w:szCs w:val="18"/>
          <w:color w:val="auto"/>
        </w:rPr>
        <w:t>solutions for business and government that enable remote work and minimize operational and security concerns across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beyond the enterprise. Our secure mobility team brings credentials to every engagement, supplying deep expertise and experience as well as highly desirable clearances and industry-recognized certifications for network engineering, mobility, and security.</w:t>
      </w:r>
    </w:p>
    <w:p>
      <w:pPr>
        <w:spacing w:after="0" w:line="116" w:lineRule="exact"/>
        <w:rPr>
          <w:rFonts w:ascii="Times New Roman" w:cs="Times New Roman" w:eastAsia="Times New Roman" w:hAnsi="Times New Roman"/>
          <w:sz w:val="18"/>
          <w:szCs w:val="18"/>
          <w:b w:val="1"/>
          <w:bCs w:val="1"/>
          <w:color w:val="auto"/>
        </w:rPr>
      </w:pPr>
    </w:p>
    <w:p>
      <w:pPr>
        <w:ind w:left="660" w:right="440" w:hanging="328"/>
        <w:spacing w:after="0" w:line="291" w:lineRule="auto"/>
        <w:tabs>
          <w:tab w:leader="none" w:pos="655"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Network Management and Defense: </w:t>
      </w:r>
      <w:r>
        <w:rPr>
          <w:rFonts w:ascii="Times New Roman" w:cs="Times New Roman" w:eastAsia="Times New Roman" w:hAnsi="Times New Roman"/>
          <w:sz w:val="17"/>
          <w:szCs w:val="17"/>
          <w:color w:val="auto"/>
        </w:rPr>
        <w:t>services for operating, administrating, and defending complex enterprise networks and defensive cyber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Our diverse portfolio of capabilities such as defensive cyber operations and robotic process automation addresses common and uncommon requirements in many industries and disciplines, ranging from the military and government agencies to Fortune 500 companies.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business performance continues to be heavily affected by the overall level of U.S. government spending and the alignment of our solutions with the priorities of the U.S. government. U.S. government spending and contracts continue to be affected by the federal budget and appropriations process and related legislation.</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Congress reached an agreement in March 2022 on fiscal year ("FY") 2022 appropriations legislation, which allows our federal customers to finally operate under more normal conditions and with updated funding levels through the remainder of FY 2022. Of note, the final FY 2022 appropriations bill provided $728.5 billion for the DoD and related activities. This amount is $32.5 billion more than the FY 2021 enacted level, and is an increase above the level proposed last spring by President Biden for FY 2022. This total does not include emergency supplemental appropriations enacted to deal with impacts from the Ukraine conflict, which further increased total defense spending this year.</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the current political climate in Washington, it is highly questionable whether Congress will be able to enact FY 2023 appropriations legislation prior to the start of the fiscal year. This could again result in the need to fund much, if not all, of the federal government via continuing resolution(s) for an unknown length of time, or else face a government shutdown. Such delays in finalizing FY 2023 appropriations could, in turn, impact future planning by Telos and our government customers.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President’s FY 2023 budget request, which was released on March 25, 2022, calls for approximately 4% more in defense spending than was provided for FY 2022. However, this proposed FY 2023 budget was developed prior to Russia’s invasion of Ukraine and did not include expenditures related to that ongoing event. The proposed FY 2023 budget also assumes an inflation rate for DoD of 2.2%, which Pentagon officials subsequently acknowledged will need to be adjusted higher. As such, there is significant congressional support for boosting defense spending further to account for these factors and other needs. The House and Senate versions of the FY 2023 National Defense Authorization Act reflect this, authorizing appropriations of $37 billion (House) and $45 billion (Senate) more than proposed by the President’s budget. Actual final appropriations levels for national defense will not be determined until this fall, at the earliest.</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proposed FY 2023 budget also calls for an increase in federal civilian agency (non-defense) cybersecurity funding of nearly 10.7%. The Biden Administration says it is seeking to increase investments across the various civilian federal agencies to help align them to the cybersecurity practices and priorities outlined in the President’s Executive Order 14028, “Improving the Nation’s Cybersecurity.” The proposed budget says this specifically includes providing funding to facilitate the ongoing transition to a Zero Trust approach to cybersecurity, per the direction of President Biden's May 12, 2021 Executive Order on "Improving the Nation's Cybersecurity." Also in accordance with that order, various federal departments and agencies have been taking steps to enhance public sector and critical infrastructure cybersecurity and to accelerate the adoption of Zero Trust architecture throughout government, and the proposed budget would further support those efforts. Congress has just begun work on the FY 2023 appropriations bills for civilian agencies, so it is unknown what the final funding levels will be for civilian agency cybersecurity.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Landscape</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Over the past few years, continued and increasingly damaging ransomware and other cyberattacks against federal, state and local governments, the K-12 and higher education sectors, and private sector enterprises have resulted in intensified efforts to better defend against such attacks. The growing demand for these solutions continues to provide Telos with the privilege of offering our expertise to protect these vitally important organizations.</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Ransomware remains arguably the most severe cyber threat to enterprises in the commercial and state, local government and education sectors. Our Xacta offering empowers these organizations and institutions to maintain a strong cyber risk posture to minimize the risk of ransomware gaining a foothold in their IT environment. Our Telos ACA offering provides real- and near-real-time intelligence into known and unknown threats to give organizations advanced warning of ransomware and other threats. Should ransomware get loose in the enterprise network, Telos Ghost, our virtual obfuscation network offering, can hide vital resources from view to prevent the payload from reaching them.</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Critical infrastructure and industrial internet of things ("IoT") are among the categories at greatest risk of cyberattacks. Energy, utilities, transportation, and food supply were among the critical infrastructure sectors that experienced high-profile breaches or ransomware attacks over the past year. Telos Ghost can hide critical IoT and industrial control systems from the public internet to keep them from being compromised. Telos Ghost can also cordon off financial data, medical records, intellectual property, and other crown-jewel assets from visibility or accessibility by adversaries.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Telos Ghost complements Zero Trust security, creating an additional layer of defense against intruders by hiding critical resources and users in an anonymous undiscoverable network. As noted above, it protects the crown-jewel assets of critical infrastructure from unauthorized access. Xacta streamlines and automates the critical processes of the leading cybersecurity standards and frameworks, particularly the Federal Risk and Authorization Management Program ("FedRAMP"), allowing all process participants to collaborate within the same Xacta application to attain a FedRAMP Authority to Operate. Xacta is also a trailblazer in adopting the Open Security Controls Assessment Language, a multi-format framework adopted by FedRAMP to allow security professionals to automate security assessment, auditing, and continuous monitoring processes.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Cyber Incident Reporting for Critical Infrastructure Act of 2022, which was signed into law on March 15, 2022, will require critical infrastructure owners and operators as well as federal agencies to report to the Cybersecurity &amp; Infrastructure Security Agency significant cyber incidents within 72 hours and any ransomware payments made within 24 hours. Telos believes that having to make such disclosures will make organizations even more sensitive to boosting their cybersecurity posture; our Xacta solution will help illuminate their risk profile and our Telos ACA solution will illuminate threats so that they can better understand the issues and address them proactively.</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Securities and Exchange Commission has also proposed new, mandatory cyber risk management and cybersecurity incident reporting requirements for publicly traded companies. Telos believes this will ensure companies take steps to employ a sound cyber risk management strategy based on recognized best practices, such as the National Institute of Standards and Technology Cybersecurity Framework, and Telos solutions will support this.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Government mandates and initiatives to assure stronger security in highly regulated industries, as noted above, also lead to opportunities for Xacta. An update to the research study Telos conducted last year reveals that audit fatigue continues to burden these organizations, with automation solutions being recognized as the most effective remedy for the many repetitive and redundant tasks that security compliance requires. Xacta streamlines, harmonizes, and automates the security controls and processes that comprise the leading cybersecurity standards and frameworks, in on-premises, cloud, hybrid, and multi-cloud environments.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Despite the pandemic’s resultant shift to teleworking by federal employees and contractors, the government successfully maintained the continuity of services, as did Telos. As the government has developed and implemented its reopening process, and made adjustments based on changing circumstances, officials have said they will seek to continue to maximize the use of teleworking by federal employees. This stance has continued during subsequent surges of COVID-19 variants. As such, with much of the business of government still being conducted by federal employees working remotely through the use of information technology systems, we believe there will continue to be a need on the part of the government for the types of solutions and services provided by Telos.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We develop our annual budgeted revenue by estimating for the upcoming year our continuing business from existing customers and active contracts. We consider backlog, both funded and unfunded (as explained below), other expected annual renewals, and expansion planned by our current customers.</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a basis of one year or less and, as a result, funded backlog is generally expected to be earned within one year from any point in time, whereas unfunded backlog is expected to be earned over a longer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1: Results of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For the Six Months Ended</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June 30, 2021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5"/>
          </w:tcPr>
          <w:p>
            <w:pPr>
              <w:ind w:left="10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55,791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53,644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105,951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109,402</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34,862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31,110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66,151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72,398</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39,800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37,004</w:t>
            </w:r>
          </w:p>
        </w:tc>
        <w:tc>
          <w:tcPr>
            <w:tcW w:w="0" w:type="dxa"/>
            <w:vAlign w:val="bottom"/>
          </w:tcPr>
          <w:p>
            <w:pPr>
              <w:spacing w:after="0"/>
              <w:rPr>
                <w:sz w:val="1"/>
                <w:szCs w:val="1"/>
                <w:color w:val="auto"/>
              </w:rPr>
            </w:pPr>
          </w:p>
        </w:tc>
      </w:tr>
      <w:tr>
        <w:trPr>
          <w:trHeight w:val="215"/>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Gross margin</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37.5 %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42.0 %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37.6 %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33.8 %</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5,043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8,869</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9,388</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23,865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29,635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46,788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49,712</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selling, general and administrative expenses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33,095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40,005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66,700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67,969</w:t>
            </w:r>
          </w:p>
        </w:tc>
        <w:tc>
          <w:tcPr>
            <w:tcW w:w="0" w:type="dxa"/>
            <w:vAlign w:val="bottom"/>
          </w:tcPr>
          <w:p>
            <w:pPr>
              <w:spacing w:after="0"/>
              <w:rPr>
                <w:sz w:val="1"/>
                <w:szCs w:val="1"/>
                <w:color w:val="auto"/>
              </w:rPr>
            </w:pPr>
          </w:p>
        </w:tc>
      </w:tr>
      <w:tr>
        <w:trPr>
          <w:trHeight w:val="162"/>
        </w:trPr>
        <w:tc>
          <w:tcPr>
            <w:tcW w:w="4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 as percentage of</w:t>
            </w: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59.3 %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74.6 %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63.0 %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62.1 %</w:t>
            </w: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(12,166)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(26,900)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(30,965)</w:t>
            </w: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income/(expense)</w:t>
            </w:r>
          </w:p>
        </w:tc>
        <w:tc>
          <w:tcPr>
            <w:tcW w:w="24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(1,022)</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(17,631)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(27,147)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(32,375)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(12,289)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(17,644)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(27,272)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(32,422)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Results</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generate revenue from the delivery of product and services to our customers. The discussion of material changes in our net revenue should be read in conjunction with the subsequent discussion of changes in our consolidated cost of sales and our business segment results of operations. Cost of sales, for both services and products, consists of material, labor, subcontracting costs and an allocation of indirect costs.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Compared with Three Months Ended June 30, 2021</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increased by 4.0% to $55.8 million for the second quarter of 2022, from $53.6 million for the same period in 2021. Services revenue increased by $1.3 million, or 2.6%, during the second quarter of 2022 compared to the same period in 2021. The increase in services revenue was primarily due to sales offerings within Secure Networks. Product revenue increased $0.9 million, or 19.0%, during the second quarter of 2022 compared to the same period in 2021. The increase in product revenue was primarily due to various product delivery within Security Solutions. Due to the various solution offerings within the business groups, sales may vary from period to period according to the solution mix and timing of deliverables for a particular period.</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Cost of sales increased by 12.1% to $34.9 million for the second quarter of 2022, from $31.1 million for the same period in 2021, as a result of increased revenue. The change in cost of sales is directly driven by the change in mix and nature of the programs. Cost of sales for Security Solutions decreased to $14.4 million for the second quarter of 2022 from $15.0 million for the same period in 2021. While the cost of sales decreased between periods, the cost of sales as a percentage of revenue remained at 46.7%. Cost of sales for Secure Networks increased to $20.5 million for the second quarter of 2022 from $16.1 million for the same period in 2021. Likewise, cost of sales as a percentage of revenue increased to 82.0% from 75.0%.</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Gross profit decreased by 7.1% to $20.9 million for the second quarter of 2022 from $22.5 million for the same period in 2021. Gross margin decreased to 37.5% for the second quarter of 2022 from 42.0% for the same period in 2021, due to various changes in the mix of contracts within each of Security Solutions and Secure Networks, as well as the relative weighting of revenue between these segments.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 decreased by 17.3% to $33.1 million for the second quarter of 2022, from $40.0 million for the same period in 2021, primarily attributable to a decrease in stock-based compensation by $6.6 million, offset by an increase in labor costs by $0.5 million.</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loss was $12.2 million for the second quarter of 2022, compared to $17.5 million for the same period in 2021, primarily due to a decrease in SG&amp;A expenses partially offset by a decrease in gross profit in the second quarter of 2022 as mentioned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interest expense, and other income and expenses between the comparable periods.</w:t>
      </w:r>
    </w:p>
    <w:p>
      <w:pPr>
        <w:spacing w:after="0" w:line="171" w:lineRule="exact"/>
        <w:rPr>
          <w:sz w:val="20"/>
          <w:szCs w:val="20"/>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The slight increase in the income tax provision for the second quarter of 2022 compared to the same period in 2021 is based on the estimated annual effective tax rate applied to the pretax loss incurred for the quarter plus discrete tax items, based on our expectation of pretax loss for the fiscal year.</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loss was $12.3 million for the second quarter of 2022, compared to $17.6 million for the same period in 2021, primarily due to a decrease in SG&amp;A expenses partially offset by a decrease in gross profit in the second quarter of 2022 as mentioned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Compared with Six Months Ended June 30, 2021</w:t>
      </w:r>
    </w:p>
    <w:p>
      <w:pPr>
        <w:spacing w:after="0" w:line="17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Revenue decreased by 3.2% to $106.0 million during the six months ended June 30, 2022, from $109.4 million for the same period in 2021. Services revenue decreased by $2.7 million, or 2.7%, during the six months ended June 30, 2022 compared to the same period in 2021. Product revenue also decreased by $0.8 million, or 9.2%, during the six months ended June 30, 2022 compared to the same period in 2021. The decrease in revenue was attributable to the impact of certain projects nearing their completion within Secure Networks.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Cost of sales decreased by 8.6% to $66.2 million for the six months ended June 30, 2022, from $72.4 million for the same period in 2021. Cost of sales for Security Solutions decreased to $26.3 million for the six months ended June 30, 2022, from $28.6 million for the same period in 2021. In addition, cost of sales as a percentage of revenue decreased to 45.5% from 51.8%. Cost of sales for Secure Networks decreased to $39.9 million for the six months ended June 30, 2022 from $43.8 million for the same period in 2021. While the costs of sales decreased between periods, the cost of sales as a percentage of revenue increased to 82.8% from 80.7%. The overall decrease in cost of sales was due to various changes in the mix of contracts within each of Security Solutions and Secure Networks, and winding down of lower-margin projects.</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Gross profit increased by 7.6% to $39.8 million for the six months ended June 30, 2022, from $37.0 million for the same period in 2021. Gross margin increased to 37.6% for the six months ended June 30, 2022 from 33.8% for the same period in 2021, due to a change in the mix of contracts within each of Security Solutions and Secure Networks, as well as the relative weighting of revenue between Security Solutions and Secure Networks.</w:t>
      </w:r>
    </w:p>
    <w:p>
      <w:pPr>
        <w:spacing w:after="0" w:line="12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SG&amp;A expense decreased by 1.9% to $66.7 million for the six months ended June 30, 2022, from $68.0 million for the same period in 2021, primarily attributable to a decrease in stock-based compensation by $7.0 million, offset by the increases in labor costs by $4.8 million and outside services by $0.9 million.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Operating loss was $26.9 million for the six months ended June 30, 2022, compared to $31.0 million for the same period in 2021, primarily due to the increase in gross profit and decrease in SG&amp;A expenses in 2022 compared with the same period in the prior year as mentioned above.</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expense of $1.0 million for the six months ended June 30, 2021, was attributable to an accrual for a litigation settlement agreement, with no similar cost in 2022. There was no significant change in interest expense between comparable periods.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slight increase in the income tax provision for the six months ended June 30, 2022 compared to the same period in 2021 is based on the estimated annual effective tax rate applied to the pretax loss incurred for the six months period plus discrete tax items, based on our expectation of pretax loss for the fiscal year.</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loss was $27.3 million for the six months ended June 30, 2022, compared to $32.4 million for the same period in 2021, primarily attributable to the increase in gross profit and decreases in certain SG&amp;A and other expenses as mentioned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accounting policies of each business segment are the same as those followed by the Company as a whole. Management evaluates business segment performance based on gross profit.</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2: Security Solutions Segment - Financial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0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47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June 30, 2022</w:t>
            </w: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June 30, 2022</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5"/>
          </w:tcPr>
          <w:p>
            <w:pPr>
              <w:ind w:left="9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30,819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32,236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57,738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55,066</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w w:val="99"/>
              </w:rPr>
              <w:t>16,433</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17,188</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31,485</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26,515</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rPr>
              <w:t>53 %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55 %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48 %</w:t>
            </w:r>
          </w:p>
        </w:tc>
      </w:tr>
    </w:tbl>
    <w:p>
      <w:pPr>
        <w:spacing w:after="0" w:line="2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Security Solutions' revenue decreased by approximately 4% compared to the same period in 2021. This was driven primarily by a decrease of $2.3 million in services revenue, offset by an increase of $0.9 million in product revenue compared to the same period in 2021. This is primarily due to the decrease in sales offerings for certain projects winding down within the segment's business lines.</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Revenue for the six months ended June 30, 2022 increased by approximately 5%, which was primarily driven by an increase of $3.4 million in services revenue compared to the same period in 2021, due to an increase in sales offerings within the segment.</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Security Solutions' gross profit for the second quarter of 2022 decreased by $0.8 million or 4% compared to the same period in 2021. With revenue decreased, segment gross margin remained at 53% between comparable periods.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Security Solutions' gross profit for the six months ended June 30, 2022 increased by $5.0 million or 19% compared to the same period in 2021. Likewise, segment gross margin increased to 55% for the six months ended June 30, 2022 from 48% for the same period in 2021. The increase in profitability was due to growth in high margin projects under this segment.</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3: Secure Networks Segment - Financial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0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47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2022</w:t>
            </w: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2022</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5"/>
          </w:tcPr>
          <w:p>
            <w:pPr>
              <w:ind w:left="9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54,336</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10,489</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19 %</w:t>
            </w:r>
          </w:p>
        </w:tc>
      </w:tr>
    </w:tbl>
    <w:p>
      <w:pPr>
        <w:spacing w:after="0" w:line="225"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Secure Networks' revenue for the second quarter of 2022 increased by approximately 17% compared to the same period in 2021. This was driven by an increase of $3.6 million in service revenue due to new awards, timing of significant orders and higher segment offerings on several existing projects.</w:t>
      </w:r>
    </w:p>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Secure Networks' revenue decreased by 11% compared to the same period in 2021. This was primarily due to the ramping down of certain large projects under our Secure Networks offerings.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Secure Networks' gross profit for the second quarter of 2022, decreased by $0.9 million or 16% compared to the same period in 2021. Segment gross margin decreased to 18% for the second quarter of 2022 from 25% for the same period in 2021. This is due to the various changes in the mix of contracts within the segment and timing of order delivery.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Gross profit for Secure Networks for the six months ended June 30, 2022 decreased by $2.2 million or 21% compared to the same period in 2021, as a result of the decline in year-to-date segment revenue. Secure Networks' gross margin also decreased to 17% for the for the six months ended 2022 from 19% compared to the same period in 2021 due to the sale mix.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non-GAAP financial measures of Enterprise EBITDA, Adjusted EBITDA, Adjusted Net Income (Loss), Adjusted Earnings Per Share ("EPS")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of these non-GAAP financial measures to the most directly comparable financial measure stated in accordance with GAAP.</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use the following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EBITDA and Adjusted EBITDA</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Both Enterprise EBITDA and Adjusted EBITDA are supplemental measures of operating performance that are not made under GAAP and that do not represent, and should not be considered as, an alternative to net (loss) income as determined by GAAP. We define Enterprise EBITDA as net (loss) income, adjusted for non-operating expense (income), interest expense, provision for (benefit from) income taxes, and depreciation and amortization. We define Adjusted EBITDA as Enterprise EBITDA, adjusted for stock-based compensation expense.</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4: Reconciliation of Net Loss to Enterprise EBITDA and Adjusted EBITDA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47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
        </w:trPr>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Non-operating (income)/expense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r>
      <w:tr>
        <w:trPr>
          <w:trHeight w:val="213"/>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4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w:t>
            </w:r>
          </w:p>
        </w:tc>
      </w:tr>
      <w:tr>
        <w:trPr>
          <w:trHeight w:val="21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Enterprise EBITDA</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(28,201)</w:t>
            </w:r>
          </w:p>
        </w:tc>
      </w:tr>
      <w:tr>
        <w:trPr>
          <w:trHeight w:val="210"/>
        </w:trPr>
        <w:tc>
          <w:tcPr>
            <w:tcW w:w="476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29,504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35,006</w:t>
            </w:r>
          </w:p>
        </w:tc>
      </w:tr>
      <w:tr>
        <w:trPr>
          <w:trHeight w:val="234"/>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right="80" w:hanging="332"/>
        <w:spacing w:after="0" w:line="266"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stock-based compensation adjustment to EBITDA for the three and six months ended June 30, 2022, is made up of $14.6 million and $27.2 million of stock-based compensation expenses for the awarded RSUs and PRSUs, respectively, and $0.7 million and $2.3 million of other sources of stock-based compensation expense, respectively. The other source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 of quarter adjustments to this add back to Adjusted EBITDA.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EPS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Adjusted Net Income (Loss) and Adjusted EPS are supplemental measures of operating performance that are not made under GAAP and that do not represent, and should not be considered as, alternatives to net income (loss) as determined by GAAP. We define Adjusted Net Income (Loss) as net income (loss), adjusted for non-operating expense (income) and stock-based compensation expense. We define Adjusted EPS as Adjusted Net Income (Loss) divided by the weighted-average number of common shares outstanding for the period.</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5: Reconciliation of Net Loss to Adjusted Net Income and Adjusted EPS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For the Six Months Ended</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ind w:left="520"/>
              <w:spacing w:after="0"/>
              <w:rPr>
                <w:sz w:val="20"/>
                <w:szCs w:val="20"/>
                <w:color w:val="auto"/>
              </w:rPr>
            </w:pPr>
            <w:r>
              <w:rPr>
                <w:rFonts w:ascii="Times New Roman" w:cs="Times New Roman" w:eastAsia="Times New Roman" w:hAnsi="Times New Roman"/>
                <w:sz w:val="16"/>
                <w:szCs w:val="16"/>
                <w:color w:val="auto"/>
              </w:rPr>
              <w:t>June 30, 2022</w:t>
            </w:r>
          </w:p>
        </w:tc>
        <w:tc>
          <w:tcPr>
            <w:tcW w:w="120" w:type="dxa"/>
            <w:vAlign w:val="bottom"/>
          </w:tcPr>
          <w:p>
            <w:pPr>
              <w:spacing w:after="0"/>
              <w:rPr>
                <w:sz w:val="18"/>
                <w:szCs w:val="18"/>
                <w:color w:val="auto"/>
              </w:rPr>
            </w:pPr>
          </w:p>
        </w:tc>
        <w:tc>
          <w:tcPr>
            <w:tcW w:w="206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rPr>
              <w:t>June 30, 2022</w:t>
            </w:r>
          </w:p>
        </w:tc>
        <w:tc>
          <w:tcPr>
            <w:tcW w:w="120" w:type="dxa"/>
            <w:vAlign w:val="bottom"/>
          </w:tcPr>
          <w:p>
            <w:pPr>
              <w:spacing w:after="0"/>
              <w:rPr>
                <w:sz w:val="18"/>
                <w:szCs w:val="18"/>
                <w:color w:val="auto"/>
              </w:rPr>
            </w:pPr>
          </w:p>
        </w:tc>
        <w:tc>
          <w:tcPr>
            <w:tcW w:w="20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June 30, 2021</w:t>
            </w: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color w:val="auto"/>
              </w:rPr>
              <w:t>Adjusted Net</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Adjusted Net</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5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color w:val="auto"/>
              </w:rPr>
              <w:t>Adjusted Net</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5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9"/>
              <w:spacing w:after="0" w:line="158" w:lineRule="exact"/>
              <w:rPr>
                <w:sz w:val="20"/>
                <w:szCs w:val="20"/>
                <w:color w:val="auto"/>
              </w:rPr>
            </w:pPr>
            <w:r>
              <w:rPr>
                <w:rFonts w:ascii="Times New Roman" w:cs="Times New Roman" w:eastAsia="Times New Roman" w:hAnsi="Times New Roman"/>
                <w:sz w:val="16"/>
                <w:szCs w:val="16"/>
                <w:color w:val="auto"/>
              </w:rPr>
              <w:t>Adjusted Net</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Income/(Loss)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Per Share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Income/(Loss)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7"/>
              </w:rPr>
              <w:t>Per Share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Income/(Loss)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7"/>
              </w:rPr>
              <w:t>Per Share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8"/>
              </w:rPr>
              <w:t>Income/(Loss)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Per Share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7"/>
          </w:tcPr>
          <w:p>
            <w:pPr>
              <w:jc w:val="right"/>
              <w:ind w:right="179"/>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GAAP measure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(32,422)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Non-operating (income)/</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21,336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expense </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non-GAAP measure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Weighted-average shares of</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67,876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66,616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67,717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65,621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outstanding</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60" w:hanging="332"/>
        <w:spacing w:after="0" w:line="266"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stock-based compensation adjustment to net loss for the three and six months ended June 30, 2022, is made up of $14.6 million and $27.2 million of stock-based compensation expense for the awarded RSUs and PRSUs, respectively, and $0.7 million and $2.3 million of other sources of stock-based compensation expense, respectively. The other source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out-of-quarter adjustments to this add back to Adjusted Net Income/(Loss).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financial measure defined as net cash provided by or used in operating activities, less purchases of property and equipment and capitalized software development costs. This non-GAAP financial measure may be a useful measure for investors and other users of our financial statements as a supplemental measure of our cash performance and to assess the quality of our earnings as a key performance measure in evaluating management.</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6: Free Cash Flow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0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7"/>
        </w:trPr>
        <w:tc>
          <w:tcPr>
            <w:tcW w:w="47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color w:val="auto"/>
              </w:rPr>
              <w:t>June 30, 2022</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color w:val="auto"/>
              </w:rPr>
              <w:t>June 30, 2021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June 30, 2021</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flows provided by/(used in)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230"/>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(3,663)</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of Enterprise EBITDA, Adjusted EBITDA, Adjusted Net Income (Loss), Adjusted EPS and Free Cash Flow has limitations as an analytical tool, and you should not consider any of them in isolation, or as a substitute for analysis of our results as reported under GAAP. Among other limitations, each of Enterprise EBITDA, Adjusted EBITDA, Adjusted Net Income (Loss), Adjusted EPS and Free Cash Flow does not reflect our cash expenditures, or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Enterprise EBITDA, Adjusted EBITDA, Adjusted Net Income (Loss), Adjusted EPS and Free Cash Flow differently than we do, which limits their usefulness as a comparative measure. Because of these limitations, neither Enterprise EBITDA, Adjusted EBITDA, Adjusted Net Income (Loss), Adjusted EPS nor Free Cash Flow should be considered as a replacement for net income (loss), earnings per share, or net cash flows provided by/ (used in) operating activities, as determined by GAAP, or as a measure of our profitability. We compensate for these limitations by relying primarily on our GAAP results and using non-GAAP measures only for supplemental purposes.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Upon the closing of the IPO in November 2020, we issued 17.2 million shares of our common stock at a price of $17.00 per share, generating net proceeds of approximately $272.8 million. We used approximately $108.9 million of the net proceeds in connection with the exchangeable redeemable preferred stock conversion, $30.0 million to fund our acquisition of the outstanding Class B Units of Telos ID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Purchase of Telos ID Non-controlling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Interests</w:t>
      </w:r>
      <w:r>
        <w:rPr>
          <w:rFonts w:ascii="Times New Roman" w:cs="Times New Roman" w:eastAsia="Times New Roman" w:hAnsi="Times New Roman"/>
          <w:sz w:val="18"/>
          <w:szCs w:val="18"/>
          <w:color w:val="000000"/>
        </w:rPr>
        <w:t>), and $21.0 million to repay our outstanding senior term loan and subordinated debt .</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On April 6, 2021, we completed our follow-on offering of 9.1 million shares of our common stock at a price of $33.00 per share, including 7.0 million shares of common stock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900,970 outstanding warrants for our common stock held by EnCap fund holders. Further, on July 30, 2021, we used approximately $5.9 million of the net proceeds to acquire the assets of DFT (see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Acquisition</w:t>
      </w:r>
      <w:r>
        <w:rPr>
          <w:rFonts w:ascii="Times New Roman" w:cs="Times New Roman" w:eastAsia="Times New Roman" w:hAnsi="Times New Roman"/>
          <w:sz w:val="18"/>
          <w:szCs w:val="18"/>
          <w:color w:val="000000"/>
        </w:rPr>
        <w:t>). We intend to use the remaining net proceeds of the IPO and the follow-on offering for general corporate purposes.</w:t>
      </w:r>
    </w:p>
    <w:p>
      <w:pPr>
        <w:spacing w:after="0" w:line="13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overall financial position and liquidity are strong. Our working capital was $130.4 million and $140.8 million as of June 30, 2022, and December 31, 2021, respectively. Although no assurances can be given, we expect that funds generated from operations are sufficient to maintain the liquidity we require to meet our operating, investing and financing needs for the next 12 months.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2022, we had a cash and cash equivalent balance of $122.6 million, compared to $126.6 million at December 31, 2021. This balance gives us the flexibility for capital deployment while maintaining our focus on preserving a strong balance sheet to position us for future opportunities. We believe we have adequate funds on hand to execute our financial and operating strategy.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$8.1 million for the six months ended June 30, 2022, compared to cash used in operating activities of</w:t>
      </w:r>
    </w:p>
    <w:p>
      <w:pPr>
        <w:spacing w:after="0" w:line="2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$3.4 million for the same period in 2021. Cash provided by or used in operating activities is primarily driven by the Company’s operating income (loss), the timing of receipt of customer payments, the timing of our payments to vendors and employees, and the timing of inventory turnover, adjusted for certain non-cash items that do not impact cash flows from operating activities.</w:t>
      </w:r>
    </w:p>
    <w:p>
      <w:pPr>
        <w:spacing w:after="0" w:line="1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approximately $5.8 million and $4.7 million for the six months ended June 30, 2022 and 2021, respectively, primarily due to software development costs of $5.1 million and $3.7 million for the six months ended June 30, 2022 and 2021, respectively, and the purchase of property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financing activities was $6.2 million for the six months ended June 30, 2022, compared to cash provided by financing activities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$33.0 million for the same period in 2021. This is primarily attributable to payments under finance leases for both periods, payment of tax withholding related to a net share settlement of an equity awards of $2.9 million in the first quarter of 2022 and the repurchase of common stock of $2.6 million under the share repurchase program described below in the second quarter of 2022. By contrast, in 2021 there was a cash inflow from the follow-on offering that generated $64.3 million of net proceeds, reduced by $2.4 million of final distributions to the Class B Members of Telos ID in the first quarter, $26.9 million used to repurchase the outstanding warrants and $1.3 million to repurchase the common stock held by EnCap fund 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us to make estimates, judgments, and assumptions that affect the amounts reported. Actual results could differ from those estimates. The 2021 Form 10-K, as filed with the SEC on March 28, 2022,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six months ended June 30, 2022.</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to ensure that information required to be disclosed in this quarterly report on Form 10-Q was properly recorded, processed, summarized and reported within the time periods specified in the Commission's rules and forms. The Company's controls and procedures are designed to ensure that information required to be disclosed by the Company in the reports that it files or submits under the Securities Exchange Act of 1934, as amended (the "Exchange Act") is accumulated and communicated to the Company's management, including its principal executive and principal financial officer to allow timely decisions regarding required disclosure.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of the effectiveness of the design and operation of our disclosure controls and procedures (as defined in Exchange Act Rules 13a-15(e) and 15d-15(e)) at June 30, 2022, based on the evaluation of these controls and procedures required by paragraph (b) of Rule 13a-15 or Rule 15d-15 under the Exchange Act. This evaluation was carried out under the supervision and with the participation of our Chief Executive Officer and Chief Financial Officer. Based upon the evaluation, our Chief Executive Officer and Chief Financial Officer concluded that, on June 30, 2022, our disclosure controls and procedures were not effective as a result of the previously identified material weaknesses disclosed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its evaluation of the internal control over financial reporting for the year ended December 31, 2021, management identified the following material weaknesses in our internal control over financial reporting:</w:t>
      </w:r>
    </w:p>
    <w:p>
      <w:pPr>
        <w:spacing w:after="0" w:line="54" w:lineRule="exact"/>
        <w:rPr>
          <w:sz w:val="20"/>
          <w:szCs w:val="20"/>
          <w:color w:val="auto"/>
        </w:rPr>
      </w:pPr>
    </w:p>
    <w:p>
      <w:pPr>
        <w:jc w:val="both"/>
        <w:ind w:left="660" w:hanging="328"/>
        <w:spacing w:after="0" w:line="261"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maintain appropriately designed entity-level controls impacting the control environment and monitoring activities to prevent or detect material misstatements to the consolidated financial statements. Specifically, the Company did not have sufficient qualified resources to effectively design, operate and oversee internal control over financial reporting, which contributed to the failure in the effectiveness of certain controls.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maintain appropriately designed information technology general controls in the areas of user access, change management, and segregation of duties, including controls over the recording of journal entries and safeguarding of assets, related to certain information technology systems that support the Company’s financial reporting process.</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maintain appropriately designed and implemented controls over the following:</w:t>
      </w:r>
    </w:p>
    <w:p>
      <w:pPr>
        <w:spacing w:after="0" w:line="117"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of revenue in accordance with ASC Topic 606, "Revenue from Contracts with Customers.”</w:t>
      </w:r>
    </w:p>
    <w:p>
      <w:pPr>
        <w:spacing w:after="0" w:line="117" w:lineRule="exact"/>
        <w:rPr>
          <w:rFonts w:ascii="Times New Roman" w:cs="Times New Roman" w:eastAsia="Times New Roman" w:hAnsi="Times New Roman"/>
          <w:sz w:val="18"/>
          <w:szCs w:val="18"/>
          <w:color w:val="auto"/>
        </w:rPr>
      </w:pPr>
    </w:p>
    <w:p>
      <w:pPr>
        <w:ind w:left="1300" w:hanging="465"/>
        <w:spacing w:after="0" w:line="282" w:lineRule="auto"/>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software development costs in accordance with ASC Topic 985-20, “Software – Costs of Software to be Sold, Leased, or Marketed,” and ASC Topic 350-40, “Internal Use Software.”</w:t>
      </w:r>
    </w:p>
    <w:p>
      <w:pPr>
        <w:spacing w:after="0" w:line="53" w:lineRule="exact"/>
        <w:rPr>
          <w:rFonts w:ascii="Times New Roman" w:cs="Times New Roman" w:eastAsia="Times New Roman" w:hAnsi="Times New Roman"/>
          <w:sz w:val="18"/>
          <w:szCs w:val="18"/>
          <w:color w:val="auto"/>
        </w:rPr>
      </w:pPr>
    </w:p>
    <w:p>
      <w:pPr>
        <w:ind w:left="1300" w:hanging="514"/>
        <w:spacing w:after="0" w:line="282" w:lineRule="auto"/>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completeness and accuracy of award stock-based compensation expense, and review of the key inputs and assumptions utilized in third-party valuations.</w:t>
      </w:r>
    </w:p>
    <w:p>
      <w:pPr>
        <w:spacing w:after="0" w:line="53" w:lineRule="exact"/>
        <w:rPr>
          <w:rFonts w:ascii="Times New Roman" w:cs="Times New Roman" w:eastAsia="Times New Roman" w:hAnsi="Times New Roman"/>
          <w:sz w:val="18"/>
          <w:szCs w:val="18"/>
          <w:color w:val="auto"/>
        </w:rPr>
      </w:pPr>
    </w:p>
    <w:p>
      <w:pPr>
        <w:ind w:left="1300" w:hanging="505"/>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review of projected financial information utilized in the valuation of the business combination.</w:t>
      </w:r>
    </w:p>
    <w:p>
      <w:pPr>
        <w:spacing w:after="0" w:line="117" w:lineRule="exact"/>
        <w:rPr>
          <w:rFonts w:ascii="Times New Roman" w:cs="Times New Roman" w:eastAsia="Times New Roman" w:hAnsi="Times New Roman"/>
          <w:sz w:val="18"/>
          <w:szCs w:val="18"/>
          <w:color w:val="auto"/>
        </w:rPr>
      </w:pPr>
    </w:p>
    <w:p>
      <w:pPr>
        <w:ind w:left="1300" w:hanging="455"/>
        <w:spacing w:after="0" w:line="282" w:lineRule="auto"/>
        <w:tabs>
          <w:tab w:leader="none" w:pos="12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close process to ensure the consistent execution, accuracy, and timely review of account reconciliations, as well as review of the statement of cash flows.</w:t>
      </w:r>
    </w:p>
    <w:p>
      <w:pPr>
        <w:spacing w:after="0" w:line="53" w:lineRule="exact"/>
        <w:rPr>
          <w:rFonts w:ascii="Times New Roman" w:cs="Times New Roman" w:eastAsia="Times New Roman" w:hAnsi="Times New Roman"/>
          <w:sz w:val="18"/>
          <w:szCs w:val="18"/>
          <w:color w:val="auto"/>
        </w:rPr>
      </w:pPr>
    </w:p>
    <w:p>
      <w:pPr>
        <w:ind w:left="1300" w:hanging="505"/>
        <w:spacing w:after="0"/>
        <w:tabs>
          <w:tab w:leader="none" w:pos="13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Coding of transactions within the purchase to disbursement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material weaknesses were partially related to employee turnover, resulting in a temporary shortage of qualified personnel to effectively perform the internal controls referenced above.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working to remediate the material weaknesses in internal control over financial reporting and is taking steps to improve the internal control environment. Specifically, the Company is:</w:t>
      </w:r>
    </w:p>
    <w:p>
      <w:pPr>
        <w:spacing w:after="0" w:line="54" w:lineRule="exact"/>
        <w:rPr>
          <w:sz w:val="20"/>
          <w:szCs w:val="20"/>
          <w:color w:val="auto"/>
        </w:rPr>
      </w:pPr>
    </w:p>
    <w:p>
      <w:pPr>
        <w:ind w:left="660" w:hanging="328"/>
        <w:spacing w:after="0" w:line="282" w:lineRule="auto"/>
        <w:tabs>
          <w:tab w:leader="none" w:pos="6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accounting personnel and implementing training of new and existing personnel on proper execution of designed control procedures;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processes, and designing and implementing internal controls around revenue recognition, software development costs, stock-based compensation, business combination, and financial close and reporting;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user access provisioning and monitoring controls to enforce appropriate system access and segregation of duties.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weaknesses will be considered remediated when management concludes that, through testing, the applicable remedial controls are designed and implemented effectively.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still assessing the design and operating effectiveness of these measures and, as such, the identified material weaknesses have not been fully remediated as of June 30, 2022. We will continue to monitor the effectiveness of these remediation measures and will make any changes and take other actions that we deem appropriate.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ongoing remediation activities listed above, there has been no change in our internal control over financial reporting during the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regarding legal proceedings may be found in </w:t>
      </w:r>
      <w:r>
        <w:rPr>
          <w:rFonts w:ascii="Times New Roman" w:cs="Times New Roman" w:eastAsia="Times New Roman" w:hAnsi="Times New Roman"/>
          <w:sz w:val="18"/>
          <w:szCs w:val="18"/>
          <w:u w:val="single" w:color="auto"/>
          <w:color w:val="0000FF"/>
        </w:rPr>
        <w:t>Note 19</w:t>
      </w:r>
      <w:r>
        <w:rPr>
          <w:rFonts w:ascii="Times New Roman" w:cs="Times New Roman" w:eastAsia="Times New Roman" w:hAnsi="Times New Roman"/>
          <w:sz w:val="18"/>
          <w:szCs w:val="18"/>
          <w:color w:val="auto"/>
        </w:rPr>
        <w:t xml:space="preserve"> – Commitments and Contingencies to the unaudited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period ended June 30, 2022, in our risk factors as disclosed in our Annual Report on Form 10-K for the year ended December 31, 2021.</w:t>
      </w:r>
    </w:p>
    <w:p>
      <w:pPr>
        <w:spacing w:after="0" w:line="10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1" w:lineRule="exact"/>
        <w:rPr>
          <w:sz w:val="20"/>
          <w:szCs w:val="20"/>
          <w:color w:val="auto"/>
        </w:rPr>
      </w:pPr>
    </w:p>
    <w:p>
      <w:pPr>
        <w:ind w:left="660" w:right="8160" w:hanging="652"/>
        <w:spacing w:after="0" w:line="438" w:lineRule="auto"/>
        <w:tabs>
          <w:tab w:leader="none" w:pos="65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Unregistered Sales of Securities </w:t>
      </w:r>
      <w:r>
        <w:rPr>
          <w:rFonts w:ascii="Times New Roman" w:cs="Times New Roman" w:eastAsia="Times New Roman" w:hAnsi="Times New Roman"/>
          <w:sz w:val="18"/>
          <w:szCs w:val="18"/>
          <w:color w:val="auto"/>
        </w:rPr>
        <w:t>None.</w:t>
      </w:r>
    </w:p>
    <w:p>
      <w:pPr>
        <w:ind w:left="660" w:right="9360" w:hanging="652"/>
        <w:spacing w:after="0" w:line="438" w:lineRule="auto"/>
        <w:tabs>
          <w:tab w:leader="none" w:pos="65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Common Stock Purchase Activity During the Three Months Ended June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Total Number of Shares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Maximum Dollar Value of</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Total Number of Shares</w:t>
            </w:r>
          </w:p>
        </w:tc>
        <w:tc>
          <w:tcPr>
            <w:tcW w:w="140" w:type="dxa"/>
            <w:vAlign w:val="bottom"/>
          </w:tcPr>
          <w:p>
            <w:pPr>
              <w:spacing w:after="0"/>
              <w:rPr>
                <w:sz w:val="14"/>
                <w:szCs w:val="14"/>
                <w:color w:val="auto"/>
              </w:rPr>
            </w:pPr>
          </w:p>
        </w:tc>
        <w:tc>
          <w:tcPr>
            <w:tcW w:w="1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9"/>
              </w:rPr>
              <w:t>Average Price Paid per</w:t>
            </w:r>
          </w:p>
        </w:tc>
        <w:tc>
          <w:tcPr>
            <w:tcW w:w="1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Purchased as Part of Publicly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Announced Repurchases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ind w:right="119"/>
              <w:spacing w:after="0" w:line="162" w:lineRule="exact"/>
              <w:rPr>
                <w:sz w:val="20"/>
                <w:szCs w:val="20"/>
                <w:color w:val="auto"/>
              </w:rPr>
            </w:pPr>
            <w:r>
              <w:rPr>
                <w:rFonts w:ascii="Times New Roman" w:cs="Times New Roman" w:eastAsia="Times New Roman" w:hAnsi="Times New Roman"/>
                <w:sz w:val="16"/>
                <w:szCs w:val="16"/>
                <w:color w:val="auto"/>
              </w:rPr>
              <w:t>Shares that May Yet Be</w:t>
            </w:r>
          </w:p>
        </w:tc>
        <w:tc>
          <w:tcPr>
            <w:tcW w:w="0" w:type="dxa"/>
            <w:vAlign w:val="bottom"/>
          </w:tcPr>
          <w:p>
            <w:pPr>
              <w:spacing w:after="0"/>
              <w:rPr>
                <w:sz w:val="1"/>
                <w:szCs w:val="1"/>
                <w:color w:val="auto"/>
              </w:rPr>
            </w:pPr>
          </w:p>
        </w:tc>
      </w:tr>
      <w:tr>
        <w:trPr>
          <w:trHeight w:val="216"/>
        </w:trPr>
        <w:tc>
          <w:tcPr>
            <w:tcW w:w="3060" w:type="dxa"/>
            <w:vAlign w:val="bottom"/>
            <w:gridSpan w:val="2"/>
            <w:vMerge w:val="continue"/>
          </w:tcPr>
          <w:p>
            <w:pPr>
              <w:spacing w:after="0"/>
              <w:rPr>
                <w:sz w:val="18"/>
                <w:szCs w:val="18"/>
                <w:color w:val="auto"/>
              </w:rPr>
            </w:pPr>
          </w:p>
        </w:tc>
        <w:tc>
          <w:tcPr>
            <w:tcW w:w="194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color w:val="auto"/>
                <w:w w:val="95"/>
              </w:rPr>
              <w:t xml:space="preserve">Purchased </w:t>
            </w:r>
            <w:r>
              <w:rPr>
                <w:rFonts w:ascii="Times New Roman" w:cs="Times New Roman" w:eastAsia="Times New Roman" w:hAnsi="Times New Roman"/>
                <w:sz w:val="21"/>
                <w:szCs w:val="21"/>
                <w:color w:val="auto"/>
                <w:w w:val="95"/>
                <w:vertAlign w:val="superscript"/>
              </w:rPr>
              <w:t>(1)</w:t>
            </w:r>
          </w:p>
        </w:tc>
        <w:tc>
          <w:tcPr>
            <w:tcW w:w="14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Share</w:t>
            </w:r>
          </w:p>
        </w:tc>
        <w:tc>
          <w:tcPr>
            <w:tcW w:w="19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w w:val="90"/>
              </w:rPr>
              <w:t xml:space="preserve">Plans </w:t>
            </w:r>
            <w:r>
              <w:rPr>
                <w:rFonts w:ascii="Times New Roman" w:cs="Times New Roman" w:eastAsia="Times New Roman" w:hAnsi="Times New Roman"/>
                <w:sz w:val="21"/>
                <w:szCs w:val="21"/>
                <w:color w:val="auto"/>
                <w:w w:val="90"/>
                <w:vertAlign w:val="superscript"/>
              </w:rPr>
              <w:t>(1)</w:t>
            </w:r>
          </w:p>
        </w:tc>
        <w:tc>
          <w:tcPr>
            <w:tcW w:w="80" w:type="dxa"/>
            <w:vAlign w:val="bottom"/>
          </w:tcPr>
          <w:p>
            <w:pPr>
              <w:spacing w:after="0"/>
              <w:rPr>
                <w:sz w:val="18"/>
                <w:szCs w:val="18"/>
                <w:color w:val="auto"/>
              </w:rPr>
            </w:pPr>
          </w:p>
        </w:tc>
        <w:tc>
          <w:tcPr>
            <w:tcW w:w="196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6"/>
                <w:szCs w:val="16"/>
                <w:color w:val="auto"/>
                <w:w w:val="98"/>
              </w:rPr>
              <w:t xml:space="preserve">Purchased Under the Plans </w:t>
            </w:r>
            <w:r>
              <w:rPr>
                <w:rFonts w:ascii="Times New Roman" w:cs="Times New Roman" w:eastAsia="Times New Roman" w:hAnsi="Times New Roman"/>
                <w:sz w:val="21"/>
                <w:szCs w:val="21"/>
                <w:color w:val="auto"/>
                <w:w w:val="98"/>
                <w:vertAlign w:val="superscript"/>
              </w:rPr>
              <w:t>(1)</w:t>
            </w:r>
          </w:p>
        </w:tc>
        <w:tc>
          <w:tcPr>
            <w:tcW w:w="0" w:type="dxa"/>
            <w:vAlign w:val="bottom"/>
          </w:tcPr>
          <w:p>
            <w:pPr>
              <w:spacing w:after="0"/>
              <w:rPr>
                <w:sz w:val="1"/>
                <w:szCs w:val="1"/>
                <w:color w:val="auto"/>
              </w:rPr>
            </w:pPr>
          </w:p>
        </w:tc>
      </w:tr>
      <w:tr>
        <w:trPr>
          <w:trHeight w:val="209"/>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2022 through April 30, 2022</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2022 through May 31, 2022</w:t>
            </w:r>
          </w:p>
        </w:tc>
        <w:tc>
          <w:tcPr>
            <w:tcW w:w="1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0" w:type="dxa"/>
            <w:vAlign w:val="bottom"/>
          </w:tcPr>
          <w:p>
            <w:pPr>
              <w:spacing w:after="0"/>
              <w:rPr>
                <w:sz w:val="1"/>
                <w:szCs w:val="1"/>
                <w:color w:val="auto"/>
              </w:rPr>
            </w:pPr>
          </w:p>
        </w:tc>
      </w:tr>
      <w:tr>
        <w:trPr>
          <w:trHeight w:val="21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2022 through June 30,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360,439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360,439</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46,997,511</w:t>
            </w:r>
          </w:p>
        </w:tc>
        <w:tc>
          <w:tcPr>
            <w:tcW w:w="0" w:type="dxa"/>
            <w:vAlign w:val="bottom"/>
          </w:tcPr>
          <w:p>
            <w:pPr>
              <w:spacing w:after="0"/>
              <w:rPr>
                <w:sz w:val="1"/>
                <w:szCs w:val="1"/>
                <w:color w:val="auto"/>
              </w:rPr>
            </w:pPr>
          </w:p>
        </w:tc>
      </w:tr>
      <w:tr>
        <w:trPr>
          <w:trHeight w:val="207"/>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360,439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80" w:hanging="172"/>
        <w:spacing w:after="0" w:line="233" w:lineRule="auto"/>
        <w:tabs>
          <w:tab w:leader="none" w:pos="163"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24, 2022, the Board of Directors authorized a share repurchase program, pursuant to which the Company can repurchase up to $50.0 million of issued and outstanding common stock. The repurchase program has no expiration date and may be modified, suspended, or terminated at any time. In June 2022, the Company repurchased 360,439 shares of common stock under the program for an aggregate price of $3.0 million in open market.</w:t>
      </w:r>
    </w:p>
    <w:p>
      <w:pPr>
        <w:spacing w:after="0" w:line="1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4"/>
            <w:vMerge w:val="restart"/>
          </w:tcPr>
          <w:p>
            <w:pPr>
              <w:ind w:left="392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0" w:type="dxa"/>
            <w:vAlign w:val="bottom"/>
          </w:tcPr>
          <w:p>
            <w:pPr>
              <w:spacing w:after="0"/>
              <w:rPr>
                <w:sz w:val="1"/>
                <w:szCs w:val="1"/>
                <w:color w:val="auto"/>
              </w:rPr>
            </w:pPr>
          </w:p>
        </w:tc>
      </w:tr>
      <w:tr>
        <w:trPr>
          <w:trHeight w:val="214"/>
        </w:trPr>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38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20" w:type="dxa"/>
            <w:vAlign w:val="bottom"/>
            <w:gridSpan w:val="4"/>
            <w:shd w:val="clear" w:color="auto" w:fill="CCEEFF"/>
          </w:tcPr>
          <w:p>
            <w:pPr>
              <w:jc w:val="center"/>
              <w:ind w:left="259"/>
              <w:spacing w:after="0" w:line="171"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color w:val="auto"/>
              </w:rPr>
              <w:t>v</w:t>
            </w:r>
          </w:p>
        </w:tc>
        <w:tc>
          <w:tcPr>
            <w:tcW w:w="20" w:type="dxa"/>
            <w:vAlign w:val="bottom"/>
            <w:shd w:val="clear" w:color="auto" w:fill="CCEEFF"/>
          </w:tcPr>
          <w:p>
            <w:pPr>
              <w:spacing w:after="0"/>
              <w:rPr>
                <w:sz w:val="16"/>
                <w:szCs w:val="16"/>
                <w:color w:val="auto"/>
              </w:rPr>
            </w:pPr>
          </w:p>
        </w:tc>
        <w:tc>
          <w:tcPr>
            <w:tcW w:w="9380" w:type="dxa"/>
            <w:vAlign w:val="bottom"/>
            <w:gridSpan w:val="4"/>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54"/>
        </w:trPr>
        <w:tc>
          <w:tcPr>
            <w:tcW w:w="340" w:type="dxa"/>
            <w:vAlign w:val="bottom"/>
            <w:tcBorders>
              <w:top w:val="single" w:sz="8" w:color="CCEE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20" w:type="dxa"/>
            <w:vAlign w:val="bottom"/>
            <w:gridSpan w:val="4"/>
            <w:shd w:val="clear" w:color="auto" w:fill="CCEEFF"/>
          </w:tcPr>
          <w:p>
            <w:pPr>
              <w:jc w:val="center"/>
              <w:ind w:left="259"/>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v</w:t>
            </w:r>
          </w:p>
        </w:tc>
        <w:tc>
          <w:tcPr>
            <w:tcW w:w="20" w:type="dxa"/>
            <w:vAlign w:val="bottom"/>
            <w:shd w:val="clear" w:color="auto" w:fill="CCEEFF"/>
          </w:tcPr>
          <w:p>
            <w:pPr>
              <w:spacing w:after="0"/>
              <w:rPr>
                <w:sz w:val="17"/>
                <w:szCs w:val="17"/>
                <w:color w:val="auto"/>
              </w:rPr>
            </w:pPr>
          </w:p>
        </w:tc>
        <w:tc>
          <w:tcPr>
            <w:tcW w:w="938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54"/>
        </w:trPr>
        <w:tc>
          <w:tcPr>
            <w:tcW w:w="340" w:type="dxa"/>
            <w:vAlign w:val="bottom"/>
            <w:tcBorders>
              <w:top w:val="single" w:sz="8" w:color="CCEE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60" w:type="dxa"/>
            <w:vAlign w:val="bottom"/>
            <w:gridSpan w:val="3"/>
            <w:shd w:val="clear" w:color="auto" w:fill="CCEEFF"/>
          </w:tcPr>
          <w:p>
            <w:pPr>
              <w:jc w:val="center"/>
              <w:ind w:left="319"/>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z</w:t>
            </w:r>
          </w:p>
        </w:tc>
        <w:tc>
          <w:tcPr>
            <w:tcW w:w="20" w:type="dxa"/>
            <w:vAlign w:val="bottom"/>
            <w:shd w:val="clear" w:color="auto" w:fill="CCEEFF"/>
          </w:tcPr>
          <w:p>
            <w:pPr>
              <w:spacing w:after="0"/>
              <w:rPr>
                <w:sz w:val="17"/>
                <w:szCs w:val="17"/>
                <w:color w:val="auto"/>
              </w:rPr>
            </w:pPr>
          </w:p>
        </w:tc>
        <w:tc>
          <w:tcPr>
            <w:tcW w:w="938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54"/>
        </w:trPr>
        <w:tc>
          <w:tcPr>
            <w:tcW w:w="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6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3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v</w:t>
            </w:r>
          </w:p>
        </w:tc>
        <w:tc>
          <w:tcPr>
            <w:tcW w:w="20" w:type="dxa"/>
            <w:vAlign w:val="bottom"/>
            <w:shd w:val="clear" w:color="auto" w:fill="CCEEFF"/>
          </w:tcPr>
          <w:p>
            <w:pPr>
              <w:spacing w:after="0"/>
              <w:rPr>
                <w:sz w:val="14"/>
                <w:szCs w:val="14"/>
                <w:color w:val="auto"/>
              </w:rPr>
            </w:pPr>
          </w:p>
        </w:tc>
        <w:tc>
          <w:tcPr>
            <w:tcW w:w="938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29"/>
        </w:trPr>
        <w:tc>
          <w:tcPr>
            <w:tcW w:w="960" w:type="dxa"/>
            <w:vAlign w:val="bottom"/>
            <w:gridSpan w:val="5"/>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3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87"/>
        </w:trPr>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9380" w:type="dxa"/>
            <w:vAlign w:val="bottom"/>
            <w:gridSpan w:val="4"/>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3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v</w:t>
            </w:r>
          </w:p>
        </w:tc>
        <w:tc>
          <w:tcPr>
            <w:tcW w:w="20" w:type="dxa"/>
            <w:vAlign w:val="bottom"/>
            <w:shd w:val="clear" w:color="auto" w:fill="CCEEFF"/>
          </w:tcPr>
          <w:p>
            <w:pPr>
              <w:spacing w:after="0"/>
              <w:rPr>
                <w:sz w:val="18"/>
                <w:szCs w:val="18"/>
                <w:color w:val="auto"/>
              </w:rPr>
            </w:pPr>
          </w:p>
        </w:tc>
        <w:tc>
          <w:tcPr>
            <w:tcW w:w="9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3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v</w:t>
            </w:r>
          </w:p>
        </w:tc>
        <w:tc>
          <w:tcPr>
            <w:tcW w:w="20" w:type="dxa"/>
            <w:vAlign w:val="bottom"/>
            <w:shd w:val="clear" w:color="auto" w:fill="CCEEFF"/>
          </w:tcPr>
          <w:p>
            <w:pPr>
              <w:spacing w:after="0"/>
              <w:rPr>
                <w:sz w:val="18"/>
                <w:szCs w:val="18"/>
                <w:color w:val="auto"/>
              </w:rPr>
            </w:pPr>
          </w:p>
        </w:tc>
        <w:tc>
          <w:tcPr>
            <w:tcW w:w="9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101.DEF</w:t>
            </w:r>
          </w:p>
        </w:tc>
        <w:tc>
          <w:tcPr>
            <w:tcW w:w="3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v</w:t>
            </w:r>
          </w:p>
        </w:tc>
        <w:tc>
          <w:tcPr>
            <w:tcW w:w="20" w:type="dxa"/>
            <w:vAlign w:val="bottom"/>
            <w:shd w:val="clear" w:color="auto" w:fill="CCEEFF"/>
          </w:tcPr>
          <w:p>
            <w:pPr>
              <w:spacing w:after="0"/>
              <w:rPr>
                <w:sz w:val="18"/>
                <w:szCs w:val="18"/>
                <w:color w:val="auto"/>
              </w:rPr>
            </w:pPr>
          </w:p>
        </w:tc>
        <w:tc>
          <w:tcPr>
            <w:tcW w:w="9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3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v</w:t>
            </w:r>
          </w:p>
        </w:tc>
        <w:tc>
          <w:tcPr>
            <w:tcW w:w="20" w:type="dxa"/>
            <w:vAlign w:val="bottom"/>
            <w:shd w:val="clear" w:color="auto" w:fill="CCEEFF"/>
          </w:tcPr>
          <w:p>
            <w:pPr>
              <w:spacing w:after="0"/>
              <w:rPr>
                <w:sz w:val="18"/>
                <w:szCs w:val="18"/>
                <w:color w:val="auto"/>
              </w:rPr>
            </w:pPr>
          </w:p>
        </w:tc>
        <w:tc>
          <w:tcPr>
            <w:tcW w:w="9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3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v</w:t>
            </w:r>
          </w:p>
        </w:tc>
        <w:tc>
          <w:tcPr>
            <w:tcW w:w="20" w:type="dxa"/>
            <w:vAlign w:val="bottom"/>
            <w:shd w:val="clear" w:color="auto" w:fill="CCEEFF"/>
          </w:tcPr>
          <w:p>
            <w:pPr>
              <w:spacing w:after="0"/>
              <w:rPr>
                <w:sz w:val="18"/>
                <w:szCs w:val="18"/>
                <w:color w:val="auto"/>
              </w:rPr>
            </w:pPr>
          </w:p>
        </w:tc>
        <w:tc>
          <w:tcPr>
            <w:tcW w:w="9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gridSpan w:val="4"/>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9"/>
              </w:rPr>
              <w:t>104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v</w:t>
            </w:r>
          </w:p>
        </w:tc>
        <w:tc>
          <w:tcPr>
            <w:tcW w:w="20" w:type="dxa"/>
            <w:vAlign w:val="bottom"/>
            <w:shd w:val="clear" w:color="auto" w:fill="CCEEFF"/>
          </w:tcPr>
          <w:p>
            <w:pPr>
              <w:spacing w:after="0"/>
              <w:rPr>
                <w:sz w:val="18"/>
                <w:szCs w:val="18"/>
                <w:color w:val="auto"/>
              </w:rPr>
            </w:pPr>
          </w:p>
        </w:tc>
        <w:tc>
          <w:tcPr>
            <w:tcW w:w="9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tags and contained in Exhibit 101)</w:t>
            </w:r>
          </w:p>
        </w:tc>
        <w:tc>
          <w:tcPr>
            <w:tcW w:w="0" w:type="dxa"/>
            <w:vAlign w:val="bottom"/>
          </w:tcPr>
          <w:p>
            <w:pPr>
              <w:spacing w:after="0"/>
              <w:rPr>
                <w:sz w:val="1"/>
                <w:szCs w:val="1"/>
                <w:color w:val="auto"/>
              </w:rPr>
            </w:pPr>
          </w:p>
        </w:tc>
      </w:tr>
      <w:tr>
        <w:trPr>
          <w:trHeight w:val="54"/>
        </w:trPr>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980" w:hanging="572"/>
        <w:spacing w:after="0"/>
        <w:tabs>
          <w:tab w:leader="none" w:pos="9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Filed herewith.</w:t>
      </w:r>
    </w:p>
    <w:p>
      <w:pPr>
        <w:spacing w:after="0" w:line="31" w:lineRule="exact"/>
        <w:rPr>
          <w:sz w:val="20"/>
          <w:szCs w:val="20"/>
          <w:color w:val="auto"/>
        </w:rPr>
      </w:pPr>
    </w:p>
    <w:p>
      <w:pPr>
        <w:ind w:left="980" w:hanging="540"/>
        <w:spacing w:after="0"/>
        <w:tabs>
          <w:tab w:leader="none" w:pos="980" w:val="left"/>
        </w:tabs>
        <w:numPr>
          <w:ilvl w:val="0"/>
          <w:numId w:val="22"/>
        </w:numPr>
        <w:rPr>
          <w:rFonts w:ascii="Arial" w:cs="Arial" w:eastAsia="Arial" w:hAnsi="Arial"/>
          <w:sz w:val="16"/>
          <w:szCs w:val="16"/>
          <w:color w:val="auto"/>
        </w:rPr>
      </w:pPr>
      <w:r>
        <w:rPr>
          <w:rFonts w:ascii="Times New Roman" w:cs="Times New Roman" w:eastAsia="Times New Roman" w:hAnsi="Times New Roman"/>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6" w:right="8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John B. Wood</w:t>
            </w:r>
          </w:p>
        </w:tc>
        <w:tc>
          <w:tcPr>
            <w:tcW w:w="3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August 9, 2022</w:t>
            </w:r>
          </w:p>
        </w:tc>
      </w:tr>
      <w:tr>
        <w:trPr>
          <w:trHeight w:val="218"/>
        </w:trPr>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John B. Wood</w:t>
            </w:r>
          </w:p>
        </w:tc>
        <w:tc>
          <w:tcPr>
            <w:tcW w:w="10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c>
          <w:tcPr>
            <w:tcW w:w="3660" w:type="dxa"/>
            <w:vAlign w:val="bottom"/>
          </w:tcPr>
          <w:p>
            <w:pPr>
              <w:spacing w:after="0"/>
              <w:rPr>
                <w:sz w:val="19"/>
                <w:szCs w:val="19"/>
                <w:color w:val="auto"/>
              </w:rPr>
            </w:pPr>
          </w:p>
        </w:tc>
      </w:tr>
      <w:tr>
        <w:trPr>
          <w:trHeight w:val="234"/>
        </w:trPr>
        <w:tc>
          <w:tcPr>
            <w:tcW w:w="420" w:type="dxa"/>
            <w:vAlign w:val="bottom"/>
          </w:tcPr>
          <w:p>
            <w:pPr>
              <w:spacing w:after="0"/>
              <w:rPr>
                <w:sz w:val="20"/>
                <w:szCs w:val="20"/>
                <w:color w:val="auto"/>
              </w:rPr>
            </w:pPr>
          </w:p>
        </w:tc>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60" w:type="dxa"/>
            <w:vAlign w:val="bottom"/>
          </w:tcPr>
          <w:p>
            <w:pPr>
              <w:spacing w:after="0"/>
              <w:rPr>
                <w:sz w:val="20"/>
                <w:szCs w:val="20"/>
                <w:color w:val="auto"/>
              </w:rPr>
            </w:pPr>
          </w:p>
        </w:tc>
      </w:tr>
      <w:tr>
        <w:trPr>
          <w:trHeight w:val="486"/>
        </w:trPr>
        <w:tc>
          <w:tcPr>
            <w:tcW w:w="420" w:type="dxa"/>
            <w:vAlign w:val="bottom"/>
          </w:tcPr>
          <w:p>
            <w:pPr>
              <w:spacing w:after="0"/>
              <w:rPr>
                <w:sz w:val="24"/>
                <w:szCs w:val="24"/>
                <w:color w:val="auto"/>
              </w:rPr>
            </w:pPr>
          </w:p>
        </w:tc>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Mark Bendza</w:t>
            </w:r>
          </w:p>
        </w:tc>
        <w:tc>
          <w:tcPr>
            <w:tcW w:w="3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August 9, 2022</w:t>
            </w:r>
          </w:p>
        </w:tc>
      </w:tr>
      <w:tr>
        <w:trPr>
          <w:trHeight w:val="218"/>
        </w:trPr>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 Bendza</w:t>
            </w:r>
          </w:p>
        </w:tc>
        <w:tc>
          <w:tcPr>
            <w:tcW w:w="10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r>
      <w:tr>
        <w:trPr>
          <w:trHeight w:val="229"/>
        </w:trPr>
        <w:tc>
          <w:tcPr>
            <w:tcW w:w="420" w:type="dxa"/>
            <w:vAlign w:val="bottom"/>
          </w:tcPr>
          <w:p>
            <w:pPr>
              <w:spacing w:after="0"/>
              <w:rPr>
                <w:sz w:val="19"/>
                <w:szCs w:val="19"/>
                <w:color w:val="auto"/>
              </w:rPr>
            </w:pPr>
          </w:p>
        </w:tc>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3660" w:type="dxa"/>
            <w:vAlign w:val="bottom"/>
          </w:tcPr>
          <w:p>
            <w:pPr>
              <w:spacing w:after="0"/>
              <w:rPr>
                <w:sz w:val="19"/>
                <w:szCs w:val="19"/>
                <w:color w:val="auto"/>
              </w:rPr>
            </w:pPr>
          </w:p>
        </w:tc>
      </w:tr>
      <w:tr>
        <w:trPr>
          <w:trHeight w:val="234"/>
        </w:trPr>
        <w:tc>
          <w:tcPr>
            <w:tcW w:w="420" w:type="dxa"/>
            <w:vAlign w:val="bottom"/>
          </w:tcPr>
          <w:p>
            <w:pPr>
              <w:spacing w:after="0"/>
              <w:rPr>
                <w:sz w:val="20"/>
                <w:szCs w:val="20"/>
                <w:color w:val="auto"/>
              </w:rPr>
            </w:pPr>
          </w:p>
        </w:tc>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660" w:type="dxa"/>
            <w:vAlign w:val="bottom"/>
          </w:tcPr>
          <w:p>
            <w:pPr>
              <w:spacing w:after="0"/>
              <w:rPr>
                <w:sz w:val="20"/>
                <w:szCs w:val="20"/>
                <w:color w:val="auto"/>
              </w:rPr>
            </w:pPr>
          </w:p>
        </w:tc>
      </w:tr>
      <w:tr>
        <w:trPr>
          <w:trHeight w:val="500"/>
        </w:trPr>
        <w:tc>
          <w:tcPr>
            <w:tcW w:w="420" w:type="dxa"/>
            <w:vAlign w:val="bottom"/>
          </w:tcPr>
          <w:p>
            <w:pPr>
              <w:spacing w:after="0"/>
              <w:rPr>
                <w:sz w:val="24"/>
                <w:szCs w:val="24"/>
                <w:color w:val="auto"/>
              </w:rPr>
            </w:pPr>
          </w:p>
        </w:tc>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Victoria Harding</w:t>
            </w:r>
          </w:p>
        </w:tc>
        <w:tc>
          <w:tcPr>
            <w:tcW w:w="3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August 9, 2022</w:t>
            </w:r>
          </w:p>
        </w:tc>
      </w:tr>
      <w:tr>
        <w:trPr>
          <w:trHeight w:val="218"/>
        </w:trPr>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Victoria Harding</w:t>
            </w:r>
          </w:p>
        </w:tc>
        <w:tc>
          <w:tcPr>
            <w:tcW w:w="10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Controller and Chief Accounting Officer</w:t>
            </w:r>
          </w:p>
        </w:tc>
        <w:tc>
          <w:tcPr>
            <w:tcW w:w="3660" w:type="dxa"/>
            <w:vAlign w:val="bottom"/>
          </w:tcPr>
          <w:p>
            <w:pPr>
              <w:spacing w:after="0"/>
              <w:rPr>
                <w:sz w:val="19"/>
                <w:szCs w:val="19"/>
                <w:color w:val="auto"/>
              </w:rPr>
            </w:pPr>
          </w:p>
        </w:tc>
      </w:tr>
      <w:tr>
        <w:trPr>
          <w:trHeight w:val="234"/>
        </w:trPr>
        <w:tc>
          <w:tcPr>
            <w:tcW w:w="420" w:type="dxa"/>
            <w:vAlign w:val="bottom"/>
          </w:tcPr>
          <w:p>
            <w:pPr>
              <w:spacing w:after="0"/>
              <w:rPr>
                <w:sz w:val="20"/>
                <w:szCs w:val="20"/>
                <w:color w:val="auto"/>
              </w:rPr>
            </w:pPr>
          </w:p>
        </w:tc>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680"/>
          </w:cols>
          <w:pgMar w:left="320" w:top="126" w:right="8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 John B. Wood, certify that:</w:t>
      </w:r>
    </w:p>
    <w:p>
      <w:pPr>
        <w:spacing w:after="0" w:line="185" w:lineRule="exact"/>
        <w:rPr>
          <w:sz w:val="20"/>
          <w:szCs w:val="20"/>
          <w:color w:val="auto"/>
        </w:rPr>
      </w:pPr>
    </w:p>
    <w:p>
      <w:pPr>
        <w:ind w:left="326" w:hanging="326"/>
        <w:spacing w:after="0"/>
        <w:tabs>
          <w:tab w:leader="none" w:pos="3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Telos Corporation;</w:t>
      </w:r>
    </w:p>
    <w:p>
      <w:pPr>
        <w:spacing w:after="0" w:line="198" w:lineRule="exact"/>
        <w:rPr>
          <w:rFonts w:ascii="Times New Roman" w:cs="Times New Roman" w:eastAsia="Times New Roman" w:hAnsi="Times New Roman"/>
          <w:sz w:val="18"/>
          <w:szCs w:val="18"/>
          <w:color w:val="auto"/>
        </w:rPr>
      </w:pPr>
    </w:p>
    <w:p>
      <w:pPr>
        <w:ind w:left="326" w:right="20" w:hanging="326"/>
        <w:spacing w:after="0" w:line="266" w:lineRule="auto"/>
        <w:tabs>
          <w:tab w:leader="none" w:pos="3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26" w:right="180" w:hanging="326"/>
        <w:spacing w:after="0" w:line="282" w:lineRule="auto"/>
        <w:tabs>
          <w:tab w:leader="none" w:pos="3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26" w:right="160" w:hanging="326"/>
        <w:spacing w:after="0" w:line="276" w:lineRule="auto"/>
        <w:tabs>
          <w:tab w:leader="none" w:pos="32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2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6" w:right="440" w:firstLine="399"/>
        <w:spacing w:after="0" w:line="266" w:lineRule="auto"/>
        <w:tabs>
          <w:tab w:leader="none" w:pos="80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 w:right="140" w:firstLine="399"/>
        <w:spacing w:after="0" w:line="266" w:lineRule="auto"/>
        <w:tabs>
          <w:tab w:leader="none" w:pos="8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 w:right="260" w:firstLine="399"/>
        <w:spacing w:after="0" w:line="282" w:lineRule="auto"/>
        <w:tabs>
          <w:tab w:leader="none" w:pos="80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6" w:right="260" w:firstLine="399"/>
        <w:spacing w:after="0" w:line="266" w:lineRule="auto"/>
        <w:tabs>
          <w:tab w:leader="none" w:pos="8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26" w:right="120" w:hanging="326"/>
        <w:spacing w:after="0" w:line="312" w:lineRule="auto"/>
        <w:tabs>
          <w:tab w:leader="none" w:pos="32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 w:right="460" w:firstLine="399"/>
        <w:spacing w:after="0" w:line="282" w:lineRule="auto"/>
        <w:tabs>
          <w:tab w:leader="none" w:pos="80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 w:right="180" w:firstLine="399"/>
        <w:spacing w:after="0" w:line="282" w:lineRule="auto"/>
        <w:tabs>
          <w:tab w:leader="none" w:pos="8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26"/>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79" w:lineRule="exact"/>
        <w:rPr>
          <w:sz w:val="20"/>
          <w:szCs w:val="20"/>
          <w:color w:val="auto"/>
        </w:rPr>
      </w:pPr>
    </w:p>
    <w:p>
      <w:pPr>
        <w:ind w:left="5126"/>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17145</wp:posOffset>
            </wp:positionV>
            <wp:extent cx="3557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126"/>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5126"/>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0746"/>
          </w:cols>
          <w:pgMar w:left="814" w:top="1062"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Bendza, certify that:</w:t>
      </w:r>
    </w:p>
    <w:p>
      <w:pPr>
        <w:spacing w:after="0" w:line="185" w:lineRule="exact"/>
        <w:rPr>
          <w:sz w:val="20"/>
          <w:szCs w:val="20"/>
          <w:color w:val="auto"/>
        </w:rPr>
      </w:pPr>
    </w:p>
    <w:p>
      <w:pPr>
        <w:ind w:left="360" w:hanging="326"/>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Telos Corporation;</w:t>
      </w:r>
    </w:p>
    <w:p>
      <w:pPr>
        <w:spacing w:after="0" w:line="198" w:lineRule="exact"/>
        <w:rPr>
          <w:rFonts w:ascii="Times New Roman" w:cs="Times New Roman" w:eastAsia="Times New Roman" w:hAnsi="Times New Roman"/>
          <w:sz w:val="18"/>
          <w:szCs w:val="18"/>
          <w:color w:val="auto"/>
        </w:rPr>
      </w:pPr>
    </w:p>
    <w:p>
      <w:pPr>
        <w:ind w:left="360" w:right="20" w:hanging="326"/>
        <w:spacing w:after="0" w:line="266"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60" w:right="180" w:hanging="326"/>
        <w:spacing w:after="0" w:line="282"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60" w:right="160" w:hanging="326"/>
        <w:spacing w:after="0" w:line="276" w:lineRule="auto"/>
        <w:tabs>
          <w:tab w:leader="none" w:pos="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40" w:right="440" w:firstLine="399"/>
        <w:spacing w:after="0" w:line="266" w:lineRule="auto"/>
        <w:tabs>
          <w:tab w:leader="none" w:pos="8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40" w:right="140" w:firstLine="399"/>
        <w:spacing w:after="0" w:line="266" w:lineRule="auto"/>
        <w:tabs>
          <w:tab w:leader="none" w:pos="8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40" w:right="260" w:firstLine="399"/>
        <w:spacing w:after="0" w:line="282" w:lineRule="auto"/>
        <w:tabs>
          <w:tab w:leader="none" w:pos="8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40" w:right="260" w:firstLine="399"/>
        <w:spacing w:after="0" w:line="266" w:lineRule="auto"/>
        <w:tabs>
          <w:tab w:leader="none" w:pos="8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60" w:right="120" w:hanging="326"/>
        <w:spacing w:after="0" w:line="312" w:lineRule="auto"/>
        <w:tabs>
          <w:tab w:leader="none" w:pos="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40" w:right="460" w:firstLine="399"/>
        <w:spacing w:after="0" w:line="282" w:lineRule="auto"/>
        <w:tabs>
          <w:tab w:leader="none" w:pos="8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40" w:right="180" w:firstLine="399"/>
        <w:spacing w:after="0" w:line="282" w:lineRule="auto"/>
        <w:tabs>
          <w:tab w:leader="none" w:pos="8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17145</wp:posOffset>
            </wp:positionV>
            <wp:extent cx="35572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ectPr>
          <w:pgSz w:w="11900" w:h="16838" w:orient="portrait"/>
          <w:cols w:equalWidth="0" w:num="1">
            <w:col w:w="10780"/>
          </w:cols>
          <w:pgMar w:left="780" w:top="106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Telos Corporation (the "Company") on Form 10-Q for the period ended June 30, 2022, as filed with the Securities and Exchange Commission on the date hereof (the "Report"), we, John B. Wood and Mark Bendza, certify, pursuant to 18 U.S.C. § 1350, as adopted pursuant to § 906 of the Sarbanes-Oxley Act of 2002, that to our knowledge:</w:t>
      </w:r>
    </w:p>
    <w:p>
      <w:pPr>
        <w:spacing w:after="0" w:line="176"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380" w:right="140" w:hanging="6048"/>
        <w:spacing w:after="0" w:line="438" w:lineRule="auto"/>
        <w:tabs>
          <w:tab w:leader="none" w:pos="6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9, 2022</w:t>
      </w:r>
    </w:p>
    <w:p>
      <w:pPr>
        <w:spacing w:after="0" w:line="8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9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2"/>
    </w:lvl>
  </w:abstractNum>
  <w:abstractNum w:abstractNumId="4">
    <w:nsid w:val="1BEFD79F"/>
    <w:multiLevelType w:val="hybridMultilevel"/>
    <w:lvl w:ilvl="0">
      <w:lvlJc w:val="left"/>
      <w:lvlText w:val="(%1)"/>
      <w:numFmt w:val="lowerLetter"/>
      <w:start w:val="3"/>
    </w:lvl>
  </w:abstractNum>
  <w:abstractNum w:abstractNumId="5">
    <w:nsid w:val="41A7C4C9"/>
    <w:multiLevelType w:val="hybridMultilevel"/>
    <w:lvl w:ilvl="0">
      <w:lvlJc w:val="left"/>
      <w:lvlText w:val="(%1)"/>
      <w:numFmt w:val="lowerLetter"/>
      <w:start w:val="4"/>
    </w:lvl>
  </w:abstractNum>
  <w:abstractNum w:abstractNumId="6">
    <w:nsid w:val="6B68079A"/>
    <w:multiLevelType w:val="hybridMultilevel"/>
    <w:lvl w:ilvl="0">
      <w:lvlJc w:val="left"/>
      <w:lvlText w:val="(%1)"/>
      <w:numFmt w:val="lowerLetter"/>
      <w:start w:val="5"/>
    </w:lvl>
  </w:abstractNum>
  <w:abstractNum w:abstractNumId="7">
    <w:nsid w:val="4E6AFB66"/>
    <w:multiLevelType w:val="hybridMultilevel"/>
    <w:lvl w:ilvl="0">
      <w:lvlJc w:val="left"/>
      <w:lvlText w:val="(%1)"/>
      <w:numFmt w:val="lowerLetter"/>
      <w:start w:val="6"/>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lvl w:ilvl="1">
      <w:lvlJc w:val="left"/>
      <w:lvlText w:val="◦"/>
      <w:numFmt w:val="bullet"/>
      <w:start w:val="1"/>
    </w:lvl>
  </w:abstractNum>
  <w:abstractNum w:abstractNumId="11">
    <w:nsid w:val="3F2DBA31"/>
    <w:multiLevelType w:val="hybridMultilevel"/>
    <w:lvl w:ilvl="0">
      <w:lvlJc w:val="left"/>
      <w:lvlText w:val="•"/>
      <w:numFmt w:val="bullet"/>
      <w:start w:val="1"/>
    </w:lvl>
    <w:lvl w:ilvl="1">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6">
    <w:nsid w:val="628C895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v"/>
      <w:numFmt w:val="bullet"/>
      <w:start w:val="1"/>
    </w:lvl>
  </w:abstractNum>
  <w:abstractNum w:abstractNumId="21">
    <w:nsid w:val="6763845E"/>
    <w:multiLevelType w:val="hybridMultilevel"/>
    <w:lvl w:ilvl="0">
      <w:lvlJc w:val="left"/>
      <w:lvlText w:val="z"/>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2022-08-09T17:06:42Z</dcterms:created>
  <dcterms:modified xsi:type="dcterms:W3CDTF">2022-08-09T17:06:42Z</dcterms:modified>
</cp:coreProperties>
</file>