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309880</wp:posOffset>
            </wp:positionV>
            <wp:extent cx="70377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September 30, 2025</w:t>
      </w:r>
    </w:p>
    <w:p>
      <w:pPr>
        <w:spacing w:after="0" w:line="17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105410</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1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1" w:lineRule="exact"/>
        <w:rPr>
          <w:sz w:val="24"/>
          <w:szCs w:val="24"/>
          <w:color w:val="auto"/>
        </w:rPr>
      </w:pPr>
    </w:p>
    <w:tbl>
      <w:tblPr>
        <w:tblLayout w:type="fixed"/>
        <w:tblInd w:w="480" w:type="dxa"/>
        <w:tblCellMar>
          <w:top w:w="0" w:type="dxa"/>
          <w:left w:w="0" w:type="dxa"/>
          <w:bottom w:w="0" w:type="dxa"/>
          <w:right w:w="0" w:type="dxa"/>
        </w:tblCellMar>
      </w:tblPr>
      <w:tr>
        <w:trPr>
          <w:trHeight w:val="233"/>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52-0880974</w:t>
            </w:r>
          </w:p>
        </w:tc>
      </w:tr>
      <w:tr>
        <w:trPr>
          <w:trHeight w:val="234"/>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20147-2358</w:t>
            </w:r>
          </w:p>
        </w:tc>
      </w:tr>
      <w:tr>
        <w:trPr>
          <w:trHeight w:val="234"/>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(703) 724-3800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227" w:right="419" w:bottom="1440" w:gutter="0" w:footer="0" w:header="0"/>
        </w:sectPr>
      </w:pPr>
    </w:p>
    <w:p>
      <w:pPr>
        <w:spacing w:after="0" w:line="50"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080" w:space="720"/>
            <w:col w:w="1920" w:space="720"/>
            <w:col w:w="3720"/>
          </w:cols>
          <w:pgMar w:left="320" w:top="227" w:right="41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480" w:space="720"/>
            <w:col w:w="1900" w:space="720"/>
            <w:col w:w="3340"/>
          </w:cols>
          <w:pgMar w:left="320" w:top="227" w:right="419" w:bottom="1440" w:gutter="0" w:footer="0" w:header="0"/>
          <w:type w:val="continuous"/>
        </w:sectPr>
      </w:pPr>
    </w:p>
    <w:p>
      <w:pPr>
        <w:spacing w:after="0" w:line="32"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11"/>
        </w:trPr>
        <w:tc>
          <w:tcPr>
            <w:tcW w:w="202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4700" w:type="dxa"/>
            <w:vAlign w:val="bottom"/>
          </w:tcPr>
          <w:p>
            <w:pPr>
              <w:ind w:left="4500"/>
              <w:spacing w:after="0" w:line="198" w:lineRule="exact"/>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0" w:type="dxa"/>
            <w:vAlign w:val="bottom"/>
          </w:tcPr>
          <w:p>
            <w:pPr>
              <w:spacing w:after="0"/>
              <w:rPr>
                <w:sz w:val="1"/>
                <w:szCs w:val="1"/>
                <w:color w:val="auto"/>
              </w:rPr>
            </w:pPr>
          </w:p>
        </w:tc>
      </w:tr>
      <w:tr>
        <w:trPr>
          <w:trHeight w:val="211"/>
        </w:trPr>
        <w:tc>
          <w:tcPr>
            <w:tcW w:w="202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4700" w:type="dxa"/>
            <w:vAlign w:val="bottom"/>
          </w:tcPr>
          <w:p>
            <w:pPr>
              <w:ind w:left="4500"/>
              <w:spacing w:after="0" w:line="198" w:lineRule="exact"/>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700" w:type="dxa"/>
            <w:vAlign w:val="bottom"/>
          </w:tcPr>
          <w:p>
            <w:pPr>
              <w:ind w:left="2060"/>
              <w:spacing w:after="0" w:line="181"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00" w:type="dxa"/>
            <w:vAlign w:val="bottom"/>
          </w:tcPr>
          <w:p>
            <w:pPr>
              <w:ind w:left="450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70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November 3, 2025, the registrant had outstanding 73,754,329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7"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Table of Contents to Third Quarter 2025 Form 10-Q</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220" w:type="dxa"/>
            <w:vAlign w:val="bottom"/>
            <w:gridSpan w:val="46"/>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 - FINANCIAL INFORMATION</w:t>
            </w:r>
          </w:p>
        </w:tc>
        <w:tc>
          <w:tcPr>
            <w:tcW w:w="22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 (Unaudited)</w:t>
            </w:r>
          </w:p>
        </w:tc>
        <w:tc>
          <w:tcPr>
            <w:tcW w:w="220" w:type="dxa"/>
            <w:vAlign w:val="bottom"/>
            <w:gridSpan w:val="3"/>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22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Comprehensive Loss</w:t>
            </w:r>
          </w:p>
        </w:tc>
        <w:tc>
          <w:tcPr>
            <w:tcW w:w="220" w:type="dxa"/>
            <w:vAlign w:val="bottom"/>
            <w:gridSpan w:val="3"/>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22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220" w:type="dxa"/>
            <w:vAlign w:val="bottom"/>
            <w:gridSpan w:val="3"/>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Changes in Stockholders’ Equity</w:t>
            </w:r>
          </w:p>
        </w:tc>
        <w:tc>
          <w:tcPr>
            <w:tcW w:w="22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960" w:type="dxa"/>
            <w:vAlign w:val="bottom"/>
            <w:tcBorders>
              <w:top w:val="single" w:sz="8" w:color="0000FF"/>
            </w:tcBorders>
            <w:gridSpan w:val="41"/>
          </w:tcPr>
          <w:p>
            <w:pPr>
              <w:spacing w:after="0" w:line="175" w:lineRule="exact"/>
              <w:rPr>
                <w:sz w:val="20"/>
                <w:szCs w:val="20"/>
                <w:color w:val="auto"/>
              </w:rPr>
            </w:pPr>
            <w:r>
              <w:rPr>
                <w:rFonts w:ascii="Times New Roman" w:cs="Times New Roman" w:eastAsia="Times New Roman" w:hAnsi="Times New Roman"/>
                <w:sz w:val="16"/>
                <w:szCs w:val="16"/>
                <w:color w:val="0000FF"/>
              </w:rPr>
              <w:t>Notes to the Unaudited Consolidated Financial Statements</w:t>
            </w:r>
          </w:p>
        </w:tc>
        <w:tc>
          <w:tcPr>
            <w:tcW w:w="544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 Organization</w:t>
            </w:r>
          </w:p>
        </w:tc>
        <w:tc>
          <w:tcPr>
            <w:tcW w:w="22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2. Significant Accounting Policies</w:t>
            </w:r>
          </w:p>
        </w:tc>
        <w:tc>
          <w:tcPr>
            <w:tcW w:w="220" w:type="dxa"/>
            <w:vAlign w:val="bottom"/>
            <w:gridSpan w:val="3"/>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3. Revenue Recognition</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4. Accounts Receivable, Net</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5. Inventories, Net</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6. Property and Equipment, Net</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7. Goodwill</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8. Intangible Assets, Net</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9. Other Balance Sheet Components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14</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10. Revolving Credit Facility</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15</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11. Stock-Based Compensation</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15</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12. Share Repurchases</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17</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13. Accumulated Other Comprehensive Loss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18</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14. Loss per Share</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18</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15. Segment Information</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18</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ind w:left="340"/>
              <w:spacing w:after="0" w:line="175" w:lineRule="exact"/>
              <w:rPr>
                <w:sz w:val="20"/>
                <w:szCs w:val="20"/>
                <w:color w:val="auto"/>
              </w:rPr>
            </w:pPr>
            <w:r>
              <w:rPr>
                <w:rFonts w:ascii="Times New Roman" w:cs="Times New Roman" w:eastAsia="Times New Roman" w:hAnsi="Times New Roman"/>
                <w:sz w:val="16"/>
                <w:szCs w:val="16"/>
                <w:color w:val="0000FF"/>
              </w:rPr>
              <w:t>16. Commitments and Contingencies</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20</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17. Supplemental Cash Flow Information</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20</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FF"/>
            </w:tcBorders>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Forward-Looking Statements</w:t>
            </w:r>
          </w:p>
        </w:tc>
        <w:tc>
          <w:tcPr>
            <w:tcW w:w="7480" w:type="dxa"/>
            <w:vAlign w:val="bottom"/>
            <w:tcBorders>
              <w:bottom w:val="single" w:sz="8" w:color="CCEEFF"/>
            </w:tcBorders>
            <w:gridSpan w:val="2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Overview</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FF"/>
            </w:tcBorders>
            <w:gridSpan w:val="1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Business Environment</w:t>
            </w:r>
          </w:p>
        </w:tc>
        <w:tc>
          <w:tcPr>
            <w:tcW w:w="7920" w:type="dxa"/>
            <w:vAlign w:val="bottom"/>
            <w:tcBorders>
              <w:bottom w:val="single" w:sz="8" w:color="CCEEFF"/>
            </w:tcBorders>
            <w:gridSpan w:val="31"/>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Financial Overview</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22</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0000FF"/>
            </w:tcBorders>
            <w:gridSpan w:val="1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Results of Operations</w:t>
            </w:r>
          </w:p>
        </w:tc>
        <w:tc>
          <w:tcPr>
            <w:tcW w:w="7980" w:type="dxa"/>
            <w:vAlign w:val="bottom"/>
            <w:tcBorders>
              <w:bottom w:val="single" w:sz="8" w:color="CCEEFF"/>
            </w:tcBorders>
            <w:gridSpan w:val="3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Liquidity and Capital Resources</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25</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26</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26</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26</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20" w:type="dxa"/>
            <w:vAlign w:val="bottom"/>
            <w:gridSpan w:val="46"/>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II - OTHER INFORMATION</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9400" w:type="dxa"/>
            <w:vAlign w:val="bottom"/>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34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9400" w:type="dxa"/>
            <w:vAlign w:val="bottom"/>
            <w:gridSpan w:val="4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3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29</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0000FF"/>
            </w:tcBorders>
            <w:gridSpan w:val="5"/>
          </w:tcPr>
          <w:p>
            <w:pPr>
              <w:spacing w:after="0" w:line="175" w:lineRule="exact"/>
              <w:rPr>
                <w:sz w:val="20"/>
                <w:szCs w:val="20"/>
                <w:color w:val="auto"/>
              </w:rPr>
            </w:pPr>
            <w:r>
              <w:rPr>
                <w:rFonts w:ascii="Times New Roman" w:cs="Times New Roman" w:eastAsia="Times New Roman" w:hAnsi="Times New Roman"/>
                <w:sz w:val="16"/>
                <w:szCs w:val="16"/>
                <w:color w:val="0000FF"/>
                <w:w w:val="98"/>
              </w:rPr>
              <w:t>SIGNATURES</w:t>
            </w:r>
          </w:p>
        </w:tc>
        <w:tc>
          <w:tcPr>
            <w:tcW w:w="8400" w:type="dxa"/>
            <w:vAlign w:val="bottom"/>
            <w:gridSpan w:val="38"/>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0000FF"/>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0000FF"/>
              </w:rPr>
              <w:t>30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4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101,632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78,017</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16,396</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118,028</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81,900</w:t>
            </w:r>
          </w:p>
        </w:tc>
        <w:tc>
          <w:tcPr>
            <w:tcW w:w="0" w:type="dxa"/>
            <w:vAlign w:val="bottom"/>
          </w:tcPr>
          <w:p>
            <w:pPr>
              <w:spacing w:after="0"/>
              <w:rPr>
                <w:sz w:val="1"/>
                <w:szCs w:val="1"/>
                <w:color w:val="auto"/>
              </w:rPr>
            </w:pPr>
          </w:p>
        </w:tc>
      </w:tr>
      <w:tr>
        <w:trPr>
          <w:trHeight w:val="142"/>
        </w:trPr>
        <w:tc>
          <w:tcPr>
            <w:tcW w:w="516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Cost of sales – services (excluding impairment loss, depreciation and</w:t>
            </w: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12,689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55,002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45,681</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Cost of sales – products (excluding impairment loss, depreciation and</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73,368</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58,089</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23,014</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32,007</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66,033</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69,757</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(45,946)</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(20,172)</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(43,139)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2"/>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(20,235)</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(43,190)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71,654</w:t>
            </w:r>
          </w:p>
        </w:tc>
        <w:tc>
          <w:tcPr>
            <w:tcW w:w="0" w:type="dxa"/>
            <w:vAlign w:val="bottom"/>
          </w:tcPr>
          <w:p>
            <w:pPr>
              <w:spacing w:after="0"/>
              <w:rPr>
                <w:sz w:val="1"/>
                <w:szCs w:val="1"/>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71,654</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580" w:type="dxa"/>
            <w:vAlign w:val="bottom"/>
          </w:tcPr>
          <w:p>
            <w:pPr>
              <w:spacing w:after="0"/>
              <w:rPr>
                <w:sz w:val="18"/>
                <w:szCs w:val="18"/>
                <w:color w:val="auto"/>
              </w:rPr>
            </w:pPr>
          </w:p>
        </w:tc>
      </w:tr>
      <w:tr>
        <w:trPr>
          <w:trHeight w:val="210"/>
        </w:trPr>
        <w:tc>
          <w:tcPr>
            <w:tcW w:w="488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(20,235)</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(43,190)</w:t>
            </w:r>
          </w:p>
        </w:tc>
      </w:tr>
      <w:tr>
        <w:trPr>
          <w:trHeight w:val="19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Actuarial gain (loss) on pension liability adjustment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4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(28,033)</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(20,151)</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(43,254)</w:t>
            </w:r>
          </w:p>
        </w:tc>
      </w:tr>
      <w:tr>
        <w:trPr>
          <w:trHeight w:val="21"/>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 and share data)</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program expenses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07"/>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30,410</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164,281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7"/>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31,098</w:t>
            </w: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250,000,000 shares authorized, 72,220,048 shares and 72,514,652 shares</w:t>
            </w:r>
          </w:p>
        </w:tc>
        <w:tc>
          <w:tcPr>
            <w:tcW w:w="2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as of September 30, 2025, and December 31, 2024, respectively</w:t>
            </w:r>
          </w:p>
        </w:tc>
        <w:tc>
          <w:tcPr>
            <w:tcW w:w="2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454,502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(347,582)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(327,347)</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119,675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127,137</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164,281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210"/>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(20,235)</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provided by (used in) operating activities: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14,017</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9,368</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(gain) on disposal of fixed assets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(recovery from) doubtful accounts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2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11,706</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15,571</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deferred program expenses, other current assets, other assets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r>
      <w:tr>
        <w:trPr>
          <w:trHeight w:val="212"/>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investment</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(12,485)</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w:t>
            </w: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(29,496)</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99,396</w:t>
            </w:r>
          </w:p>
        </w:tc>
      </w:tr>
      <w:tr>
        <w:trPr>
          <w:trHeight w:val="23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22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jc w:val="center"/>
              <w:ind w:right="80"/>
              <w:spacing w:after="0" w:line="125" w:lineRule="exact"/>
              <w:rPr>
                <w:sz w:val="20"/>
                <w:szCs w:val="20"/>
                <w:color w:val="auto"/>
              </w:rPr>
            </w:pPr>
            <w:r>
              <w:rPr>
                <w:rFonts w:ascii="Times New Roman" w:cs="Times New Roman" w:eastAsia="Times New Roman" w:hAnsi="Times New Roman"/>
                <w:sz w:val="14"/>
                <w:szCs w:val="14"/>
                <w:color w:val="auto"/>
              </w:rPr>
              <w:t>Additional Paid-in</w:t>
            </w:r>
          </w:p>
        </w:tc>
        <w:tc>
          <w:tcPr>
            <w:tcW w:w="160" w:type="dxa"/>
            <w:vAlign w:val="bottom"/>
          </w:tcPr>
          <w:p>
            <w:pPr>
              <w:spacing w:after="0"/>
              <w:rPr>
                <w:sz w:val="9"/>
                <w:szCs w:val="9"/>
                <w:color w:val="auto"/>
              </w:rPr>
            </w:pPr>
          </w:p>
        </w:tc>
        <w:tc>
          <w:tcPr>
            <w:tcW w:w="116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vMerge w:val="restart"/>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72,442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118,413</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9"/>
        </w:trPr>
        <w:tc>
          <w:tcPr>
            <w:tcW w:w="3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Restricted stock unit awards vested, net of shares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93"/>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withheld to cover tax withholding</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0" w:type="dxa"/>
            <w:vAlign w:val="bottom"/>
          </w:tcPr>
          <w:p>
            <w:pPr>
              <w:spacing w:after="0"/>
              <w:rPr>
                <w:sz w:val="1"/>
                <w:szCs w:val="1"/>
                <w:color w:val="auto"/>
              </w:rPr>
            </w:pPr>
          </w:p>
        </w:tc>
      </w:tr>
      <w:tr>
        <w:trPr>
          <w:trHeight w:val="139"/>
        </w:trPr>
        <w:tc>
          <w:tcPr>
            <w:tcW w:w="3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3"/>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72,220</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(347,582)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119,675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72,223</w:t>
            </w:r>
          </w:p>
        </w:tc>
        <w:tc>
          <w:tcPr>
            <w:tcW w:w="80" w:type="dxa"/>
            <w:vAlign w:val="bottom"/>
          </w:tcPr>
          <w:p>
            <w:pPr>
              <w:spacing w:after="0"/>
              <w:rPr>
                <w:sz w:val="16"/>
                <w:szCs w:val="16"/>
                <w:color w:val="auto"/>
              </w:rPr>
            </w:pP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439,146</w:t>
            </w:r>
          </w:p>
        </w:tc>
        <w:tc>
          <w:tcPr>
            <w:tcW w:w="1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(289,962)</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149,149</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(28,055)</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Restricted stock unit awards vested, net of shares</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to cover tax withholding</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8,350</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72,380</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447,513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(318,017)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129,483</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3200" w:type="dxa"/>
            <w:vAlign w:val="bottom"/>
          </w:tcPr>
          <w:p>
            <w:pPr>
              <w:spacing w:after="0"/>
              <w:rPr>
                <w:sz w:val="24"/>
                <w:szCs w:val="24"/>
                <w:color w:val="auto"/>
              </w:rPr>
            </w:pPr>
          </w:p>
        </w:tc>
        <w:tc>
          <w:tcPr>
            <w:tcW w:w="222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jc w:val="center"/>
              <w:ind w:right="80"/>
              <w:spacing w:after="0" w:line="125" w:lineRule="exact"/>
              <w:rPr>
                <w:sz w:val="20"/>
                <w:szCs w:val="20"/>
                <w:color w:val="auto"/>
              </w:rPr>
            </w:pPr>
            <w:r>
              <w:rPr>
                <w:rFonts w:ascii="Times New Roman" w:cs="Times New Roman" w:eastAsia="Times New Roman" w:hAnsi="Times New Roman"/>
                <w:sz w:val="14"/>
                <w:szCs w:val="14"/>
                <w:color w:val="auto"/>
              </w:rPr>
              <w:t>Additional Paid-in</w:t>
            </w:r>
          </w:p>
        </w:tc>
        <w:tc>
          <w:tcPr>
            <w:tcW w:w="160" w:type="dxa"/>
            <w:vAlign w:val="bottom"/>
          </w:tcPr>
          <w:p>
            <w:pPr>
              <w:spacing w:after="0"/>
              <w:rPr>
                <w:sz w:val="9"/>
                <w:szCs w:val="9"/>
                <w:color w:val="auto"/>
              </w:rPr>
            </w:pPr>
          </w:p>
        </w:tc>
        <w:tc>
          <w:tcPr>
            <w:tcW w:w="116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vMerge w:val="restart"/>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127,137</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(20,235)</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Actuarial gain on pension liability adjustment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Restricted stock unit awards vested, net of shares</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to cover tax withholding</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19,757</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(7,639)</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401(k) match</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72,220</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(347,582)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119,675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70,240</w:t>
            </w:r>
          </w:p>
        </w:tc>
        <w:tc>
          <w:tcPr>
            <w:tcW w:w="80" w:type="dxa"/>
            <w:vAlign w:val="bottom"/>
          </w:tcPr>
          <w:p>
            <w:pPr>
              <w:spacing w:after="0"/>
              <w:rPr>
                <w:sz w:val="16"/>
                <w:szCs w:val="16"/>
                <w:color w:val="auto"/>
              </w:rPr>
            </w:pP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433,781</w:t>
            </w:r>
          </w:p>
        </w:tc>
        <w:tc>
          <w:tcPr>
            <w:tcW w:w="10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(274,827)</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159,003</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(43,190)</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loss on pension liability adjustment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9"/>
        </w:trPr>
        <w:tc>
          <w:tcPr>
            <w:tcW w:w="3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Restricted stock unit awards vested, net of shares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93"/>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withheld to cover tax withholding</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12,424</w:t>
            </w:r>
          </w:p>
        </w:tc>
        <w:tc>
          <w:tcPr>
            <w:tcW w:w="0" w:type="dxa"/>
            <w:vAlign w:val="bottom"/>
          </w:tcPr>
          <w:p>
            <w:pPr>
              <w:spacing w:after="0"/>
              <w:rPr>
                <w:sz w:val="1"/>
                <w:szCs w:val="1"/>
                <w:color w:val="auto"/>
              </w:rPr>
            </w:pPr>
          </w:p>
        </w:tc>
      </w:tr>
      <w:tr>
        <w:trPr>
          <w:trHeight w:val="139"/>
        </w:trPr>
        <w:tc>
          <w:tcPr>
            <w:tcW w:w="3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3"/>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401(k) match</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72,380</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447,513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(318,017)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129,483</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ORGANIZATION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Teloworks, Inc. ("Teloworks"), and 100% ownership interest in Telos Identity Management Solutions, LLC ("Telos ID").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SIGNIFICANT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 of Consolidation</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include the accounts of Telos and its subsidiaries (see </w:t>
      </w:r>
      <w:r>
        <w:rPr>
          <w:rFonts w:ascii="Times New Roman" w:cs="Times New Roman" w:eastAsia="Times New Roman" w:hAnsi="Times New Roman"/>
          <w:sz w:val="18"/>
          <w:szCs w:val="18"/>
          <w:u w:val="single" w:color="auto"/>
          <w:color w:val="0000FF"/>
        </w:rPr>
        <w:t>Note 1 – Organization</w:t>
      </w:r>
      <w:r>
        <w:rPr>
          <w:rFonts w:ascii="Times New Roman" w:cs="Times New Roman" w:eastAsia="Times New Roman" w:hAnsi="Times New Roman"/>
          <w:sz w:val="18"/>
          <w:szCs w:val="18"/>
          <w:color w:val="auto"/>
        </w:rPr>
        <w:t>), all of whose issued and outstanding share capital is wholly owned directly and indirectly by Telos Corporation. All intercompany transactions and balances have been eliminated in consolidation.</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accordance with accounting principles generally accepted in the United States of America ("U.S. GAAP"), and the rules and regulations of the U.S. Securities and Exchange Commission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for Interim Periods</w:t>
      </w:r>
    </w:p>
    <w:p>
      <w:pPr>
        <w:spacing w:after="0" w:line="17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for the annual financial statements prepared in accordance with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2024, included in our Annual Report on Form 10-K for the fiscal year then ended. We continue to follow the accounting policies set forth in those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 period presentation. This reclassification relates to presenting "Accrued liabilities" as a separate line item on the unaudited consolidated balance sheets from "Accounts payable" and "Other current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preparation of these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stock-based compensation, impairment of intangible assets and goodwill, restructuring expenses accruals, and contingencies. Actual results could differ from these estimates. The impact of changes in estimates is recorded in the period in which they become known.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Program Expenses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program expenses include direct contract costs identifiable with or allocable to a specific contract. These costs are capitalized as deferred program expenses when the costs are expected to be recovered over a period of time. These costs are amortized using the straight-line method over the expected contract period of performance or recognized upon delivery of the performance obligation. If the contract period of performance is beyond twelve months, we classify the cost as long-term and is included within "Other assets" on the unaudited consolidated balance sheets.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Accrued liabilities represents incurred expenses but not yet invoiced or paid by the Company. These include, but not limited to, accruals related to projects, fees, taxes, employee benefits, and other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disclosed, in the fourth quarter of 2022, the Company committed to a restructuring plan to streamline its workforce and spending to better align its cost structure with its volume of business ("2022 restructuring"). The 2022 restructuring plan reduced the Company's workforce, with a majority of the affected employees separating from the business in early 2023. The actions under the 2022 restructuring plan were substantially completed in fiscal year 2023 and were fully paid in the third quarter of 2024. Total restructuring expenses incurred under the 2022 restructuring plan were $3.9 million.</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Further, in the third quarter of 2024, the Company undertook another restructuring action in an effort to optimize its strategic priorities and cost structure ("2024 restructuring"). As part of the 2024 restructuring plan, the Company decided to discontinue the development and/or sale of selected solutions or parts of solutions, which resulted in the impairment of capitalized software assets and a reduction in workforce. The 2024 restructuring actions were substantially completed in fiscal year 2024 and were fully paid in early fiscal year 2025. The Company incurred $1.3 million in cumulative restructuring expenses related to the 2024 restructuring plan.</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incurred approximately $1.4 million of expenses related to the 2022 and 2024 restructuring plans, which were recorded as costs of sales, research and development expenses, and selling, general and administrative expenses on the unaudited consolidated statements of operations. The restructuring expenses included in cost of sales were allocated to the Security Solutions and Secure Networks segments, totaling $0.3 million and $0.1 million, respectively.</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addition, as a result of the Company's decision to abandon the development or sale of selected solutions in the third quarter of 2024, the Company wrote-off $6.4 million of its previously capitalized software assets. This was reported as an impairment loss on intangible assets under operating expenses on the unaudited consolidated statement of operations. See </w:t>
      </w:r>
      <w:r>
        <w:rPr>
          <w:rFonts w:ascii="Times New Roman" w:cs="Times New Roman" w:eastAsia="Times New Roman" w:hAnsi="Times New Roman"/>
          <w:sz w:val="18"/>
          <w:szCs w:val="18"/>
          <w:u w:val="single" w:color="auto"/>
          <w:color w:val="0000FF"/>
        </w:rPr>
        <w:t>Note 8 – Intangible Assets, Net</w:t>
      </w:r>
      <w:r>
        <w:rPr>
          <w:rFonts w:ascii="Times New Roman" w:cs="Times New Roman" w:eastAsia="Times New Roman" w:hAnsi="Times New Roman"/>
          <w:sz w:val="18"/>
          <w:szCs w:val="18"/>
          <w:color w:val="auto"/>
        </w:rPr>
        <w:t xml:space="preserve"> for further details.</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each reporting date, the Company evaluated its restructuring expense accrual to determine whether the liabilities reported remain appropriate. Any changes in the estimated costs of executing the approved restructuring plans are reflected in the Company's unaudited consolidated statement of operations.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 Summary of Changes in Restructuring Expenses Accrual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rPr>
              <w:t>Severance and related benefit</w:t>
            </w:r>
          </w:p>
        </w:tc>
      </w:tr>
      <w:tr>
        <w:trPr>
          <w:trHeight w:val="216"/>
        </w:trPr>
        <w:tc>
          <w:tcPr>
            <w:tcW w:w="9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81"/>
              <w:spacing w:after="0" w:line="216" w:lineRule="exact"/>
              <w:rPr>
                <w:sz w:val="20"/>
                <w:szCs w:val="20"/>
                <w:color w:val="auto"/>
              </w:rPr>
            </w:pPr>
            <w:r>
              <w:rPr>
                <w:rFonts w:ascii="Times New Roman" w:cs="Times New Roman" w:eastAsia="Times New Roman" w:hAnsi="Times New Roman"/>
                <w:sz w:val="16"/>
                <w:szCs w:val="16"/>
                <w:color w:val="auto"/>
                <w:w w:val="91"/>
              </w:rPr>
              <w:t xml:space="preserve">costs </w:t>
            </w:r>
            <w:r>
              <w:rPr>
                <w:rFonts w:ascii="Times New Roman" w:cs="Times New Roman" w:eastAsia="Times New Roman" w:hAnsi="Times New Roman"/>
                <w:sz w:val="21"/>
                <w:szCs w:val="21"/>
                <w:color w:val="auto"/>
                <w:w w:val="91"/>
                <w:vertAlign w:val="superscript"/>
              </w:rPr>
              <w:t>(1)</w:t>
            </w:r>
          </w:p>
        </w:tc>
      </w:tr>
      <w:tr>
        <w:trPr>
          <w:trHeight w:val="213"/>
        </w:trPr>
        <w:tc>
          <w:tcPr>
            <w:tcW w:w="9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ind w:right="28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
        </w:trPr>
        <w:tc>
          <w:tcPr>
            <w:tcW w:w="9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ind w:left="1361"/>
              <w:spacing w:after="0"/>
              <w:rPr>
                <w:sz w:val="20"/>
                <w:szCs w:val="20"/>
                <w:color w:val="auto"/>
              </w:rPr>
            </w:pPr>
            <w:r>
              <w:rPr>
                <w:rFonts w:ascii="Times New Roman" w:cs="Times New Roman" w:eastAsia="Times New Roman" w:hAnsi="Times New Roman"/>
                <w:sz w:val="16"/>
                <w:szCs w:val="16"/>
                <w:color w:val="auto"/>
                <w:w w:val="99"/>
              </w:rPr>
              <w:t>37</w:t>
            </w:r>
          </w:p>
        </w:tc>
      </w:tr>
      <w:tr>
        <w:trPr>
          <w:trHeight w:val="213"/>
        </w:trPr>
        <w:tc>
          <w:tcPr>
            <w:tcW w:w="9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left="1321"/>
              <w:spacing w:after="0"/>
              <w:rPr>
                <w:sz w:val="20"/>
                <w:szCs w:val="20"/>
                <w:color w:val="auto"/>
              </w:rPr>
            </w:pPr>
            <w:r>
              <w:rPr>
                <w:rFonts w:ascii="Times New Roman" w:cs="Times New Roman" w:eastAsia="Times New Roman" w:hAnsi="Times New Roman"/>
                <w:sz w:val="16"/>
                <w:szCs w:val="16"/>
                <w:color w:val="auto"/>
              </w:rPr>
              <w:t>(37)</w:t>
            </w:r>
          </w:p>
        </w:tc>
      </w:tr>
      <w:tr>
        <w:trPr>
          <w:trHeight w:val="237"/>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center"/>
              <w:ind w:left="1361"/>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40" w:firstLine="8"/>
        <w:spacing w:after="0"/>
        <w:tabs>
          <w:tab w:leader="none" w:pos="145"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Restructuring expenses accrual is included within "Accrued liabilities" on the Company's unaudited consolidated balance sheets (see </w:t>
      </w:r>
      <w:r>
        <w:rPr>
          <w:rFonts w:ascii="Times New Roman" w:cs="Times New Roman" w:eastAsia="Times New Roman" w:hAnsi="Times New Roman"/>
          <w:sz w:val="13"/>
          <w:szCs w:val="13"/>
          <w:u w:val="single" w:color="auto"/>
          <w:color w:val="0000FF"/>
        </w:rPr>
        <w:t>Note 9 - Other Balance Sheet Components</w:t>
      </w:r>
      <w:r>
        <w:rPr>
          <w:rFonts w:ascii="Times New Roman" w:cs="Times New Roman" w:eastAsia="Times New Roman" w:hAnsi="Times New Roman"/>
          <w:sz w:val="13"/>
          <w:szCs w:val="13"/>
          <w:color w:val="auto"/>
        </w:rPr>
        <w:t xml:space="preserve"> for further details).</w:t>
      </w:r>
    </w:p>
    <w:p>
      <w:pPr>
        <w:spacing w:after="0" w:line="3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did not have any restructuring activities or additional impairment charges related to the restructuring plan during the three and nine months ended September 30,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period for which tax years are open, 2021 to 2024, has not been extended beyond the applicable statute of limitations. In September 2024, we were advised by the Internal Revenue Service ("IRS") of an audit of our 2021 federal income tax return. In April 2025, the IRS notified us that it had completed its examination of our 2021 federal income tax return with no changes to our reported tax.</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including significant amendments to the Internal Revenue Code. The OBBBA imposes various changes to U.S. federal income tax regulations, such as restoring bonus depreciation, and removing the requirement to capitalize and amortize domestic research and development expenditures. The OBBBA also included certain modifications to the Inflation Reduction Act of 2022, including the repeal or acceleration of the sunsetting of certain tax credits and the elimination of certain penalties for violations of certain regulatory credit programs. The legislation has multiple effective dates, with certain provisions effective in 2025 and others implemented through 2027. The enactment of these provisions did not have a material impact on our unaudited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adopted all applicable standards effective as of December 31, 2024, within these unaudited consolidated financial statements, with no material impact as a result of the adoption.</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Improvements to Income Tax Disclosure," which requires public entities, on an annual basis, (1) to disclosure specific categories in the rate reconciliation, and (2) to provide additional information for reconciling items that meet a quantitative threshold (if the effect of those reconciling items is equal to or greater than 5% of the amount computed by multiplying pretax income (loss) by the applicable statutory income tax rate). This ASU will be effective, for public entities, for the fiscal year beginning after December 15, 2024, with early adoption permitted. We are currently assessing the impact of adopting this ASU on our unaudited consolidated financial statements.</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 (Topic 220): Disaggregation of Income Statement Expenses." This standard requires additional disclosure of certain amounts included in the expense captions presented on the statements of operations, as well as disclosures about selling expenses. This ASU is effective on a prospective basis, with the option for retrospective application. All public entities are required to adopt the guidance in annual reporting periods beginning after December 15, 2026, and interim reporting periods beginning after December 15, 2027, with early adoption permitted. We are currently assessing the impact of adopting this ASU on our unaudited consolidated financial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Receivables and Contract Assets.” This standard provides simplified guidance on measuring credit losses for accounts receivable and contract assets. The update introduces a practical expedient and an accounting policy election to ease the process. All entities can elect the practical expedient to assume that the current economic conditions at the balance sheet date will remain constant through the life of the current receivables and contract assets. Entities that elects the practical expedient and the accounting policy election should apply the amendments in this ASU prospectively. The amendments will be effective for annual reporting periods beginning after December 15, 2025, and interim reporting periods within those annual reporting periods, with early adoption permitted. We are currently assessing the impact of adopting of this ASU on our unaudited consolidated financial statements.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of Internal-Use Software." This standard provides a simplified, consistent way to track expenses related to software developed for internal use. The amendments in this standard removed all references to project stages; instead, a company can capitalize software costs once both conditions are met: the entity's management has authorized and committed to funding the project, and it is probable that the project will be completed and the software will be used as intended. The amendments will be effective for annual reporting periods, including interim periods within those years, beginning after December 15, 2027, with early adoption permitted. We are currently assessing the impact of adopting this ASU on our unaudited consolidated financial statements.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from time to time, new accounting standards are issued by the FASB or other standard-setting bodies and are adopted by the Company as of the specified accounting date. Unless otherwise discussed, the Company believes that issued standards not yet effective will not have a material effect on its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 RECOGNITION</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The unit of account in ASC 606 is a performance obligation, which is a promise in a contract with a customer to transfer a good or service to the customer.</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periodically transferred to our customers, who receive and consume benefits as we perform. Revenue from transfers to customers over time accounted for 77% and 74% of our revenue for the three and nine months ended September 30, 2025, respectively, and 78% and 81% of our revenue for the three and nine months ended September 30, 2024, respectively. All of our business groups earn services revenue under a variety of contract types, including time and materials, firm-fixed price, firm-fixed price level of effort, and cost-plus fixed fee contract types, which may include variable consideration. For performance obligations in which control does not periodically transfer to the customer, we recognize revenue at the point in time when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from transfers to customers at a point in time accounted for 23% and 26% of our revenue for the three and nine months ended September 30, 2025, respectively, and 22% and 19% of our revenue for the three and nine months ended September 30, 2024, respectively. The change in revenue mix for the nine months ended September 30, 2025, as compared to the prior periods, was primarily driven by an increase in product sales volume from a successful ramp-up of a significant program.</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certain performance obligations where we are not primarily responsible for fulfilling the promise to provide goods or services to the customer, do not have inventory risk and have limited discretion in establishing the price for the goods or services, we recognize revenue on a net basis.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contracts may include various types of variable consideration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and nine months ended September 30, 2025, and 2024.</w:t>
      </w:r>
    </w:p>
    <w:p>
      <w:pPr>
        <w:spacing w:after="0" w:line="1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 the total estimated revenue for a performance obligation. No contract loss was recorded during the three months ended September 30, 2025, and 2024. We recorded an immaterial contract loss during the nine months ended September 30,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segment reporting, as further discussed in </w:t>
      </w:r>
      <w:r>
        <w:rPr>
          <w:rFonts w:ascii="Times New Roman" w:cs="Times New Roman" w:eastAsia="Times New Roman" w:hAnsi="Times New Roman"/>
          <w:sz w:val="18"/>
          <w:szCs w:val="18"/>
          <w:u w:val="single" w:color="auto"/>
          <w:color w:val="0000FF"/>
        </w:rPr>
        <w:t>Note 15 – Segment Information</w:t>
      </w:r>
      <w:r>
        <w:rPr>
          <w:rFonts w:ascii="Times New Roman" w:cs="Times New Roman" w:eastAsia="Times New Roman" w:hAnsi="Times New Roman"/>
          <w:sz w:val="18"/>
          <w:szCs w:val="18"/>
          <w:color w:val="auto"/>
        </w:rPr>
        <w:t>, we disaggregate our revenues by customer and contract types. We treat sales to U.S. customers as sales within the United States, regardless of where the services are performed. Substantially most of our revenues are generated from U.S. customers, while international customers are de minimis; as such, the financial information by geographic location is not presented.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Customer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color w:val="auto"/>
              </w:rPr>
              <w:t>For the Nine Months Ended</w:t>
            </w:r>
          </w:p>
        </w:tc>
        <w:tc>
          <w:tcPr>
            <w:tcW w:w="1040" w:type="dxa"/>
            <w:vAlign w:val="bottom"/>
            <w:tcBorders>
              <w:top w:val="single" w:sz="8" w:color="auto"/>
              <w:bottom w:val="single" w:sz="8" w:color="auto"/>
            </w:tcBorders>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September 30, 2025</w:t>
            </w:r>
          </w:p>
        </w:tc>
        <w:tc>
          <w:tcPr>
            <w:tcW w:w="180" w:type="dxa"/>
            <w:vAlign w:val="bottom"/>
          </w:tcPr>
          <w:p>
            <w:pPr>
              <w:spacing w:after="0"/>
              <w:rPr>
                <w:sz w:val="18"/>
                <w:szCs w:val="18"/>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September 30, 2024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September 30, 2025</w:t>
            </w:r>
          </w:p>
        </w:tc>
        <w:tc>
          <w:tcPr>
            <w:tcW w:w="180" w:type="dxa"/>
            <w:vAlign w:val="bottom"/>
          </w:tcPr>
          <w:p>
            <w:pPr>
              <w:spacing w:after="0"/>
              <w:rPr>
                <w:sz w:val="18"/>
                <w:szCs w:val="18"/>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0"/>
        </w:trPr>
        <w:tc>
          <w:tcPr>
            <w:tcW w:w="2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Borders>
              <w:top w:val="single" w:sz="8" w:color="auto"/>
            </w:tcBorders>
            <w:gridSpan w:val="2"/>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7"/>
          </w:tcPr>
          <w:p>
            <w:pPr>
              <w:ind w:lef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87 %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88%</w:t>
            </w: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 local, and commercial</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13 %</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r>
      <w:tr>
        <w:trPr>
          <w:trHeight w:val="237"/>
        </w:trPr>
        <w:tc>
          <w:tcPr>
            <w:tcW w:w="2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118,028</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81,900</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70"/>
        </w:trPr>
        <w:tc>
          <w:tcPr>
            <w:tcW w:w="3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Table 3.2: Revenue by Contract Type</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color w:val="auto"/>
              </w:rPr>
              <w:t>For the Nine Months Ended</w:t>
            </w:r>
          </w:p>
        </w:tc>
        <w:tc>
          <w:tcPr>
            <w:tcW w:w="1040" w:type="dxa"/>
            <w:vAlign w:val="bottom"/>
            <w:tcBorders>
              <w:bottom w:val="single" w:sz="8" w:color="auto"/>
            </w:tcBorders>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September 30, 2025</w:t>
            </w:r>
          </w:p>
        </w:tc>
        <w:tc>
          <w:tcPr>
            <w:tcW w:w="180" w:type="dxa"/>
            <w:vAlign w:val="bottom"/>
          </w:tcPr>
          <w:p>
            <w:pPr>
              <w:spacing w:after="0"/>
              <w:rPr>
                <w:sz w:val="18"/>
                <w:szCs w:val="18"/>
                <w:color w:val="auto"/>
              </w:rPr>
            </w:pPr>
          </w:p>
        </w:tc>
        <w:tc>
          <w:tcPr>
            <w:tcW w:w="198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September 30, 2025</w:t>
            </w:r>
          </w:p>
        </w:tc>
        <w:tc>
          <w:tcPr>
            <w:tcW w:w="180" w:type="dxa"/>
            <w:vAlign w:val="bottom"/>
          </w:tcPr>
          <w:p>
            <w:pPr>
              <w:spacing w:after="0"/>
              <w:rPr>
                <w:sz w:val="18"/>
                <w:szCs w:val="18"/>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09"/>
        </w:trPr>
        <w:tc>
          <w:tcPr>
            <w:tcW w:w="2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7"/>
          </w:tcPr>
          <w:p>
            <w:pPr>
              <w:ind w:lef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Firm fixed-price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84,560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9,499</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26,789</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plus fixed fee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r>
      <w:tr>
        <w:trPr>
          <w:trHeight w:val="212"/>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51,444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118,028</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81,900</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100 %</w:t>
            </w:r>
          </w:p>
        </w:tc>
      </w:tr>
      <w:tr>
        <w:trPr>
          <w:trHeight w:val="20"/>
        </w:trPr>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Company's revenue was derived under prime contracts and subcontracts with agencies and departments of the U.S. federal government.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customer accounted for 10% or more of the Company's revenue during the three and nine months ended September 30, 2025, and 2024.</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Concentration Greater than 10% of Total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4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government: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15,168</w:t>
            </w:r>
          </w:p>
        </w:tc>
        <w:tc>
          <w:tcPr>
            <w:tcW w:w="8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94,017</w:t>
            </w:r>
          </w:p>
        </w:tc>
        <w:tc>
          <w:tcPr>
            <w:tcW w:w="8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45,040</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7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27,006</w:t>
            </w:r>
          </w:p>
        </w:tc>
        <w:tc>
          <w:tcPr>
            <w:tcW w:w="0" w:type="dxa"/>
            <w:vAlign w:val="bottom"/>
          </w:tcPr>
          <w:p>
            <w:pPr>
              <w:spacing w:after="0"/>
              <w:rPr>
                <w:sz w:val="1"/>
                <w:szCs w:val="1"/>
                <w:color w:val="auto"/>
              </w:rPr>
            </w:pPr>
          </w:p>
        </w:tc>
      </w:tr>
      <w:tr>
        <w:trPr>
          <w:trHeight w:val="209"/>
        </w:trPr>
        <w:tc>
          <w:tcPr>
            <w:tcW w:w="4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47,296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20,607</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107,268</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72,046</w:t>
            </w:r>
          </w:p>
        </w:tc>
        <w:tc>
          <w:tcPr>
            <w:tcW w:w="0" w:type="dxa"/>
            <w:vAlign w:val="bottom"/>
          </w:tcPr>
          <w:p>
            <w:pPr>
              <w:spacing w:after="0"/>
              <w:rPr>
                <w:sz w:val="1"/>
                <w:szCs w:val="1"/>
                <w:color w:val="auto"/>
              </w:rPr>
            </w:pPr>
          </w:p>
        </w:tc>
      </w:tr>
      <w:tr>
        <w:trPr>
          <w:trHeight w:val="21"/>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3.4: Contract Balances</w:t>
            </w: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444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260" w:type="dxa"/>
            <w:vAlign w:val="bottom"/>
            <w:tcBorders>
              <w:bottom w:val="single" w:sz="8" w:color="auto"/>
            </w:tcBorders>
            <w:gridSpan w:val="4"/>
          </w:tcPr>
          <w:p>
            <w:pPr>
              <w:jc w:val="center"/>
              <w:ind w:left="139"/>
              <w:spacing w:after="0"/>
              <w:rPr>
                <w:sz w:val="20"/>
                <w:szCs w:val="20"/>
                <w:color w:val="auto"/>
              </w:rPr>
            </w:pPr>
            <w:r>
              <w:rPr>
                <w:rFonts w:ascii="Times New Roman" w:cs="Times New Roman" w:eastAsia="Times New Roman" w:hAnsi="Times New Roman"/>
                <w:sz w:val="16"/>
                <w:szCs w:val="16"/>
                <w:color w:val="auto"/>
              </w:rPr>
              <w:t>Balance Sheet Presentation</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tcPr>
          <w:p>
            <w:pPr>
              <w:spacing w:after="0"/>
              <w:rPr>
                <w:sz w:val="18"/>
                <w:szCs w:val="18"/>
                <w:color w:val="auto"/>
              </w:rPr>
            </w:pPr>
          </w:p>
        </w:tc>
        <w:tc>
          <w:tcPr>
            <w:tcW w:w="206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4"/>
          </w:tcPr>
          <w:p>
            <w:pP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26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Billed accounts receivable </w:t>
            </w:r>
            <w:r>
              <w:rPr>
                <w:rFonts w:ascii="Times New Roman" w:cs="Times New Roman" w:eastAsia="Times New Roman" w:hAnsi="Times New Roman"/>
                <w:sz w:val="21"/>
                <w:szCs w:val="21"/>
                <w:color w:val="auto"/>
                <w:vertAlign w:val="superscript"/>
              </w:rPr>
              <w:t>(1)</w:t>
            </w:r>
          </w:p>
        </w:tc>
        <w:tc>
          <w:tcPr>
            <w:tcW w:w="2260" w:type="dxa"/>
            <w:vAlign w:val="bottom"/>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13,739</w:t>
            </w:r>
          </w:p>
        </w:tc>
        <w:tc>
          <w:tcPr>
            <w:tcW w:w="62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10,014</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260" w:type="dxa"/>
            <w:vAlign w:val="bottom"/>
            <w:gridSpan w:val="4"/>
          </w:tcPr>
          <w:p>
            <w:pPr>
              <w:jc w:val="center"/>
              <w:ind w:left="139"/>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260" w:type="dxa"/>
            <w:vAlign w:val="bottom"/>
            <w:gridSpan w:val="4"/>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260" w:type="dxa"/>
            <w:vAlign w:val="bottom"/>
            <w:gridSpan w:val="4"/>
          </w:tcPr>
          <w:p>
            <w:pPr>
              <w:jc w:val="center"/>
              <w:ind w:left="139"/>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allowance for credit losses.</w:t>
      </w:r>
    </w:p>
    <w:p>
      <w:pPr>
        <w:spacing w:after="0" w:line="1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changes in the Company's contract assets and contract liabilities during the current period were primarily the result of the timing differences between the Company's performance, invoicing, and customer payments. Revenue recognized for the three and nine months ended September 30, 2025, which was included in the contract liabilities balance at December 31, 2024, was $1.2 million and $5.3 million, respectively. Revenue recognized for the three and nine months ended September 30, 2024, which was included in the contract liabilities balance at December 31, 2023, was $1.2 million and $5.7 million, respectively.</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September 30, 2025, we had approximately $65.5 million of remaining performance obligations, which we also refer to as funded backlog. We expect to recognize approximately 97% of our remaining performance obligations over the next 12 months, and the balance thereafter.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 Details of Accounts Receivable,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for credit losses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provision for credit losses, net of recoveries.</w:t>
      </w:r>
    </w:p>
    <w:p>
      <w:pPr>
        <w:spacing w:after="0" w:line="1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our primary customer base includes agencies of the U.S. federal government, we have a concentration of credit risk associated with our accounts receivable, as 89% and 88% of our billed and unbilled accounts receivable as of September 30, 2025, and December 31, 2024, respectively, were with U.S. federal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INVENTORIES,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 Details of Inventories,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ind w:left="1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inventory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inventory obsolescence</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PROPERTY AND EQUIPMENT,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6.1: Details of Property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September 30, 2025</w:t>
            </w: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December 31, 2024</w:t>
            </w:r>
          </w:p>
        </w:tc>
        <w:tc>
          <w:tcPr>
            <w:tcW w:w="5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4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Net Carrying Value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4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Net Carrying Value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21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34"/>
        </w:trPr>
        <w:tc>
          <w:tcPr>
            <w:tcW w:w="2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6.2: Depreciation and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520" w:type="dxa"/>
            <w:vAlign w:val="bottom"/>
            <w:tcBorders>
              <w:top w:val="single" w:sz="8" w:color="auto"/>
              <w:bottom w:val="single" w:sz="8" w:color="auto"/>
            </w:tcBorders>
          </w:tcPr>
          <w:p>
            <w:pPr>
              <w:spacing w:after="0"/>
              <w:rPr>
                <w:sz w:val="18"/>
                <w:szCs w:val="18"/>
                <w:color w:val="auto"/>
              </w:rPr>
            </w:pPr>
          </w:p>
        </w:tc>
      </w:tr>
      <w:tr>
        <w:trPr>
          <w:trHeight w:val="209"/>
        </w:trPr>
        <w:tc>
          <w:tcPr>
            <w:tcW w:w="516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GOODWILL</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goodwill balance was $17.9 million as of September 30, 2025, and December 31, 2024, of which $3.0 million is allocated to the Security Solutions segment and $14.9 million is allocated to the Secure Networks segment. Goodwill is subject to annual impairment tests, and if triggering events are present in the interim before the annual tests, we will assess impairment. If the financial performance of our Secure Networks reporting segment remains at the current level for a sustained period of time, and after considering other qualitative factors, there may be a triggering event indicating goodwill may be impaired in our Secure Networks reporting unit. Accordingly, management may need to perform a quantitative impairment test over the Secure Networks reporting unit to determine if an impairment loss should be recorded which may have an adverse impact on our results of operations. No impairment charges were recorded for the three and nine months ended September 30,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INTANGIBLE ASSETS,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r>
      <w:tr>
        <w:trPr>
          <w:trHeight w:val="161"/>
        </w:trPr>
        <w:tc>
          <w:tcPr>
            <w:tcW w:w="2780" w:type="dxa"/>
            <w:vAlign w:val="bottom"/>
          </w:tcPr>
          <w:p>
            <w:pPr>
              <w:spacing w:after="0"/>
              <w:rPr>
                <w:sz w:val="13"/>
                <w:szCs w:val="13"/>
                <w:color w:val="auto"/>
              </w:rPr>
            </w:pPr>
          </w:p>
        </w:tc>
        <w:tc>
          <w:tcPr>
            <w:tcW w:w="122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6"/>
                <w:szCs w:val="16"/>
                <w:color w:val="auto"/>
                <w:w w:val="99"/>
              </w:rPr>
              <w:t>Estimated</w:t>
            </w:r>
          </w:p>
        </w:tc>
        <w:tc>
          <w:tcPr>
            <w:tcW w:w="11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3"/>
                <w:szCs w:val="13"/>
                <w:color w:val="auto"/>
              </w:rPr>
            </w:pPr>
          </w:p>
        </w:tc>
        <w:tc>
          <w:tcPr>
            <w:tcW w:w="1020" w:type="dxa"/>
            <w:vAlign w:val="bottom"/>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Net Carrying</w:t>
            </w:r>
          </w:p>
        </w:tc>
        <w:tc>
          <w:tcPr>
            <w:tcW w:w="80" w:type="dxa"/>
            <w:vAlign w:val="bottom"/>
          </w:tcPr>
          <w:p>
            <w:pPr>
              <w:spacing w:after="0"/>
              <w:rPr>
                <w:sz w:val="13"/>
                <w:szCs w:val="13"/>
                <w:color w:val="auto"/>
              </w:rPr>
            </w:pPr>
          </w:p>
        </w:tc>
        <w:tc>
          <w:tcPr>
            <w:tcW w:w="11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3"/>
                <w:szCs w:val="13"/>
                <w:color w:val="auto"/>
              </w:rPr>
            </w:pPr>
          </w:p>
        </w:tc>
        <w:tc>
          <w:tcPr>
            <w:tcW w:w="1020" w:type="dxa"/>
            <w:vAlign w:val="bottom"/>
          </w:tcPr>
          <w:p>
            <w:pPr>
              <w:jc w:val="right"/>
              <w:ind w:right="59"/>
              <w:spacing w:after="0" w:line="161" w:lineRule="exact"/>
              <w:rPr>
                <w:sz w:val="20"/>
                <w:szCs w:val="20"/>
                <w:color w:val="auto"/>
              </w:rPr>
            </w:pPr>
            <w:r>
              <w:rPr>
                <w:rFonts w:ascii="Times New Roman" w:cs="Times New Roman" w:eastAsia="Times New Roman" w:hAnsi="Times New Roman"/>
                <w:sz w:val="16"/>
                <w:szCs w:val="16"/>
                <w:color w:val="auto"/>
              </w:rPr>
              <w:t>Net Carrying</w:t>
            </w:r>
          </w:p>
        </w:tc>
      </w:tr>
      <w:tr>
        <w:trPr>
          <w:trHeight w:val="213"/>
        </w:trPr>
        <w:tc>
          <w:tcPr>
            <w:tcW w:w="27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Useful Life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Value</w:t>
            </w:r>
          </w:p>
        </w:tc>
      </w:tr>
      <w:tr>
        <w:trPr>
          <w:trHeight w:val="216"/>
        </w:trPr>
        <w:tc>
          <w:tcPr>
            <w:tcW w:w="278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2 - 5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w:t>
            </w:r>
          </w:p>
        </w:tc>
      </w:tr>
      <w:tr>
        <w:trPr>
          <w:trHeight w:val="207"/>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13,685</w:t>
            </w:r>
          </w:p>
        </w:tc>
      </w:tr>
      <w:tr>
        <w:trPr>
          <w:trHeight w:val="219"/>
        </w:trPr>
        <w:tc>
          <w:tcPr>
            <w:tcW w:w="2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In-process software development costs </w:t>
            </w:r>
            <w:r>
              <w:rPr>
                <w:rFonts w:ascii="Times New Roman" w:cs="Times New Roman" w:eastAsia="Times New Roman" w:hAnsi="Times New Roman"/>
                <w:sz w:val="21"/>
                <w:szCs w:val="21"/>
                <w:color w:val="auto"/>
                <w:vertAlign w:val="superscript"/>
              </w:rPr>
              <w:t>(1)</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w:t>
            </w: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30,410</w:t>
            </w:r>
          </w:p>
        </w:tc>
      </w:tr>
      <w:tr>
        <w:trPr>
          <w:trHeight w:val="21"/>
        </w:trPr>
        <w:tc>
          <w:tcPr>
            <w:tcW w:w="2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In-process software development costs are costs for software that is not yet available for its intended use or general release to customers as of balance sheet date, thus not yet amortized.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evaluates its intangible assets for potential impairment whenever there is evidence that events or changes in circumstances indicate that the carrying value may not be recoverable.</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there were selected capitalized software projects for which the Company decided to discontinue the development and/or sale of all or a part of certain solutions and certain projects that the Company ceased use before the end of its useful life. As a result of the Company's decision to abandon the associated software, the Company wrote-off $11.7 million of the previously capitalized software costs, of which $5.3 million was recorded as "Impairment loss on intangible assets" under cost of sales and $6.4 million was recorded as "Impairment loss on intangible assets" under operating expenses in the Company's unaudited statement of operations for the three and nine months ended September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there were no impairment losses recorded on the Company's software development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Likewise, no impairment losses were recorded on other intangible assets during the three and nine months ended September 30, 2025, and 2024.</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8.2: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520" w:type="dxa"/>
            <w:vAlign w:val="bottom"/>
            <w:tcBorders>
              <w:top w:val="single" w:sz="8" w:color="auto"/>
              <w:bottom w:val="single" w:sz="8" w:color="auto"/>
            </w:tcBorders>
          </w:tcPr>
          <w:p>
            <w:pPr>
              <w:spacing w:after="0"/>
              <w:rPr>
                <w:sz w:val="18"/>
                <w:szCs w:val="18"/>
                <w:color w:val="auto"/>
              </w:rPr>
            </w:pPr>
          </w:p>
        </w:tc>
      </w:tr>
      <w:tr>
        <w:trPr>
          <w:trHeight w:val="209"/>
        </w:trPr>
        <w:tc>
          <w:tcPr>
            <w:tcW w:w="516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related to:</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5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Software development costs – cost of sales </w:t>
            </w:r>
            <w:r>
              <w:rPr>
                <w:rFonts w:ascii="Times New Roman" w:cs="Times New Roman" w:eastAsia="Times New Roman" w:hAnsi="Times New Roman"/>
                <w:sz w:val="21"/>
                <w:szCs w:val="21"/>
                <w:color w:val="auto"/>
                <w:vertAlign w:val="superscript"/>
              </w:rPr>
              <w:t>(1)</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8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8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 research and development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intangible assets – general and administrative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80" w:firstLine="8"/>
        <w:spacing w:after="0"/>
        <w:tabs>
          <w:tab w:leader="none" w:pos="145"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Amortization expense for software development costs related to assets to be sold, leased, or otherwise marketed is charged under cost of sales on the unaudited consolidated statements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OTHER BALANCE SHEET COMPONENTS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9.1: Details of Other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Investment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 and deferred commission – long-term portion</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00" w:firstLine="8"/>
        <w:spacing w:after="0" w:line="267" w:lineRule="auto"/>
        <w:tabs>
          <w:tab w:leader="none" w:pos="14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March 2024, the Company made a $3.0 million investment in a privately held company via a simple agreement for future equity. The Company elected to apply the fair value option on this investment. The Company believes the fair value option best reflects the economics of the underlying transaction. The fair value of this investment was based on non-marketable observable inputs, which represent Level 3 measurement within the fair value hierarchy. Changes in the fair value of this investment are recognized within "Other income" on the unaudited consolidated statements of operations, if any. During the three and nine months ended September 30, 2025, and 2024, the Company did not recognize any changes in the fair value.</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9.2: Details of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project expenses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accrual</w:t>
            </w:r>
          </w:p>
        </w:tc>
        <w:tc>
          <w:tcPr>
            <w:tcW w:w="2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w:t>
            </w:r>
          </w:p>
        </w:tc>
      </w:tr>
      <w:tr>
        <w:trPr>
          <w:trHeight w:val="23"/>
        </w:trPr>
        <w:tc>
          <w:tcPr>
            <w:tcW w:w="7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REVOLVING CREDIT FACILITY</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Agreement will accrue interest, at our option, at one of three variable rates, plus a specified margin. We can elect to borrow at</w:t>
      </w:r>
    </w:p>
    <w:p>
      <w:pPr>
        <w:spacing w:after="0" w:line="27" w:lineRule="exact"/>
        <w:rPr>
          <w:sz w:val="20"/>
          <w:szCs w:val="20"/>
          <w:color w:val="auto"/>
        </w:rPr>
      </w:pPr>
    </w:p>
    <w:p>
      <w:pPr>
        <w:ind w:firstLine="8"/>
        <w:spacing w:after="0" w:line="251"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3-to-1. We were in compliance with all covenants as of September 30, 2025.</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grants stock-based compensation awards under the Amended and Restated 2016 Omnibus Long-Term Incentive Plan (the "2016 LTIP"). We have granted stock options, restricted stock units with time-based vesting ("RSUs"), and restricted stock units with performance-based vesting ("PSUs"). Awards granted under the 2016 LTIP vest over the periods determined by the Board of Directors or the Compensation Committee of the Board of Directors, which has the discretion to establish the terms, conditions and criteria of the various awards. The RSUs granted to eligible employees and non-employees generally vest in installments over a period of up to three years. PSUs will vest upon the achievement of a defined performance target or market conditions for the Company's common stock or certain operational milestones over a prescribed period.</w:t>
      </w:r>
    </w:p>
    <w:p>
      <w:pPr>
        <w:spacing w:after="0" w:line="1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8, 2025, the Company's stockholders approved an amendment to the 2016 LTIP that increased the number of shares available for issuance under the 2016 LTIP by an additional 4,900,000 shares. As of September 30, 2025, approximately 1.6 million shares of our common stock were available for future grants under the 2016 LTIP.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restricted stock units and stock options granted to employees and non-employees is included in the unaudited consolidated statements of operations, net of adjustments. There were no income tax benefits recognized on the stock-based compensation expense for the three and nine months ended September 30, 2025, and 2024.</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11.1: Details of Stock Compensation Expense by Category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560" w:type="dxa"/>
            <w:vAlign w:val="bottom"/>
            <w:tcBorders>
              <w:top w:val="single" w:sz="8" w:color="auto"/>
              <w:bottom w:val="single" w:sz="8" w:color="auto"/>
            </w:tcBorders>
          </w:tcPr>
          <w:p>
            <w:pPr>
              <w:spacing w:after="0"/>
              <w:rPr>
                <w:sz w:val="18"/>
                <w:szCs w:val="18"/>
                <w:color w:val="auto"/>
              </w:rPr>
            </w:pPr>
          </w:p>
        </w:tc>
      </w:tr>
      <w:tr>
        <w:trPr>
          <w:trHeight w:val="209"/>
        </w:trPr>
        <w:tc>
          <w:tcPr>
            <w:tcW w:w="516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4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4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8,813</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22,995</w:t>
            </w:r>
          </w:p>
        </w:tc>
        <w:tc>
          <w:tcPr>
            <w:tcW w:w="8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13,678</w:t>
            </w:r>
          </w:p>
        </w:tc>
      </w:tr>
      <w:tr>
        <w:trPr>
          <w:trHeight w:val="207"/>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9,388</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24,193</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14,017</w:t>
            </w: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11.2: Restricted Stock Unit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Service-Based</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Total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1,952,103</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10,683,230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12,635,333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1,161,265</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3,381,163</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4,542,428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(840,616)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(717,191)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(1,557,807)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(110,916)</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(154,649)</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(265,565)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September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2,161,836</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13,192,553</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15,354,389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February 20, 2025, the Company amended certain previously granted PSUs that could settle in up to 2,462,445 shares of its common stock and would only vest if the Company achieves certain financial performance targets for fiscal year 2025. The amendment eliminated one of the financial performance targets.</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May 14, 2025, the Company granted PSUs to a certain employee that could settle in up to (i) 65,000 shares of its common stock that will vest only if the Company achieves a certain operational milestone prior to January 1, 2027; and (ii) 50,000 shares of its common stock and will vest only if the Company achieves certain financial performance targets for fiscal year 2025.</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11, 2025, the Company granted PSUs containing stock price market conditions to certain employees that could settle in up to 1,060,000 shares of its common stock. These PSUs will vest, in whole or in part, only if the Company's closing common stock price remains at or above certain specified stock prices for 50 consecutive days prior to January 1, 2027.</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11, 2025, the Company also granted to certain executives PSUs that were market conditions dependent on total shareholder return ("TSR"), that could settle in up to 2,206,163 shares of its common stock. The vesting criteria for these awards are based on the Company's TSR performance relative to the TSR performance of the Company's current compensation peer group as of the grant date over the three-year performance period, June 1, 2025, through May 31, 2028, and conditioned upon neutral or positive free cash flow (i.e. cash flows from operating activities less capital expenditure) at the end of each fiscal year 2025, 2026, and 2027. The final payout of these PSUs will vary between 0% to 200% of the target number of PSUs granted, depending on the TSR performance and meeting the free cash flow requirements.</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Company's stock-based compensation awards subject to market conditions, the grant date fair value per share is based on a Monte Carlo simulation method. The expenses for these awards are recognized over the derived service period as determined through the Monte Carlo simulation model (as defined below).</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awards subject to stock price market conditions, the Monte Carlo approach uses a class of computational algorithms that rely on repeated random sampling to compute their results. This approach allows the calculation of the value of such PSUs based on a large number of possible stock price path scenarios. The risk-free rate is based on a zero-coupon yield from the Treasury Constant Maturities yield curve at the time of grant over the performance period. Our key assumptions include a performance period of 1.56 years, an expected volatility of 97.5%, and a risk-free rate of 3.9%. The fair value for these stock price market condition PSUs at the grant date ranges between $1.17 – $1.51, and the derived service period ranges between 0.8 – 0.94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awards subject to TSR market conditions, the Monte Carlo simulation simulates a distribution of stock prices for the Company and its current compensation peer group throughout the remaining performance period based on certain assumptions of stock price performance. Monte Carlo valuations of relative TSR PSUs depend on two sets of prices: realized performance and simulated performance. Our key assumptions include a performance period of 2.97 years, an expected volatility of 114.7%, and a risk-free rate of 3.8%. The fair value for these relative TSR market condition PSUs at the grant date was $4.82.</w:t>
      </w:r>
    </w:p>
    <w:p>
      <w:pPr>
        <w:spacing w:after="0" w:line="12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As of September 30, 2025, and 2024, the intrinsic value of the RSUs and PSUs outstanding, exercisable, and vested or expected to vest was $105.0 million and $45.8 million, respectively. There was approximately $17.8 million of total compensation costs related to stock-based awards not yet recognized as of September 30, 2025, which is expected to be recognized on a straight-line basis over a weighted-average remaining vesting period of 0.5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11.3: Stock Option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Stock 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Weighted-Average</w:t>
            </w: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Remaining</w:t>
            </w:r>
          </w:p>
        </w:tc>
        <w:tc>
          <w:tcPr>
            <w:tcW w:w="10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4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Contractual Term (in</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Exercise Price</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years)</w:t>
            </w:r>
          </w:p>
        </w:tc>
        <w:tc>
          <w:tcPr>
            <w:tcW w:w="100" w:type="dxa"/>
            <w:vAlign w:val="bottom"/>
          </w:tcPr>
          <w:p>
            <w:pPr>
              <w:spacing w:after="0"/>
              <w:rPr>
                <w:sz w:val="18"/>
                <w:szCs w:val="18"/>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464,940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September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stock options as of September 30, 2025</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1,144,080</w:t>
            </w: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20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 awards and the quoted closing price of the Company's common stock as of September 30, 2025.</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 stock options, including the stock options granted to directors, is expensed on a straight-line basis over the vesting period of one year, as the annual stockholders meeting is expected to occur at the same approximate time each year. As of September 30, 2025, there were no unrecognized compensation costs related to non-vested stock options.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SHARE REPURCHASES</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May 24, 2022, the Company announced that the Board of Directors approved a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September 30, 2025, there was approximately $31.1 million of the authorization remaining for future common stock repurchases under the SRP.</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 Share Repurchase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For the Nine Months Ended</w:t>
            </w:r>
          </w:p>
        </w:tc>
        <w:tc>
          <w:tcPr>
            <w:tcW w:w="420" w:type="dxa"/>
            <w:vAlign w:val="bottom"/>
            <w:tcBorders>
              <w:top w:val="single" w:sz="8" w:color="auto"/>
            </w:tcBorders>
          </w:tcPr>
          <w:p>
            <w:pPr>
              <w:spacing w:after="0"/>
              <w:rPr>
                <w:sz w:val="18"/>
                <w:szCs w:val="18"/>
                <w:color w:val="auto"/>
              </w:rPr>
            </w:pPr>
          </w:p>
        </w:tc>
      </w:tr>
      <w:tr>
        <w:trPr>
          <w:trHeight w:val="209"/>
        </w:trPr>
        <w:tc>
          <w:tcPr>
            <w:tcW w:w="516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and share data)</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Amounts paid for shares repurchased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2,072,440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Average per share price paid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r>
    </w:tbl>
    <w:p>
      <w:pPr>
        <w:spacing w:after="0" w:line="220"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commission paid for repurchases on the open market.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ACCUMULATED OTHER COMPREHENSIVE LOSS</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13: Details of Changes in the Components of Accumulated Other Comprehensive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color w:val="auto"/>
              </w:rPr>
              <w:t>Foreign currency</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Pension liability</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 before reclassification, net of tax</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LOSS PER SHARE</w:t>
      </w:r>
    </w:p>
    <w:p>
      <w:pPr>
        <w:spacing w:after="0" w:line="171"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For the period of net loss, potentially dilutive securities are not included in the calculation of diluted net earnings (loss) per share, because to do so would be anti-dilutive.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 Potentially Dilutive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000" w:type="dxa"/>
            <w:vAlign w:val="bottom"/>
            <w:tcBorders>
              <w:top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209"/>
        </w:trPr>
        <w:tc>
          <w:tcPr>
            <w:tcW w:w="51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5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4"/>
          </w:tcPr>
          <w:p>
            <w:pPr>
              <w:ind w:left="10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 unvested RSUs, PSUs and stock options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bl>
    <w:p>
      <w:pPr>
        <w:spacing w:after="0" w:line="23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outstanding PSUs aggregating to 8,565,699 and 10,710,226 shares, respectively, have been excluded from the calculation of potentially dilutive securities above because the issuance of shares is contingent upon certain conditions that were not satisfied by the end of the period. Further, an additional 2,206,163 of outstanding PSUs were excluded in the computation of potentially dilutive securities above because they were antidilutive for the nine months ended September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SEGMENT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two reportable and operating segments: Security Solutions and Secure Networks.</w:t>
      </w:r>
    </w:p>
    <w:p>
      <w:pPr>
        <w:spacing w:after="0" w:line="168" w:lineRule="exact"/>
        <w:rPr>
          <w:sz w:val="20"/>
          <w:szCs w:val="20"/>
          <w:color w:val="auto"/>
        </w:rPr>
      </w:pPr>
    </w:p>
    <w:p>
      <w:pPr>
        <w:ind w:left="660" w:right="200" w:hanging="328"/>
        <w:spacing w:after="0" w:line="23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Solutions segment is primarily focused on cybersecurity, cloud and identity solutions, and secure messaging through Xacta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Telos Automated Message Handling System ("AMHS") and Telos ID offerings.</w:t>
      </w:r>
    </w:p>
    <w:p>
      <w:pPr>
        <w:spacing w:after="0" w:line="14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 Networks segment provides secure networking architectures and solutions to our customers through secure mobility solutions, and network management and defense services.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measure each segment's profitability based on gross profit. Our Chief Executive Officer, as the chief operating decision maker ("CODM"), evaluates the segment's performance based on metrics, such as segment revenue and gross profit, that align with our strategies and objectives, and provide a framework for the timely and rational allocation of resources between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15.1: Results of Operations by Business Segment (Quarter)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6"/>
          </w:tcPr>
          <w:p>
            <w:pPr>
              <w:jc w:val="right"/>
              <w:ind w:right="25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center"/>
              <w:ind w:right="119"/>
              <w:spacing w:after="0"/>
              <w:rPr>
                <w:sz w:val="20"/>
                <w:szCs w:val="20"/>
                <w:color w:val="auto"/>
              </w:rPr>
            </w:pPr>
            <w:r>
              <w:rPr>
                <w:rFonts w:ascii="Times New Roman" w:cs="Times New Roman" w:eastAsia="Times New Roman" w:hAnsi="Times New Roman"/>
                <w:sz w:val="16"/>
                <w:szCs w:val="16"/>
                <w:color w:val="auto"/>
              </w:rPr>
              <w:t>September 30, 2024</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w w:val="94"/>
              </w:rPr>
              <w:t>Total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6"/>
                <w:szCs w:val="16"/>
                <w:color w:val="auto"/>
              </w:rPr>
              <w:t>Solutions</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Networks</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Solutions</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Networks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46,478</w:t>
            </w:r>
          </w:p>
        </w:tc>
        <w:tc>
          <w:tcPr>
            <w:tcW w:w="48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52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Impairment loss on intangible assets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24,696</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13,702</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sales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27,192</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20,640</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19,286</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23,225</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32,007</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(28,038)</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15.2: Results of Operations by Business Segment (Year-to-Date)</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040" w:type="dxa"/>
            <w:vAlign w:val="bottom"/>
            <w:tcBorders>
              <w:bottom w:val="single" w:sz="8" w:color="auto"/>
            </w:tcBorders>
            <w:gridSpan w:val="5"/>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For the Nine Months Ended</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center"/>
              <w:ind w:right="119"/>
              <w:spacing w:after="0"/>
              <w:rPr>
                <w:sz w:val="20"/>
                <w:szCs w:val="20"/>
                <w:color w:val="auto"/>
              </w:rPr>
            </w:pPr>
            <w:r>
              <w:rPr>
                <w:rFonts w:ascii="Times New Roman" w:cs="Times New Roman" w:eastAsia="Times New Roman" w:hAnsi="Times New Roman"/>
                <w:sz w:val="16"/>
                <w:szCs w:val="16"/>
                <w:color w:val="auto"/>
              </w:rPr>
              <w:t>September 30, 2024</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119"/>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Solutions</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Networks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Solutions</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Networks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104,770</w:t>
            </w:r>
          </w:p>
        </w:tc>
        <w:tc>
          <w:tcPr>
            <w:tcW w:w="660" w:type="dxa"/>
            <w:vAlign w:val="bottom"/>
            <w:gridSpan w:val="3"/>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81,900</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Impairment loss on intangible assets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57,107</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10,194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47,349</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sales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63,126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10,242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36,638</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58,089</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41,644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18,201</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23,811</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56,346</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69,757</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(43,139)</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significant segment expense categories and amounts align with the segment-level information regularly provided to the CODM.</w:t>
      </w:r>
    </w:p>
    <w:p>
      <w:pPr>
        <w:spacing w:after="0" w:line="176" w:lineRule="exact"/>
        <w:rPr>
          <w:rFonts w:ascii="Times New Roman" w:cs="Times New Roman" w:eastAsia="Times New Roman" w:hAnsi="Times New Roman"/>
          <w:sz w:val="9"/>
          <w:szCs w:val="9"/>
          <w:color w:val="auto"/>
        </w:rPr>
      </w:pPr>
    </w:p>
    <w:p>
      <w:pPr>
        <w:ind w:right="340" w:firstLine="8"/>
        <w:spacing w:after="0"/>
        <w:tabs>
          <w:tab w:leader="none" w:pos="145"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for each reportable segment include direct labor, direct subcontractor costs, direct materials and inventory, other direct non-labor costs, fringes, overhead, and facility costs.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account for inter-segment sales and transfers as if the sales or transfers were to third parties, that is, at current market prices, if any. There were no inter-segment sales and transfers during the three and nine months ended September 30, 2025, and 2024. Interest income, interest expense, other income and expense items, and income taxes, as reported in the consolidated financial statements, are not part of the segment profitability measure and are primarily recorded at the corporate level.</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COMMITMENTS AND CONTINGENCIES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business or its unaudited consolidated financial statements as of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 Government Contracts</w:t>
      </w:r>
    </w:p>
    <w:p>
      <w:pPr>
        <w:spacing w:after="0" w:line="17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As a U.S. federal government contractor, we are subject to various audits and investigations by the U.S. federal government to determine whether our operations are being conducted in accordance with applicable regulatory requirements. U.S. federal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federal government contracting, or suspension of export privileges. Suspension or debarment could have a material adverse effect on us because of our dependence on contracts with the U.S. federal government. U.S. federal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federal government regulations also may be audited or investigated.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SUPPLEMENTAL CASH FLOW INFORMATION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17.1: Details of Cash, Cash Equivalents,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54,578</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Restricted cash consists of a commercial money market account held as a deposit on the Ashburn lease and is included within "Other assets" on the unaudited consolidated balance sheets.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17.2: Supplemental Cash Flow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209"/>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ROU assets obtained in exchange for operating lease liabilities</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00"/>
        <w:spacing w:after="0" w:line="40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2024, as filed with the Securities and Exchange Commission on March 10,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At Telos, we deliver efficient, adaptable, and secure solutions that protect people, organizations, and information across government and industry. From cyber governance, risk and compliance ("GRC") with Xacta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identity and biometric solutions, secure networks, and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we help customers stay ahead of evolving threats. Our primary customers include the U.S. federal government, large commercial organizations, state and local governments, and international customers. Our deep domain expertise, cleared workforce, and proven technologies give us a unique position at the intersection of cybersecurity, identity, and network security. Driven by purpose and guided by our core values, we build lasting partnerships, deliver superior solutions, and help create a more secure, interconnected world.</w:t>
      </w:r>
    </w:p>
    <w:p>
      <w:pPr>
        <w:spacing w:after="0" w:line="14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Recently, Telos launched Xacta.ai</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the artificial intelligence ("AI") capability at the core of the Xacta cyber GRC platform, dramatically reducing compliance time and effort. Leveraging AI and rules-based logic, Xacta.ai delivers expert-level guidance and real-time insights, empowering organizations to move from reactive compliance to proactive risk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Government Budget</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consolidated revenue is largely attributable to prime contracts or to subcontracts with a prime contractor engaged in work for the U.S. federal government, with the remaining attributable to state and local governments, and commercial markets. For the nine months ended September 30, 2025, we generated approximately 91% of our total revenue from contracts with U.S. federal government agencies. Our business performance is affected by the overall level of U.S. federal government spending and the alignment of our offerings and capabilities with the budget priorities of the U.S. federal government.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U.S. federal government appropriations for fiscal year ("FY") 2025, which ran through September 30, 2025, were determined by a full-year continuing resolution. While the Administration has submitted its FY2026 budget proposal outlining its priorities, partisan disagreements over federal spending levels, among other things, have stalled progress on the required appropriations bills. On October 1, 2025, the federal government began to shut down as a result of congressional inaction on passing appropriations legislation for FY2026. In a government shutdown, non-essential federal employees and contractors are furloughed until the impasse ends.</w:t>
      </w:r>
    </w:p>
    <w:p>
      <w:pPr>
        <w:spacing w:after="0" w:line="129" w:lineRule="exact"/>
        <w:rPr>
          <w:sz w:val="20"/>
          <w:szCs w:val="20"/>
          <w:color w:val="auto"/>
        </w:rPr>
      </w:pPr>
    </w:p>
    <w:p>
      <w:pPr>
        <w:ind w:right="20"/>
        <w:spacing w:after="0" w:line="223" w:lineRule="exact"/>
        <w:rPr>
          <w:sz w:val="20"/>
          <w:szCs w:val="20"/>
          <w:color w:val="auto"/>
        </w:rPr>
      </w:pPr>
      <w:r>
        <w:rPr>
          <w:rFonts w:ascii="Times New Roman" w:cs="Times New Roman" w:eastAsia="Times New Roman" w:hAnsi="Times New Roman"/>
          <w:sz w:val="17"/>
          <w:szCs w:val="17"/>
          <w:color w:val="auto"/>
        </w:rPr>
        <w:t>It is unclear when the impasse between congressional parties over the funding bill to reopen the government will end. Although the impact on our operations has been modest to date, the shutdown presents practical challenges that can disrupt performance, including on fully funded agreements. Many federal facilities are closed and, with furloughed government personnel, it can be difficult to deliver contract items, obtain required government reviews and approval, or receive timely direction. In some cases, tasks cannot proceed if federal personnel are not available to supervise, inspect, or accept deliverables. Where performance depends on access to government facilities, networks, systems, or personnel, the risk of significant delays increases regardless of funding availability. In addition, many agencies are experiencing heightened administrative burdens and workforce actions, with ripple effects that can slow procurement, approvals, and program execution across the government, particularly at agencies operating without full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appropriations.</w:t>
      </w:r>
    </w:p>
    <w:p>
      <w:pPr>
        <w:spacing w:after="0" w:line="117"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Delayed awards and contract starts, together with performance slowdowns, may shift revenue and cash collections to future periods, affect backlog burn rates, and increase days sales outstanding where customer acceptances or invoicing are delayed. The duration and ultimate impact of the shutdown remain uncertain, and the magnitude and timing of any effects will depend on the length of the shutdown, agency-specific operating status, and the cadence at which procurements and approvals resume. When funding and operations normalize, compressed procurement calendars and pent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demand may intensify competition and pricing pressure, and agencies may continue to favor incumbent extensions, which could affect our growth trajectory and margins. We continue to monitor these developments and to manage labor deployment, program schedules, and discretionary spending to mitigate potential impacts on operations and cash flows.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Economic and Regulatory Policies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Aside from the uncertainty in the budgetary environment, the Administration put in place a number of Executive Orders and actions that have affected, and could continue to affect, many businesses. The Administration continuously evaluates federal agencies and existing government contracts, grants, and programs for affordability, efficiency, and alignment with U.S. federal government objectives. Further, the Administration has increased existing tariffs, imposed additional tariffs, and expanded tariffs on various goods imported from various countries. Changes in international trade policies, including higher tariffs on imported goods and materials, may increase the procurement costs of certain IT hardware we use internally, on our contracts, or sell to our customers.</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ongoing and potential future reforms to the U.S. federal government processes, including changes to procurement rules and regulations, could transform how contracts are awarded, negotiated, and managed. These initiatives could further delay contract awards and/or result in modifications to the scope or terms of contracts we hold. At the same time, the Administration's focus on efficiency, transparency, consolidation, and accountability could lead to certain traditionally government functions being transferred to private entities. This potential transition of services to the private sector could benefit Telos, given our wide array of capabilities and advanced solutions.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(“OBBBA”) was enacted into law. The OBBBA includes significant changes to the Internal Revenue Code, with various provisions changing the U.S. federal income tax regulations and modifications to the Inflation Reduction Act of 2022. Further, the OBBBA significantly impacts the defense sector through substantial funding allocations and strategic investments, including specific investments in areas like AI, and provides the Department of Defense with extended time, until 2029, to make strategic investments in the defense industrial base. Increased funding and improved tax treatment for research and development could boost targeted defense investments, scale commercial technologies for military use, and support related programs. See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xml:space="preserve"> on Income Taxes for additional information on key income tax provisions of the OBBBA.</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continue to monitor and assess the risk and opportunities presented to the Company, in light of ongoing political tensions and heightened global instability that we expect to persist in the near term. Initiatives to reduce governmental spending, federal budget and debt ceiling action, and U.S. federal government policy positions, including trade policy, tax reform and/or changes to the U.S. government priorities, could materially impact federal spending broadly.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Several key highlights of our financial performance in the third quarter ended September 30, 2025 are described below. More details are presented in our "Results of Operations" section below.</w:t>
      </w:r>
    </w:p>
    <w:p>
      <w:pPr>
        <w:spacing w:after="0" w:line="108" w:lineRule="exact"/>
        <w:rPr>
          <w:sz w:val="20"/>
          <w:szCs w:val="20"/>
          <w:color w:val="auto"/>
        </w:rPr>
      </w:pPr>
    </w:p>
    <w:p>
      <w:pPr>
        <w:jc w:val="both"/>
        <w:ind w:left="660" w:right="1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116.3% year-over-year due to 153.5% growth in Security Solutions primarily due to the ongoing expansion of large programs in Telos ID. Gross margin expanded 2,672 bps year-over-year primarily due to the impairment and restructuring charges taken in the third quarter of 2024.</w:t>
      </w:r>
    </w:p>
    <w:p>
      <w:pPr>
        <w:spacing w:after="0" w:line="12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decreased due to the impairment loss on intangible assets of $6.4 million recorded in the third quarter of 2024, and the reduction in expenses as a result of the restructuring efforts taken in the third quarter of FY2024.</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improved by $25.9 million year-over-year to a $2.1 million loss.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improved by $16.2 million year-over-year to $9.1 million, or 17.8% of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Consolidated Results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September 30,</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Dollar Change</w:t>
            </w:r>
          </w:p>
        </w:tc>
        <w:tc>
          <w:tcPr>
            <w:tcW w:w="80" w:type="dxa"/>
            <w:vAlign w:val="bottom"/>
            <w:vMerge w:val="restart"/>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vMerge w:val="restart"/>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Dollar Change</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51,444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118,028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36,128</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30,898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20,640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10,258</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73,368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58,089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44,660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23,811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20,849</w:t>
            </w:r>
          </w:p>
        </w:tc>
        <w:tc>
          <w:tcPr>
            <w:tcW w:w="0" w:type="dxa"/>
            <w:vAlign w:val="bottom"/>
          </w:tcPr>
          <w:p>
            <w:pPr>
              <w:spacing w:after="0"/>
              <w:rPr>
                <w:sz w:val="1"/>
                <w:szCs w:val="1"/>
                <w:color w:val="auto"/>
              </w:rPr>
            </w:pPr>
          </w:p>
        </w:tc>
      </w:tr>
      <w:tr>
        <w:trPr>
          <w:trHeight w:val="214"/>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37.8 %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66,033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69,757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0" w:type="dxa"/>
            <w:vAlign w:val="bottom"/>
          </w:tcPr>
          <w:p>
            <w:pPr>
              <w:spacing w:after="0"/>
              <w:rPr>
                <w:sz w:val="1"/>
                <w:szCs w:val="1"/>
                <w:color w:val="auto"/>
              </w:rPr>
            </w:pPr>
          </w:p>
        </w:tc>
      </w:tr>
      <w:tr>
        <w:trPr>
          <w:trHeight w:val="214"/>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expenses as percentage of revenue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44.7 %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134.6 %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55.9 %</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85.2 %</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(21,373)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(45,946)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24,573</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7"/>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(28,038)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25,945</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(20,172)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(43,139)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(28,055)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25,941</w:t>
            </w:r>
          </w:p>
        </w:tc>
        <w:tc>
          <w:tcPr>
            <w:tcW w:w="8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(20,235)</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(43,190)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22,955</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Our business segments are driven by different factors, leading to revenue fluctuations and varying profitability. The discussion of the changes in our revenue and gross margin is covered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third quarter of 2025, operating expenses decreased by $9.0 million, or 28.1%, compared to the same quarter in 2024. This was primarily due to the impairment loss on intangible assets of $6.4 million recorded in the third quarter of 2024, whereas there was none for the same quarter of this current year. Research and development ("R&amp;D") expenses decreased by $0.5 million, or 21.2%, in the third quarter of 2025, compared to the same period in 2024, primarily due to the lower amortization costs associated with the discontinued development of selected solutions in the third quarter of 2024. Selling, general and administrative ("SG&amp;A") expenses decreased by $2.1 million, or 9.1%, in the third quarter of 2025, compared to the same period in 2024. These decreases were largely the result of lower labor costs due to the restructuring efforts taken in the third quarter of 2024.</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operating expenses decreased by $3.7 million, or 5.3%, compared to the same period in 2024. An impairment loss on intangible assets of $6.4 million was recorded for the nine months ended September 30, 2024, whereas there was none for the same period of this current year. R&amp;D expenses decreased by $2.1 million, or 29.2%, for the nine months ended September 30, 2025, compared to the same period in 2024. This was primarily due to lower amortization costs associated with the discontinued development of select solutions in the third quarter of 2024. SG&amp;A expenses increased by $4.7 million, or 8.4%, for the nine months ended September 30, 2025, compared to the same period in 2024. This was due to higher stock-based compensation costs, partially offset by lower labor costs due to the restructuring efforts taken in the third quarter of 2024 and lower cash incentive compensation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7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income decreased by $0.5 million, or 48.0%, for the third quarter of 2025, compared to the same period in 2024. Similarly, other income decreased by $1.7 million, or 50.7%, for the nine months ended September 30, 2025, compared to the same period in 2024. The decreases in other income for the three and nine months ended September 30, 2025, were primarily due to the change in dividend income from money market placements.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Security Solutions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tcBorders>
            <w:gridSpan w:val="7"/>
          </w:tcPr>
          <w:p>
            <w:pPr>
              <w:jc w:val="right"/>
              <w:ind w:right="9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September 30,</w:t>
            </w:r>
          </w:p>
        </w:tc>
        <w:tc>
          <w:tcPr>
            <w:tcW w:w="14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September 30,</w:t>
            </w:r>
          </w:p>
        </w:tc>
        <w:tc>
          <w:tcPr>
            <w:tcW w:w="120" w:type="dxa"/>
            <w:vAlign w:val="bottom"/>
          </w:tcPr>
          <w:p>
            <w:pPr>
              <w:spacing w:after="0"/>
              <w:rPr>
                <w:sz w:val="13"/>
                <w:szCs w:val="13"/>
                <w:color w:val="auto"/>
              </w:rPr>
            </w:pPr>
          </w:p>
        </w:tc>
        <w:tc>
          <w:tcPr>
            <w:tcW w:w="10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Dollar Change</w:t>
            </w:r>
          </w:p>
        </w:tc>
        <w:tc>
          <w:tcPr>
            <w:tcW w:w="100" w:type="dxa"/>
            <w:vAlign w:val="bottom"/>
            <w:vMerge w:val="restart"/>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September 30,</w:t>
            </w:r>
          </w:p>
        </w:tc>
        <w:tc>
          <w:tcPr>
            <w:tcW w:w="100" w:type="dxa"/>
            <w:vAlign w:val="bottom"/>
          </w:tcPr>
          <w:p>
            <w:pPr>
              <w:spacing w:after="0"/>
              <w:rPr>
                <w:sz w:val="13"/>
                <w:szCs w:val="13"/>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Dollar Change</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46,478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18,332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104,770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54,839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49,931</w:t>
            </w:r>
          </w:p>
        </w:tc>
        <w:tc>
          <w:tcPr>
            <w:tcW w:w="0" w:type="dxa"/>
            <w:vAlign w:val="bottom"/>
          </w:tcPr>
          <w:p>
            <w:pPr>
              <w:spacing w:after="0"/>
              <w:rPr>
                <w:sz w:val="1"/>
                <w:szCs w:val="1"/>
                <w:color w:val="auto"/>
              </w:rPr>
            </w:pPr>
          </w:p>
        </w:tc>
      </w:tr>
      <w:tr>
        <w:trPr>
          <w:trHeight w:val="142"/>
        </w:trPr>
        <w:tc>
          <w:tcPr>
            <w:tcW w:w="316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Cost of sales (excluding impairment loss,</w:t>
            </w:r>
          </w:p>
        </w:tc>
        <w:tc>
          <w:tcPr>
            <w:tcW w:w="140" w:type="dxa"/>
            <w:vAlign w:val="bottom"/>
          </w:tcPr>
          <w:p>
            <w:pPr>
              <w:spacing w:after="0"/>
              <w:rPr>
                <w:sz w:val="12"/>
                <w:szCs w:val="12"/>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24,838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9,201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15,637</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57,557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26,505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31,052</w:t>
            </w: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2,354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5,569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4,800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27,192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16,022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63,126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36,638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26,488</w:t>
            </w:r>
          </w:p>
        </w:tc>
        <w:tc>
          <w:tcPr>
            <w:tcW w:w="0" w:type="dxa"/>
            <w:vAlign w:val="bottom"/>
          </w:tcPr>
          <w:p>
            <w:pPr>
              <w:spacing w:after="0"/>
              <w:rPr>
                <w:sz w:val="1"/>
                <w:szCs w:val="1"/>
                <w:color w:val="auto"/>
              </w:rPr>
            </w:pPr>
          </w:p>
        </w:tc>
      </w:tr>
      <w:tr>
        <w:trPr>
          <w:trHeight w:val="212"/>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19,286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2,310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16,976</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41,644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18,201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23,443</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41.5 %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39.7 %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33.2 %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Security Solutions segment revenue for the third quarter of 2025 increased by $28.1 million, or 153.5%, compared to the same quarter in 2024, primarily due to the ongoing expansion of multiple large programs in Telos ID.</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Security Solutions segment gross profit for the third quarter of 2025 increased by $17.0 million, or 734.9%, compared to the same quarter in 2024, due to higher segment revenue and higher segment gross margin.</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Segment gross margin for the quarter increased from 12.6% in 2024 to 41.5% in 2025, due to the decrease in cost of sales related to the impairment loss on intangible assets taken in the third quarter of 2024, whereas there was none for this current quarter.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Security Solutions segment revenue increased by $49.9 million, or 91.1%, compared to the same period in 2024, primarily due to the ongoing expansion of multiple large programs in Telos ID.</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Segment gross profit for the nine months ended September 30, 2025 increased by $23.4 million, or 128.8%, compared to the same period in 2024, due to higher segment revenues and higher segment gross margin.</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Year-to-date segment gross margin increased from 33.2% in 2024 to 39.7% in 2025, due to the decrease in cost of sales related to the impairment loss on intangible assets taken in 2024, whereas there was none in the current year, partially offset by unfavorable program mix.</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Secure Networks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For the Nine Months Ended</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14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September 30, 2025</w:t>
            </w:r>
          </w:p>
        </w:tc>
        <w:tc>
          <w:tcPr>
            <w:tcW w:w="14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September 30, 2024</w:t>
            </w:r>
          </w:p>
        </w:tc>
        <w:tc>
          <w:tcPr>
            <w:tcW w:w="120" w:type="dxa"/>
            <w:vAlign w:val="bottom"/>
          </w:tcPr>
          <w:p>
            <w:pPr>
              <w:spacing w:after="0"/>
              <w:rPr>
                <w:sz w:val="13"/>
                <w:szCs w:val="13"/>
                <w:color w:val="auto"/>
              </w:rPr>
            </w:pPr>
          </w:p>
        </w:tc>
        <w:tc>
          <w:tcPr>
            <w:tcW w:w="1060" w:type="dxa"/>
            <w:vAlign w:val="bottom"/>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Dollar Change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September 30,</w:t>
            </w: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September 30,</w:t>
            </w:r>
          </w:p>
        </w:tc>
        <w:tc>
          <w:tcPr>
            <w:tcW w:w="120" w:type="dxa"/>
            <w:vAlign w:val="bottom"/>
          </w:tcPr>
          <w:p>
            <w:pPr>
              <w:spacing w:after="0"/>
              <w:rPr>
                <w:sz w:val="13"/>
                <w:szCs w:val="13"/>
                <w:color w:val="auto"/>
              </w:rPr>
            </w:pPr>
          </w:p>
        </w:tc>
        <w:tc>
          <w:tcPr>
            <w:tcW w:w="10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color w:val="auto"/>
              </w:rPr>
              <w:t>Dollar Change</w:t>
            </w: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4,966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5,451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27,061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(13,803)</w:t>
            </w:r>
          </w:p>
        </w:tc>
        <w:tc>
          <w:tcPr>
            <w:tcW w:w="0" w:type="dxa"/>
            <w:vAlign w:val="bottom"/>
          </w:tcPr>
          <w:p>
            <w:pPr>
              <w:spacing w:after="0"/>
              <w:rPr>
                <w:sz w:val="1"/>
                <w:szCs w:val="1"/>
                <w:color w:val="auto"/>
              </w:rPr>
            </w:pPr>
          </w:p>
        </w:tc>
      </w:tr>
      <w:tr>
        <w:trPr>
          <w:trHeight w:val="142"/>
        </w:trPr>
        <w:tc>
          <w:tcPr>
            <w:tcW w:w="310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Cost of sales (excluding impairment loss,</w:t>
            </w:r>
          </w:p>
        </w:tc>
        <w:tc>
          <w:tcPr>
            <w:tcW w:w="440" w:type="dxa"/>
            <w:vAlign w:val="bottom"/>
          </w:tcPr>
          <w:p>
            <w:pPr>
              <w:spacing w:after="0"/>
              <w:rPr>
                <w:sz w:val="12"/>
                <w:szCs w:val="12"/>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4,616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10,237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21,444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(11,207)</w:t>
            </w:r>
          </w:p>
        </w:tc>
        <w:tc>
          <w:tcPr>
            <w:tcW w:w="0" w:type="dxa"/>
            <w:vAlign w:val="bottom"/>
          </w:tcPr>
          <w:p>
            <w:pPr>
              <w:spacing w:after="0"/>
              <w:rPr>
                <w:sz w:val="1"/>
                <w:szCs w:val="1"/>
                <w:color w:val="auto"/>
              </w:rPr>
            </w:pPr>
          </w:p>
        </w:tc>
      </w:tr>
      <w:tr>
        <w:trPr>
          <w:trHeight w:val="213"/>
        </w:trPr>
        <w:tc>
          <w:tcPr>
            <w:tcW w:w="3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4,618</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10,242</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21,451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(11,209)</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25.4 %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15.3 %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22.7 %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20.7 %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Secure Networks segment revenue for the third quarter of 2025 decreased by $0.5 million, or 8.9%, compared to the same period in 2024, primarily due to the ramp down of several programs within the portfolio.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gross profit for Secure Networks for the third quarter of 2025 increased by $0.4 million, or 51.3%, compared with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Likewise, segment gross margin for the quarter increased from 15.3% in 2024 to 25.4% in 2025 primarily due to revenue mix.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1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Secure Network segment revenue for the nine months ended September 30, 2025, decreased by $13.8 million, or 51.0%, compared to the same period in 2024, primarily due to the ramp down of several programs within the portfolio without corresponding new business wins to backfill completed programs.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Segment gross profit for the nine months ended September 30, 2025, decreased by $2.6 million, or 46.2%, compared to the same period in 2024, due to lower segment revenue.</w:t>
      </w:r>
    </w:p>
    <w:p>
      <w:pPr>
        <w:spacing w:after="0" w:line="108" w:lineRule="exact"/>
        <w:rPr>
          <w:sz w:val="20"/>
          <w:szCs w:val="20"/>
          <w:color w:val="auto"/>
        </w:rPr>
      </w:pPr>
    </w:p>
    <w:p>
      <w:pPr>
        <w:ind w:right="2020"/>
        <w:spacing w:after="0" w:line="438" w:lineRule="auto"/>
        <w:rPr>
          <w:sz w:val="20"/>
          <w:szCs w:val="20"/>
          <w:color w:val="auto"/>
        </w:rPr>
      </w:pPr>
      <w:r>
        <w:rPr>
          <w:rFonts w:ascii="Times New Roman" w:cs="Times New Roman" w:eastAsia="Times New Roman" w:hAnsi="Times New Roman"/>
          <w:sz w:val="18"/>
          <w:szCs w:val="18"/>
          <w:color w:val="auto"/>
        </w:rPr>
        <w:t xml:space="preserve">Year-to-date segment gross margin increased from 20.7% in 2024 to 22.7% in 2025, primarily due to the results of revenue mix. </w:t>
      </w:r>
      <w:r>
        <w:rPr>
          <w:rFonts w:ascii="Times New Roman" w:cs="Times New Roman" w:eastAsia="Times New Roman" w:hAnsi="Times New Roman"/>
          <w:sz w:val="18"/>
          <w:szCs w:val="18"/>
          <w:b w:val="1"/>
          <w:bCs w:val="1"/>
          <w:color w:val="auto"/>
        </w:rPr>
        <w:t>Liquidity and Capital Resources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future operating cash flows, and, if needed, borrowings under our $30.0 million revolving credit facility,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had cash and cash equivalents of $59.1 million and our working capital was $65.6 million.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Net Change in Cash, Cash Equivalents,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209"/>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September 30, 2024</w:t>
            </w:r>
          </w:p>
        </w:tc>
      </w:tr>
      <w:tr>
        <w:trPr>
          <w:trHeight w:val="216"/>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(12,485)</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(29,496)</w:t>
            </w: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2025, was $22.2 million, an increase of $37.6 million compared to the same period in 2024. The increase is attributable to favorable changes in working capital, primarily driven by timing of receipts from customers and the timing of payments to vendors, coupled with higher cash earnings (i.e., net loss, excluding non-cash items that do not impact cash flows from operating activities).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decreased by $5.3 million, compared to the same period of the prior year, primarily due to the cash outflow from the purchase of an investment of $3.0 million in 2024, with no similar transaction in 2025, coupled by a decrease of $2.3 million in capital expenditures in 2025.</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Net cash used in financing activities for the nine months ended September 30, 2025, increased by $8.9 million, compared to the same period in 2024. This is primarily attributable to the repurchase of common stock for $7.6 million in 2025 under the share repurchase program (See </w:t>
      </w:r>
      <w:r>
        <w:rPr>
          <w:rFonts w:ascii="Times New Roman" w:cs="Times New Roman" w:eastAsia="Times New Roman" w:hAnsi="Times New Roman"/>
          <w:sz w:val="18"/>
          <w:szCs w:val="18"/>
          <w:u w:val="single" w:color="auto"/>
          <w:color w:val="0000FF"/>
        </w:rPr>
        <w:t>Note 12 –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Repurchases</w:t>
      </w:r>
      <w:r>
        <w:rPr>
          <w:rFonts w:ascii="Times New Roman" w:cs="Times New Roman" w:eastAsia="Times New Roman" w:hAnsi="Times New Roman"/>
          <w:sz w:val="18"/>
          <w:szCs w:val="18"/>
          <w:color w:val="000000"/>
        </w:rPr>
        <w:t>), with no similar activity in 2024, and an increase in payment of tax withholding related to net share settlement of equity awards by $1.1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million in fiscal year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judgments, and assumptions that affect the amounts reported. Actual results could differ from those estimates. Our 2024 Form 10-K, as filed with the SEC on March 10, 2025, includes a summary of critical accounting policies and estimates we believe are the most important to aid in understanding our financial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related to the stock options, RSUs and PSUs awarded under the Amended and Restated 2016 Omnibus Long-Term Incentive Plan (the “2016 LTIP”) is recognized ratably over the requisite service period.</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For awards with performance conditions, stock-based compensation expense is estimated at each reporting date using management’s expectation of the probable achievement of the specific performance targets and recognized over the requisite service period for each tranche on a graded-vesting basis. Stock-based compensation expense for PSUs with market conditions is recognized based on the grant-date fair value calculated using the Monte Carlo model, as described below, or sooner if the market conditions are achieved.</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PSUs is equal to the closing stock price on the date of the grant or the fair value of the award on the grant date, as determined through an independent valuation for PSUs with market conditions. Estimating the fair value of PSUs with market condition, using the Monte Carlo simulation valuation model, requires assumptions as to the fair value of the underlying common stock, the estimated performance period, expected volatility, risk-free rate, and derived service period. See </w:t>
      </w:r>
      <w:r>
        <w:rPr>
          <w:rFonts w:ascii="Times New Roman" w:cs="Times New Roman" w:eastAsia="Times New Roman" w:hAnsi="Times New Roman"/>
          <w:sz w:val="18"/>
          <w:szCs w:val="18"/>
          <w:u w:val="single" w:color="auto"/>
          <w:color w:val="0000FF"/>
        </w:rPr>
        <w:t>Note 11 – Stock-Based Compensation</w:t>
      </w:r>
      <w:r>
        <w:rPr>
          <w:rFonts w:ascii="Times New Roman" w:cs="Times New Roman" w:eastAsia="Times New Roman" w:hAnsi="Times New Roman"/>
          <w:sz w:val="18"/>
          <w:szCs w:val="18"/>
          <w:color w:val="auto"/>
        </w:rPr>
        <w:t xml:space="preserve">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test for goodwill impairment at the reporting unit level. Between annual evaluations, if events occur or circumstances change that would more-likely-than-not reduce the fair value of the reporting units below its carrying amount, then impairment must be evaluated. When evaluating goodwill for impairment, we first assess qualitative factors which could include, but are not limited to, macroeconomic conditions, industry and market conditions, overall company financial performance and events affecting the reporting units or the Company as a whole.</w:t>
      </w:r>
    </w:p>
    <w:p>
      <w:pPr>
        <w:spacing w:after="0" w:line="12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the financial performance of our Secure Networks reporting segment remains at the current level for a sustained period of time, and after considering other qualitative factors, there may be a triggering event indicating goodwill may be impaired in our Secure Networks reporting unit. Accordingly, management may need to perform a quantitative impairment test over the Secure Networks reporting unit to determine if an impairment loss should be recorded, which may have an adverse impact on our results of operations.</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the result of our interim qualitative assessment, we determined that it is more-likely-than-not that the estimated fair value of the reporting units exceeds their carrying value and thus, no impairment charges were taken during the three and nine months ended September 30, 2025.</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Other critical accounting policies and estimates include revenue recognition, goodwill and long-lived assets, and income taxes, as discussed in our 2024 Form 10-K. There have been no changes to these critical accounting policies and estimates that have had a material impact on our reported amounts of assets, liabilities, revenues, or expenses during the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variety of financial risks, such as interest rate risk, foreign currency translation risk, and counterparty risk, which can affect our operations and profitability. The Company's market risk disclosure set forth on "Part II, Item 7A – Quantitative and Qualitative Disclosure about Market Risk," on the 2024 Form 10-K, as filed with the SEC on March 10, 2025, have not changed materially during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management, including the Company's CEO and CFO, evaluated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September 30,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September 30, 2025, identified in connection with management’s evaluation required by paragraph (d) of Rules 13a-15 and 15d-15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is included under </w:t>
      </w:r>
      <w:r>
        <w:rPr>
          <w:rFonts w:ascii="Times New Roman" w:cs="Times New Roman" w:eastAsia="Times New Roman" w:hAnsi="Times New Roman"/>
          <w:sz w:val="18"/>
          <w:szCs w:val="18"/>
          <w:u w:val="single" w:color="auto"/>
          <w:color w:val="0000FF"/>
        </w:rPr>
        <w:t>Note 16 – Commitments and Contingencies</w:t>
      </w:r>
      <w:r>
        <w:rPr>
          <w:rFonts w:ascii="Times New Roman" w:cs="Times New Roman" w:eastAsia="Times New Roman" w:hAnsi="Times New Roman"/>
          <w:sz w:val="18"/>
          <w:szCs w:val="18"/>
          <w:color w:val="auto"/>
        </w:rPr>
        <w:t xml:space="preserve"> to the unaudited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have disclosed under "Item 1A – Risk Factors" in our Annual Report on Form 10-K for the year ended December 31, 2024, the risk factors that may materially affect our business, financial conditions or results of operations. Except as set forth below, there have been no material changes from the risk factors previously disclosed.</w:t>
      </w:r>
    </w:p>
    <w:p>
      <w:pPr>
        <w:spacing w:after="0" w:line="11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Administration's actions, such as tariffs and other changes in international trade policies, could adversely and unexpectedly impact our business.</w:t>
      </w:r>
    </w:p>
    <w:p>
      <w:pPr>
        <w:spacing w:after="0" w:line="10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January 2025, the new Administration began increasing tariff rates on numerous products from a range of nations. The duration and extent of the tariffs and reciprocal tariffs, including the availability of certain exemption on some products, continue to evolve. Changes in international trade policies, including higher tariffs on imported goods and materials, may increase the procurement costs of certain IT hardware we use, both internally or on our contracts, or sell to our customers. These actions could have a negative effect on our business, results of operations,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260" w:right="8680" w:hanging="252"/>
        <w:spacing w:after="0" w:line="438" w:lineRule="auto"/>
        <w:tabs>
          <w:tab w:leader="none" w:pos="2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Unregistered Sales of Securities None.</w:t>
      </w:r>
    </w:p>
    <w:p>
      <w:pPr>
        <w:ind w:left="260" w:right="9800" w:hanging="252"/>
        <w:spacing w:after="0" w:line="438" w:lineRule="auto"/>
        <w:tabs>
          <w:tab w:leader="none" w:pos="2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None.</w:t>
      </w: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Common Stock Purchase Activity During the Three Months Ended September 30,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Total Number of Shares</w:t>
            </w:r>
          </w:p>
        </w:tc>
        <w:tc>
          <w:tcPr>
            <w:tcW w:w="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Maximum Dollar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Total Number of Shares</w:t>
            </w:r>
          </w:p>
        </w:tc>
        <w:tc>
          <w:tcPr>
            <w:tcW w:w="1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Average Price Paid per</w:t>
            </w:r>
          </w:p>
        </w:tc>
        <w:tc>
          <w:tcPr>
            <w:tcW w:w="166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color w:val="auto"/>
              </w:rPr>
              <w:t>Purchased as Part of</w:t>
            </w:r>
          </w:p>
        </w:tc>
        <w:tc>
          <w:tcPr>
            <w:tcW w:w="80" w:type="dxa"/>
            <w:vAlign w:val="bottom"/>
          </w:tcPr>
          <w:p>
            <w:pPr>
              <w:spacing w:after="0"/>
              <w:rPr>
                <w:sz w:val="14"/>
                <w:szCs w:val="14"/>
                <w:color w:val="auto"/>
              </w:rPr>
            </w:pPr>
          </w:p>
        </w:tc>
        <w:tc>
          <w:tcPr>
            <w:tcW w:w="1680" w:type="dxa"/>
            <w:vAlign w:val="bottom"/>
            <w:gridSpan w:val="2"/>
          </w:tcPr>
          <w:p>
            <w:pPr>
              <w:jc w:val="right"/>
              <w:ind w:right="19"/>
              <w:spacing w:after="0" w:line="162" w:lineRule="exact"/>
              <w:rPr>
                <w:sz w:val="20"/>
                <w:szCs w:val="20"/>
                <w:color w:val="auto"/>
              </w:rPr>
            </w:pPr>
            <w:r>
              <w:rPr>
                <w:rFonts w:ascii="Times New Roman" w:cs="Times New Roman" w:eastAsia="Times New Roman" w:hAnsi="Times New Roman"/>
                <w:sz w:val="16"/>
                <w:szCs w:val="16"/>
                <w:color w:val="auto"/>
              </w:rPr>
              <w:t>of Shares that May Yet</w:t>
            </w:r>
          </w:p>
        </w:tc>
        <w:tc>
          <w:tcPr>
            <w:tcW w:w="0" w:type="dxa"/>
            <w:vAlign w:val="bottom"/>
          </w:tcPr>
          <w:p>
            <w:pPr>
              <w:spacing w:after="0"/>
              <w:rPr>
                <w:sz w:val="1"/>
                <w:szCs w:val="1"/>
                <w:color w:val="auto"/>
              </w:rPr>
            </w:pPr>
          </w:p>
        </w:tc>
      </w:tr>
      <w:tr>
        <w:trPr>
          <w:trHeight w:val="162"/>
        </w:trPr>
        <w:tc>
          <w:tcPr>
            <w:tcW w:w="432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6"/>
                <w:szCs w:val="16"/>
                <w:color w:val="auto"/>
              </w:rPr>
              <w:t>Period</w:t>
            </w:r>
          </w:p>
        </w:tc>
        <w:tc>
          <w:tcPr>
            <w:tcW w:w="1740" w:type="dxa"/>
            <w:vAlign w:val="bottom"/>
            <w:gridSpan w:val="2"/>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Publicly Announced</w:t>
            </w:r>
          </w:p>
        </w:tc>
        <w:tc>
          <w:tcPr>
            <w:tcW w:w="80" w:type="dxa"/>
            <w:vAlign w:val="bottom"/>
          </w:tcPr>
          <w:p>
            <w:pPr>
              <w:spacing w:after="0"/>
              <w:rPr>
                <w:sz w:val="14"/>
                <w:szCs w:val="14"/>
                <w:color w:val="auto"/>
              </w:rPr>
            </w:pPr>
          </w:p>
        </w:tc>
        <w:tc>
          <w:tcPr>
            <w:tcW w:w="1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Be Purchased Under the</w:t>
            </w:r>
          </w:p>
        </w:tc>
        <w:tc>
          <w:tcPr>
            <w:tcW w:w="0" w:type="dxa"/>
            <w:vAlign w:val="bottom"/>
          </w:tcPr>
          <w:p>
            <w:pPr>
              <w:spacing w:after="0"/>
              <w:rPr>
                <w:sz w:val="1"/>
                <w:szCs w:val="1"/>
                <w:color w:val="auto"/>
              </w:rPr>
            </w:pPr>
          </w:p>
        </w:tc>
      </w:tr>
      <w:tr>
        <w:trPr>
          <w:trHeight w:val="216"/>
        </w:trPr>
        <w:tc>
          <w:tcPr>
            <w:tcW w:w="4320" w:type="dxa"/>
            <w:vAlign w:val="bottom"/>
            <w:gridSpan w:val="2"/>
            <w:vMerge w:val="continue"/>
          </w:tcPr>
          <w:p>
            <w:pPr>
              <w:spacing w:after="0"/>
              <w:rPr>
                <w:sz w:val="18"/>
                <w:szCs w:val="18"/>
                <w:color w:val="auto"/>
              </w:rPr>
            </w:pPr>
          </w:p>
        </w:tc>
        <w:tc>
          <w:tcPr>
            <w:tcW w:w="1740" w:type="dxa"/>
            <w:vAlign w:val="bottom"/>
            <w:gridSpan w:val="2"/>
          </w:tcPr>
          <w:p>
            <w:pPr>
              <w:jc w:val="center"/>
              <w:ind w:right="60"/>
              <w:spacing w:after="0" w:line="216" w:lineRule="exact"/>
              <w:rPr>
                <w:sz w:val="20"/>
                <w:szCs w:val="20"/>
                <w:color w:val="auto"/>
              </w:rPr>
            </w:pPr>
            <w:r>
              <w:rPr>
                <w:rFonts w:ascii="Times New Roman" w:cs="Times New Roman" w:eastAsia="Times New Roman" w:hAnsi="Times New Roman"/>
                <w:sz w:val="16"/>
                <w:szCs w:val="16"/>
                <w:color w:val="auto"/>
                <w:w w:val="97"/>
              </w:rPr>
              <w:t xml:space="preserve">Purchased </w:t>
            </w:r>
            <w:r>
              <w:rPr>
                <w:rFonts w:ascii="Times New Roman" w:cs="Times New Roman" w:eastAsia="Times New Roman" w:hAnsi="Times New Roman"/>
                <w:sz w:val="21"/>
                <w:szCs w:val="21"/>
                <w:color w:val="auto"/>
                <w:w w:val="97"/>
                <w:vertAlign w:val="superscript"/>
              </w:rPr>
              <w:t>(1)</w:t>
            </w:r>
          </w:p>
        </w:tc>
        <w:tc>
          <w:tcPr>
            <w:tcW w:w="340" w:type="dxa"/>
            <w:vAlign w:val="bottom"/>
          </w:tcPr>
          <w:p>
            <w:pPr>
              <w:spacing w:after="0"/>
              <w:rPr>
                <w:sz w:val="18"/>
                <w:szCs w:val="18"/>
                <w:color w:val="auto"/>
              </w:rPr>
            </w:pPr>
          </w:p>
        </w:tc>
        <w:tc>
          <w:tcPr>
            <w:tcW w:w="1420" w:type="dxa"/>
            <w:vAlign w:val="bottom"/>
            <w:gridSpan w:val="2"/>
          </w:tcPr>
          <w:p>
            <w:pPr>
              <w:jc w:val="center"/>
              <w:ind w:right="420"/>
              <w:spacing w:after="0" w:line="216" w:lineRule="exact"/>
              <w:rPr>
                <w:sz w:val="20"/>
                <w:szCs w:val="20"/>
                <w:color w:val="auto"/>
              </w:rPr>
            </w:pPr>
            <w:r>
              <w:rPr>
                <w:rFonts w:ascii="Times New Roman" w:cs="Times New Roman" w:eastAsia="Times New Roman" w:hAnsi="Times New Roman"/>
                <w:sz w:val="16"/>
                <w:szCs w:val="16"/>
                <w:color w:val="auto"/>
                <w:w w:val="91"/>
              </w:rPr>
              <w:t xml:space="preserve">Share </w:t>
            </w:r>
            <w:r>
              <w:rPr>
                <w:rFonts w:ascii="Times New Roman" w:cs="Times New Roman" w:eastAsia="Times New Roman" w:hAnsi="Times New Roman"/>
                <w:sz w:val="21"/>
                <w:szCs w:val="21"/>
                <w:color w:val="auto"/>
                <w:w w:val="91"/>
                <w:vertAlign w:val="superscript"/>
              </w:rPr>
              <w:t>(1)</w:t>
            </w:r>
          </w:p>
        </w:tc>
        <w:tc>
          <w:tcPr>
            <w:tcW w:w="1660" w:type="dxa"/>
            <w:vAlign w:val="bottom"/>
          </w:tcPr>
          <w:p>
            <w:pPr>
              <w:jc w:val="right"/>
              <w:ind w:right="99"/>
              <w:spacing w:after="0" w:line="216" w:lineRule="exact"/>
              <w:rPr>
                <w:sz w:val="20"/>
                <w:szCs w:val="20"/>
                <w:color w:val="auto"/>
              </w:rPr>
            </w:pPr>
            <w:r>
              <w:rPr>
                <w:rFonts w:ascii="Times New Roman" w:cs="Times New Roman" w:eastAsia="Times New Roman" w:hAnsi="Times New Roman"/>
                <w:sz w:val="16"/>
                <w:szCs w:val="16"/>
                <w:color w:val="auto"/>
              </w:rPr>
              <w:t xml:space="preserve">Repurchase Plans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499"/>
              <w:spacing w:after="0" w:line="216" w:lineRule="exact"/>
              <w:rPr>
                <w:sz w:val="20"/>
                <w:szCs w:val="20"/>
                <w:color w:val="auto"/>
              </w:rPr>
            </w:pPr>
            <w:r>
              <w:rPr>
                <w:rFonts w:ascii="Times New Roman" w:cs="Times New Roman" w:eastAsia="Times New Roman" w:hAnsi="Times New Roman"/>
                <w:sz w:val="16"/>
                <w:szCs w:val="16"/>
                <w:color w:val="auto"/>
              </w:rPr>
              <w:t xml:space="preserve">Plans </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 July 31, 2025</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34,713,664</w:t>
            </w:r>
          </w:p>
        </w:tc>
        <w:tc>
          <w:tcPr>
            <w:tcW w:w="0" w:type="dxa"/>
            <w:vAlign w:val="bottom"/>
          </w:tcPr>
          <w:p>
            <w:pPr>
              <w:spacing w:after="0"/>
              <w:rPr>
                <w:sz w:val="1"/>
                <w:szCs w:val="1"/>
                <w:color w:val="auto"/>
              </w:rPr>
            </w:pPr>
          </w:p>
        </w:tc>
      </w:tr>
      <w:tr>
        <w:trPr>
          <w:trHeight w:val="21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2025 - August 31, 2025</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191,232</w:t>
            </w:r>
          </w:p>
        </w:tc>
        <w:tc>
          <w:tcPr>
            <w:tcW w:w="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33,550,319</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2025 - September 30,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392,981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392,981</w:t>
            </w:r>
          </w:p>
        </w:tc>
        <w:tc>
          <w:tcPr>
            <w:tcW w:w="4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31,076,558</w:t>
            </w:r>
          </w:p>
        </w:tc>
        <w:tc>
          <w:tcPr>
            <w:tcW w:w="0" w:type="dxa"/>
            <w:vAlign w:val="bottom"/>
          </w:tcPr>
          <w:p>
            <w:pPr>
              <w:spacing w:after="0"/>
              <w:rPr>
                <w:sz w:val="1"/>
                <w:szCs w:val="1"/>
                <w:color w:val="auto"/>
              </w:rPr>
            </w:pPr>
          </w:p>
        </w:tc>
      </w:tr>
      <w:tr>
        <w:trPr>
          <w:trHeight w:val="212"/>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584,213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firstLine="8"/>
        <w:spacing w:after="0" w:line="271" w:lineRule="auto"/>
        <w:tabs>
          <w:tab w:leader="none" w:pos="145"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May 24, 2022, the Board of Directors authorized a Share Repurchase Program, pursuant to which the Company can repurchase up to $50.0 million of issued and outstanding common stock. The repurchase program has no expiration date and may be modified, suspended, or terminated at any time. For the third quarter of 2025, the Company repurchased 584,213 shares of common stock under the program for an aggregate price of $3.6 million on the open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right="140" w:firstLine="8"/>
        <w:spacing w:after="0" w:line="282"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gridSpan w:val="4"/>
            <w:vMerge w:val="restart"/>
          </w:tcPr>
          <w:p>
            <w:pPr>
              <w:ind w:left="44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4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0" w:type="dxa"/>
            <w:vAlign w:val="bottom"/>
            <w:gridSpan w:val="4"/>
            <w:shd w:val="clear" w:color="auto" w:fill="CCEEFF"/>
          </w:tcPr>
          <w:p>
            <w:pPr>
              <w:jc w:val="center"/>
              <w:ind w:left="419"/>
              <w:spacing w:after="0" w:line="171"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4"/>
          </w:tcPr>
          <w:p>
            <w:pPr>
              <w:jc w:val="center"/>
              <w:ind w:left="419"/>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80" w:type="dxa"/>
            <w:vAlign w:val="bottom"/>
          </w:tcPr>
          <w:p>
            <w:pPr>
              <w:spacing w:after="0"/>
              <w:rPr>
                <w:sz w:val="15"/>
                <w:szCs w:val="15"/>
                <w:color w:val="auto"/>
              </w:rPr>
            </w:pPr>
          </w:p>
        </w:tc>
        <w:tc>
          <w:tcPr>
            <w:tcW w:w="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jc w:val="center"/>
              <w:ind w:left="419"/>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6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0"/>
        </w:trPr>
        <w:tc>
          <w:tcPr>
            <w:tcW w:w="78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auto"/>
                <w:w w:val="99"/>
              </w:rPr>
              <w:t>104</w:t>
            </w:r>
          </w:p>
        </w:tc>
        <w:tc>
          <w:tcPr>
            <w:tcW w:w="4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left="1280" w:hanging="690"/>
        <w:spacing w:after="0"/>
        <w:tabs>
          <w:tab w:leader="none" w:pos="12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280" w:hanging="682"/>
        <w:spacing w:after="0"/>
        <w:tabs>
          <w:tab w:leader="none" w:pos="12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John B. Wood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Mark Bendza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DJ Terreri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DJ Terreri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Controller and Chief Accounting Officer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728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728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728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665" w:lineRule="exact"/>
        <w:rPr>
          <w:sz w:val="20"/>
          <w:szCs w:val="20"/>
          <w:color w:val="auto"/>
        </w:rPr>
      </w:pPr>
    </w:p>
    <w:p>
      <w:pPr>
        <w:sectPr>
          <w:pgSz w:w="11900" w:h="16838" w:orient="portrait"/>
          <w:cols w:equalWidth="0" w:num="2">
            <w:col w:w="5220" w:space="160"/>
            <w:col w:w="5820"/>
          </w:cols>
          <w:pgMar w:left="320" w:top="119" w:right="3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19" w:right="37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 John B. Wood, certify that:</w:t>
      </w:r>
    </w:p>
    <w:p>
      <w:pPr>
        <w:spacing w:after="0" w:line="185" w:lineRule="exact"/>
        <w:rPr>
          <w:sz w:val="20"/>
          <w:szCs w:val="20"/>
          <w:color w:val="auto"/>
        </w:rPr>
      </w:pPr>
    </w:p>
    <w:p>
      <w:pPr>
        <w:ind w:left="326" w:hanging="326"/>
        <w:spacing w:after="0"/>
        <w:tabs>
          <w:tab w:leader="none" w:pos="3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84" w:lineRule="exact"/>
        <w:rPr>
          <w:rFonts w:ascii="Times New Roman" w:cs="Times New Roman" w:eastAsia="Times New Roman" w:hAnsi="Times New Roman"/>
          <w:sz w:val="18"/>
          <w:szCs w:val="18"/>
          <w:color w:val="auto"/>
        </w:rPr>
      </w:pPr>
    </w:p>
    <w:p>
      <w:pPr>
        <w:ind w:left="326" w:right="20" w:hanging="326"/>
        <w:spacing w:after="0" w:line="266" w:lineRule="auto"/>
        <w:tabs>
          <w:tab w:leader="none" w:pos="3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26" w:right="180" w:hanging="326"/>
        <w:spacing w:after="0" w:line="282" w:lineRule="auto"/>
        <w:tabs>
          <w:tab w:leader="none" w:pos="3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26" w:right="160" w:hanging="326"/>
        <w:spacing w:after="0" w:line="276" w:lineRule="auto"/>
        <w:tabs>
          <w:tab w:leader="none" w:pos="32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6" w:right="440" w:firstLine="399"/>
        <w:spacing w:after="0" w:line="266" w:lineRule="auto"/>
        <w:tabs>
          <w:tab w:leader="none" w:pos="8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 w:right="140" w:firstLine="399"/>
        <w:spacing w:after="0" w:line="266" w:lineRule="auto"/>
        <w:tabs>
          <w:tab w:leader="none" w:pos="8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 w:right="260" w:firstLine="399"/>
        <w:spacing w:after="0" w:line="282" w:lineRule="auto"/>
        <w:tabs>
          <w:tab w:leader="none" w:pos="8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6" w:right="260" w:firstLine="399"/>
        <w:spacing w:after="0" w:line="266" w:lineRule="auto"/>
        <w:tabs>
          <w:tab w:leader="none" w:pos="8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26" w:right="120" w:hanging="326"/>
        <w:spacing w:after="0" w:line="312" w:lineRule="auto"/>
        <w:tabs>
          <w:tab w:leader="none" w:pos="32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 w:right="460" w:firstLine="399"/>
        <w:spacing w:after="0" w:line="282" w:lineRule="auto"/>
        <w:tabs>
          <w:tab w:leader="none" w:pos="8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 w:right="180" w:firstLine="399"/>
        <w:spacing w:after="0" w:line="282" w:lineRule="auto"/>
        <w:tabs>
          <w:tab w:leader="none" w:pos="8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79"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17145</wp:posOffset>
            </wp:positionV>
            <wp:extent cx="33775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0746"/>
          </w:cols>
          <w:pgMar w:left="814" w:top="94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84" w:lineRule="exact"/>
        <w:rPr>
          <w:rFonts w:ascii="Times New Roman" w:cs="Times New Roman" w:eastAsia="Times New Roman" w:hAnsi="Times New Roman"/>
          <w:sz w:val="18"/>
          <w:szCs w:val="18"/>
          <w:color w:val="auto"/>
        </w:rPr>
      </w:pPr>
    </w:p>
    <w:p>
      <w:pPr>
        <w:ind w:left="360" w:right="20" w:hanging="326"/>
        <w:spacing w:after="0" w:line="266"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60" w:right="180" w:hanging="326"/>
        <w:spacing w:after="0" w:line="282"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60" w:right="160" w:hanging="326"/>
        <w:spacing w:after="0" w:line="276" w:lineRule="auto"/>
        <w:tabs>
          <w:tab w:leader="none" w:pos="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40" w:right="440" w:firstLine="399"/>
        <w:spacing w:after="0" w:line="266" w:lineRule="auto"/>
        <w:tabs>
          <w:tab w:leader="none" w:pos="8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40" w:right="140" w:firstLine="399"/>
        <w:spacing w:after="0" w:line="266" w:lineRule="auto"/>
        <w:tabs>
          <w:tab w:leader="none" w:pos="8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40" w:right="260" w:firstLine="399"/>
        <w:spacing w:after="0" w:line="282" w:lineRule="auto"/>
        <w:tabs>
          <w:tab w:leader="none" w:pos="8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40" w:right="260" w:firstLine="399"/>
        <w:spacing w:after="0" w:line="266" w:lineRule="auto"/>
        <w:tabs>
          <w:tab w:leader="none" w:pos="8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60" w:right="120" w:hanging="326"/>
        <w:spacing w:after="0" w:line="312" w:lineRule="auto"/>
        <w:tabs>
          <w:tab w:leader="none" w:pos="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40" w:right="460" w:firstLine="399"/>
        <w:spacing w:after="0" w:line="282" w:lineRule="auto"/>
        <w:tabs>
          <w:tab w:leader="none" w:pos="8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0" w:right="180" w:firstLine="399"/>
        <w:spacing w:after="0" w:line="282" w:lineRule="auto"/>
        <w:tabs>
          <w:tab w:leader="none" w:pos="8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17145</wp:posOffset>
            </wp:positionV>
            <wp:extent cx="3377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0780"/>
          </w:cols>
          <w:pgMar w:left="780" w:top="87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Telos Corporation (the "Company") on Form 10-Q for the period ended September 30, 2025, as filed with the Securities and Exchange Commission on the date hereof (the "Report"), we, John B. Wood and Mark Bendza, certify, pursuant to 18 U.S.C. § 1350, as adopted pursuant to § 906 of the Sarbanes-Oxley Act of 2002, that to our knowledge:</w:t>
      </w:r>
    </w:p>
    <w:p>
      <w:pPr>
        <w:spacing w:after="0" w:line="12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20" w:right="140" w:hanging="6288"/>
        <w:spacing w:after="0" w:line="516" w:lineRule="auto"/>
        <w:tabs>
          <w:tab w:leader="none" w:pos="6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10, 2025</w:t>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9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lowerRoman"/>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2025-11-10T15:24:49Z</dcterms:created>
  <dcterms:modified xsi:type="dcterms:W3CDTF">2025-11-10T15:24:49Z</dcterms:modified>
</cp:coreProperties>
</file>