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412750</wp:posOffset>
            </wp:positionV>
            <wp:extent cx="708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59" w:lineRule="exact"/>
        <w:rPr>
          <w:sz w:val="24"/>
          <w:szCs w:val="24"/>
          <w:color w:val="auto"/>
        </w:rPr>
      </w:pPr>
    </w:p>
    <w:p>
      <w:pPr>
        <w:ind w:left="640" w:hanging="32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color w:val="auto"/>
        </w:rPr>
        <w:t>December 31, 2022</w:t>
      </w:r>
    </w:p>
    <w:p>
      <w:pPr>
        <w:spacing w:after="0" w:line="1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67" w:lineRule="exact"/>
        <w:rPr>
          <w:sz w:val="24"/>
          <w:szCs w:val="24"/>
          <w:color w:val="auto"/>
        </w:rPr>
      </w:pPr>
    </w:p>
    <w:p>
      <w:pPr>
        <w:ind w:left="4240" w:right="1640" w:hanging="3924"/>
        <w:spacing w:after="0" w:line="537" w:lineRule="auto"/>
        <w:tabs>
          <w:tab w:leader="none" w:pos="6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THE SECURITIES EXCHANGE ACT OF 1934 Commission file number: 001-08443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-84455</wp:posOffset>
            </wp:positionV>
            <wp:extent cx="280289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TELOS CORPORATION</w:t>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52-0880974</w:t>
            </w:r>
          </w:p>
        </w:tc>
      </w:tr>
      <w:tr>
        <w:trPr>
          <w:trHeight w:val="225"/>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3"/>
        </w:trPr>
        <w:tc>
          <w:tcPr>
            <w:tcW w:w="52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19886 Ashburn Road, Ashburn, Virginia</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20147-2358</w:t>
            </w:r>
          </w:p>
        </w:tc>
      </w:tr>
      <w:tr>
        <w:trPr>
          <w:trHeight w:val="234"/>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724-3800</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42" w:orient="portrait"/>
          <w:cols w:equalWidth="0" w:num="1">
            <w:col w:w="11180"/>
          </w:cols>
          <w:pgMar w:left="320" w:top="227" w:right="399" w:bottom="0" w:gutter="0" w:footer="0" w:header="0"/>
        </w:sectPr>
      </w:pPr>
    </w:p>
    <w:p>
      <w:pPr>
        <w:spacing w:after="0" w:line="144"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42" w:orient="portrait"/>
          <w:cols w:equalWidth="0" w:num="3">
            <w:col w:w="4240" w:space="720"/>
            <w:col w:w="1580" w:space="720"/>
            <w:col w:w="3920"/>
          </w:cols>
          <w:pgMar w:left="320" w:top="227" w:right="399" w:bottom="0" w:gutter="0" w:footer="0" w:header="0"/>
          <w:type w:val="continuous"/>
        </w:sectPr>
      </w:pP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ectPr>
          <w:pgSz w:w="11900" w:h="16842" w:orient="portrait"/>
          <w:cols w:equalWidth="0" w:num="1">
            <w:col w:w="11180"/>
          </w:cols>
          <w:pgMar w:left="320" w:top="227" w:right="399" w:bottom="0" w:gutter="0" w:footer="0" w:header="0"/>
          <w:type w:val="continuous"/>
        </w:sectPr>
      </w:pP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42" w:orient="portrait"/>
          <w:cols w:equalWidth="0" w:num="4">
            <w:col w:w="8760" w:space="100"/>
            <w:col w:w="160" w:space="180"/>
            <w:col w:w="220" w:space="120"/>
            <w:col w:w="1640"/>
          </w:cols>
          <w:pgMar w:left="320" w:top="227" w:right="399" w:bottom="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9" w:lineRule="exact"/>
        <w:rPr>
          <w:sz w:val="24"/>
          <w:szCs w:val="24"/>
          <w:color w:val="auto"/>
        </w:rPr>
      </w:pPr>
    </w:p>
    <w:p>
      <w:pPr>
        <w:sectPr>
          <w:pgSz w:w="11900" w:h="16842" w:orient="portrait"/>
          <w:cols w:equalWidth="0" w:num="4">
            <w:col w:w="8920" w:space="100"/>
            <w:col w:w="160" w:space="180"/>
            <w:col w:w="220" w:space="80"/>
            <w:col w:w="1520"/>
          </w:cols>
          <w:pgMar w:left="320" w:top="227" w:right="399" w:bottom="0" w:gutter="0" w:footer="0" w:header="0"/>
          <w:type w:val="continuous"/>
        </w:sect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36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78"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4"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842" w:orient="portrait"/>
          <w:cols w:equalWidth="0" w:num="1">
            <w:col w:w="11180"/>
          </w:cols>
          <w:pgMar w:left="320" w:top="227" w:right="399" w:bottom="0" w:gutter="0" w:footer="0" w:header="0"/>
          <w:type w:val="continuous"/>
        </w:sectPr>
      </w:pPr>
    </w:p>
    <w:bookmarkStart w:id="1" w:name="page2"/>
    <w:bookmarkEnd w:id="1"/>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June 30, 2022 was approximately $428.7 million based upon the last reported sale price of the registrant's common stock on The Nasdaq Stock Market LLC as of the close of business on that day.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10, 2023, the registrant had outstanding 68,559,383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080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080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2023 Annual Meeting of Stockholders to be filed with the Securities and Exchange Commission within 120 days after the end of the registrant's fiscal year ended December 31, 2022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46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6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046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 to 2022 Form 10-K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9"/>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0" w:type="dxa"/>
            <w:vAlign w:val="bottom"/>
            <w:gridSpan w:val="46"/>
            <w:shd w:val="clear" w:color="auto" w:fill="CCEEFF"/>
          </w:tcPr>
          <w:p>
            <w:pPr>
              <w:ind w:left="340"/>
              <w:spacing w:after="0" w:line="178" w:lineRule="exact"/>
              <w:rPr>
                <w:sz w:val="20"/>
                <w:szCs w:val="20"/>
                <w:color w:val="auto"/>
              </w:rPr>
            </w:pPr>
            <w:r>
              <w:rPr>
                <w:rFonts w:ascii="Times New Roman" w:cs="Times New Roman" w:eastAsia="Times New Roman" w:hAnsi="Times New Roman"/>
                <w:sz w:val="16"/>
                <w:szCs w:val="16"/>
                <w:color w:val="0000FF"/>
              </w:rPr>
              <w:t>Special Note Regarding Forward-Looking Statements</w:t>
            </w:r>
          </w:p>
        </w:tc>
        <w:tc>
          <w:tcPr>
            <w:tcW w:w="1200" w:type="dxa"/>
            <w:vAlign w:val="bottom"/>
            <w:gridSpan w:val="3"/>
            <w:shd w:val="clear" w:color="auto" w:fill="CCEEFF"/>
          </w:tcPr>
          <w:p>
            <w:pPr>
              <w:jc w:val="center"/>
              <w:ind w:left="1039"/>
              <w:spacing w:after="0" w:line="178" w:lineRule="exact"/>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w:t>
            </w: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gridSpan w:val="2"/>
          </w:tcPr>
          <w:p>
            <w:pPr>
              <w:spacing w:after="0" w:line="20" w:lineRule="exact"/>
              <w:rPr>
                <w:sz w:val="1"/>
                <w:szCs w:val="1"/>
                <w:color w:val="auto"/>
              </w:rPr>
            </w:pPr>
          </w:p>
        </w:tc>
        <w:tc>
          <w:tcPr>
            <w:tcW w:w="10640" w:type="dxa"/>
            <w:vAlign w:val="bottom"/>
            <w:gridSpan w:val="54"/>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8600" w:type="dxa"/>
            <w:vAlign w:val="bottom"/>
            <w:gridSpan w:val="46"/>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Business</w:t>
            </w:r>
          </w:p>
        </w:tc>
        <w:tc>
          <w:tcPr>
            <w:tcW w:w="1200" w:type="dxa"/>
            <w:vAlign w:val="bottom"/>
            <w:gridSpan w:val="3"/>
            <w:shd w:val="clear" w:color="auto" w:fill="CCEEFF"/>
          </w:tcPr>
          <w:p>
            <w:pPr>
              <w:jc w:val="center"/>
              <w:ind w:left="1039"/>
              <w:spacing w:after="0" w:line="175" w:lineRule="exact"/>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8800" w:type="dxa"/>
            <w:vAlign w:val="bottom"/>
            <w:tcBorders>
              <w:top w:val="single" w:sz="8" w:color="CCEEFF"/>
            </w:tcBorders>
            <w:gridSpan w:val="44"/>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8600" w:type="dxa"/>
            <w:vAlign w:val="bottom"/>
            <w:gridSpan w:val="46"/>
          </w:tcPr>
          <w:p>
            <w:pPr>
              <w:ind w:left="340"/>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12</w:t>
            </w: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FF"/>
            </w:tcBorders>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20" w:type="dxa"/>
            <w:vAlign w:val="bottom"/>
            <w:tcBorders>
              <w:top w:val="single" w:sz="8" w:color="0000FF"/>
            </w:tcBorders>
            <w:gridSpan w:val="8"/>
          </w:tcPr>
          <w:p>
            <w:pPr>
              <w:spacing w:after="0" w:line="20" w:lineRule="exact"/>
              <w:rPr>
                <w:sz w:val="1"/>
                <w:szCs w:val="1"/>
                <w:color w:val="auto"/>
              </w:rPr>
            </w:pPr>
          </w:p>
        </w:tc>
        <w:tc>
          <w:tcPr>
            <w:tcW w:w="8520" w:type="dxa"/>
            <w:vAlign w:val="bottom"/>
            <w:gridSpan w:val="38"/>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Item 1B.</w:t>
            </w:r>
          </w:p>
        </w:tc>
        <w:tc>
          <w:tcPr>
            <w:tcW w:w="340" w:type="dxa"/>
            <w:vAlign w:val="bottom"/>
            <w:gridSpan w:val="2"/>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6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Unresolved Staff Comments</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25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680" w:type="dxa"/>
            <w:vAlign w:val="bottom"/>
            <w:tcBorders>
              <w:top w:val="single" w:sz="8" w:color="CCEEFF"/>
            </w:tcBorders>
            <w:gridSpan w:val="3"/>
            <w:shd w:val="clear" w:color="auto" w:fill="CCEEFF"/>
          </w:tcPr>
          <w:p>
            <w:pPr>
              <w:spacing w:after="0" w:line="20" w:lineRule="exact"/>
              <w:rPr>
                <w:sz w:val="1"/>
                <w:szCs w:val="1"/>
                <w:color w:val="auto"/>
              </w:rPr>
            </w:pPr>
          </w:p>
        </w:tc>
        <w:tc>
          <w:tcPr>
            <w:tcW w:w="1840" w:type="dxa"/>
            <w:vAlign w:val="bottom"/>
            <w:tcBorders>
              <w:top w:val="single" w:sz="8" w:color="0000FF"/>
            </w:tcBorders>
            <w:gridSpan w:val="20"/>
            <w:shd w:val="clear" w:color="auto" w:fill="CCEEFF"/>
          </w:tcPr>
          <w:p>
            <w:pPr>
              <w:spacing w:after="0" w:line="20" w:lineRule="exact"/>
              <w:rPr>
                <w:sz w:val="1"/>
                <w:szCs w:val="1"/>
                <w:color w:val="auto"/>
              </w:rPr>
            </w:pPr>
          </w:p>
        </w:tc>
        <w:tc>
          <w:tcPr>
            <w:tcW w:w="7500" w:type="dxa"/>
            <w:vAlign w:val="bottom"/>
            <w:tcBorders>
              <w:top w:val="single" w:sz="8" w:color="CCEEFF"/>
            </w:tcBorders>
            <w:gridSpan w:val="2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3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0000FF"/>
              </w:rPr>
              <w:t>Properties</w:t>
            </w:r>
          </w:p>
        </w:tc>
        <w:tc>
          <w:tcPr>
            <w:tcW w:w="6420" w:type="dxa"/>
            <w:vAlign w:val="bottom"/>
            <w:gridSpan w:val="25"/>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4"/>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25</w:t>
            </w: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60" w:type="dxa"/>
            <w:vAlign w:val="bottom"/>
            <w:tcBorders>
              <w:top w:val="single" w:sz="8" w:color="0000FF"/>
            </w:tcBorders>
            <w:gridSpan w:val="4"/>
          </w:tcPr>
          <w:p>
            <w:pPr>
              <w:spacing w:after="0" w:line="20" w:lineRule="exact"/>
              <w:rPr>
                <w:sz w:val="1"/>
                <w:szCs w:val="1"/>
                <w:color w:val="auto"/>
              </w:rPr>
            </w:pPr>
          </w:p>
        </w:tc>
        <w:tc>
          <w:tcPr>
            <w:tcW w:w="8680" w:type="dxa"/>
            <w:vAlign w:val="bottom"/>
            <w:gridSpan w:val="4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8600" w:type="dxa"/>
            <w:vAlign w:val="bottom"/>
            <w:gridSpan w:val="46"/>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25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1200" w:type="dxa"/>
            <w:vAlign w:val="bottom"/>
            <w:tcBorders>
              <w:top w:val="single" w:sz="8" w:color="0000FF"/>
            </w:tcBorders>
            <w:gridSpan w:val="12"/>
            <w:shd w:val="clear" w:color="auto" w:fill="CCEEFF"/>
          </w:tcPr>
          <w:p>
            <w:pPr>
              <w:spacing w:after="0" w:line="20" w:lineRule="exact"/>
              <w:rPr>
                <w:sz w:val="1"/>
                <w:szCs w:val="1"/>
                <w:color w:val="auto"/>
              </w:rPr>
            </w:pPr>
          </w:p>
        </w:tc>
        <w:tc>
          <w:tcPr>
            <w:tcW w:w="8140" w:type="dxa"/>
            <w:vAlign w:val="bottom"/>
            <w:tcBorders>
              <w:top w:val="single" w:sz="8" w:color="CCEEFF"/>
            </w:tcBorders>
            <w:gridSpan w:val="3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8600" w:type="dxa"/>
            <w:vAlign w:val="bottom"/>
            <w:gridSpan w:val="46"/>
          </w:tcPr>
          <w:p>
            <w:pPr>
              <w:ind w:left="340"/>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25</w:t>
            </w: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600" w:type="dxa"/>
            <w:vAlign w:val="bottom"/>
            <w:tcBorders>
              <w:top w:val="single" w:sz="8" w:color="0000FF"/>
            </w:tcBorders>
            <w:gridSpan w:val="17"/>
          </w:tcPr>
          <w:p>
            <w:pPr>
              <w:spacing w:after="0" w:line="20" w:lineRule="exact"/>
              <w:rPr>
                <w:sz w:val="1"/>
                <w:szCs w:val="1"/>
                <w:color w:val="auto"/>
              </w:rPr>
            </w:pPr>
          </w:p>
        </w:tc>
        <w:tc>
          <w:tcPr>
            <w:tcW w:w="7740" w:type="dxa"/>
            <w:vAlign w:val="bottom"/>
            <w:gridSpan w:val="2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FF"/>
            </w:tcBorders>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0000FF"/>
                <w:w w:val="96"/>
              </w:rPr>
              <w:t>PART II</w:t>
            </w:r>
          </w:p>
        </w:tc>
        <w:tc>
          <w:tcPr>
            <w:tcW w:w="3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5.</w:t>
            </w:r>
          </w:p>
        </w:tc>
        <w:tc>
          <w:tcPr>
            <w:tcW w:w="8600" w:type="dxa"/>
            <w:vAlign w:val="bottom"/>
            <w:gridSpan w:val="46"/>
          </w:tcPr>
          <w:p>
            <w:pPr>
              <w:ind w:left="340"/>
              <w:spacing w:after="0" w:line="175"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26</w:t>
            </w: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7260" w:type="dxa"/>
            <w:vAlign w:val="bottom"/>
            <w:tcBorders>
              <w:top w:val="single" w:sz="8" w:color="0000FF"/>
            </w:tcBorders>
            <w:gridSpan w:val="4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8600" w:type="dxa"/>
            <w:vAlign w:val="bottom"/>
            <w:gridSpan w:val="46"/>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[Reserved]</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27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720" w:type="dxa"/>
            <w:vAlign w:val="bottom"/>
            <w:tcBorders>
              <w:top w:val="single" w:sz="8" w:color="0000FF"/>
            </w:tcBorders>
            <w:gridSpan w:val="6"/>
            <w:shd w:val="clear" w:color="auto" w:fill="CCEEFF"/>
          </w:tcPr>
          <w:p>
            <w:pPr>
              <w:spacing w:after="0" w:line="20" w:lineRule="exact"/>
              <w:rPr>
                <w:sz w:val="1"/>
                <w:szCs w:val="1"/>
                <w:color w:val="auto"/>
              </w:rPr>
            </w:pPr>
          </w:p>
        </w:tc>
        <w:tc>
          <w:tcPr>
            <w:tcW w:w="8620" w:type="dxa"/>
            <w:vAlign w:val="bottom"/>
            <w:tcBorders>
              <w:top w:val="single" w:sz="8" w:color="CCEEFF"/>
            </w:tcBorders>
            <w:gridSpan w:val="40"/>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7.</w:t>
            </w:r>
          </w:p>
        </w:tc>
        <w:tc>
          <w:tcPr>
            <w:tcW w:w="8600" w:type="dxa"/>
            <w:vAlign w:val="bottom"/>
            <w:gridSpan w:val="46"/>
          </w:tcPr>
          <w:p>
            <w:pPr>
              <w:ind w:left="340"/>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28</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5800" w:type="dxa"/>
            <w:vAlign w:val="bottom"/>
            <w:tcBorders>
              <w:top w:val="single" w:sz="8" w:color="0000FF"/>
            </w:tcBorders>
            <w:gridSpan w:val="43"/>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1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General Overview</w:t>
            </w:r>
          </w:p>
        </w:tc>
        <w:tc>
          <w:tcPr>
            <w:tcW w:w="7060" w:type="dxa"/>
            <w:vAlign w:val="bottom"/>
            <w:gridSpan w:val="33"/>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28</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200" w:type="dxa"/>
            <w:vAlign w:val="bottom"/>
            <w:tcBorders>
              <w:top w:val="single" w:sz="8" w:color="0000FF"/>
            </w:tcBorders>
            <w:gridSpan w:val="12"/>
            <w:shd w:val="clear" w:color="auto" w:fill="CCEEFF"/>
          </w:tcPr>
          <w:p>
            <w:pPr>
              <w:spacing w:after="0" w:line="20" w:lineRule="exact"/>
              <w:rPr>
                <w:sz w:val="1"/>
                <w:szCs w:val="1"/>
                <w:color w:val="auto"/>
              </w:rPr>
            </w:pPr>
          </w:p>
        </w:tc>
        <w:tc>
          <w:tcPr>
            <w:tcW w:w="8140" w:type="dxa"/>
            <w:vAlign w:val="bottom"/>
            <w:tcBorders>
              <w:top w:val="single" w:sz="8" w:color="CCEEFF"/>
            </w:tcBorders>
            <w:gridSpan w:val="3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Business Environment</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28</w:t>
            </w:r>
          </w:p>
        </w:tc>
      </w:tr>
      <w:tr>
        <w:trPr>
          <w:trHeight w:val="21"/>
        </w:trPr>
        <w:tc>
          <w:tcPr>
            <w:tcW w:w="1280" w:type="dxa"/>
            <w:vAlign w:val="bottom"/>
            <w:gridSpan w:val="7"/>
          </w:tcPr>
          <w:p>
            <w:pPr>
              <w:spacing w:after="0" w:line="20" w:lineRule="exact"/>
              <w:rPr>
                <w:sz w:val="1"/>
                <w:szCs w:val="1"/>
                <w:color w:val="auto"/>
              </w:rPr>
            </w:pPr>
          </w:p>
        </w:tc>
        <w:tc>
          <w:tcPr>
            <w:tcW w:w="1460" w:type="dxa"/>
            <w:vAlign w:val="bottom"/>
            <w:tcBorders>
              <w:top w:val="single" w:sz="8" w:color="0000FF"/>
            </w:tcBorders>
            <w:gridSpan w:val="15"/>
          </w:tcPr>
          <w:p>
            <w:pPr>
              <w:spacing w:after="0" w:line="20" w:lineRule="exact"/>
              <w:rPr>
                <w:sz w:val="1"/>
                <w:szCs w:val="1"/>
                <w:color w:val="auto"/>
              </w:rPr>
            </w:pPr>
          </w:p>
        </w:tc>
        <w:tc>
          <w:tcPr>
            <w:tcW w:w="7880" w:type="dxa"/>
            <w:vAlign w:val="bottom"/>
            <w:gridSpan w:val="3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6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Opportunities, Challenges and Risks</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30</w:t>
            </w: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360" w:type="dxa"/>
            <w:vAlign w:val="bottom"/>
            <w:tcBorders>
              <w:top w:val="single" w:sz="8" w:color="0000FF"/>
            </w:tcBorders>
            <w:gridSpan w:val="30"/>
            <w:shd w:val="clear" w:color="auto" w:fill="CCEEFF"/>
          </w:tcPr>
          <w:p>
            <w:pPr>
              <w:spacing w:after="0" w:line="20" w:lineRule="exact"/>
              <w:rPr>
                <w:sz w:val="1"/>
                <w:szCs w:val="1"/>
                <w:color w:val="auto"/>
              </w:rPr>
            </w:pPr>
          </w:p>
        </w:tc>
        <w:tc>
          <w:tcPr>
            <w:tcW w:w="6980" w:type="dxa"/>
            <w:vAlign w:val="bottom"/>
            <w:tcBorders>
              <w:top w:val="single" w:sz="8" w:color="CCEEFF"/>
            </w:tcBorders>
            <w:gridSpan w:val="1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gridSpan w:val="30"/>
          </w:tcPr>
          <w:p>
            <w:pPr>
              <w:spacing w:after="0" w:line="175" w:lineRule="exact"/>
              <w:rPr>
                <w:sz w:val="20"/>
                <w:szCs w:val="20"/>
                <w:color w:val="auto"/>
              </w:rPr>
            </w:pPr>
            <w:r>
              <w:rPr>
                <w:rFonts w:ascii="Times New Roman" w:cs="Times New Roman" w:eastAsia="Times New Roman" w:hAnsi="Times New Roman"/>
                <w:sz w:val="16"/>
                <w:szCs w:val="16"/>
                <w:color w:val="0000FF"/>
              </w:rPr>
              <w:t>Backlog</w:t>
            </w:r>
          </w:p>
        </w:tc>
        <w:tc>
          <w:tcPr>
            <w:tcW w:w="5900" w:type="dxa"/>
            <w:vAlign w:val="bottom"/>
            <w:gridSpan w:val="15"/>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4"/>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31</w:t>
            </w:r>
          </w:p>
        </w:tc>
      </w:tr>
      <w:tr>
        <w:trPr>
          <w:trHeight w:val="21"/>
        </w:trPr>
        <w:tc>
          <w:tcPr>
            <w:tcW w:w="1280" w:type="dxa"/>
            <w:vAlign w:val="bottom"/>
            <w:gridSpan w:val="7"/>
          </w:tcPr>
          <w:p>
            <w:pPr>
              <w:spacing w:after="0" w:line="20" w:lineRule="exact"/>
              <w:rPr>
                <w:sz w:val="1"/>
                <w:szCs w:val="1"/>
                <w:color w:val="auto"/>
              </w:rPr>
            </w:pPr>
          </w:p>
        </w:tc>
        <w:tc>
          <w:tcPr>
            <w:tcW w:w="540" w:type="dxa"/>
            <w:vAlign w:val="bottom"/>
            <w:tcBorders>
              <w:top w:val="single" w:sz="8" w:color="0000FF"/>
            </w:tcBorders>
            <w:gridSpan w:val="2"/>
          </w:tcPr>
          <w:p>
            <w:pPr>
              <w:spacing w:after="0" w:line="20" w:lineRule="exact"/>
              <w:rPr>
                <w:sz w:val="1"/>
                <w:szCs w:val="1"/>
                <w:color w:val="auto"/>
              </w:rPr>
            </w:pPr>
          </w:p>
        </w:tc>
        <w:tc>
          <w:tcPr>
            <w:tcW w:w="8800" w:type="dxa"/>
            <w:vAlign w:val="bottom"/>
            <w:gridSpan w:val="44"/>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6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Financial Overview</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31</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280" w:type="dxa"/>
            <w:vAlign w:val="bottom"/>
            <w:tcBorders>
              <w:top w:val="single" w:sz="8" w:color="0000FF"/>
            </w:tcBorders>
            <w:gridSpan w:val="13"/>
            <w:shd w:val="clear" w:color="auto" w:fill="CCEEFF"/>
          </w:tcPr>
          <w:p>
            <w:pPr>
              <w:spacing w:after="0" w:line="20" w:lineRule="exact"/>
              <w:rPr>
                <w:sz w:val="1"/>
                <w:szCs w:val="1"/>
                <w:color w:val="auto"/>
              </w:rPr>
            </w:pPr>
          </w:p>
        </w:tc>
        <w:tc>
          <w:tcPr>
            <w:tcW w:w="8060" w:type="dxa"/>
            <w:vAlign w:val="bottom"/>
            <w:tcBorders>
              <w:top w:val="single" w:sz="8" w:color="CCEEFF"/>
            </w:tcBorders>
            <w:gridSpan w:val="33"/>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Key Performance Measure</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32</w:t>
            </w:r>
          </w:p>
        </w:tc>
      </w:tr>
      <w:tr>
        <w:trPr>
          <w:trHeight w:val="21"/>
        </w:trPr>
        <w:tc>
          <w:tcPr>
            <w:tcW w:w="1280" w:type="dxa"/>
            <w:vAlign w:val="bottom"/>
            <w:gridSpan w:val="7"/>
          </w:tcPr>
          <w:p>
            <w:pPr>
              <w:spacing w:after="0" w:line="20" w:lineRule="exact"/>
              <w:rPr>
                <w:sz w:val="1"/>
                <w:szCs w:val="1"/>
                <w:color w:val="auto"/>
              </w:rPr>
            </w:pPr>
          </w:p>
        </w:tc>
        <w:tc>
          <w:tcPr>
            <w:tcW w:w="1740" w:type="dxa"/>
            <w:vAlign w:val="bottom"/>
            <w:tcBorders>
              <w:top w:val="single" w:sz="8" w:color="0000FF"/>
            </w:tcBorders>
            <w:gridSpan w:val="19"/>
          </w:tcPr>
          <w:p>
            <w:pPr>
              <w:spacing w:after="0" w:line="20" w:lineRule="exact"/>
              <w:rPr>
                <w:sz w:val="1"/>
                <w:szCs w:val="1"/>
                <w:color w:val="auto"/>
              </w:rPr>
            </w:pPr>
          </w:p>
        </w:tc>
        <w:tc>
          <w:tcPr>
            <w:tcW w:w="7600" w:type="dxa"/>
            <w:vAlign w:val="bottom"/>
            <w:gridSpan w:val="2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6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Results of Operations</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32</w:t>
            </w: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400" w:type="dxa"/>
            <w:vAlign w:val="bottom"/>
            <w:tcBorders>
              <w:top w:val="single" w:sz="8" w:color="0000FF"/>
            </w:tcBorders>
            <w:gridSpan w:val="14"/>
            <w:shd w:val="clear" w:color="auto" w:fill="CCEEFF"/>
          </w:tcPr>
          <w:p>
            <w:pPr>
              <w:spacing w:after="0" w:line="20" w:lineRule="exact"/>
              <w:rPr>
                <w:sz w:val="1"/>
                <w:szCs w:val="1"/>
                <w:color w:val="auto"/>
              </w:rPr>
            </w:pPr>
          </w:p>
        </w:tc>
        <w:tc>
          <w:tcPr>
            <w:tcW w:w="7940" w:type="dxa"/>
            <w:vAlign w:val="bottom"/>
            <w:tcBorders>
              <w:top w:val="single" w:sz="8" w:color="CCEEFF"/>
            </w:tcBorders>
            <w:gridSpan w:val="3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Non-GAAP Financial Measures</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33</w:t>
            </w:r>
          </w:p>
        </w:tc>
      </w:tr>
      <w:tr>
        <w:trPr>
          <w:trHeight w:val="21"/>
        </w:trPr>
        <w:tc>
          <w:tcPr>
            <w:tcW w:w="1280" w:type="dxa"/>
            <w:vAlign w:val="bottom"/>
            <w:gridSpan w:val="7"/>
          </w:tcPr>
          <w:p>
            <w:pPr>
              <w:spacing w:after="0" w:line="20" w:lineRule="exact"/>
              <w:rPr>
                <w:sz w:val="1"/>
                <w:szCs w:val="1"/>
                <w:color w:val="auto"/>
              </w:rPr>
            </w:pPr>
          </w:p>
        </w:tc>
        <w:tc>
          <w:tcPr>
            <w:tcW w:w="2080" w:type="dxa"/>
            <w:vAlign w:val="bottom"/>
            <w:tcBorders>
              <w:top w:val="single" w:sz="8" w:color="0000FF"/>
            </w:tcBorders>
            <w:gridSpan w:val="27"/>
          </w:tcPr>
          <w:p>
            <w:pPr>
              <w:spacing w:after="0" w:line="20" w:lineRule="exact"/>
              <w:rPr>
                <w:sz w:val="1"/>
                <w:szCs w:val="1"/>
                <w:color w:val="auto"/>
              </w:rPr>
            </w:pPr>
          </w:p>
        </w:tc>
        <w:tc>
          <w:tcPr>
            <w:tcW w:w="7260" w:type="dxa"/>
            <w:vAlign w:val="bottom"/>
            <w:gridSpan w:val="1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00" w:type="dxa"/>
            <w:vAlign w:val="bottom"/>
            <w:gridSpan w:val="2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Liquidity and Capital Resources</w:t>
            </w:r>
          </w:p>
        </w:tc>
        <w:tc>
          <w:tcPr>
            <w:tcW w:w="6160" w:type="dxa"/>
            <w:vAlign w:val="bottom"/>
            <w:gridSpan w:val="17"/>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35</w:t>
            </w: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100" w:type="dxa"/>
            <w:vAlign w:val="bottom"/>
            <w:tcBorders>
              <w:top w:val="single" w:sz="8" w:color="0000FF"/>
            </w:tcBorders>
            <w:gridSpan w:val="28"/>
            <w:shd w:val="clear" w:color="auto" w:fill="CCEEFF"/>
          </w:tcPr>
          <w:p>
            <w:pPr>
              <w:spacing w:after="0" w:line="20" w:lineRule="exact"/>
              <w:rPr>
                <w:sz w:val="1"/>
                <w:szCs w:val="1"/>
                <w:color w:val="auto"/>
              </w:rPr>
            </w:pPr>
          </w:p>
        </w:tc>
        <w:tc>
          <w:tcPr>
            <w:tcW w:w="7240" w:type="dxa"/>
            <w:vAlign w:val="bottom"/>
            <w:tcBorders>
              <w:top w:val="single" w:sz="8" w:color="CCEEFF"/>
            </w:tcBorders>
            <w:gridSpan w:val="1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37</w:t>
            </w:r>
          </w:p>
        </w:tc>
      </w:tr>
      <w:tr>
        <w:trPr>
          <w:trHeight w:val="21"/>
        </w:trPr>
        <w:tc>
          <w:tcPr>
            <w:tcW w:w="1280" w:type="dxa"/>
            <w:vAlign w:val="bottom"/>
            <w:gridSpan w:val="7"/>
          </w:tcPr>
          <w:p>
            <w:pPr>
              <w:spacing w:after="0" w:line="20" w:lineRule="exact"/>
              <w:rPr>
                <w:sz w:val="1"/>
                <w:szCs w:val="1"/>
                <w:color w:val="auto"/>
              </w:rPr>
            </w:pPr>
          </w:p>
        </w:tc>
        <w:tc>
          <w:tcPr>
            <w:tcW w:w="2780" w:type="dxa"/>
            <w:vAlign w:val="bottom"/>
            <w:tcBorders>
              <w:top w:val="single" w:sz="8" w:color="0000FF"/>
            </w:tcBorders>
            <w:gridSpan w:val="33"/>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7A.</w:t>
            </w:r>
          </w:p>
        </w:tc>
        <w:tc>
          <w:tcPr>
            <w:tcW w:w="8600" w:type="dxa"/>
            <w:vAlign w:val="bottom"/>
            <w:gridSpan w:val="46"/>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39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680" w:type="dxa"/>
            <w:vAlign w:val="bottom"/>
            <w:tcBorders>
              <w:top w:val="single" w:sz="8" w:color="CCEEFF"/>
            </w:tcBorders>
            <w:gridSpan w:val="3"/>
            <w:shd w:val="clear" w:color="auto" w:fill="CCEEFF"/>
          </w:tcPr>
          <w:p>
            <w:pPr>
              <w:spacing w:after="0" w:line="20" w:lineRule="exact"/>
              <w:rPr>
                <w:sz w:val="1"/>
                <w:szCs w:val="1"/>
                <w:color w:val="auto"/>
              </w:rPr>
            </w:pPr>
          </w:p>
        </w:tc>
        <w:tc>
          <w:tcPr>
            <w:tcW w:w="3880" w:type="dxa"/>
            <w:vAlign w:val="bottom"/>
            <w:tcBorders>
              <w:top w:val="single" w:sz="8" w:color="0000FF"/>
            </w:tcBorders>
            <w:gridSpan w:val="40"/>
            <w:shd w:val="clear" w:color="auto" w:fill="CCEEFF"/>
          </w:tcPr>
          <w:p>
            <w:pPr>
              <w:spacing w:after="0" w:line="20" w:lineRule="exact"/>
              <w:rPr>
                <w:sz w:val="1"/>
                <w:szCs w:val="1"/>
                <w:color w:val="auto"/>
              </w:rPr>
            </w:pPr>
          </w:p>
        </w:tc>
        <w:tc>
          <w:tcPr>
            <w:tcW w:w="5460" w:type="dxa"/>
            <w:vAlign w:val="bottom"/>
            <w:tcBorders>
              <w:top w:val="single" w:sz="8" w:color="CCEEFF"/>
            </w:tcBorders>
            <w:gridSpan w:val="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8.</w:t>
            </w:r>
          </w:p>
        </w:tc>
        <w:tc>
          <w:tcPr>
            <w:tcW w:w="3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Consolidated Financial Statements and Supplementary Data</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40</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900" w:type="dxa"/>
            <w:vAlign w:val="bottom"/>
            <w:tcBorders>
              <w:top w:val="single" w:sz="8" w:color="0000FF"/>
            </w:tcBorders>
            <w:gridSpan w:val="41"/>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6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No. 238)</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40</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800" w:type="dxa"/>
            <w:vAlign w:val="bottom"/>
            <w:tcBorders>
              <w:top w:val="single" w:sz="8" w:color="0000FF"/>
            </w:tcBorders>
            <w:gridSpan w:val="37"/>
            <w:shd w:val="clear" w:color="auto" w:fill="CCEEFF"/>
          </w:tcPr>
          <w:p>
            <w:pPr>
              <w:spacing w:after="0" w:line="20" w:lineRule="exact"/>
              <w:rPr>
                <w:sz w:val="1"/>
                <w:szCs w:val="1"/>
                <w:color w:val="auto"/>
              </w:rPr>
            </w:pPr>
          </w:p>
        </w:tc>
        <w:tc>
          <w:tcPr>
            <w:tcW w:w="5540" w:type="dxa"/>
            <w:vAlign w:val="bottom"/>
            <w:tcBorders>
              <w:top w:val="single" w:sz="8" w:color="CCEEFF"/>
            </w:tcBorders>
            <w:gridSpan w:val="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No. 243)</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42</w:t>
            </w:r>
          </w:p>
        </w:tc>
      </w:tr>
      <w:tr>
        <w:trPr>
          <w:trHeight w:val="21"/>
        </w:trPr>
        <w:tc>
          <w:tcPr>
            <w:tcW w:w="1280" w:type="dxa"/>
            <w:vAlign w:val="bottom"/>
            <w:gridSpan w:val="7"/>
          </w:tcPr>
          <w:p>
            <w:pPr>
              <w:spacing w:after="0" w:line="20" w:lineRule="exact"/>
              <w:rPr>
                <w:sz w:val="1"/>
                <w:szCs w:val="1"/>
                <w:color w:val="auto"/>
              </w:rPr>
            </w:pPr>
          </w:p>
        </w:tc>
        <w:tc>
          <w:tcPr>
            <w:tcW w:w="3800" w:type="dxa"/>
            <w:vAlign w:val="bottom"/>
            <w:tcBorders>
              <w:top w:val="single" w:sz="8" w:color="0000FF"/>
            </w:tcBorders>
            <w:gridSpan w:val="37"/>
          </w:tcPr>
          <w:p>
            <w:pPr>
              <w:spacing w:after="0" w:line="20" w:lineRule="exact"/>
              <w:rPr>
                <w:sz w:val="1"/>
                <w:szCs w:val="1"/>
                <w:color w:val="auto"/>
              </w:rPr>
            </w:pPr>
          </w:p>
        </w:tc>
        <w:tc>
          <w:tcPr>
            <w:tcW w:w="5540" w:type="dxa"/>
            <w:vAlign w:val="bottom"/>
            <w:gridSpan w:val="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540" w:type="dxa"/>
            <w:vAlign w:val="bottom"/>
            <w:gridSpan w:val="3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Operations</w:t>
            </w:r>
          </w:p>
        </w:tc>
        <w:tc>
          <w:tcPr>
            <w:tcW w:w="5720" w:type="dxa"/>
            <w:vAlign w:val="bottom"/>
            <w:gridSpan w:val="14"/>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43</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540" w:type="dxa"/>
            <w:vAlign w:val="bottom"/>
            <w:tcBorders>
              <w:top w:val="single" w:sz="8" w:color="0000FF"/>
            </w:tcBorders>
            <w:gridSpan w:val="31"/>
            <w:shd w:val="clear" w:color="auto" w:fill="CCEEFF"/>
          </w:tcPr>
          <w:p>
            <w:pPr>
              <w:spacing w:after="0" w:line="20" w:lineRule="exact"/>
              <w:rPr>
                <w:sz w:val="1"/>
                <w:szCs w:val="1"/>
                <w:color w:val="auto"/>
              </w:rPr>
            </w:pPr>
          </w:p>
        </w:tc>
        <w:tc>
          <w:tcPr>
            <w:tcW w:w="6800" w:type="dxa"/>
            <w:vAlign w:val="bottom"/>
            <w:tcBorders>
              <w:top w:val="single" w:sz="8" w:color="CCEEFF"/>
            </w:tcBorders>
            <w:gridSpan w:val="15"/>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Comprehensive (Loss)/Income</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44</w:t>
            </w:r>
          </w:p>
        </w:tc>
      </w:tr>
      <w:tr>
        <w:trPr>
          <w:trHeight w:val="20"/>
        </w:trPr>
        <w:tc>
          <w:tcPr>
            <w:tcW w:w="1280" w:type="dxa"/>
            <w:vAlign w:val="bottom"/>
            <w:gridSpan w:val="7"/>
          </w:tcPr>
          <w:p>
            <w:pPr>
              <w:spacing w:after="0" w:line="20" w:lineRule="exact"/>
              <w:rPr>
                <w:sz w:val="1"/>
                <w:szCs w:val="1"/>
                <w:color w:val="auto"/>
              </w:rPr>
            </w:pPr>
          </w:p>
        </w:tc>
        <w:tc>
          <w:tcPr>
            <w:tcW w:w="3820" w:type="dxa"/>
            <w:vAlign w:val="bottom"/>
            <w:tcBorders>
              <w:top w:val="single" w:sz="8" w:color="0000FF"/>
            </w:tcBorders>
            <w:gridSpan w:val="38"/>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6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45</w:t>
            </w: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880" w:type="dxa"/>
            <w:vAlign w:val="bottom"/>
            <w:tcBorders>
              <w:top w:val="single" w:sz="8" w:color="0000FF"/>
            </w:tcBorders>
            <w:gridSpan w:val="22"/>
            <w:shd w:val="clear" w:color="auto" w:fill="CCEEFF"/>
          </w:tcPr>
          <w:p>
            <w:pPr>
              <w:spacing w:after="0" w:line="20" w:lineRule="exact"/>
              <w:rPr>
                <w:sz w:val="1"/>
                <w:szCs w:val="1"/>
                <w:color w:val="auto"/>
              </w:rPr>
            </w:pPr>
          </w:p>
        </w:tc>
        <w:tc>
          <w:tcPr>
            <w:tcW w:w="7460" w:type="dxa"/>
            <w:vAlign w:val="bottom"/>
            <w:tcBorders>
              <w:top w:val="single" w:sz="8" w:color="CCEEFF"/>
            </w:tcBorders>
            <w:gridSpan w:val="2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Cash Flows</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280" w:type="dxa"/>
            <w:vAlign w:val="bottom"/>
            <w:gridSpan w:val="7"/>
          </w:tcPr>
          <w:p>
            <w:pPr>
              <w:spacing w:after="0" w:line="20" w:lineRule="exact"/>
              <w:rPr>
                <w:sz w:val="1"/>
                <w:szCs w:val="1"/>
                <w:color w:val="auto"/>
              </w:rPr>
            </w:pPr>
          </w:p>
        </w:tc>
        <w:tc>
          <w:tcPr>
            <w:tcW w:w="2580" w:type="dxa"/>
            <w:vAlign w:val="bottom"/>
            <w:tcBorders>
              <w:top w:val="single" w:sz="8" w:color="0000FF"/>
            </w:tcBorders>
            <w:gridSpan w:val="32"/>
          </w:tcPr>
          <w:p>
            <w:pPr>
              <w:spacing w:after="0" w:line="20" w:lineRule="exact"/>
              <w:rPr>
                <w:sz w:val="1"/>
                <w:szCs w:val="1"/>
                <w:color w:val="auto"/>
              </w:rPr>
            </w:pPr>
          </w:p>
        </w:tc>
        <w:tc>
          <w:tcPr>
            <w:tcW w:w="6760" w:type="dxa"/>
            <w:vAlign w:val="bottom"/>
            <w:gridSpan w:val="14"/>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540" w:type="dxa"/>
            <w:vAlign w:val="bottom"/>
            <w:gridSpan w:val="4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Changes in Stockholders' Equity/(Deficit)</w:t>
            </w:r>
          </w:p>
        </w:tc>
        <w:tc>
          <w:tcPr>
            <w:tcW w:w="3720" w:type="dxa"/>
            <w:vAlign w:val="bottom"/>
            <w:gridSpan w:val="3"/>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47</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4540" w:type="dxa"/>
            <w:vAlign w:val="bottom"/>
            <w:tcBorders>
              <w:top w:val="single" w:sz="8" w:color="0000FF"/>
            </w:tcBorders>
            <w:gridSpan w:val="42"/>
            <w:shd w:val="clear" w:color="auto" w:fill="CCEEFF"/>
          </w:tcPr>
          <w:p>
            <w:pPr>
              <w:spacing w:after="0" w:line="20" w:lineRule="exact"/>
              <w:rPr>
                <w:sz w:val="1"/>
                <w:szCs w:val="1"/>
                <w:color w:val="auto"/>
              </w:rPr>
            </w:pPr>
          </w:p>
        </w:tc>
        <w:tc>
          <w:tcPr>
            <w:tcW w:w="4800" w:type="dxa"/>
            <w:vAlign w:val="bottom"/>
            <w:tcBorders>
              <w:top w:val="single" w:sz="8" w:color="CCEEFF"/>
            </w:tcBorders>
            <w:gridSpan w:val="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40" w:type="dxa"/>
            <w:vAlign w:val="bottom"/>
            <w:gridSpan w:val="42"/>
          </w:tcPr>
          <w:p>
            <w:pPr>
              <w:spacing w:after="0" w:line="175" w:lineRule="exact"/>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372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4"/>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48</w:t>
            </w:r>
          </w:p>
        </w:tc>
      </w:tr>
      <w:tr>
        <w:trPr>
          <w:trHeight w:val="21"/>
        </w:trPr>
        <w:tc>
          <w:tcPr>
            <w:tcW w:w="1280" w:type="dxa"/>
            <w:vAlign w:val="bottom"/>
            <w:gridSpan w:val="7"/>
          </w:tcPr>
          <w:p>
            <w:pPr>
              <w:spacing w:after="0" w:line="20" w:lineRule="exact"/>
              <w:rPr>
                <w:sz w:val="1"/>
                <w:szCs w:val="1"/>
                <w:color w:val="auto"/>
              </w:rPr>
            </w:pPr>
          </w:p>
        </w:tc>
        <w:tc>
          <w:tcPr>
            <w:tcW w:w="3080" w:type="dxa"/>
            <w:vAlign w:val="bottom"/>
            <w:tcBorders>
              <w:top w:val="single" w:sz="8" w:color="0000FF"/>
            </w:tcBorders>
            <w:gridSpan w:val="34"/>
          </w:tcPr>
          <w:p>
            <w:pPr>
              <w:spacing w:after="0" w:line="20" w:lineRule="exact"/>
              <w:rPr>
                <w:sz w:val="1"/>
                <w:szCs w:val="1"/>
                <w:color w:val="auto"/>
              </w:rPr>
            </w:pPr>
          </w:p>
        </w:tc>
        <w:tc>
          <w:tcPr>
            <w:tcW w:w="6260" w:type="dxa"/>
            <w:vAlign w:val="bottom"/>
            <w:gridSpan w:val="1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8060" w:type="dxa"/>
            <w:vAlign w:val="bottom"/>
            <w:gridSpan w:val="4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Organization</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48</w:t>
            </w:r>
          </w:p>
        </w:tc>
      </w:tr>
      <w:tr>
        <w:trPr>
          <w:trHeight w:val="20"/>
        </w:trPr>
        <w:tc>
          <w:tcPr>
            <w:tcW w:w="1480" w:type="dxa"/>
            <w:vAlign w:val="bottom"/>
            <w:tcBorders>
              <w:top w:val="single" w:sz="8" w:color="CCEEFF"/>
            </w:tcBorders>
            <w:gridSpan w:val="8"/>
            <w:shd w:val="clear" w:color="auto" w:fill="CCEEFF"/>
          </w:tcPr>
          <w:p>
            <w:pPr>
              <w:spacing w:after="0" w:line="20" w:lineRule="exact"/>
              <w:rPr>
                <w:sz w:val="1"/>
                <w:szCs w:val="1"/>
                <w:color w:val="auto"/>
              </w:rPr>
            </w:pPr>
          </w:p>
        </w:tc>
        <w:tc>
          <w:tcPr>
            <w:tcW w:w="840" w:type="dxa"/>
            <w:vAlign w:val="bottom"/>
            <w:tcBorders>
              <w:top w:val="single" w:sz="8" w:color="0000FF"/>
            </w:tcBorders>
            <w:gridSpan w:val="9"/>
            <w:shd w:val="clear" w:color="auto" w:fill="CCEEFF"/>
          </w:tcPr>
          <w:p>
            <w:pPr>
              <w:spacing w:after="0" w:line="20" w:lineRule="exact"/>
              <w:rPr>
                <w:sz w:val="1"/>
                <w:szCs w:val="1"/>
                <w:color w:val="auto"/>
              </w:rPr>
            </w:pPr>
          </w:p>
        </w:tc>
        <w:tc>
          <w:tcPr>
            <w:tcW w:w="8300" w:type="dxa"/>
            <w:vAlign w:val="bottom"/>
            <w:tcBorders>
              <w:top w:val="single" w:sz="8" w:color="CCEEFF"/>
            </w:tcBorders>
            <w:gridSpan w:val="3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0" w:type="dxa"/>
            <w:vAlign w:val="bottom"/>
            <w:gridSpan w:val="46"/>
          </w:tcPr>
          <w:p>
            <w:pPr>
              <w:ind w:left="340"/>
              <w:spacing w:after="0" w:line="175" w:lineRule="exact"/>
              <w:rPr>
                <w:sz w:val="20"/>
                <w:szCs w:val="20"/>
                <w:color w:val="auto"/>
              </w:rPr>
            </w:pPr>
            <w:r>
              <w:rPr>
                <w:rFonts w:ascii="Times New Roman" w:cs="Times New Roman" w:eastAsia="Times New Roman" w:hAnsi="Times New Roman"/>
                <w:sz w:val="16"/>
                <w:szCs w:val="16"/>
                <w:color w:val="0000FF"/>
              </w:rPr>
              <w:t>2. Significant Accounting Policies</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48</w:t>
            </w:r>
          </w:p>
        </w:tc>
      </w:tr>
      <w:tr>
        <w:trPr>
          <w:trHeight w:val="21"/>
        </w:trPr>
        <w:tc>
          <w:tcPr>
            <w:tcW w:w="1280" w:type="dxa"/>
            <w:vAlign w:val="bottom"/>
            <w:gridSpan w:val="7"/>
          </w:tcPr>
          <w:p>
            <w:pPr>
              <w:spacing w:after="0" w:line="20" w:lineRule="exact"/>
              <w:rPr>
                <w:sz w:val="1"/>
                <w:szCs w:val="1"/>
                <w:color w:val="auto"/>
              </w:rPr>
            </w:pPr>
          </w:p>
        </w:tc>
        <w:tc>
          <w:tcPr>
            <w:tcW w:w="2220" w:type="dxa"/>
            <w:vAlign w:val="bottom"/>
            <w:tcBorders>
              <w:top w:val="single" w:sz="8" w:color="0000FF"/>
            </w:tcBorders>
            <w:gridSpan w:val="29"/>
          </w:tcPr>
          <w:p>
            <w:pPr>
              <w:spacing w:after="0" w:line="20" w:lineRule="exact"/>
              <w:rPr>
                <w:sz w:val="1"/>
                <w:szCs w:val="1"/>
                <w:color w:val="auto"/>
              </w:rPr>
            </w:pPr>
          </w:p>
        </w:tc>
        <w:tc>
          <w:tcPr>
            <w:tcW w:w="7120" w:type="dxa"/>
            <w:vAlign w:val="bottom"/>
            <w:gridSpan w:val="1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6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3. Revenue Recognition</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55</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560" w:type="dxa"/>
            <w:vAlign w:val="bottom"/>
            <w:tcBorders>
              <w:top w:val="single" w:sz="8" w:color="0000FF"/>
            </w:tcBorders>
            <w:gridSpan w:val="16"/>
            <w:shd w:val="clear" w:color="auto" w:fill="CCEEFF"/>
          </w:tcPr>
          <w:p>
            <w:pPr>
              <w:spacing w:after="0" w:line="20" w:lineRule="exact"/>
              <w:rPr>
                <w:sz w:val="1"/>
                <w:szCs w:val="1"/>
                <w:color w:val="auto"/>
              </w:rPr>
            </w:pPr>
          </w:p>
        </w:tc>
        <w:tc>
          <w:tcPr>
            <w:tcW w:w="7780" w:type="dxa"/>
            <w:vAlign w:val="bottom"/>
            <w:tcBorders>
              <w:top w:val="single" w:sz="8" w:color="CCEEFF"/>
            </w:tcBorders>
            <w:gridSpan w:val="30"/>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4. Accounts Receivable, Net</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58</w:t>
            </w:r>
          </w:p>
        </w:tc>
      </w:tr>
      <w:tr>
        <w:trPr>
          <w:trHeight w:val="20"/>
        </w:trPr>
        <w:tc>
          <w:tcPr>
            <w:tcW w:w="1280" w:type="dxa"/>
            <w:vAlign w:val="bottom"/>
            <w:gridSpan w:val="7"/>
          </w:tcPr>
          <w:p>
            <w:pPr>
              <w:spacing w:after="0" w:line="20" w:lineRule="exact"/>
              <w:rPr>
                <w:sz w:val="1"/>
                <w:szCs w:val="1"/>
                <w:color w:val="auto"/>
              </w:rPr>
            </w:pPr>
          </w:p>
        </w:tc>
        <w:tc>
          <w:tcPr>
            <w:tcW w:w="1860" w:type="dxa"/>
            <w:vAlign w:val="bottom"/>
            <w:tcBorders>
              <w:top w:val="single" w:sz="8" w:color="0000FF"/>
            </w:tcBorders>
            <w:gridSpan w:val="21"/>
          </w:tcPr>
          <w:p>
            <w:pPr>
              <w:spacing w:after="0" w:line="20" w:lineRule="exact"/>
              <w:rPr>
                <w:sz w:val="1"/>
                <w:szCs w:val="1"/>
                <w:color w:val="auto"/>
              </w:rPr>
            </w:pPr>
          </w:p>
        </w:tc>
        <w:tc>
          <w:tcPr>
            <w:tcW w:w="7480" w:type="dxa"/>
            <w:vAlign w:val="bottom"/>
            <w:gridSpan w:val="2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6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5. Inventories, Net</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58</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200" w:type="dxa"/>
            <w:vAlign w:val="bottom"/>
            <w:tcBorders>
              <w:top w:val="single" w:sz="8" w:color="0000FF"/>
            </w:tcBorders>
            <w:gridSpan w:val="12"/>
            <w:shd w:val="clear" w:color="auto" w:fill="CCEEFF"/>
          </w:tcPr>
          <w:p>
            <w:pPr>
              <w:spacing w:after="0" w:line="20" w:lineRule="exact"/>
              <w:rPr>
                <w:sz w:val="1"/>
                <w:szCs w:val="1"/>
                <w:color w:val="auto"/>
              </w:rPr>
            </w:pPr>
          </w:p>
        </w:tc>
        <w:tc>
          <w:tcPr>
            <w:tcW w:w="8140" w:type="dxa"/>
            <w:vAlign w:val="bottom"/>
            <w:tcBorders>
              <w:top w:val="single" w:sz="8" w:color="CCEEFF"/>
            </w:tcBorders>
            <w:gridSpan w:val="3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6. Property and Equipment, Net</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59</w:t>
            </w:r>
          </w:p>
        </w:tc>
      </w:tr>
      <w:tr>
        <w:trPr>
          <w:trHeight w:val="20"/>
        </w:trPr>
        <w:tc>
          <w:tcPr>
            <w:tcW w:w="1280" w:type="dxa"/>
            <w:vAlign w:val="bottom"/>
            <w:gridSpan w:val="7"/>
          </w:tcPr>
          <w:p>
            <w:pPr>
              <w:spacing w:after="0" w:line="20" w:lineRule="exact"/>
              <w:rPr>
                <w:sz w:val="1"/>
                <w:szCs w:val="1"/>
                <w:color w:val="auto"/>
              </w:rPr>
            </w:pPr>
          </w:p>
        </w:tc>
        <w:tc>
          <w:tcPr>
            <w:tcW w:w="2060" w:type="dxa"/>
            <w:vAlign w:val="bottom"/>
            <w:tcBorders>
              <w:top w:val="single" w:sz="8" w:color="0000FF"/>
            </w:tcBorders>
            <w:gridSpan w:val="26"/>
          </w:tcPr>
          <w:p>
            <w:pPr>
              <w:spacing w:after="0" w:line="20" w:lineRule="exact"/>
              <w:rPr>
                <w:sz w:val="1"/>
                <w:szCs w:val="1"/>
                <w:color w:val="auto"/>
              </w:rPr>
            </w:pPr>
          </w:p>
        </w:tc>
        <w:tc>
          <w:tcPr>
            <w:tcW w:w="7280" w:type="dxa"/>
            <w:vAlign w:val="bottom"/>
            <w:gridSpan w:val="2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7. Goodwill</w:t>
            </w:r>
          </w:p>
        </w:tc>
        <w:tc>
          <w:tcPr>
            <w:tcW w:w="7480" w:type="dxa"/>
            <w:vAlign w:val="bottom"/>
            <w:gridSpan w:val="38"/>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59</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780" w:type="dxa"/>
            <w:vAlign w:val="bottom"/>
            <w:tcBorders>
              <w:top w:val="single" w:sz="8" w:color="0000FF"/>
            </w:tcBorders>
            <w:gridSpan w:val="7"/>
            <w:shd w:val="clear" w:color="auto" w:fill="CCEEFF"/>
          </w:tcPr>
          <w:p>
            <w:pPr>
              <w:spacing w:after="0" w:line="20" w:lineRule="exact"/>
              <w:rPr>
                <w:sz w:val="1"/>
                <w:szCs w:val="1"/>
                <w:color w:val="auto"/>
              </w:rPr>
            </w:pPr>
          </w:p>
        </w:tc>
        <w:tc>
          <w:tcPr>
            <w:tcW w:w="8560" w:type="dxa"/>
            <w:vAlign w:val="bottom"/>
            <w:tcBorders>
              <w:top w:val="single" w:sz="8" w:color="CCEEFF"/>
            </w:tcBorders>
            <w:gridSpan w:val="3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6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8. Intangible Assets, Net</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59</w:t>
            </w:r>
          </w:p>
        </w:tc>
      </w:tr>
      <w:tr>
        <w:trPr>
          <w:trHeight w:val="21"/>
        </w:trPr>
        <w:tc>
          <w:tcPr>
            <w:tcW w:w="1280" w:type="dxa"/>
            <w:vAlign w:val="bottom"/>
            <w:gridSpan w:val="7"/>
          </w:tcPr>
          <w:p>
            <w:pPr>
              <w:spacing w:after="0" w:line="20" w:lineRule="exact"/>
              <w:rPr>
                <w:sz w:val="1"/>
                <w:szCs w:val="1"/>
                <w:color w:val="auto"/>
              </w:rPr>
            </w:pPr>
          </w:p>
        </w:tc>
        <w:tc>
          <w:tcPr>
            <w:tcW w:w="1600" w:type="dxa"/>
            <w:vAlign w:val="bottom"/>
            <w:tcBorders>
              <w:top w:val="single" w:sz="8" w:color="0000FF"/>
            </w:tcBorders>
            <w:gridSpan w:val="17"/>
          </w:tcPr>
          <w:p>
            <w:pPr>
              <w:spacing w:after="0" w:line="20" w:lineRule="exact"/>
              <w:rPr>
                <w:sz w:val="1"/>
                <w:szCs w:val="1"/>
                <w:color w:val="auto"/>
              </w:rPr>
            </w:pPr>
          </w:p>
        </w:tc>
        <w:tc>
          <w:tcPr>
            <w:tcW w:w="7740" w:type="dxa"/>
            <w:vAlign w:val="bottom"/>
            <w:gridSpan w:val="2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36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9. Other Balance Sheet Components</w:t>
            </w:r>
          </w:p>
        </w:tc>
        <w:tc>
          <w:tcPr>
            <w:tcW w:w="5900" w:type="dxa"/>
            <w:vAlign w:val="bottom"/>
            <w:gridSpan w:val="15"/>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60</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360" w:type="dxa"/>
            <w:vAlign w:val="bottom"/>
            <w:tcBorders>
              <w:top w:val="single" w:sz="8" w:color="0000FF"/>
            </w:tcBorders>
            <w:gridSpan w:val="30"/>
            <w:shd w:val="clear" w:color="auto" w:fill="CCEEFF"/>
          </w:tcPr>
          <w:p>
            <w:pPr>
              <w:spacing w:after="0" w:line="20" w:lineRule="exact"/>
              <w:rPr>
                <w:sz w:val="1"/>
                <w:szCs w:val="1"/>
                <w:color w:val="auto"/>
              </w:rPr>
            </w:pPr>
          </w:p>
        </w:tc>
        <w:tc>
          <w:tcPr>
            <w:tcW w:w="6980" w:type="dxa"/>
            <w:vAlign w:val="bottom"/>
            <w:tcBorders>
              <w:top w:val="single" w:sz="8" w:color="CCEEFF"/>
            </w:tcBorders>
            <w:gridSpan w:val="1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10.</w:t>
            </w:r>
          </w:p>
        </w:tc>
        <w:tc>
          <w:tcPr>
            <w:tcW w:w="2160" w:type="dxa"/>
            <w:vAlign w:val="bottom"/>
            <w:gridSpan w:val="29"/>
          </w:tcPr>
          <w:p>
            <w:pPr>
              <w:ind w:left="40"/>
              <w:spacing w:after="0" w:line="175" w:lineRule="exact"/>
              <w:rPr>
                <w:sz w:val="20"/>
                <w:szCs w:val="20"/>
                <w:color w:val="auto"/>
              </w:rPr>
            </w:pPr>
            <w:r>
              <w:rPr>
                <w:rFonts w:ascii="Times New Roman" w:cs="Times New Roman" w:eastAsia="Times New Roman" w:hAnsi="Times New Roman"/>
                <w:sz w:val="16"/>
                <w:szCs w:val="16"/>
                <w:color w:val="0000FF"/>
              </w:rPr>
              <w:t>Acquisition</w:t>
            </w:r>
          </w:p>
        </w:tc>
        <w:tc>
          <w:tcPr>
            <w:tcW w:w="5900" w:type="dxa"/>
            <w:vAlign w:val="bottom"/>
            <w:gridSpan w:val="15"/>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4"/>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60</w:t>
            </w:r>
          </w:p>
        </w:tc>
      </w:tr>
      <w:tr>
        <w:trPr>
          <w:trHeight w:val="20"/>
        </w:trPr>
        <w:tc>
          <w:tcPr>
            <w:tcW w:w="1280" w:type="dxa"/>
            <w:vAlign w:val="bottom"/>
            <w:gridSpan w:val="7"/>
          </w:tcPr>
          <w:p>
            <w:pPr>
              <w:spacing w:after="0" w:line="20" w:lineRule="exact"/>
              <w:rPr>
                <w:sz w:val="1"/>
                <w:szCs w:val="1"/>
                <w:color w:val="auto"/>
              </w:rPr>
            </w:pPr>
          </w:p>
        </w:tc>
        <w:tc>
          <w:tcPr>
            <w:tcW w:w="1000" w:type="dxa"/>
            <w:vAlign w:val="bottom"/>
            <w:tcBorders>
              <w:top w:val="single" w:sz="8" w:color="0000FF"/>
            </w:tcBorders>
            <w:gridSpan w:val="9"/>
          </w:tcPr>
          <w:p>
            <w:pPr>
              <w:spacing w:after="0" w:line="20" w:lineRule="exact"/>
              <w:rPr>
                <w:sz w:val="1"/>
                <w:szCs w:val="1"/>
                <w:color w:val="auto"/>
              </w:rPr>
            </w:pPr>
          </w:p>
        </w:tc>
        <w:tc>
          <w:tcPr>
            <w:tcW w:w="8340" w:type="dxa"/>
            <w:vAlign w:val="bottom"/>
            <w:gridSpan w:val="3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8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11. Purchase of Telos ID Non-controlling Interests</w:t>
            </w:r>
          </w:p>
        </w:tc>
        <w:tc>
          <w:tcPr>
            <w:tcW w:w="4980" w:type="dxa"/>
            <w:vAlign w:val="bottom"/>
            <w:gridSpan w:val="10"/>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61</w:t>
            </w: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280" w:type="dxa"/>
            <w:vAlign w:val="bottom"/>
            <w:tcBorders>
              <w:top w:val="single" w:sz="8" w:color="0000FF"/>
            </w:tcBorders>
            <w:gridSpan w:val="35"/>
            <w:shd w:val="clear" w:color="auto" w:fill="CCEEFF"/>
          </w:tcPr>
          <w:p>
            <w:pPr>
              <w:spacing w:after="0" w:line="20" w:lineRule="exact"/>
              <w:rPr>
                <w:sz w:val="1"/>
                <w:szCs w:val="1"/>
                <w:color w:val="auto"/>
              </w:rPr>
            </w:pPr>
          </w:p>
        </w:tc>
        <w:tc>
          <w:tcPr>
            <w:tcW w:w="6060" w:type="dxa"/>
            <w:vAlign w:val="bottom"/>
            <w:tcBorders>
              <w:top w:val="single" w:sz="8" w:color="CCEEFF"/>
            </w:tcBorders>
            <w:gridSpan w:val="11"/>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12.</w:t>
            </w:r>
          </w:p>
        </w:tc>
        <w:tc>
          <w:tcPr>
            <w:tcW w:w="3080" w:type="dxa"/>
            <w:vAlign w:val="bottom"/>
            <w:gridSpan w:val="34"/>
          </w:tcPr>
          <w:p>
            <w:pPr>
              <w:ind w:left="40"/>
              <w:spacing w:after="0" w:line="175" w:lineRule="exact"/>
              <w:rPr>
                <w:sz w:val="20"/>
                <w:szCs w:val="20"/>
                <w:color w:val="auto"/>
              </w:rPr>
            </w:pPr>
            <w:r>
              <w:rPr>
                <w:rFonts w:ascii="Times New Roman" w:cs="Times New Roman" w:eastAsia="Times New Roman" w:hAnsi="Times New Roman"/>
                <w:sz w:val="16"/>
                <w:szCs w:val="16"/>
                <w:color w:val="0000FF"/>
              </w:rPr>
              <w:t>Debt and Other Obligations</w:t>
            </w:r>
          </w:p>
        </w:tc>
        <w:tc>
          <w:tcPr>
            <w:tcW w:w="4980" w:type="dxa"/>
            <w:vAlign w:val="bottom"/>
            <w:gridSpan w:val="10"/>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4"/>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61</w:t>
            </w:r>
          </w:p>
        </w:tc>
      </w:tr>
      <w:tr>
        <w:trPr>
          <w:trHeight w:val="20"/>
        </w:trPr>
        <w:tc>
          <w:tcPr>
            <w:tcW w:w="1280" w:type="dxa"/>
            <w:vAlign w:val="bottom"/>
            <w:gridSpan w:val="7"/>
          </w:tcPr>
          <w:p>
            <w:pPr>
              <w:spacing w:after="0" w:line="20" w:lineRule="exact"/>
              <w:rPr>
                <w:sz w:val="1"/>
                <w:szCs w:val="1"/>
                <w:color w:val="auto"/>
              </w:rPr>
            </w:pPr>
          </w:p>
        </w:tc>
        <w:tc>
          <w:tcPr>
            <w:tcW w:w="2040" w:type="dxa"/>
            <w:vAlign w:val="bottom"/>
            <w:tcBorders>
              <w:top w:val="single" w:sz="8" w:color="0000FF"/>
            </w:tcBorders>
            <w:gridSpan w:val="25"/>
          </w:tcPr>
          <w:p>
            <w:pPr>
              <w:spacing w:after="0" w:line="20" w:lineRule="exact"/>
              <w:rPr>
                <w:sz w:val="1"/>
                <w:szCs w:val="1"/>
                <w:color w:val="auto"/>
              </w:rPr>
            </w:pPr>
          </w:p>
        </w:tc>
        <w:tc>
          <w:tcPr>
            <w:tcW w:w="7300" w:type="dxa"/>
            <w:vAlign w:val="bottom"/>
            <w:gridSpan w:val="2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13.</w:t>
            </w:r>
          </w:p>
        </w:tc>
        <w:tc>
          <w:tcPr>
            <w:tcW w:w="3640" w:type="dxa"/>
            <w:vAlign w:val="bottom"/>
            <w:gridSpan w:val="38"/>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Exchangeable Redeemable Preferred Stock Conversion</w:t>
            </w:r>
          </w:p>
        </w:tc>
        <w:tc>
          <w:tcPr>
            <w:tcW w:w="4420" w:type="dxa"/>
            <w:vAlign w:val="bottom"/>
            <w:gridSpan w:val="6"/>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63</w:t>
            </w: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840" w:type="dxa"/>
            <w:vAlign w:val="bottom"/>
            <w:tcBorders>
              <w:top w:val="single" w:sz="8" w:color="0000FF"/>
            </w:tcBorders>
            <w:gridSpan w:val="39"/>
            <w:shd w:val="clear" w:color="auto" w:fill="CCEEFF"/>
          </w:tcPr>
          <w:p>
            <w:pPr>
              <w:spacing w:after="0" w:line="20" w:lineRule="exact"/>
              <w:rPr>
                <w:sz w:val="1"/>
                <w:szCs w:val="1"/>
                <w:color w:val="auto"/>
              </w:rPr>
            </w:pPr>
          </w:p>
        </w:tc>
        <w:tc>
          <w:tcPr>
            <w:tcW w:w="5500" w:type="dxa"/>
            <w:vAlign w:val="bottom"/>
            <w:tcBorders>
              <w:top w:val="single" w:sz="8" w:color="CCEEFF"/>
            </w:tcBorders>
            <w:gridSpan w:val="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14.</w:t>
            </w:r>
          </w:p>
        </w:tc>
        <w:tc>
          <w:tcPr>
            <w:tcW w:w="3640" w:type="dxa"/>
            <w:vAlign w:val="bottom"/>
            <w:gridSpan w:val="38"/>
          </w:tcPr>
          <w:p>
            <w:pPr>
              <w:ind w:left="40"/>
              <w:spacing w:after="0" w:line="175" w:lineRule="exact"/>
              <w:rPr>
                <w:sz w:val="20"/>
                <w:szCs w:val="20"/>
                <w:color w:val="auto"/>
              </w:rPr>
            </w:pPr>
            <w:r>
              <w:rPr>
                <w:rFonts w:ascii="Times New Roman" w:cs="Times New Roman" w:eastAsia="Times New Roman" w:hAnsi="Times New Roman"/>
                <w:sz w:val="16"/>
                <w:szCs w:val="16"/>
                <w:color w:val="0000FF"/>
              </w:rPr>
              <w:t>Stockholders' Equity</w:t>
            </w:r>
          </w:p>
        </w:tc>
        <w:tc>
          <w:tcPr>
            <w:tcW w:w="4420" w:type="dxa"/>
            <w:vAlign w:val="bottom"/>
            <w:gridSpan w:val="6"/>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4"/>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63</w:t>
            </w:r>
          </w:p>
        </w:tc>
      </w:tr>
      <w:tr>
        <w:trPr>
          <w:trHeight w:val="20"/>
        </w:trPr>
        <w:tc>
          <w:tcPr>
            <w:tcW w:w="1280" w:type="dxa"/>
            <w:vAlign w:val="bottom"/>
            <w:gridSpan w:val="7"/>
          </w:tcPr>
          <w:p>
            <w:pPr>
              <w:spacing w:after="0" w:line="20" w:lineRule="exact"/>
              <w:rPr>
                <w:sz w:val="1"/>
                <w:szCs w:val="1"/>
                <w:color w:val="auto"/>
              </w:rPr>
            </w:pPr>
          </w:p>
        </w:tc>
        <w:tc>
          <w:tcPr>
            <w:tcW w:w="1600" w:type="dxa"/>
            <w:vAlign w:val="bottom"/>
            <w:tcBorders>
              <w:top w:val="single" w:sz="8" w:color="0000FF"/>
            </w:tcBorders>
            <w:gridSpan w:val="17"/>
          </w:tcPr>
          <w:p>
            <w:pPr>
              <w:spacing w:after="0" w:line="20" w:lineRule="exact"/>
              <w:rPr>
                <w:sz w:val="1"/>
                <w:szCs w:val="1"/>
                <w:color w:val="auto"/>
              </w:rPr>
            </w:pPr>
          </w:p>
        </w:tc>
        <w:tc>
          <w:tcPr>
            <w:tcW w:w="7740" w:type="dxa"/>
            <w:vAlign w:val="bottom"/>
            <w:gridSpan w:val="2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15.</w:t>
            </w:r>
          </w:p>
        </w:tc>
        <w:tc>
          <w:tcPr>
            <w:tcW w:w="8060" w:type="dxa"/>
            <w:vAlign w:val="bottom"/>
            <w:gridSpan w:val="44"/>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Employee Benefit Plan</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64</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740" w:type="dxa"/>
            <w:vAlign w:val="bottom"/>
            <w:tcBorders>
              <w:top w:val="single" w:sz="8" w:color="0000FF"/>
            </w:tcBorders>
            <w:gridSpan w:val="19"/>
            <w:shd w:val="clear" w:color="auto" w:fill="CCEEFF"/>
          </w:tcPr>
          <w:p>
            <w:pPr>
              <w:spacing w:after="0" w:line="20" w:lineRule="exact"/>
              <w:rPr>
                <w:sz w:val="1"/>
                <w:szCs w:val="1"/>
                <w:color w:val="auto"/>
              </w:rPr>
            </w:pPr>
          </w:p>
        </w:tc>
        <w:tc>
          <w:tcPr>
            <w:tcW w:w="7600" w:type="dxa"/>
            <w:vAlign w:val="bottom"/>
            <w:tcBorders>
              <w:top w:val="single" w:sz="8" w:color="CCEEFF"/>
            </w:tcBorders>
            <w:gridSpan w:val="2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16.</w:t>
            </w:r>
          </w:p>
        </w:tc>
        <w:tc>
          <w:tcPr>
            <w:tcW w:w="8060" w:type="dxa"/>
            <w:vAlign w:val="bottom"/>
            <w:gridSpan w:val="44"/>
          </w:tcPr>
          <w:p>
            <w:pPr>
              <w:ind w:left="40"/>
              <w:spacing w:after="0" w:line="175" w:lineRule="exact"/>
              <w:rPr>
                <w:sz w:val="20"/>
                <w:szCs w:val="20"/>
                <w:color w:val="auto"/>
              </w:rPr>
            </w:pPr>
            <w:r>
              <w:rPr>
                <w:rFonts w:ascii="Times New Roman" w:cs="Times New Roman" w:eastAsia="Times New Roman" w:hAnsi="Times New Roman"/>
                <w:sz w:val="16"/>
                <w:szCs w:val="16"/>
                <w:color w:val="0000FF"/>
              </w:rPr>
              <w:t>Stock-Based Compensation</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65</w:t>
            </w:r>
          </w:p>
        </w:tc>
      </w:tr>
      <w:tr>
        <w:trPr>
          <w:trHeight w:val="20"/>
        </w:trPr>
        <w:tc>
          <w:tcPr>
            <w:tcW w:w="1280" w:type="dxa"/>
            <w:vAlign w:val="bottom"/>
            <w:gridSpan w:val="7"/>
          </w:tcPr>
          <w:p>
            <w:pPr>
              <w:spacing w:after="0" w:line="20" w:lineRule="exact"/>
              <w:rPr>
                <w:sz w:val="1"/>
                <w:szCs w:val="1"/>
                <w:color w:val="auto"/>
              </w:rPr>
            </w:pPr>
          </w:p>
        </w:tc>
        <w:tc>
          <w:tcPr>
            <w:tcW w:w="2040" w:type="dxa"/>
            <w:vAlign w:val="bottom"/>
            <w:tcBorders>
              <w:top w:val="single" w:sz="8" w:color="0000FF"/>
            </w:tcBorders>
            <w:gridSpan w:val="25"/>
          </w:tcPr>
          <w:p>
            <w:pPr>
              <w:spacing w:after="0" w:line="20" w:lineRule="exact"/>
              <w:rPr>
                <w:sz w:val="1"/>
                <w:szCs w:val="1"/>
                <w:color w:val="auto"/>
              </w:rPr>
            </w:pPr>
          </w:p>
        </w:tc>
        <w:tc>
          <w:tcPr>
            <w:tcW w:w="7300" w:type="dxa"/>
            <w:vAlign w:val="bottom"/>
            <w:gridSpan w:val="2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17.</w:t>
            </w:r>
          </w:p>
        </w:tc>
        <w:tc>
          <w:tcPr>
            <w:tcW w:w="8060" w:type="dxa"/>
            <w:vAlign w:val="bottom"/>
            <w:gridSpan w:val="44"/>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(Loss)/Earnings Per Share</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66</w:t>
            </w: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940" w:type="dxa"/>
            <w:vAlign w:val="bottom"/>
            <w:tcBorders>
              <w:top w:val="single" w:sz="8" w:color="0000FF"/>
            </w:tcBorders>
            <w:gridSpan w:val="23"/>
            <w:shd w:val="clear" w:color="auto" w:fill="CCEEFF"/>
          </w:tcPr>
          <w:p>
            <w:pPr>
              <w:spacing w:after="0" w:line="20" w:lineRule="exact"/>
              <w:rPr>
                <w:sz w:val="1"/>
                <w:szCs w:val="1"/>
                <w:color w:val="auto"/>
              </w:rPr>
            </w:pPr>
          </w:p>
        </w:tc>
        <w:tc>
          <w:tcPr>
            <w:tcW w:w="7400" w:type="dxa"/>
            <w:vAlign w:val="bottom"/>
            <w:tcBorders>
              <w:top w:val="single" w:sz="8" w:color="CCEEFF"/>
            </w:tcBorders>
            <w:gridSpan w:val="23"/>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18.</w:t>
            </w:r>
          </w:p>
        </w:tc>
        <w:tc>
          <w:tcPr>
            <w:tcW w:w="1740" w:type="dxa"/>
            <w:vAlign w:val="bottom"/>
            <w:gridSpan w:val="22"/>
          </w:tcPr>
          <w:p>
            <w:pPr>
              <w:ind w:left="40"/>
              <w:spacing w:after="0" w:line="175" w:lineRule="exact"/>
              <w:rPr>
                <w:sz w:val="20"/>
                <w:szCs w:val="20"/>
                <w:color w:val="auto"/>
              </w:rPr>
            </w:pPr>
            <w:r>
              <w:rPr>
                <w:rFonts w:ascii="Times New Roman" w:cs="Times New Roman" w:eastAsia="Times New Roman" w:hAnsi="Times New Roman"/>
                <w:sz w:val="16"/>
                <w:szCs w:val="16"/>
                <w:color w:val="0000FF"/>
              </w:rPr>
              <w:t>Income Taxes</w:t>
            </w:r>
          </w:p>
        </w:tc>
        <w:tc>
          <w:tcPr>
            <w:tcW w:w="6320" w:type="dxa"/>
            <w:vAlign w:val="bottom"/>
            <w:gridSpan w:val="22"/>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4"/>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0000FF"/>
                <w:w w:val="99"/>
              </w:rPr>
              <w:t>66</w:t>
            </w:r>
          </w:p>
        </w:tc>
      </w:tr>
      <w:tr>
        <w:trPr>
          <w:trHeight w:val="20"/>
        </w:trPr>
        <w:tc>
          <w:tcPr>
            <w:tcW w:w="1280" w:type="dxa"/>
            <w:vAlign w:val="bottom"/>
            <w:gridSpan w:val="7"/>
          </w:tcPr>
          <w:p>
            <w:pPr>
              <w:spacing w:after="0" w:line="20" w:lineRule="exact"/>
              <w:rPr>
                <w:sz w:val="1"/>
                <w:szCs w:val="1"/>
                <w:color w:val="auto"/>
              </w:rPr>
            </w:pPr>
          </w:p>
        </w:tc>
        <w:tc>
          <w:tcPr>
            <w:tcW w:w="1140" w:type="dxa"/>
            <w:vAlign w:val="bottom"/>
            <w:tcBorders>
              <w:top w:val="single" w:sz="8" w:color="0000FF"/>
            </w:tcBorders>
            <w:gridSpan w:val="11"/>
          </w:tcPr>
          <w:p>
            <w:pPr>
              <w:spacing w:after="0" w:line="20" w:lineRule="exact"/>
              <w:rPr>
                <w:sz w:val="1"/>
                <w:szCs w:val="1"/>
                <w:color w:val="auto"/>
              </w:rPr>
            </w:pPr>
          </w:p>
        </w:tc>
        <w:tc>
          <w:tcPr>
            <w:tcW w:w="8200" w:type="dxa"/>
            <w:vAlign w:val="bottom"/>
            <w:gridSpan w:val="3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19.</w:t>
            </w:r>
          </w:p>
        </w:tc>
        <w:tc>
          <w:tcPr>
            <w:tcW w:w="8060" w:type="dxa"/>
            <w:vAlign w:val="bottom"/>
            <w:gridSpan w:val="44"/>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Leases</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68</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680" w:type="dxa"/>
            <w:vAlign w:val="bottom"/>
            <w:tcBorders>
              <w:top w:val="single" w:sz="8" w:color="0000FF"/>
            </w:tcBorders>
            <w:gridSpan w:val="5"/>
            <w:shd w:val="clear" w:color="auto" w:fill="CCEEFF"/>
          </w:tcPr>
          <w:p>
            <w:pPr>
              <w:spacing w:after="0" w:line="20" w:lineRule="exact"/>
              <w:rPr>
                <w:sz w:val="1"/>
                <w:szCs w:val="1"/>
                <w:color w:val="auto"/>
              </w:rPr>
            </w:pPr>
          </w:p>
        </w:tc>
        <w:tc>
          <w:tcPr>
            <w:tcW w:w="8660" w:type="dxa"/>
            <w:vAlign w:val="bottom"/>
            <w:tcBorders>
              <w:top w:val="single" w:sz="8" w:color="CCEEFF"/>
            </w:tcBorders>
            <w:gridSpan w:val="41"/>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20.</w:t>
            </w:r>
          </w:p>
        </w:tc>
        <w:tc>
          <w:tcPr>
            <w:tcW w:w="8060" w:type="dxa"/>
            <w:vAlign w:val="bottom"/>
            <w:gridSpan w:val="44"/>
          </w:tcPr>
          <w:p>
            <w:pPr>
              <w:ind w:left="40"/>
              <w:spacing w:after="0" w:line="175" w:lineRule="exact"/>
              <w:rPr>
                <w:sz w:val="20"/>
                <w:szCs w:val="20"/>
                <w:color w:val="auto"/>
              </w:rPr>
            </w:pPr>
            <w:r>
              <w:rPr>
                <w:rFonts w:ascii="Times New Roman" w:cs="Times New Roman" w:eastAsia="Times New Roman" w:hAnsi="Times New Roman"/>
                <w:sz w:val="16"/>
                <w:szCs w:val="16"/>
                <w:color w:val="0000FF"/>
              </w:rPr>
              <w:t>Related Party Transactions</w:t>
            </w:r>
          </w:p>
        </w:tc>
        <w:tc>
          <w:tcPr>
            <w:tcW w:w="1660" w:type="dxa"/>
            <w:vAlign w:val="bottom"/>
            <w:gridSpan w:val="5"/>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69</w:t>
            </w:r>
          </w:p>
        </w:tc>
      </w:tr>
      <w:tr>
        <w:trPr>
          <w:trHeight w:val="21"/>
        </w:trPr>
        <w:tc>
          <w:tcPr>
            <w:tcW w:w="1280" w:type="dxa"/>
            <w:vAlign w:val="bottom"/>
            <w:gridSpan w:val="7"/>
          </w:tcPr>
          <w:p>
            <w:pPr>
              <w:spacing w:after="0" w:line="20" w:lineRule="exact"/>
              <w:rPr>
                <w:sz w:val="1"/>
                <w:szCs w:val="1"/>
                <w:color w:val="auto"/>
              </w:rPr>
            </w:pPr>
          </w:p>
        </w:tc>
        <w:tc>
          <w:tcPr>
            <w:tcW w:w="1980" w:type="dxa"/>
            <w:vAlign w:val="bottom"/>
            <w:tcBorders>
              <w:top w:val="single" w:sz="8" w:color="0000FF"/>
            </w:tcBorders>
            <w:gridSpan w:val="24"/>
          </w:tcPr>
          <w:p>
            <w:pPr>
              <w:spacing w:after="0" w:line="20" w:lineRule="exact"/>
              <w:rPr>
                <w:sz w:val="1"/>
                <w:szCs w:val="1"/>
                <w:color w:val="auto"/>
              </w:rPr>
            </w:pPr>
          </w:p>
        </w:tc>
        <w:tc>
          <w:tcPr>
            <w:tcW w:w="7360" w:type="dxa"/>
            <w:vAlign w:val="bottom"/>
            <w:gridSpan w:val="2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w w:val="89"/>
              </w:rPr>
              <w:t>21.</w:t>
            </w:r>
          </w:p>
        </w:tc>
        <w:tc>
          <w:tcPr>
            <w:tcW w:w="8060" w:type="dxa"/>
            <w:vAlign w:val="bottom"/>
            <w:gridSpan w:val="44"/>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Segment Information</w:t>
            </w:r>
          </w:p>
        </w:tc>
        <w:tc>
          <w:tcPr>
            <w:tcW w:w="1660" w:type="dxa"/>
            <w:vAlign w:val="bottom"/>
            <w:gridSpan w:val="5"/>
            <w:shd w:val="clear" w:color="auto" w:fill="CCEEFF"/>
          </w:tcPr>
          <w:p>
            <w:pPr>
              <w:jc w:val="center"/>
              <w:ind w:left="579"/>
              <w:spacing w:after="0" w:line="175" w:lineRule="exact"/>
              <w:rPr>
                <w:sz w:val="20"/>
                <w:szCs w:val="20"/>
                <w:color w:val="auto"/>
              </w:rPr>
            </w:pPr>
            <w:r>
              <w:rPr>
                <w:rFonts w:ascii="Times New Roman" w:cs="Times New Roman" w:eastAsia="Times New Roman" w:hAnsi="Times New Roman"/>
                <w:sz w:val="16"/>
                <w:szCs w:val="16"/>
                <w:color w:val="0000FF"/>
                <w:w w:val="99"/>
              </w:rPr>
              <w:t>70</w:t>
            </w: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620" w:type="dxa"/>
            <w:vAlign w:val="bottom"/>
            <w:tcBorders>
              <w:top w:val="single" w:sz="8" w:color="0000FF"/>
            </w:tcBorders>
            <w:gridSpan w:val="18"/>
            <w:shd w:val="clear" w:color="auto" w:fill="CCEEFF"/>
          </w:tcPr>
          <w:p>
            <w:pPr>
              <w:spacing w:after="0" w:line="20" w:lineRule="exact"/>
              <w:rPr>
                <w:sz w:val="1"/>
                <w:szCs w:val="1"/>
                <w:color w:val="auto"/>
              </w:rPr>
            </w:pPr>
          </w:p>
        </w:tc>
        <w:tc>
          <w:tcPr>
            <w:tcW w:w="7720" w:type="dxa"/>
            <w:vAlign w:val="bottom"/>
            <w:tcBorders>
              <w:top w:val="single" w:sz="8" w:color="CCEEFF"/>
            </w:tcBorders>
            <w:gridSpan w:val="2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22. Commitments and Contingencies</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0000FF"/>
                <w:w w:val="87"/>
              </w:rPr>
              <w:t>71</w:t>
            </w: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23. Supplemental Cash flow Information</w:t>
            </w:r>
          </w:p>
        </w:tc>
        <w:tc>
          <w:tcPr>
            <w:tcW w:w="6680" w:type="dxa"/>
            <w:vAlign w:val="bottom"/>
            <w:gridSpan w:val="8"/>
            <w:shd w:val="clear" w:color="auto" w:fill="CCEEFF"/>
          </w:tcPr>
          <w:p>
            <w:pPr>
              <w:spacing w:after="0"/>
              <w:rPr>
                <w:sz w:val="15"/>
                <w:szCs w:val="15"/>
                <w:color w:val="auto"/>
              </w:rPr>
            </w:pP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340" w:type="dxa"/>
            <w:vAlign w:val="bottom"/>
            <w:gridSpan w:val="16"/>
          </w:tcPr>
          <w:p>
            <w:pPr>
              <w:spacing w:after="0" w:line="175" w:lineRule="exact"/>
              <w:rPr>
                <w:sz w:val="20"/>
                <w:szCs w:val="20"/>
                <w:color w:val="auto"/>
              </w:rPr>
            </w:pPr>
            <w:r>
              <w:rPr>
                <w:rFonts w:ascii="Times New Roman" w:cs="Times New Roman" w:eastAsia="Times New Roman" w:hAnsi="Times New Roman"/>
                <w:sz w:val="16"/>
                <w:szCs w:val="16"/>
                <w:color w:val="0000FF"/>
              </w:rPr>
              <w:t>24. Revision of Unaudited Quarterly Financial Data</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72</w:t>
            </w: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9.</w:t>
            </w:r>
          </w:p>
        </w:tc>
        <w:tc>
          <w:tcPr>
            <w:tcW w:w="934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Item 9A</w:t>
            </w:r>
          </w:p>
        </w:tc>
        <w:tc>
          <w:tcPr>
            <w:tcW w:w="9340" w:type="dxa"/>
            <w:vAlign w:val="bottom"/>
            <w:gridSpan w:val="16"/>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75</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Item 9B.</w:t>
            </w:r>
          </w:p>
        </w:tc>
        <w:tc>
          <w:tcPr>
            <w:tcW w:w="680" w:type="dxa"/>
            <w:vAlign w:val="bottom"/>
            <w:gridSpan w:val="3"/>
            <w:shd w:val="clear" w:color="auto" w:fill="CCEEFF"/>
          </w:tcPr>
          <w:p>
            <w:pPr>
              <w:spacing w:after="0"/>
              <w:rPr>
                <w:sz w:val="15"/>
                <w:szCs w:val="15"/>
                <w:color w:val="auto"/>
              </w:rPr>
            </w:pPr>
          </w:p>
        </w:tc>
        <w:tc>
          <w:tcPr>
            <w:tcW w:w="934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w w:val="99"/>
              </w:rPr>
              <w:t>Item 9C.</w:t>
            </w:r>
          </w:p>
        </w:tc>
        <w:tc>
          <w:tcPr>
            <w:tcW w:w="680" w:type="dxa"/>
            <w:vAlign w:val="bottom"/>
            <w:gridSpan w:val="3"/>
          </w:tcPr>
          <w:p>
            <w:pPr>
              <w:spacing w:after="0"/>
              <w:rPr>
                <w:sz w:val="15"/>
                <w:szCs w:val="15"/>
                <w:color w:val="auto"/>
              </w:rPr>
            </w:pPr>
          </w:p>
        </w:tc>
        <w:tc>
          <w:tcPr>
            <w:tcW w:w="9340" w:type="dxa"/>
            <w:vAlign w:val="bottom"/>
            <w:gridSpan w:val="16"/>
          </w:tcPr>
          <w:p>
            <w:pPr>
              <w:spacing w:after="0" w:line="175"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76</w:t>
            </w: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FF"/>
            </w:tcBorders>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0000FF"/>
                <w:w w:val="96"/>
              </w:rPr>
              <w:t>PART III</w:t>
            </w:r>
          </w:p>
        </w:tc>
        <w:tc>
          <w:tcPr>
            <w:tcW w:w="6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2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Item 10.</w:t>
            </w:r>
          </w:p>
        </w:tc>
        <w:tc>
          <w:tcPr>
            <w:tcW w:w="9340" w:type="dxa"/>
            <w:vAlign w:val="bottom"/>
            <w:gridSpan w:val="16"/>
          </w:tcPr>
          <w:p>
            <w:pPr>
              <w:spacing w:after="0" w:line="175"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77</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7"/>
              </w:rPr>
              <w:t>Item 11.</w:t>
            </w:r>
          </w:p>
        </w:tc>
        <w:tc>
          <w:tcPr>
            <w:tcW w:w="720" w:type="dxa"/>
            <w:vAlign w:val="bottom"/>
            <w:gridSpan w:val="4"/>
            <w:shd w:val="clear" w:color="auto" w:fill="CCEEFF"/>
          </w:tcPr>
          <w:p>
            <w:pPr>
              <w:spacing w:after="0"/>
              <w:rPr>
                <w:sz w:val="15"/>
                <w:szCs w:val="15"/>
                <w:color w:val="auto"/>
              </w:rPr>
            </w:pPr>
          </w:p>
        </w:tc>
        <w:tc>
          <w:tcPr>
            <w:tcW w:w="934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Executive Compensation</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Item 12.</w:t>
            </w:r>
          </w:p>
        </w:tc>
        <w:tc>
          <w:tcPr>
            <w:tcW w:w="9340" w:type="dxa"/>
            <w:vAlign w:val="bottom"/>
            <w:gridSpan w:val="16"/>
          </w:tcPr>
          <w:p>
            <w:pPr>
              <w:spacing w:after="0" w:line="175"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77</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13.</w:t>
            </w:r>
          </w:p>
        </w:tc>
        <w:tc>
          <w:tcPr>
            <w:tcW w:w="934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Item 14.</w:t>
            </w:r>
          </w:p>
        </w:tc>
        <w:tc>
          <w:tcPr>
            <w:tcW w:w="9340" w:type="dxa"/>
            <w:vAlign w:val="bottom"/>
            <w:gridSpan w:val="16"/>
          </w:tcPr>
          <w:p>
            <w:pPr>
              <w:spacing w:after="0" w:line="175"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77</w:t>
            </w: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IV</w:t>
            </w: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640" w:type="dxa"/>
            <w:vAlign w:val="bottom"/>
            <w:tcBorders>
              <w:top w:val="single" w:sz="8" w:color="0000FF"/>
            </w:tcBorders>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Item 15.</w:t>
            </w:r>
          </w:p>
        </w:tc>
        <w:tc>
          <w:tcPr>
            <w:tcW w:w="620" w:type="dxa"/>
            <w:vAlign w:val="bottom"/>
            <w:tcBorders>
              <w:top w:val="single" w:sz="8" w:color="CCEEFF"/>
            </w:tcBorders>
            <w:gridSpan w:val="2"/>
          </w:tcPr>
          <w:p>
            <w:pPr>
              <w:spacing w:after="0"/>
              <w:rPr>
                <w:sz w:val="15"/>
                <w:szCs w:val="15"/>
                <w:color w:val="auto"/>
              </w:rPr>
            </w:pPr>
          </w:p>
        </w:tc>
        <w:tc>
          <w:tcPr>
            <w:tcW w:w="9340" w:type="dxa"/>
            <w:vAlign w:val="bottom"/>
            <w:tcBorders>
              <w:top w:val="single" w:sz="8" w:color="CCEEFF"/>
            </w:tcBorders>
            <w:gridSpan w:val="16"/>
          </w:tcPr>
          <w:p>
            <w:pPr>
              <w:spacing w:after="0" w:line="175"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580" w:type="dxa"/>
            <w:vAlign w:val="bottom"/>
            <w:tcBorders>
              <w:top w:val="single" w:sz="8" w:color="CCEEFF"/>
            </w:tcBorders>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78</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16.</w:t>
            </w:r>
          </w:p>
        </w:tc>
        <w:tc>
          <w:tcPr>
            <w:tcW w:w="934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Form 10-K Summary</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80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Signatures</w:t>
            </w:r>
          </w:p>
        </w:tc>
        <w:tc>
          <w:tcPr>
            <w:tcW w:w="7940" w:type="dxa"/>
            <w:vAlign w:val="bottom"/>
            <w:gridSpan w:val="13"/>
          </w:tcPr>
          <w:p>
            <w:pPr>
              <w:spacing w:after="0"/>
              <w:rPr>
                <w:sz w:val="15"/>
                <w:szCs w:val="15"/>
                <w:color w:val="auto"/>
              </w:rPr>
            </w:pP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81</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within the meaning of Section 27A of the Securities Act of 1933 and Section 21E of the Securities Exchange Act of 1934. In addition, in the future the Company, and others on its behalf, may make statements that constitute forward-looking statements. Such forward-looking statements may include, without limitation, statements relating to the Company's plans, objectives or goals; future economic performance or prospects; the potential effect on the Company's future performance of certain contingencies; and assumptions underlying any such statements. You are cautioned not to place undue reliance on the Company's forward-looking statements.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Words such as "believes," "anticipates," "expects," "intends" and "plans" and similar expressions are intended to identify forward-looking statements but are not the exclusive means of identifying such statements. The forward-looking statements are and will be based upon management's then current views and assumptions regarding future events and operating performance and are only applicable as of the dates of such statements. The Company does not intend to update these forward-looking statements except as may be required by applicable laws.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By their very nature, forward-looking statements involve inherent risks and uncertainties, both general and specific, and risks exist that predictions, forecasts, projections and other outcomes described or implied in forward-looking statements will not be achieved. The Company cautions you that these important factors could cause results to differ materially from the plans, objectives, expectations, estimates and intentions expressed in such forward-looking statements, including the risks described under the caption "Risk Factors" in this Annual Report on Form 10-K.</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Given these risks, uncertainties and other factors, many of which are beyond our control, we caution you not to place undue reliance on these forward-looking statements. We undertake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Telos Corporation is a Maryland corporation headquartered in Ashburn, Virginia. Telos Corporation, together with its subsidiaries (the "Company" or "Telos" or "We"), offers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completed our initial public offering ("IPO") on November 19, 2020, and a follow-on offering on April 6, 2021. In addition, on July 30, 2021, we acquired the assets of Diamond Fortress Technologies ("DFT") and its wholly-owned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information and communications technology ("ICT")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 Our security solutions span across these three domains: Cybersecurity, Cloud Security and Enterprise Security.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conduct our business through two reportable and operating segments: Security Solutions and Secure Networks. These segments enable the alignment of our strategies and objectives and provide a framework for the timely and rational allocation of resources within the line of business.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our segments is presented in </w:t>
      </w:r>
      <w:r>
        <w:rPr>
          <w:rFonts w:ascii="Times New Roman" w:cs="Times New Roman" w:eastAsia="Times New Roman" w:hAnsi="Times New Roman"/>
          <w:sz w:val="18"/>
          <w:szCs w:val="18"/>
          <w:u w:val="single" w:color="auto"/>
          <w:color w:val="0000FF"/>
        </w:rPr>
        <w:t>Note 21 - Segment Information</w:t>
      </w:r>
      <w:r>
        <w:rPr>
          <w:rFonts w:ascii="Times New Roman" w:cs="Times New Roman" w:eastAsia="Times New Roman" w:hAnsi="Times New Roman"/>
          <w:sz w:val="18"/>
          <w:szCs w:val="18"/>
          <w:color w:val="auto"/>
        </w:rPr>
        <w:t xml:space="preserve"> to the consolidated financial statements at Item 8 of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Solutions Segment:</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Security Solutions segment focuses on cybersecurity, cloud, and identity solutions. Cybersecurity solutions help our customers ensure the ongoing security, integrity and compliance of their on-premises and related cloud-based systems by reducing threats and vulnerabilities to foil cyber adversaries before they can attack. Our security engineers and subject matter experts assess our customers' cybersecurity environments and design, engineer, and operate systems needed to strengthen their cybersecurity postures. Our cloud solutions leverage the specialized skills and experience needed to help our customers plan, engineer, execute, and accelerate secure cloud migrations while assuring ongoing management and security of enterprise cloud technology environments. Our identity solutions deliver digital identity, biometric, and nationwide enrollment services and address Know Your Customer and identity management challenges for enterprises working within regulated and critical infrastructure environments. Security Solutions represented 55.5%, 51.0% and 65.2% of total revenues for fiscal years 2022, 2021, and 2020, respectively.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Information Assurance:</w:t>
      </w:r>
    </w:p>
    <w:p>
      <w:pPr>
        <w:spacing w:after="0" w:line="169" w:lineRule="exact"/>
        <w:rPr>
          <w:rFonts w:ascii="Times New Roman" w:cs="Times New Roman" w:eastAsia="Times New Roman" w:hAnsi="Times New Roman"/>
          <w:sz w:val="18"/>
          <w:szCs w:val="18"/>
          <w:b w:val="1"/>
          <w:bCs w:val="1"/>
          <w:color w:val="auto"/>
        </w:rPr>
      </w:pPr>
    </w:p>
    <w:p>
      <w:pPr>
        <w:ind w:left="1300" w:right="40" w:hanging="320"/>
        <w:spacing w:after="0" w:line="247" w:lineRule="auto"/>
        <w:tabs>
          <w:tab w:leader="none" w:pos="1296"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Xacta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a premier platform for enterprise cyber risk management and security compliance automation, delivering security awareness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in the cloud, on-premises, and in hybrid and multi-cloud environments. Xacta delivers automated cyber risk and compliance management solutions to large commercial and government enterprises. Across the United States ("U.S.") federal government, Xacta is the de facto commercial cyber risk and compliance management solution. With use cases including cyber risk management, risk remediation management, security authorization, compliance management, audit management, inventory management, vulnerability management, continuous compliance monitoring, and vendor and supply chain risk management, Xacta administers the key elements of more than 100 leading regulations and policies for IT security compliance, including the National Institute of Standards and Technology ("NIST") Risk Management Framework ("RMF"), RMF for Department of Defense ("DoD") IT, Committee of National Security Systems 1253, NIST Cybersecurity Framework, the Federal Risk and Authorization Management Program ("FedRAMP") and the DoD's Cybersecurity Maturity Model Certification ("CMMC") program.</w:t>
      </w:r>
    </w:p>
    <w:p>
      <w:pPr>
        <w:spacing w:after="0" w:line="135" w:lineRule="exact"/>
        <w:rPr>
          <w:rFonts w:ascii="Times New Roman" w:cs="Times New Roman" w:eastAsia="Times New Roman" w:hAnsi="Times New Roman"/>
          <w:sz w:val="18"/>
          <w:szCs w:val="18"/>
          <w:b w:val="1"/>
          <w:bCs w:val="1"/>
          <w:color w:val="auto"/>
        </w:rPr>
      </w:pPr>
    </w:p>
    <w:p>
      <w:pPr>
        <w:ind w:left="1300" w:right="20" w:hanging="320"/>
        <w:spacing w:after="0" w:line="261"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 services</w:t>
      </w:r>
      <w:r>
        <w:rPr>
          <w:rFonts w:ascii="Times New Roman" w:cs="Times New Roman" w:eastAsia="Times New Roman" w:hAnsi="Times New Roman"/>
          <w:sz w:val="18"/>
          <w:szCs w:val="18"/>
          <w:color w:val="auto"/>
        </w:rPr>
        <w:t>: proven solutions and services for the full cybersecurity lifecycle, including consulting services, assessment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engineering and evaluation, operations, and penetration testing. With a pedigree in information and cybersecurity that spans three decades, our certified personnel provide services and solutions that deliver continuous security assurance for business, government, and critical infrastructure.</w:t>
      </w:r>
    </w:p>
    <w:p>
      <w:pPr>
        <w:spacing w:after="0" w:line="1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Secure Communications:</w:t>
      </w:r>
    </w:p>
    <w:p>
      <w:pPr>
        <w:spacing w:after="0" w:line="169" w:lineRule="exact"/>
        <w:rPr>
          <w:rFonts w:ascii="Times New Roman" w:cs="Times New Roman" w:eastAsia="Times New Roman" w:hAnsi="Times New Roman"/>
          <w:sz w:val="18"/>
          <w:szCs w:val="18"/>
          <w:b w:val="1"/>
          <w:bCs w:val="1"/>
          <w:i w:val="1"/>
          <w:iCs w:val="1"/>
          <w:color w:val="auto"/>
        </w:rPr>
      </w:pPr>
    </w:p>
    <w:p>
      <w:pPr>
        <w:ind w:left="1300" w:hanging="320"/>
        <w:spacing w:after="0" w:line="246" w:lineRule="auto"/>
        <w:tabs>
          <w:tab w:leader="none" w:pos="1296"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Telos Ghost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virtual obfuscation network-as-a-service with encryption and managed attribution capabilities to ensure the safety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a single error in security can jeopardize operations, property, and even lives. Telos Ghost is currently used by DoD, the Intelligence Community ("IC") and commercial organizations for a variety of highly sensitive applications, including cyber threat research, open-source intelligence, supply chain security vulnerability assessment, worldwide investigative and recovery services, and hiding critical assets.</w:t>
      </w:r>
    </w:p>
    <w:p>
      <w:pPr>
        <w:spacing w:after="0" w:line="137" w:lineRule="exact"/>
        <w:rPr>
          <w:rFonts w:ascii="Times New Roman" w:cs="Times New Roman" w:eastAsia="Times New Roman" w:hAnsi="Times New Roman"/>
          <w:sz w:val="18"/>
          <w:szCs w:val="18"/>
          <w:b w:val="1"/>
          <w:bCs w:val="1"/>
          <w:color w:val="auto"/>
        </w:rPr>
      </w:pPr>
    </w:p>
    <w:p>
      <w:pPr>
        <w:ind w:left="1300" w:right="120" w:hanging="320"/>
        <w:spacing w:after="0" w:line="254"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Telos Automated Message Handling System ("AMHS"): </w:t>
      </w:r>
      <w:r>
        <w:rPr>
          <w:rFonts w:ascii="Times New Roman" w:cs="Times New Roman" w:eastAsia="Times New Roman" w:hAnsi="Times New Roman"/>
          <w:sz w:val="18"/>
          <w:szCs w:val="18"/>
          <w:color w:val="auto"/>
        </w:rPr>
        <w:t>web-based organizational message distribution and management for mission-critical communications; the recognized gold standard for organizational messaging in the U.S. government. Telos AMHS is used by military field operatives for critical communications on the battlefield using the Defense Information System Agency's Organizational Messaging Service and its specialized communications protocols. Telos AMHS is also used by the intelligence community for timely situational awareness and assessment reporting utilizing the Director of National Intelligence's Information Transport Service, Organizational Messaging data standards and computing infrastructure. Because Telos AMHS supports timely and reliable delivery for authoritative communications, its uses include terrorist warnings, "eyes-only" messages, military execution orders, intelligence information, overflight clearances, and Emergency Action Messages for nuclear command and control. Information exchanged at this level and for these purposes requires operational requirements for time-sensitive, guaranteed delivery, precedence, high availability, and reliability.</w:t>
      </w:r>
    </w:p>
    <w:p>
      <w:pPr>
        <w:spacing w:after="0" w:line="131" w:lineRule="exact"/>
        <w:rPr>
          <w:rFonts w:ascii="Times New Roman" w:cs="Times New Roman" w:eastAsia="Times New Roman" w:hAnsi="Times New Roman"/>
          <w:sz w:val="18"/>
          <w:szCs w:val="18"/>
          <w:color w:val="auto"/>
        </w:rPr>
      </w:pPr>
    </w:p>
    <w:p>
      <w:pPr>
        <w:ind w:left="1300" w:right="40" w:hanging="320"/>
        <w:spacing w:after="0" w:line="257"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Telos Advanced Cyber Analytics ("ACA")</w:t>
      </w:r>
      <w:r>
        <w:rPr>
          <w:rFonts w:ascii="Times New Roman" w:cs="Times New Roman" w:eastAsia="Times New Roman" w:hAnsi="Times New Roman"/>
          <w:sz w:val="18"/>
          <w:szCs w:val="18"/>
          <w:color w:val="auto"/>
        </w:rPr>
        <w:t>: a solution-as-a-service that delivers timely, accurate, actionable intelligence at speed and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illuminate threats to enterprise assets. It enables organizations to detect malicious activity earlier and to uncover and identify previously unknown attacks and new malicious behavior. Further, it assists in attributing events and provides sophisticated and comprehensive analytics without expensive overhead. With fully automated external data collection and assessment, Telos ACA determines patterns of behavior exhibited by threat actors, and provides the necessary information to reduce vulnerabilities within the IT infrastructure before attackers can exploit them.</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Digital Identity Solutions:</w:t>
      </w:r>
    </w:p>
    <w:p>
      <w:pPr>
        <w:spacing w:after="0" w:line="169" w:lineRule="exact"/>
        <w:rPr>
          <w:rFonts w:ascii="Times New Roman" w:cs="Times New Roman" w:eastAsia="Times New Roman" w:hAnsi="Times New Roman"/>
          <w:sz w:val="18"/>
          <w:szCs w:val="18"/>
          <w:color w:val="auto"/>
        </w:rPr>
      </w:pPr>
    </w:p>
    <w:p>
      <w:pPr>
        <w:ind w:left="1300" w:right="60" w:hanging="320"/>
        <w:spacing w:after="0" w:line="246" w:lineRule="auto"/>
        <w:tabs>
          <w:tab w:leader="none" w:pos="1296"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IDTrust360</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an enterprise-class digital trusted identity risk platform for extending flexible hybrid cloud identity services. This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enabled for mobile, enterprise environments and custom digital identity services that mitigate threats by integrating advanced technologies that fuse biometrics, credentials, and other identity-centric data used to continuously monitor trust. IDTrust360 is the only commercially owned and operated platform on the market with direct interfaces to the Federal Bureau of Investigation's ("FBI") criminal records, Department of Homeland Security's ("DHS") terrorist watch list service, U.S. Department of Treasury's pay.gov, other government identity risk management systems, and numerous commercial identity, intelligence, and risk-based data sources. We are actively engaged with federal customers to integrate vital event records, government identification document records, and other fingerprint-based biometric records hosted across multiple agencies. This enables Telos to offer NIST-compliant digital identity services aligned with federal security mandates.</w:t>
      </w:r>
    </w:p>
    <w:p>
      <w:pPr>
        <w:spacing w:after="0" w:line="139" w:lineRule="exact"/>
        <w:rPr>
          <w:rFonts w:ascii="Times New Roman" w:cs="Times New Roman" w:eastAsia="Times New Roman" w:hAnsi="Times New Roman"/>
          <w:sz w:val="18"/>
          <w:szCs w:val="18"/>
          <w:b w:val="1"/>
          <w:bCs w:val="1"/>
          <w:color w:val="auto"/>
        </w:rPr>
      </w:pPr>
    </w:p>
    <w:p>
      <w:pPr>
        <w:ind w:left="1300" w:hanging="320"/>
        <w:spacing w:after="0" w:line="24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ONYX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world's first, most widely deployed, and most accurate touchless fingerprint biometric for mobile devices. Powered by state-of-the-art machine learning, ONYX eases deployment in a variety of industries, including financial services and healthcare, and applications, like consumer authentication and physical access and security. Acquired by Telos in 2021, the patented and award-winning ONYX solution delivers touchless fingerprint biometrics that people can submit simply by using their mobile phones. In June 2022, ONYX won first place in the overall competition of the Mobile Fingerprint Information Technology Challenge hosted by the NIST.</w:t>
      </w:r>
    </w:p>
    <w:p>
      <w:pPr>
        <w:spacing w:after="0" w:line="140" w:lineRule="exact"/>
        <w:rPr>
          <w:sz w:val="20"/>
          <w:szCs w:val="20"/>
          <w:color w:val="auto"/>
        </w:rPr>
      </w:pPr>
    </w:p>
    <w:p>
      <w:pPr>
        <w:ind w:left="1300" w:right="100"/>
        <w:spacing w:after="0" w:line="236" w:lineRule="auto"/>
        <w:rPr>
          <w:sz w:val="20"/>
          <w:szCs w:val="20"/>
          <w:color w:val="auto"/>
        </w:rPr>
      </w:pPr>
      <w:r>
        <w:rPr>
          <w:rFonts w:ascii="Times New Roman" w:cs="Times New Roman" w:eastAsia="Times New Roman" w:hAnsi="Times New Roman"/>
          <w:sz w:val="18"/>
          <w:szCs w:val="18"/>
          <w:color w:val="auto"/>
        </w:rPr>
        <w:t>We maintain government certifications and designations that distinguish Telos ID, including TSA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enrollment provider, Designated Aviation Channeling provider, FBI-approved Channeler, and Financial Industry Regulatory Authority Electronic Fingerprint Submission provider.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 Networks Segment: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Secure Networks focuses on enterprise security. The Secure Networks segment provides secure networking architectures and solutions to the U.S. DoD, the federal IC, and other federal governmental agencies. Our net-centric solutions enable collaboration and connectivity to increase efficiency, reduce costs, and improve mission outcomes. Telos provides an extensive range of wired and wireless, fixed and deployable, classified and unclassified voice, data, and video secure network solutions and services to support defense and civilian missions. Capabilities include network design, operations, and sustainment; system integration and engineering; network security and compliance; deployable comms; robotic process automation and other digital transformation capabilities; service desk; defensive cyber operations; and program management. Secure Networks represented 44.5%, 49.0% and 34.8% of total revenues for the years ended December 31, 2022, 2021, and 2020, respectively.</w:t>
      </w:r>
    </w:p>
    <w:p>
      <w:pPr>
        <w:spacing w:after="0" w:line="131" w:lineRule="exact"/>
        <w:rPr>
          <w:sz w:val="20"/>
          <w:szCs w:val="20"/>
          <w:color w:val="auto"/>
        </w:rPr>
      </w:pPr>
    </w:p>
    <w:p>
      <w:pPr>
        <w:ind w:left="660" w:right="44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Secure Mobility: </w:t>
      </w:r>
      <w:r>
        <w:rPr>
          <w:rFonts w:ascii="Times New Roman" w:cs="Times New Roman" w:eastAsia="Times New Roman" w:hAnsi="Times New Roman"/>
          <w:sz w:val="18"/>
          <w:szCs w:val="18"/>
          <w:color w:val="auto"/>
        </w:rPr>
        <w:t>solutions for business and government that enable remote work and minimize operational and security concerns across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beyond the enterprise. Our secure mobility team brings credentials to every engagement, supplying deep expertise and experience, highly desirable clearances and industry-recognized certifications for network engineering, mobility, and security. We also offer secure mobility professional services, such as consulting and deployment services, to deliver integrated communications solutions that meet even the most complex needs of civilian, defense, and commercial customers.</w:t>
      </w:r>
    </w:p>
    <w:p>
      <w:pPr>
        <w:spacing w:after="0" w:line="125" w:lineRule="exact"/>
        <w:rPr>
          <w:rFonts w:ascii="Times New Roman" w:cs="Times New Roman" w:eastAsia="Times New Roman" w:hAnsi="Times New Roman"/>
          <w:sz w:val="18"/>
          <w:szCs w:val="18"/>
          <w:color w:val="auto"/>
        </w:rPr>
      </w:pPr>
    </w:p>
    <w:p>
      <w:pPr>
        <w:ind w:left="660" w:right="18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Network Management and Defense: </w:t>
      </w:r>
      <w:r>
        <w:rPr>
          <w:rFonts w:ascii="Times New Roman" w:cs="Times New Roman" w:eastAsia="Times New Roman" w:hAnsi="Times New Roman"/>
          <w:sz w:val="18"/>
          <w:szCs w:val="18"/>
          <w:color w:val="auto"/>
        </w:rPr>
        <w:t>services for operating, administrating, and defending complex enterprise networks and for defensive cyber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Our diverse network management and defense capabilities address common and uncommon requirements in many industries and disciplines, from military to government agencies. Telos network engineers, security specialists, and program managers are experienced with advanced DoD and federal networks and are certified in the leading tools, technologies, and best practices for network management and administration. We ensure the consistency and continuity of network management services required in today's mission-critical network environments.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Customers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customer base consists of the U.S. federal government, large commercial businesses, state and local governments, and international customers. Our consolidated revenues are largely attributable to prime contracts or to subcontracts with our contractors engaged in work for the U.S. government; with the remaining attributable to state, local and commercial markets.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federal government customers include the DoD, the Central Intelligence Agency and multiple other agencies within the IC, Defense Manpower Data Center, and multiple civilian agencies, including the DHS, the U.S. Department of State, the FBI, Department of Health and Human Services, and U.S. Census Bureau ("Census"). These customers have a number of subsidiary agencies that have separate budgets and procurement functions. Our contracts may be with the highest level of these agencies or with the subsidiary agencies of these customers.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customers include leading enterprises such as Amazon.com, Inc., Zscaler and Salesforce.com,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security solutions are the product of the extensive labor investment in developing our intellectual property and highly sophisticated software technology. These investments helped us expand with commercial customers, and win additional contracts within the military, the IC and civilian government agencies. Once our security solutions are embedded in our customers' technology infrastructure, these customer relationships often expand and lead to us providing additional security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pursuing multiple strategies in order to grow the Company, in both our commercial and government business end markets. Our key strategies are:</w:t>
      </w:r>
    </w:p>
    <w:p>
      <w:pPr>
        <w:spacing w:after="0" w:line="115" w:lineRule="exact"/>
        <w:rPr>
          <w:sz w:val="20"/>
          <w:szCs w:val="20"/>
          <w:color w:val="auto"/>
        </w:rPr>
      </w:pPr>
    </w:p>
    <w:p>
      <w:pPr>
        <w:ind w:left="660" w:right="80" w:hanging="328"/>
        <w:spacing w:after="0" w:line="25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Broaden reach within the U.S. federal government</w:t>
      </w:r>
      <w:r>
        <w:rPr>
          <w:rFonts w:ascii="Times New Roman" w:cs="Times New Roman" w:eastAsia="Times New Roman" w:hAnsi="Times New Roman"/>
          <w:sz w:val="18"/>
          <w:szCs w:val="18"/>
          <w:color w:val="auto"/>
        </w:rPr>
        <w:t>. We have historically focused on the U.S. federal government and believe that we are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leader in providing security solutions to federal agencies, including DoD and the IC. Nonetheless, we believe the U.S. federal government represents a significant growth opportunity, and we expect to continue to invest in products to serve additional customers in this vertical. For example, Xacta is included on DHS's Continuous Diagnostics and Mitigation Approved Products List to provide federal agencies with innovative security tools, which we believe presents us with an excellent opportunity to pursue contracts with additional federal agencies. In addition, our platform is available for use in the AWS GovCloud (U.S.), Oracle and Azure Government. The Telos ACA offering is positioned to supply unique data sets to government agencies to allow them to better inform themselves as they defend and protect their networks and assets. Telos ACA is also positioned to provide government customers with specific, actionable and high-fidelity intelligence about malicious cyber activity targeted at their networks.</w:t>
      </w:r>
    </w:p>
    <w:p>
      <w:pPr>
        <w:spacing w:after="0" w:line="80" w:lineRule="exact"/>
        <w:rPr>
          <w:rFonts w:ascii="Times New Roman" w:cs="Times New Roman" w:eastAsia="Times New Roman" w:hAnsi="Times New Roman"/>
          <w:sz w:val="18"/>
          <w:szCs w:val="18"/>
          <w:i w:val="1"/>
          <w:iCs w:val="1"/>
          <w:color w:val="auto"/>
        </w:rPr>
      </w:pPr>
    </w:p>
    <w:p>
      <w:pPr>
        <w:ind w:left="660" w:hanging="328"/>
        <w:spacing w:after="0" w:line="256"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Leverage our diverse security solutions to expand our presence in commercial markets</w:t>
      </w:r>
      <w:r>
        <w:rPr>
          <w:rFonts w:ascii="Times New Roman" w:cs="Times New Roman" w:eastAsia="Times New Roman" w:hAnsi="Times New Roman"/>
          <w:sz w:val="18"/>
          <w:szCs w:val="18"/>
          <w:color w:val="auto"/>
        </w:rPr>
        <w:t>. Our offerings are designed to have broad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security risk and compliance, secure messaging, identity vetting, and managed attribution and obfuscation. We believe that we are well-positioned to sell our capabilities into a dynamic and growing commercial opportunity set and to innovate to address emerging and unique requirements. For example, we have leveraged core Xacta functionality to meet the needs of large financial services and customer relationship management firms. We have also leveraged our U.S. federal government identity management qualifications to improve the speed and accuracy of vetting results for more than 100 airports, air carriers, and general aviation across the country. We intend to continue innovating and are developing additional offerings for cloud, mobile, and internet of things ("IoT") devices.</w:t>
      </w:r>
    </w:p>
    <w:p>
      <w:pPr>
        <w:spacing w:after="0" w:line="74" w:lineRule="exact"/>
        <w:rPr>
          <w:rFonts w:ascii="Times New Roman" w:cs="Times New Roman" w:eastAsia="Times New Roman" w:hAnsi="Times New Roman"/>
          <w:sz w:val="18"/>
          <w:szCs w:val="18"/>
          <w:i w:val="1"/>
          <w:iCs w:val="1"/>
          <w:color w:val="auto"/>
        </w:rPr>
      </w:pPr>
    </w:p>
    <w:p>
      <w:pPr>
        <w:ind w:left="660" w:right="40" w:hanging="328"/>
        <w:spacing w:after="0" w:line="25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 our revenue and expand margins with robust sales channels</w:t>
      </w:r>
      <w:r>
        <w:rPr>
          <w:rFonts w:ascii="Times New Roman" w:cs="Times New Roman" w:eastAsia="Times New Roman" w:hAnsi="Times New Roman"/>
          <w:sz w:val="18"/>
          <w:szCs w:val="18"/>
          <w:color w:val="auto"/>
        </w:rPr>
        <w:t>. We have formed a sales organization with a vertical sales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functioning as the direct channel to a wider account universe comprised of commercial and government customers. This vertical is focused on quick-turn, transactional sales. We continue expanding our partner program to include a variety of channels, including resellers, integrators, and contract partners to help us gain access to new markets more quickly. For example, both Telos Ghost and Xacta are now available through various AWS and Microsoft Azure marketplaces, serving markets requiring varying levels of security. The growth of our sales team and the accelerated expansion of these channel partner initiatives are anticipated to drive revenue growth and material gross margin expansion over time.</w:t>
      </w:r>
    </w:p>
    <w:p>
      <w:pPr>
        <w:spacing w:after="0" w:line="74" w:lineRule="exact"/>
        <w:rPr>
          <w:rFonts w:ascii="Times New Roman" w:cs="Times New Roman" w:eastAsia="Times New Roman" w:hAnsi="Times New Roman"/>
          <w:sz w:val="18"/>
          <w:szCs w:val="18"/>
          <w:i w:val="1"/>
          <w:iCs w:val="1"/>
          <w:color w:val="auto"/>
        </w:rPr>
      </w:pPr>
    </w:p>
    <w:p>
      <w:pPr>
        <w:ind w:left="660" w:right="140" w:hanging="328"/>
        <w:spacing w:after="0" w:line="25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Target and replace inefficient legacy products</w:t>
      </w:r>
      <w:r>
        <w:rPr>
          <w:rFonts w:ascii="Times New Roman" w:cs="Times New Roman" w:eastAsia="Times New Roman" w:hAnsi="Times New Roman"/>
          <w:sz w:val="18"/>
          <w:szCs w:val="18"/>
          <w:color w:val="auto"/>
        </w:rPr>
        <w:t>. Recognizing the limitations of their legacy systems, organizations are replacing existing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processes with Telos solutions. For example, Telos AMHS is a web-centric system that replaced legacy capabilities like communications centers for the purpose of executing operational orders (through organizational messaging) across the U.S. federal government and around the world. Xacta has disrupted the cyber risk and compliance management business across the U.S. federal government, replacing tedious manual activity with automation and delivering that automation to meet our customer's needs flexibly on premises, in hybrid environments, in the cloud, and across multi-cloud infrastructures.</w:t>
      </w:r>
    </w:p>
    <w:p>
      <w:pPr>
        <w:spacing w:after="0" w:line="74" w:lineRule="exact"/>
        <w:rPr>
          <w:rFonts w:ascii="Times New Roman" w:cs="Times New Roman" w:eastAsia="Times New Roman" w:hAnsi="Times New Roman"/>
          <w:sz w:val="18"/>
          <w:szCs w:val="18"/>
          <w:i w:val="1"/>
          <w:iCs w:val="1"/>
          <w:color w:val="auto"/>
        </w:rPr>
      </w:pPr>
    </w:p>
    <w:p>
      <w:pPr>
        <w:ind w:left="660" w:right="120" w:hanging="328"/>
        <w:spacing w:after="0" w:line="261"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Pursue strategic acquisition opportunities</w:t>
      </w:r>
      <w:r>
        <w:rPr>
          <w:rFonts w:ascii="Times New Roman" w:cs="Times New Roman" w:eastAsia="Times New Roman" w:hAnsi="Times New Roman"/>
          <w:sz w:val="18"/>
          <w:szCs w:val="18"/>
          <w:color w:val="auto"/>
        </w:rPr>
        <w:t>. We believe that our markets remain fragmented, with many niche players providing limited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targeting narrow customer segments. Given the breadth of our solution set and our customer end markets, we believe that we are well-positioned to opportunistically acquire smaller companies and incorporate their technology or deploy their solutions across a larger customer set. We believe that a targeted and opportunistic acquisition strategy will be a force multiplier for our organic growth opportunity.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7"/>
          <w:szCs w:val="17"/>
          <w:color w:val="auto"/>
        </w:rPr>
        <w:t>As part of the sales and channel program investments, we are also making corporate investments in functional areas such as contracts, solution architects, lead generation tools, and operations to ensure our back-office systems and processes scale for business growth. We are adding commission incentivized, sales personnel aligned to market segments focused on commercial industry and whitespace U.S. federal, IC and DOD market areas. We are concentrated on Xacta and Telos Ghost sales efforts in the financial services, insurance, healthcare, energy, and other highly regulated critical infrastructure markets.</w:t>
      </w:r>
    </w:p>
    <w:p>
      <w:pPr>
        <w:spacing w:after="0" w:line="1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expanded our sales capability for markets in which we are well known, such as the U.S. government, certain critical infrastructure sectors, and certain commercial verticals such as healthcare and financial services.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built a dedicated channel team to include the launch of the Telos CyberProtect Partner Program. This ecosystem includes a variety of partner types including distributors (such as DLT, a tech data company), resellers, referral partners, technology integration partners, managed service providers, consulting partners and more. Collectively these partners help us deliver access to verticals such as healthcare, state, local government and education, and commercial enterprises, and bolster our position in the federal, IC and defense market.</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experienced success with the channel as we had several deals transact through the system in 2022 and 2021, allowing us to pressure test the operational side of the channel. Additionally, through our channel partners, Telos was successfully added to contract vehicles that provide access to a broader base of customers in our target markets.</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Customer acquisition often involves extensive interaction at all levels of an organizations, from executives, to decision makers, to end users. We seek to forge relationships throughout an organization in an effort to obtain broad consensus as part of the sales process. We leverage the full power of Telos (executives, sales and channel partners) to gain access and build our brand awareness.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sales strategy is to establish a customer foothold with one of our solutions and work to achieve rapid success. We then leverage this customer relationship to generate interest in other solutions from the Telos portfolio. We have a variety of upsell opportunities that allow us to expand our presence within a customer account. For example, there are various complementary Xacta features that build on each other and are sold separately.</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Much of our business is awarded through the submission of formal competitive bids, however, a significant portion of our revenue is awarded through limited competition or sole-source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Organizations</w:t>
      </w:r>
    </w:p>
    <w:p>
      <w:pPr>
        <w:spacing w:after="0" w:line="148"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Our sales team works with partner organizations like AWS, Microsoft Azure, and Oracle to pursue mutual customers and leverage their marketplace platforms and marketing programs. Last year, Telos announced a collaboration with IBM Security as part of IBM's Active Governance Services, which allows enterprises to operationalize and automate activities and solve challenges in cybersecurity compliance and regulatory risks. The solution combines IBM's world-class expertise in cyber compliance and governance programs with Telos' Xacta IT risk management platform to automate the time-consuming aspects of compliance and audit activities such as control selection, validation, reporting, and monitoring.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build market awareness of Telos and our solutions through a variety of marketing programs, including regular briefings with industry analysts, public relations activities, government relations initiatives, web seminars, trade show exhibitions, speaking engagements, and website marketing. We are making additional investments in these types of activities and targeting additional vertical-specific content creation, targeted advertising and brand awareness campaigns, social media campaigns, and search engine marketing.</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sales team works hand in hand with our marketing team and various subject matter experts to develop targeted awareness campaigns for our various solutions that generate valuable leads and contacts.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2022, we had 738 employees, of whom approximately 90.4% are located in the United States. Approximately 413 of our U.S.-based employees held U.S. security clearances, and 23% self-identify as veterans of U.S. military service. None of our employees are represented by a labor union or covered by a collective bargaining agreement. We have not experienced any work stoppages, and we consider relations with our employees to be good.</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people are proficient in many fields, such as computer science, information security and vulnerability testing, networking technologies, physics, engineering, operations research, mathematics, economics, and business administration. We place a high value on our people. As a result, we seek to remain competitive in terms of salary structures, incentive compensation programs, fringe benefits, opportunities for growth, and individual recognition and award programs.</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management team is committed to maintaining a corporate culture that fosters mutual respect and job satisfaction for our people while delivering innovation and value to customers and shareholders. This commitment is reflected in our core values:</w:t>
      </w:r>
    </w:p>
    <w:p>
      <w:pPr>
        <w:spacing w:after="0" w:line="1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 xml:space="preserve">Always </w:t>
      </w:r>
      <w:r>
        <w:rPr>
          <w:rFonts w:ascii="Times New Roman" w:cs="Times New Roman" w:eastAsia="Times New Roman" w:hAnsi="Times New Roman"/>
          <w:sz w:val="18"/>
          <w:szCs w:val="18"/>
          <w:color w:val="auto"/>
        </w:rPr>
        <w:t>with integrity, at Telos we:</w:t>
      </w:r>
    </w:p>
    <w:p>
      <w:pPr>
        <w:spacing w:after="0" w:line="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Build trusted relationships,</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Work hard together,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 xml:space="preserve">Design and deliver superior solutions, </w:t>
      </w:r>
      <w:r>
        <w:rPr>
          <w:rFonts w:ascii="Times New Roman" w:cs="Times New Roman" w:eastAsia="Times New Roman" w:hAnsi="Times New Roman"/>
          <w:sz w:val="18"/>
          <w:szCs w:val="18"/>
          <w:i w:val="1"/>
          <w:iCs w:val="1"/>
          <w:color w:val="auto"/>
        </w:rPr>
        <w:t>and</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Have fun doing it.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values are woven throughout the fabric of Telos. They are reflected in our hiring practices, reinforced regularly, and reviewed during appraisals.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are encouraged to challenge themselves and each other to exhibit the core values in all activities.</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employees are given avenues of communication and interaction should they observe activities inconsistent with our core values. While employees are encouraged first to speak openly about any issues, a 24/7 hotline provides an opportunity to express concerns anonymously.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foundational value of integrity to be a non-negotiable requirement of employment, and an expectation of suppliers, partners, and our customers. We guard our reputation and will take action to protect it. An essential part of our brand promise is to always to engage employees, customers, partners, suppliers, and investors with integrity.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value diversity and inclusion and are committed to providing a work environment that is free of discrimination and harassment, where our employees can do their best work, bring their whole self to work, feel supported and in turn support others. We strive to create a working environment where everyone feels included and respected and has an equal opportunity to contribute. We believe that diverse teams maximize their potential and bring with them varied views, experiences, and perspectives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While we believe that our employee population is gender and ethnically diverse for our industry and operating markets, with approximately 27% of our global population self-identifying as female and approximately 29% self-identifying as underrepresented minorities, our objective is to continue to improve our hiring, development, training, advancement, and retention of diverse talent and to foster an inclusive environment at Telos.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generally experience seasonality due to the fiscal year ends and procurement cycles of our key customers. We derive a substantial portion of our revenue from the U.S. government whose fiscal year ends on September 30 of each year, which may favorably impact our third fiscal quarter. In addition, our quarterly results may be impacted by the number of working days in a given quarter. See </w:t>
      </w:r>
      <w:r>
        <w:rPr>
          <w:rFonts w:ascii="Times New Roman" w:cs="Times New Roman" w:eastAsia="Times New Roman" w:hAnsi="Times New Roman"/>
          <w:sz w:val="18"/>
          <w:szCs w:val="18"/>
          <w:i w:val="1"/>
          <w:iCs w:val="1"/>
          <w:color w:val="auto"/>
        </w:rPr>
        <w:t>"Risk Factors — We are subject to the seasonality of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spending."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developed proprietary software-based solutions in various platforms related to security and cyber risk management. We invest substantial resources in research and development to innovate new solutions, enhance our offerings and grow opportunities by developing new features and modules for our existing platforms. We are committed to and view our continued investment in research and development as a key factor to our long-term business success.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 and Regulation</w:t>
      </w:r>
    </w:p>
    <w:p>
      <w:pPr>
        <w:spacing w:after="0" w:line="17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8"/>
          <w:szCs w:val="18"/>
          <w:color w:val="auto"/>
        </w:rPr>
        <w:t>Our business is heavily regulated and we must comply with and are affected by laws and regulations relating to the formation, administration and performance of U.S. government and other contracts. U.S. government contracts generally are subject to the Federal Acquisition Regulation ("FAR"), which sets forth policies, procedures and requirements for acquiring goods and services by the U.S. government, and agency-specific regulations that implement or supplement the FAR. These regulations impose a broad range of requirements, many of which are unique to government contracting, including various procurement, security, contract pricing and cost, contract termination, and adjustments and audit requirements. These laws and regulations, among other things:</w:t>
      </w:r>
    </w:p>
    <w:p>
      <w:pPr>
        <w:spacing w:after="0" w:line="79" w:lineRule="exact"/>
        <w:rPr>
          <w:sz w:val="20"/>
          <w:szCs w:val="20"/>
          <w:color w:val="auto"/>
        </w:rPr>
      </w:pPr>
    </w:p>
    <w:p>
      <w:pPr>
        <w:ind w:left="660" w:right="4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specific and unique cost accounting practices that may differ from Generally Accepted Accounting Principles in the United States of America ("U.S. GAAP" or "GAAP") and therefore require reconciliation;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allowable and unallowable costs and otherwise govern our right to reimbursement under various cost-type U.S. government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compliance with U.S. government Cost Accounting Standards;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reviews by the Defense Contract Audit Agency ("DCAA"), Defense Contract Management Agency and other U.S. government agencies for compliance with government requirements for a contractor's business system;</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use and dissemination of and require the protection of unclassified contract-related information and information classified for national security purposes and the export of certain products and technical data;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acquisition regulations that define reimbursable and non-reimbursable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use and dissemination of information classified for national security purposes and the export of certain products and technical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U.S. government customers employ several contracting methods to purchase services and products. Budgetary pressures and reforms in the procurement process have caused many U.S. government customers to increasingly purchase services and products using contracting methods that allow them to select multiple contract winners or pre-qualify certain contractors to provide services or products on established general terms and conditions rather than through single-award contracts. The predominant contracting methods through which U.S. government agencies procure services and products include definitive award contracts, indefinite delivery / indefinite quantity ("IDIQ") contracts, U.S. General Service Administration ("GSA") schedule contracts and other transactional agreements ("OTA").</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Government contracts are subject to congressional funding. Consequently, at the outset of a program, a contract is usually partially funded, and Congress annually determines if additional funds are to be appropriated to the contract. All of our government customers have the right to terminate their contract with us at their convenience or in the event that we default. Most of our contracts have cancellation terms that would permit us to recover all or a portion of our incurred costs and fees for work performed where the U.S. government issues a termination for convenience.</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portion of our business is classified by the U.S. government and cannot be specifically described. The operating results of these classified programs are included in our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regulations and risks are described in more detail below under "Risk Factors" in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070808"/>
        </w:rPr>
        <w:t xml:space="preserve">We continue to monitor and address the </w:t>
      </w:r>
      <w:r>
        <w:rPr>
          <w:rFonts w:ascii="Times New Roman" w:cs="Times New Roman" w:eastAsia="Times New Roman" w:hAnsi="Times New Roman"/>
          <w:sz w:val="18"/>
          <w:szCs w:val="18"/>
          <w:color w:val="000000"/>
        </w:rPr>
        <w:t>coronavirus pandemic ("</w:t>
      </w:r>
      <w:r>
        <w:rPr>
          <w:rFonts w:ascii="Times New Roman" w:cs="Times New Roman" w:eastAsia="Times New Roman" w:hAnsi="Times New Roman"/>
          <w:sz w:val="18"/>
          <w:szCs w:val="18"/>
          <w:color w:val="070808"/>
        </w:rPr>
        <w:t>COVID-19") closely, including the impact on us, our employees, our customers, our suppliers and our communities. We continue to consider guidance from the Centers for Disease Control ("CDC"), other health organizations, federal, state and local governmental authorities, and our customers, among others. We have taken, and continue to take, robust actions to help protect our employees' health, safety and well-being, support our suppliers and local communities, and to continue to serve our customers. Our goals have been to lessen the immediate potential adverse impacts, both health and economic, and to continue to position the Company for long-term success. Like the communities we serve, our actions have varied depending on the spread of COVID-19 and local health requirements and guidance from the CDC, the needs of our employees and the needs of our business.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much of the business of government still being conducted by federal employees working remotely through the use of information technology systems, we believe there will continue to be a need on the part of the government for the types of solutions and services provided by Telos.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070808"/>
        </w:rPr>
        <w:t xml:space="preserve">Our employees, suppliers and customers, the Company and our global community are facing tremendous challenges as a result of the pandemic and its resulting economic impacts, and we cannot predict how this dynamic situation will evolve or the impact it will have on the Company. </w:t>
      </w:r>
      <w:r>
        <w:rPr>
          <w:rFonts w:ascii="Times New Roman" w:cs="Times New Roman" w:eastAsia="Times New Roman" w:hAnsi="Times New Roman"/>
          <w:sz w:val="18"/>
          <w:szCs w:val="18"/>
          <w:color w:val="000000"/>
        </w:rPr>
        <w:t>See Item 1A, "Risk</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Factors" for discussion of risk related to our business and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Matters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a variety of federal, state, local and foreign environmental laws and regulations. In addition, our operations may become subject to future laws and regulations, including those related to climate change and environmental sustainability. Although we do not currently anticipate that the costs of complying with, or the liabilities associated with, environmental laws will materially and adversely affect us, we cannot ensure that we will not incur material costs or liabilities in the future. The Company publicly reports certain climate change-related information via CDP and formed an Environmental, Social and Governance ("ESG") task force to address ESG matters. The Board of Directors authorized the Nominating and Corporate Governance Committee to oversee the Company's ESG efforts, which includes climate-related risks and opportunities.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 "Risk Factors", for discussion of risks related to our global climate-related risks and ESG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Website and Available Information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at 19886 Ashburn Road, Ashburn, Virginia 20147, and our telephone number is (703) 724-3800. Our website can be accessed at www.telos.com, which contains information about our Company and operations. Through a link on the Investor Relations section of our website, copies of each of our filings with the U.S.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part of this Annual Report on Form 10-K.</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(www.sec.gov) that contains reports, proxy and information statements, and other information regarding issuers that file electronically with the SEC, including Telos.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your evaluation of the Company and business, you should carefully consider the risks and uncertainties as described below, together with the information included elsewhere in this Annual Report on Form 10-K and other documents we file with the SEC. These factors, as well as additional risks and uncertainties not currently known to us or that we currently believe are immaterial, may currently have, or may have, a significant impact on our business, operating results or financial condition. Actual results could differ materially from those projected in the forward-looking statements contained in this Form 10-K as a result of the risk factors discussed below and elsewhere in this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of our third-party data center hosting facilities, cloud computing platform providers or third-party service partners are inadequate, or if the underlying infrastructure of the internet is breached, or if unauthorized access to a customer's data or our data or our IT systems is obtained, or if authorized access to our customer's data or our data or our IT systems is blocked or disabled, our services may be perceived as not being secure, customers may curtail or stop using our services, and we may incur significant reputational harm, legal exposure and liabilities, or a negative financial impact.</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services sometimes involve the storage and transmission of our customers' and our customers' customers' proprietary and other sensitive data, including financial information and personally identifiable information. While we have security measures in place to protect our customers and our customers' customers' data, our services and underlying infrastructure may in the future be materially breached or compromised as a result of the following:</w:t>
      </w:r>
    </w:p>
    <w:p>
      <w:pPr>
        <w:spacing w:after="0" w:line="68" w:lineRule="exact"/>
        <w:rPr>
          <w:sz w:val="20"/>
          <w:szCs w:val="20"/>
          <w:color w:val="auto"/>
        </w:rPr>
      </w:pPr>
    </w:p>
    <w:p>
      <w:pPr>
        <w:ind w:left="660" w:right="1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attempts to fraudulently induce employees or customers into disclosing sensitive information such as user names, passwords or other information to gain access to our customers' data, our data or our IT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individuals or groups of hackers and sophisticated organizations, including state-sponsored organizations or nation-states;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on our internally built infrastructure;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resulting from enhancements and updates to our existing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the products or components across the broad ecosystem that our services operate in or are dependent 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existing within newly acquired or integrated technologies and infrastructures;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on, or vulnerabilities in, the many different underlying networks and services that power the internet that our products depend on, most of which are not under our control or the control of our vendors, partners, or customers;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or contractor errors or intentional acts that compromise our security systems.</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These risks are mitigated, to the extent possible, by our ability to maintain and improve business and data governance policies, enhanced processes and internal security controls, including our ability to escalate and respond to known and potential risks. Although we have developed systems and processes designed to protect our customers' and our customers' customers' sensitive data, as well as our data, we can provide no assurances that such measures will provide absolute security. In the normal course of business, we are the target of malicious cyberattack attempts. To date, any such attempts have not been material or significant to us, including to our reputation or business operations, or had a material financial impact, but there can be no assurance that future cyberattacks will not be material or significant.</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security breach or incident could result in unauthorized parties obtaining access to, or the denial of authorized access to, our IT systems or data, or our customers' systems or data, including intellectual property, proprietary, sensitive, or other confidential information. A security breach could also result in a loss of confidence in the security of our services, damage our reputation, negatively impact our future sales, disrupt our business and lead to increases in insurance premiums and legal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cyber or other security threats or other disruptions.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cybersecurity company and a U.S. defense contractor, we face cyber threats, threats to the physical security of our facilities and employees, and terrorist acts. We are also exposed to the potential for business disruptions associated with information technology failures, natural disasters, or public health or economic crises, such as that created by the COVID-19 pandemic. We routinely experience cybersecurity threats, threats to our information technology infrastructure and attempts to gain access to our sensitive information, as do our customers, suppliers, subcontractors and joint venture partners. We may experience similar security threats at customer sites that we operate and manage as a contractual requirement. The threats we face vary from attacks common to most industries to more advanced and persistent, highly organized adversaries who target us because we protect national security information. If we are unable to protect sensitive information, our customers or governmental authorities could question the adequacy of our threat mitigation and detection processes and procedures. Due to the evolving nature of these security threats, however, the impact of any future incident cannot be predicted. The occurrence of any of these events could adversely affect our internal operations, the services we provide to our customers, loss of competitive advantages derived from our research and development efforts or other intellectual property, early obsolescence of our products and services, our future financial results, or our reputation.</w:t>
      </w:r>
    </w:p>
    <w:p>
      <w:pPr>
        <w:spacing w:after="0" w:line="1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or contracts for our solutions and services and expand our relationship with them, our revenue could decline and our results of operations would be adversely impacted.</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It is important that our existing customers renew their subscriptions or contracts for our solutions and services when existing contract terms expire, in order for us to maintain or improve our results of operations. Our customers have no obligation to renew or extend their subscriptions or contracts for our solutions or services after the expiration of the contractual periods, which vary in length, and in the normal course of business, some customers have elected not to renew or extend. It is difficult to predict attrition rates given the varying needs of our customer base. Our attrition rates may increase or fluctuate as a result of a number of factors, including customer dissatisfaction with our services, customers' spending levels, mix of customer base, decreases in the number of users at our customers, competition, pricing increases or changes, and deteriorating general economic conditions or budgetary constraints.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future success also depends in part on our ability to expand our relationship with our current customers by selling additional features and services, more subscriptions or enhanced editions of our services. This may also require increasingly sophisticated and costly sales efforts that are targeted at senior leaders. Similarly, the rate at which our customers purchase new or enhanced services depends on a number of factors, some of which are beyond our control.</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customers do not renew or extend their subscriptions or contracts, do not purchase additional features or enhanced solutions, or if attrition rates increase, our business could be harmed.</w:t>
      </w:r>
    </w:p>
    <w:p>
      <w:pPr>
        <w:spacing w:after="0" w:line="10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few key customer contracts for a significant portion of our future revenue, and a significant reduction in services or delay in implementation to one or more of these contracts would reduce or delay our future revenue and could materially affect our anticipated operating results.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small number of our large customer contracts are expected to comprise a significant portion of our future revenue. Our business will likely be harmed if any of our key customer contracts generate less revenue than we forecast, and the termination or delay of a large contract or multiple contracts could have a material adverse effect on our revenue and profitability. Adverse events affecting the programs subject to these contracts could also negatively affect our ability to process transactions under those contracts, which could adversely affect our revenue and the results of operations.</w:t>
      </w:r>
    </w:p>
    <w:p>
      <w:pPr>
        <w:spacing w:after="0" w:line="12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security solutions have lengthy sales and implementation cycles, which could significantly impact our results of operations if projected orders are not realized</w:t>
      </w:r>
      <w:r>
        <w:rPr>
          <w:rFonts w:ascii="Times New Roman" w:cs="Times New Roman" w:eastAsia="Times New Roman" w:hAnsi="Times New Roman"/>
          <w:sz w:val="18"/>
          <w:szCs w:val="18"/>
          <w:i w:val="1"/>
          <w:iCs w:val="1"/>
          <w:color w:val="auto"/>
        </w:rPr>
        <w:t>.</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market the majority of our security solutions directly to U.S. government customers. The sale and implementation of our services to these entities typically involves a lengthy education process and a significant technical evaluation and commitment of capital and other resources. This process is also subject to the risk of delays associated with customers' internal budgeting and other procedures for approving large capital expenditures, deploying new technologies within their networks and testing and accepting new technologies that affect key operations. As a result, the sales and implementation cycles associated with certain of our services can be lengthy. Our quarterly and annual operating results could be materially harmed if orders forecasted for a specific customer for a particular period of time are not realized.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deliver high-quality technical support services may adversely affect our relationships with our customers and our financial results.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customers depend on our support organization to resolve technical issues relating to our solutions and offerings. We may be unable to respond quickly enough to accommodate short-term increases in customer demand for support services. Increased customer demand for these services, without corresponding revenues, could increase costs and adversely affect our operating results. In addition, our sales process is highly dependent on the reputation of our solutions and business reputation and on positive recommendations from our existing customers. Failure to maintain high-quality technical support, or a market perception that we do not maintain high-quality support, could adversely affect our reputation, our ability to sell our offerings to existing and prospective customers, and our business, operating results and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execute our sales and business development capabilities will impair our ability to grow.</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solutions and services will depend, to a significant extent, on our ability to perform at a high level in our sales and marketing operations and activities. We believe that selling and marketing our security solutions requires advanced sales skills, customer relationships and technical knowledge to generate interest and effectively communicate our solutions or services to new markets.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not achieve anticipated revenue growth from our sales force if we are unable to hire and develop talented sales personnel, if our new sales personnel are unable to achieve desired productivity levels in a reasonable period of time or if we are unable to retain our existing sales force. In addition, we are also dependent on the effectiveness of our channel partners and our ability to attract and retain additional motivated channel partners to successfully market, resell, implement or support our solutions for their customers.</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attract, train, retain and motivate key and skilled employees, including key members of our management team, would adversely affect our ability to execute our strategy and may disrupt our operations.</w:t>
      </w:r>
    </w:p>
    <w:p>
      <w:pPr>
        <w:spacing w:after="0" w:line="10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success depends upon the continued services of our highly qualified and experienced executive officers and other key members of management. From time to time, there may be changes in our executive management team resulting from the hiring or departure of executives. Such changes in our executive management team may be disruptive to our business.</w:t>
      </w:r>
    </w:p>
    <w:p>
      <w:pPr>
        <w:spacing w:after="0" w:line="1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are also substantially dependent on the continued service of our existing highly trained and skilled personnel, particularly our business development and operations group, because of the complexity of our services and technologies. The technology industry is subject to substantial and continuous competition for engineers and other subject matter experts with high levels of experience in designing, developing and managing software, cybersecurity, and internet-related services, as well as competition for sales executives, data scientists and operations personnel. Competition for skilled personnel is intense and many U.S. government programs also require contractors to have security clearances, certain of which can be difficult and time-consuming to obtain.</w:t>
      </w:r>
    </w:p>
    <w:p>
      <w:pPr>
        <w:spacing w:after="0" w:line="11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may not be successful in attracting and retaining qualified personnel. From time to time, we have experienced, and we expect to continue to experience, difficulty in hiring, developing, integrating and retaining highly skilled employees with appropriate qualifications. These difficulties may be amplified by evolving restrictions on immigration, travel, or the availability of visas for skilled technology workers. These difficulties could be further amplified by the high cost of living in the Washington D.C. metropolitan area, where our headquarters and one of our other offices are located. If we fail to attract new personnel or fail to retain and motivate our current key employees or group, our business and future growth prospects could be severely harmed.</w:t>
      </w:r>
    </w:p>
    <w:p>
      <w:pPr>
        <w:spacing w:after="0" w:line="110"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computing infrastructure operated by third parties to support some of our solutions and customers, and any errors, disruption, performance problems, or failure in their or our operational infrastructure could adversely affect our business, financial condition, and results of operations.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the technology, infrastructure, and software applications of certain third parties in order to host or operate some of certain key platform features or functions of our business. Additionally, we rely on third-party computer hardware and cloud capabilities in order to deliver our solutions and services. We do not have control over the operations of the facilities of the third parties that we use. If any of these third-party services experience errors, disruptions, security issues, or other performance deficiencies; if they are updated such that our solutions become incompatible; if these services, software, or hardware fails or becomes unavailable due to extended outages, interruptions, defects, or otherwise; or if they are no longer available on commercially reasonable terms or prices (or at all), these issues could result in errors or defects in our solutions, failure of our solutions to perform, decline in our revenue and margins, damage to our reputation and brand, exposure to legal or contractual liability, increase in our expenses, and interruption in our ability to manage our operations. In addition,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customers or third-party providers.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future, we may experience disruptions, failures, data loss, outages, and other performance problems with our infrastructure and cloud-based offerings due to a variety of factors, including infrastructure changes, introductions of new functionality, human or software errors, employee misconduct, capacity constraints, denial of service attacks, phishing attacks, computer viruses, malicious or destructive code, or other security-related incidents, and our disaster recovery planning may not be sufficient for all situations. If we experience disruptions, failures, data loss, outages, or other performance problems, our business, financial condition, and results of operations could be adversely affected.</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systems and the third-party systems upon which we and our customers rely are also vulnerable to damage or interruption from catastrophic occurrences such as earthquakes, floods, fires, power loss, telecommunication failures, cybersecurity threats, terrorist attacks, social unrest, natural disasters, public health crises,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solutions,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Furthermore, our solutions are, in many cases, important or essential to our customers' operations, including in some cases, their cybersecurity or oversight and compliance programs, and subject to service level agreements. Any interruption in our service, whether as a result of an internal or third-party issue, could damage our brand and reputation, cause our customers to terminate or not renew their contracts with us or decrease the use of our solutions and services, require us to indemnify our customers against certain losses, result in our issuing credit or paying penalties or fines, subject us to other losses or liabilities, cause our solutions to be perceived as unreliable or unsecure, and prevent us from gaining new or additional business from current or future customers, any of which could harm our business, financial condition, and results of operations.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 The provisioning of additional cloud hosting capacity requires lead time. These third parties have no obligation to renew their agreements with us on commercially reasonable terms, or at all. If these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In that case, we could incur significant costs and experience possible service interruption in connection with doing so, or risk loss of customer contracts if they are unwilling to accept such a change.</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failure to maintain our relationships with our third-party providers (or obtain adequate replacements), and to receive services from such providers that do not contain any material errors or defects, could adversely affect our ability to deliver effective products and solutions to our customers and adversely affect our business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or have insufficient proprietary rights, our business may be adversely impacted.</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success depends on our internally developed technologies, patents and other intellectual property. Despite our precautions, it may be possible for a third party to copy or otherwise obtain and use our trade secrets or other forms of intellectual property without authorization. Furthermore, the laws of foreign countries may not protect our proprietary rights in those countries to the same extent U.S. law protects these rights in the United States. In addition, it is possible that others may independently develop substantially equivalent intellectual property. If we do not effectively protect our intellectual property, our business could suffer. In the future, we may have to resort to litigation to enforce our intellectual property rights, protect our trade secrets, or determine the validity and scope of the proprietary rights of others. Regardless of outcome, this type of litigation could result in substantial costs and diversion of management and technical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profitability depends, in part, on our ability to develop new technologies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Virtually all of the products we produce and sell are highly engineered and require sophisticated manufacturing and system integration techniques and capabilities. The government market in which we primarily operate is characterized by rapidly changing technologies. The product and program needs of our government and commercial customers change and evolve regularly. Accordingly, our future performance in part depends on our ability to identify emerging technological trends, develop and manufacture competitive products, and bring those products to market quickly at cost-effective prices. If we are unable to develop new products that meet customers' changing needs, future sales and earnings may be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fixed-price and other contracts that could adversely impact our earnings and profitability if we fail to estimate and manage costs, time, and resources accurately.</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Generally, our customer contracts are either fixed-priced or cost-reimbursable. Under fixed-price contracts, which represented approximately 82.9% of our 2022 revenues, we receive a fixed price irrespective of the actual costs we incur and, consequently, we carry the burden of any cost overruns. Due to their nature, fixed-price contracts inherently have more risk than cost-reimbursable contracts, particularly fixed-price development contracts where the costs to complete the development stage of the program can be highly variable, uncertain and difficult to estimate. Under cost-reimbursable contracts, subject to a contract-ceiling amount in certain cases, we are reimbursed for allowable costs and paid a fee, which may be fixed or performance-based. If our costs exceed the contract ceiling and are not authorized by the customer or are not allowable under the contract or applicable regulations, we may not be able to obtain reimbursement for all such costs and our fees may be reduced or eliminated. Because many of our contracts involve advanced designs and innovative technologies, we may experience unforeseen technological difficulties and cost overruns. Under both types of contracts, if we are unable to control costs or if our initial cost estimates are incorrect, we can lose money on these contracts. In addition, some of our contracts have provisions relating to cost controls and audit rights, and if we fail to meet the terms specified in those contracts, we may not realize their full benefits. Lower earnings caused by cost overruns or poor cost controls would have a negative impact on our results of operations.</w:t>
      </w:r>
    </w:p>
    <w:p>
      <w:pPr>
        <w:spacing w:after="0" w:line="1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face risks associated with the growth of our business in new commercial markets and with new customer verticals, and we may neither be able to continue our organic growth nor have the necessary resources to dedicate to the overall growth of our business.</w:t>
      </w:r>
    </w:p>
    <w:p>
      <w:pPr>
        <w:spacing w:after="0" w:line="10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We plan to expand our operations in new commercial markets, including those where we may have limited operating experience, and may be subject to increased business, technology and economic risks that could affect our financial results. In recent periods, we have increased our focus on commercial customers. In the future, we may increasingly focus on such customers, including in the banking, financial services, healthcare, manufacturing, telecommunication, airlines and aerospace, insurance, retail, transportation, shipping and logistics, and energy industries, as well as other critical infrastructure industries. Entering new verticals and expanding in the verticals in which we are already operating will continue to require significant resources and there is no guarantee that such efforts will be successful or beneficial to us.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Historically, sales to a new customer have often led to additional sales to the same customer or similarly situated customers. As we expand into and within new and emerging markets and heavily regulated industry verticals, we will likely face additional regulatory scrutiny, risks, and burdens from the governments and agencies which regulate those markets and industries. While this approach to expansion within new commercial markets and verticals has proven successful in the past, it is uncertain we will achieve the same penetration and organic growth in the future, and our reputation, business, financial condition, and results of operations could be negatively impacted.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 with our partner organizations or channel partners.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grow our business, we will continue to build, grow and maintain relationships with third parties, such as partner organizations or channel partners, that provide complementary cybersecurity offerings. Identifying partners, and negotiating relationships with them, requires significant time and resources. The relationship we have with our partners, and that our partners have with our customers, provides our customers with enhanced value for our solutions and services.</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agreements with our partners are generally non-exclusive; therefore, our partners may offer customer solutions from several companies, including solutions and services that compete with ours. If our partners do not effectively market and sell our solutions or services, or use greater efforts to market and sell their solutions or those of our competitors, or fail to meet the needs of our customers, or if we are unsuccessful in establishing or maintaining our relationships with our partners, our ability to compete in the marketplace or to grow our revenue could be impaired, and our results of operations could be adversely affected.</w:t>
      </w:r>
    </w:p>
    <w:p>
      <w:pPr>
        <w:spacing w:after="0" w:line="1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license third-party technology that is used in our products and services to perform key functions, the loss could have an adverse effect on our revenues.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third-party technology licenses used by us may not continue to be available on commercially reasonable terms or at all. Our business could suffer if we lost the right to use these technologies. A third party could claim that the licensed software infringes a patent or other proprietary right. Litigation between the licensor and a third party or between a third party and us could lead to royalty obligations for which we are not indemnified or for which indemnification is insufficient, or we may not be able to obtain any additional license on commercially reasonable terms or at all. The loss of, or our inability to obtain or maintain, any of these technology licenses could delay the introduction of new products or services until equivalent technology, if available, is identified, licensed and integrated. This could harm our business.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certain operational services and components of our products in order to fully perform under our contracts, and the failure or disruption of a third party to perform these services could have an adverse impact on our business.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rely on subcontractors and other suppliers to provide raw materials, major components and subsystems for our products or to perform a portion of the services that we provide to our customers. Occasionally, we rely on only one or two sources of supply, which, if disrupted, could have an adverse effect on our ability to meet our commitments to customers. We depend on these subcontractors and suppliers to fulfill their contractual obligations in a timely and satisfactory manner in full compliance with customer requirements. If one or more of our subcontractors or suppliers is unable to satisfactorily provide on a timely basis the agreed-upon supplies or perform the agreed-upon services, our ability to perform our obligations as a prime contractor may be adversely affected.</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pricing structures for our solutions and services may change from time to time, which could adversely impact our business, financial condition and results of operations.</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expect that we may change our pricing model from time to time, including as a result of competition, global economic conditions, and general reductions in our customers' spending levels, pricing studies, or changes in how our solutions are broadly consumed. Similarly, as we introduce new products and services, or as a result of the evolution of our existing solutions and services, we may have difficulty determining the appropriate price structure for our products and services. In addition, as new and existing competitors introduce new products or services that compete with ours, or revise their pricing structures, we may be unable to attract new customers at the same price or based on the same pricing model as we have used historically. Moreover, as we continue to target selling our solutions and services to larger organizations, these larger organizations may demand substantial price concessions. In addition, we may need to change pricing policies to accommodate government pricing guidelines for our contracts with federal, state, local, and foreign governments and government agencies. If we are unable to modify or develop pricing models and strategies that are attractive to existing and prospective customers, while enabling us to significantly grow our sales and revenue relative to our associated costs and expenses in a reasonable period of time, our business, financial condition, and results of operations may be adversely impacted.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expose us to risks inherent in international operations.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sell our services outside the U.S. and are subject to risks and challenges associated with international business. The risks and challenges associated with sales to customers outside the U.S. or those that can affect international operations generally, include:</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our services, including translation into foreign languages and associated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frameworks or business practices favoring local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the creditworthiness of sovereign nations;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domestic and international tax environments;</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issues or political actions by sovereign nations, including nations with a controlled currency environment, which could result in decreased values of foreign-denominated balances or potential difficulties protecting our foreign assets or satisfying local obligations;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controls, which may make our services more expensive for international customers and could add volatility to our operating results;</w:t>
      </w:r>
    </w:p>
    <w:p>
      <w:pPr>
        <w:spacing w:after="0" w:line="53"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conflicting, ambiguous or evolving governmental laws and regulations, including employment, tax, privacy, anti-corruption, import/export, antitrust, data transfer, storage and protection, and industry-specific laws and regulations, including rules related to compliance by our third-party resellers and our ability to identify and respond timely to compliance issues when they occur;</w:t>
      </w:r>
    </w:p>
    <w:p>
      <w:pPr>
        <w:spacing w:after="0" w:line="6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Vetting and monitoring our third-party resellers in new and evolving markets to confirm they maintain standards consistent with our brand and reputation;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public perception of governments in the regions where we operate or plan to operate;</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or lesser protection of our intellectual property;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other collection difficulties;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terrorism, pandemics or security breaches;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and political conditions.</w:t>
      </w:r>
    </w:p>
    <w:p>
      <w:pPr>
        <w:spacing w:after="0" w:line="17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Any of these factors could negatively impact our business and results of operations. The above factors may also negatively impact our ability to successfully expand into emerging market countries, where we have little or no operating experience, where it can be costly and challenging to establish and maintain operations, including hiring and managing required personnel, and difficult to promote our brand, and where we may not benefit from any first-to-market advantage or otherwise succeed.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a number of legal proceedings. We cannot predict the outcome of litigation and other contingencies with certainty.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business may be adversely affected by the outcome of legal proceedings and other contingencies that cannot be predicted with certainty. As required by the U.S. GAAP, we estimate loss contingencies and establish reserves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our current legal proceedings, see </w:t>
      </w:r>
      <w:r>
        <w:rPr>
          <w:rFonts w:ascii="Times New Roman" w:cs="Times New Roman" w:eastAsia="Times New Roman" w:hAnsi="Times New Roman"/>
          <w:sz w:val="18"/>
          <w:szCs w:val="18"/>
          <w:u w:val="single" w:color="auto"/>
          <w:color w:val="0000FF"/>
        </w:rPr>
        <w:t>Note 22 – Commitments and Contingencies</w:t>
      </w:r>
      <w:r>
        <w:rPr>
          <w:rFonts w:ascii="Times New Roman" w:cs="Times New Roman" w:eastAsia="Times New Roman" w:hAnsi="Times New Roman"/>
          <w:sz w:val="18"/>
          <w:szCs w:val="18"/>
          <w:color w:val="auto"/>
        </w:rPr>
        <w:t xml:space="preserve"> to the consolidated financial statements.</w:t>
      </w:r>
    </w:p>
    <w:p>
      <w:pPr>
        <w:spacing w:after="0" w:line="1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future acquisitions, strategic investments, partnerships, divestitures, mergers or joint ventures may subject us to significant risks, any of which could harm our business.</w:t>
      </w:r>
    </w:p>
    <w:p>
      <w:pPr>
        <w:spacing w:after="0" w:line="10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long-term strategy may include identifying and acquiring, partnering with, investing in or merging with suitable candidates on acceptable terms, or divesting of certain business lines or activities. In particular, over time, we may acquire, make investments in, partner or merge with providers of product offerings that complement our business or may terminate such activities. Partnerships, mergers, joint ventures, acquisitions, and divestitures include a number of risks and present financial, managerial and operational challenges, including but not limited to:</w:t>
      </w:r>
    </w:p>
    <w:p>
      <w:pPr>
        <w:spacing w:after="0" w:line="7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running our existing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material weaknesses in internal control over financial reporting;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including legal, administrative and compensation expenses related to newly hired or terminated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integrate the technology, personnel, customer base and business practices of the acquired company with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material liabilities not discovered in the due diligence process;</w:t>
      </w:r>
    </w:p>
    <w:p>
      <w:pPr>
        <w:spacing w:after="0" w:line="11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reported operating results due to possible write-down of goodwill and other intangible assets associated with acquisitions;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acquisition financing or unavailability of such financing on reasonable terms.</w:t>
      </w:r>
    </w:p>
    <w:p>
      <w:pPr>
        <w:spacing w:after="0" w:line="17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Any acquired business, technology, service or product could significantly underperform relative to our expectations and may not achieve the benefits we expect from possible acquisitions. For all these reasons, our pursuit of an acquisition, partnership, investment, divestiture, merger, or joint venture could cause its actual results to differ materially from those anticipated.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Economic Risk</w:t>
      </w:r>
    </w:p>
    <w:p>
      <w:pPr>
        <w:spacing w:after="0" w:line="17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environment in which we operate is highly competitive, and we may not be able to compete successfully against existing or future competitors.</w:t>
      </w:r>
    </w:p>
    <w:p>
      <w:pPr>
        <w:spacing w:after="0" w:line="10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operate in diverse industry segments. Based on our current market analysis, there is no single company or small group of companies in a dominant competitive position. Some large competitors offer capabilities in a number of markets that overlap many of the same areas in which we offer services, while certain companies are focused upon only one or a few of such markets. Some of the firms that compete with us in multiple areas include Northrop Grumman, Lockheed Martin, General Dynamics, Perspecta and Idemia. In addition, we compete with smaller specialty companies, including risk and compliance management companies, organizational messaging companies, and security consulting organizations, and companies that provide secure network offerings. If we do not compete effectively, we may suffer price reductions, reduced gross margins, and loss of market share.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competitive bidding process to obtain U.S. government contracts, both upon initial issuance and re-competition, and the likelihood of bid protest, we may be unable to achieve or sustain revenue growth and profitability.</w:t>
      </w:r>
    </w:p>
    <w:p>
      <w:pPr>
        <w:spacing w:after="0" w:line="1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Many of our U.S. government contracts are awarded through a competitive bidding process upon initial award and renewal, and we expect this will continue. There is often significant competition and pricing pressure as a result of this process. The competitive bidding process presents a number of risks, including the following:</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substantial funds and time to prepare bids and proposals for contracts that may ultimately be awarded to one of our competitors;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accurately estimate the resources and costs that will be required to perform any contract we are awarded, which could result in substantial cost overruns and decreased margins;</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expense and delay if our competitors protest or challenge awards of contracts, and any such protest or challenge could result in a requirement to resubmit bids on modified specifications or in the termination, reduction or modification of the awarded contract;</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protest of contracts awarded to us may result in the delay of program performance and the generation of revenue while the protest is pending; and</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given the opportunity to re-compete for U.S. government contracts previously awarded to us, we may incur expenses to protest such a decision and ultimately may not succeed in competing for or winning such contract renewal.</w:t>
      </w:r>
    </w:p>
    <w:p>
      <w:pPr>
        <w:spacing w:after="0" w:line="10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U.S. government contracts for which we compete typically have multiple option periods, and if we fail to win a contract or a task order, we generally will be unable to compete again for that contract for several years. If we fail to win new contracts or to receive renewal contracts upon re-competition, it may result in additional costs and expenses and possible loss of revenue, and we will not have an opportunity to compete for these contract opportunities again until such contracts expire.</w:t>
      </w:r>
    </w:p>
    <w:p>
      <w:pPr>
        <w:spacing w:after="0" w:line="12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in part, on sales to the U.S. government, and changes in spending or budgetary priorities or delays in contract awards may significantly affect our future revenue and adversely impact our financial condition and results of operations</w:t>
      </w:r>
      <w:r>
        <w:rPr>
          <w:rFonts w:ascii="Times New Roman" w:cs="Times New Roman" w:eastAsia="Times New Roman" w:hAnsi="Times New Roman"/>
          <w:sz w:val="18"/>
          <w:szCs w:val="18"/>
          <w:i w:val="1"/>
          <w:iCs w:val="1"/>
          <w:color w:val="auto"/>
        </w:rPr>
        <w:t>.</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sales are highly concentrated with the U.S. government. The customer relationship with the U.S. government involves certain unique risks. The programs we participate in must compete with other programs and policy imperatives during the budget and appropriations process. In each of the past three years, a substantial portion of our sales was to the U.S. government, particularly the DoD. The U.S. government's defense spending has historically been cyclical. Defense budgets have received their strongest support when perceived threats to national security raise the level of concern over the country's safety. As these threats subside, spending on the military tends to decrease. Rising budget deficits, increasing national debt, the cost of the global war on terrorism, increasing costs for entitlement programs, cost of new domestic initiatives, and the large and continued costs of combating the pandemic and addressing the health concerns and economic dislocation caused by COVID-19, continue to put pressure on all areas of discretionary spending.</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government funding relating to our contracts with the U.S. government becomes unavailable, or is reduced or delayed, or planned orders are reduced, our contracts or subcontracts may be terminated or adjusted by the U.S. government or the prime contractor. Our operating results could also be adversely affected by spending caps or changes in the budgetary priorities of the U.S. government, as well as delays in program starts or the award of contracts or task orders under contracts.</w:t>
      </w:r>
    </w:p>
    <w:p>
      <w:pPr>
        <w:spacing w:after="0" w:line="12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government may terminate, cancel, modify or curtail our contracts at any time prior to completion and, if we do not replace them, this may adversely affect our future revenues and could adversely impact our earnings</w:t>
      </w:r>
      <w:r>
        <w:rPr>
          <w:rFonts w:ascii="Times New Roman" w:cs="Times New Roman" w:eastAsia="Times New Roman" w:hAnsi="Times New Roman"/>
          <w:sz w:val="18"/>
          <w:szCs w:val="18"/>
          <w:i w:val="1"/>
          <w:iCs w:val="1"/>
          <w:color w:val="auto"/>
        </w:rPr>
        <w:t>.</w:t>
      </w:r>
    </w:p>
    <w:p>
      <w:pPr>
        <w:spacing w:after="0" w:line="10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Many of the U.S. government programs in which we participate, both as a contractor or subcontractor, extend for several years and include one or more base years and one or more option years. These programs are typically funded on an annual basis. Under these contracts, the U.S. government generally has the right not to exercise options to extend or expand our contracts and may otherwise terminate, cancel, modify or curtail our contracts at its convenience.</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First, the process may be delayed or disrupted. Changes in congressional schedules, negotiations for program funding levels or unforeseen world events can interrupt the funding for a program or contract. Second, funds for multi-year contracts can be changed in subsequent years in the appropriations process. In addition, the U.S. government has increasingly relied on IDIQ contracts and other procurement vehicles that are subject to a competitive bidding and funding process even after the award of the basic contract, adding an element of uncertainty to future funding levels. Delays in the funding process or changes in funding or funding priorities can impact the timing of available funds or can lead to changes in program content or termination at the government's convenience.</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Any decisions by the U.S. government to not exercise contract options or to terminate, cancel, modify or curtail our major programs or contracts would adversely affect our revenues, revenue growth and profitability.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seasonality of U.S. government spending.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derive a substantial portion of our revenues from U.S. government contracting, and as a result, we are subject to the annual seasonality of U.S. government purchasing. Because the U.S. government fiscal year ends on September 30, it is common for U.S. government agencies to award extra tasks in the weeks immediately prior to the end of its fiscal year in order to avoid the loss of unexpended fiscal year funds. As a result of this seasonality, we have historically experienced higher revenues in our third and fourth fiscal quarters, ending September 30 and December 31, respectively, with the pace of orders typically substantially reduced during our first and second fiscal quarters ending March 31 and June 30,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7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non-U.S. laws and regulations regarding privacy, data protection and security, technology protection, and other matters. Many of these laws and regulations are subject to change and uncertain interpretation, and could result in claims, changes to our business practices, monetary penalties, increased cost of operations, or otherwise harm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a variety of local, state, national, and international laws and directives and regulations in the United States and abroad that involve matters central to our business, including privacy and data protection, data security, data storage, retention, transfer and deletion, technology protection, and personal information. Foreign data protection, data security, privacy, and other laws and regulations can impose different obligations or be more restrictive than those in the United States. These U.S. federal and state and foreign laws and regulations, which, depending on the regime, may be enforced by private parties or government entities, are constantly evolving and can be subject to significant change, and they are likely to remain uncertain for the foreseeable future. In addition, the application, interpretation, and enforcement of these laws and regulations are often uncertain, and may be interpreted and applied inconsistently from country to country and inconsistently with our current policies and practices. A number of proposals are pending before U.S. federal, state, and foreign legislative and regulatory bodies that could significantly affect our business.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overarching complexity of privacy and data protection laws and regulations around the world pose a compliance challenge that could manifest in costs, damages, or liability in other forms as a result of failure to implement proper programmatic controls, failure to adhere to those controls, or the malicious or inadvertent breach of applicable privacy and data protection requirements by us, our employees, our business partners, or our customers.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government regulation, self-regulatory standards and other industry standards may legally or contractually apply to us, be argued to apply to us, or we may elect to comply with such standards or to facilitate our customers' compliance with such standards. Because privacy, data protection, and information security are critical competitive factors in our industry, we may make statements on our website, in marketing materials, or in other settings about our data security measures and our compliance with, or our ability to facilitate our customers' compliance with, these standards.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and regulations concerning privacy, data protection, and information security, and we cannot yet determine the impact such future laws, regulations and standards, or amendments to or re-interpretations of existing laws and regulations, industry standards, or other obligations may have on our business. New laws, amendments to or re-interpretations of existing laws and regulations, industry standards, and contractual and other obligations may require us to incur additional costs and restrict our business operations. As these legal regimes relating to privacy, data protection, and information security continue to evolve, they may result in ever-increasing public scrutiny and escalating levels of enforcement and sanctions. Furthermore, because the interpretation and application of laws, standards, contractual obligations and other obligations relating to privacy, data protection, and information security are uncertain, these laws, standards, and contractual and other obligations may be interpreted and applied in a manner that is, or is alleged to be, inconsistent with our data management practices, our policies or procedures, or the features of our solutions. If so, in addition to the possibility of fines, lawsuits, and other claims, we could be required to fundamentally change our business activities and practices or modify our solutions, which could have an adverse effect on our business. We may be unable to make such changes and modifications in a commercially reasonable manner or at all, and our ability to fulfill existing obligations, make enhancements, or develop new solutions and features could be limited. Furthermore, the costs of compliance with, and other burdens imposed by, the laws, regulations, and policies that are applicable to the businesses of our customers may limit the use and adoption of, and reduce the overall demand for, our solutions.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These existing and proposed laws and regulations can be costly to comply with and can make our solutions and services less effective or valuable, delay or impede the development of new products, result in negative publicity, increase our operating costs, require us to modify our data handling practices, limit our operations, impose substantial fines and penalties, require significant management time and attention, or put our data or technology at risk. Any failure or perceived failure by us or our solutions to comply with U.S. or applicable foreign laws, regulations, directives, policies, industry standards, or legal obligations relating to privacy, data protection, or information security, or any security incident that results in loss of or the unauthorized access to, or acquisition, use, release, or transfer of, personal information, personal data, or other customer or sensitive data or information may result in governmental investigations, inquiries, enforcement actions and prosecutions, private claims and litigation, indemnification or other contractual obligations, other remedies, including fines or demands that we modify or cease existing business practices, or adverse publicity, and related costs and liabilities, which could significantly and adversely affect our business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substantial oversight from federal agencies that have the authority to suspend our ability to bid on contracts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U.S. government contractor, we are subject to oversight by many agencies and entities of the U.S. government that may investigate and make inquiries about our business practices and conduct audits of contract performance and cost accounting. Depending on the results of any such audits and investigations, the U.S. government may make claims against us. Under U.S. government procurement regulations and practices, an indictment of a U.S. government contractor could result in that contractor being fined and/or suspended for a period of time from eligibility for bidding on, or for the award of, new U.S. government contracts. A conviction could result in debarment for a specified period of time. To the best of management's knowledge, there are no pending government investigations, inquiries, claims or audits against the Company likely to have a material adverse effect on our business or our consolidated results of operations, cash flows or financial position.</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and subject us to liability if we are not in full compliance with applicable laws.</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Some of our solutions are subject to export and import controls, including, without limitation, the Department of State's Directorate of Defense Trade Controls, the Commerce Department's Export Administration Regulations, U.S. Customs regulations and various economic and trade sanctions regulations established by the Treasury Department's Office of Foreign Assets Control. If we fail to comply with these U.S. export control laws and import laws,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may be time-consuming, is not guaranteed and may result in the delay or loss of sales opportunities.</w:t>
      </w:r>
    </w:p>
    <w:p>
      <w:pPr>
        <w:spacing w:after="0" w:line="13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Furthermore, the U.S. export control laws and economic sanctions laws prohibit the shipment of certain products and services to U.S. embargoed or sanctioned countries, governments and persons. Even though we take precautions to prevent our solutions from being provisioned or provided to U.S. sanctions targets in violation of applicable regulations, our solutions could be provisioned to those targets despite such precautions. Any such sales could have negative consequences, including government investigations, penalties and reputational harm. Changes in our solutions or changes in export and import regulations may create delays in the introduction, sale and deployment of our solutions in international markets or prevent the export or import of our solutions to certain countries, governments or persons altogether. Any decreased use of our solutions or limitation on our ability to export or sell our solutions may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Reporting and Common Stock</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and other expectations about our business and operating results, which may cause our stock price to decline.</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we may release guidance in our quarterly earnings conference calls, quarterly earnings releases, or otherwise, regarding our future performance that represents our management's estimates as of the date of release. This guidance, which includes forward-looking statements, is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Our aim is to state possible outcomes as high and low ranges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Any failure to successfully implement our operating strategy or the occurrence of any of the events or circumstances beyond our control could result in the actual operating results being different from our guidance, and the differences may be adverse and material. In light of the foregoing, investors are urged not to rely upon our guidance in making an investment decision regarding our common stock.</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Furthermore, if we make downward revisions to our previously announced guidance, or if our publicly announced guidance of future operating results fails to meet the expectations of securities analysts, investors or other interested parties, the price of our common stock may decline.</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fluctuate and may fall short of prior periods, our projections or the expectations of securities analysts or investors, which could adversely affect the trading price of our stock.</w:t>
      </w:r>
    </w:p>
    <w:p>
      <w:pPr>
        <w:spacing w:after="0" w:line="10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operating results have fluctuated from quarter to quarter at points in the past, and they may do so in the future. Therefore, the results of any one quarter may not be a reliable indication of results to be expected for any other quarter or for any year.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Results may be affected by various factors, including those described in these risk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implemented or that it will enhance long-term stockholder value.</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May 2022, our Board of Directors approved a stock repurchase program for the repurchase of up to $50.0 million of our outstanding shares of our common stock. As of December 31, 2022, approximately $38.7 million remained available under the stock repurchase program. The repurchase program has no termination date and may be suspended for periods, amended or discontinued at any time. We are not obligated to repurchase a specified number or dollar value of shares. Share repurchases under the program will be made from time to time in private transactions or open market purchases, as permitted by securities laws and other legal requirements. There can be no guarantee about the timing of our share repurchases, or that the volume of such repurchases will increase. The stock repurchase program could affect the price of our common stock, increase volatility, diminish our cash reserves, and even if fully implemented may not enhance long-term stockholder value.</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remediate any material weakness in our internal control over financial reporting, or identify any additional material weaknesses, our ability to produce timely and accurate financial statements or comply with applicable regulations could be impaired.</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comply with Section 404 of the Sarbanes-Oxley Act. If we fail to abide by the applicable requirements of Section 404, regulatory authorities, such as the SEC, could subject us to sanctions or investigation, and our independent registered public accounting firm may not be able to certify as to the effectiveness of our internal control over financial reporting pursuant to an audit of our controls. Even effective internal controls can provide only reasonable assurance with respect to the preparation and fair presentation of financial statements. Accordingly, our internal control over financial reporting may not prevent or detect misstatements because of their inherent limitations, including the possibility of human error, the circumvention or overriding of controls, or fraud.</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and for the year ended December 31, 2022, we and our independent registered public accounting firm identified a material weakness in our internal control over financial reporting related to the design and controls over the assessment of the accounting for forfeitures of non-standard equity awards. This control deficiency could have resulted in a misstatement of accounts and disclosures that could have resulted in a material misstatement of our annual or interim consolidated financial statements that would not have been prevented or detected. Accordingly, management has determined that this control deficiency constitutes a material weakness.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further described in </w:t>
      </w:r>
      <w:r>
        <w:rPr>
          <w:rFonts w:ascii="Times New Roman" w:cs="Times New Roman" w:eastAsia="Times New Roman" w:hAnsi="Times New Roman"/>
          <w:sz w:val="18"/>
          <w:szCs w:val="18"/>
          <w:u w:val="single" w:color="auto"/>
          <w:color w:val="0000FF"/>
        </w:rPr>
        <w:t>Item 9A – Controls and Procedures</w:t>
      </w:r>
      <w:r>
        <w:rPr>
          <w:rFonts w:ascii="Times New Roman" w:cs="Times New Roman" w:eastAsia="Times New Roman" w:hAnsi="Times New Roman"/>
          <w:sz w:val="18"/>
          <w:szCs w:val="18"/>
          <w:color w:val="auto"/>
        </w:rPr>
        <w:t xml:space="preserve"> under Management's Report on Internal control over Financial Reporting, we executed a plan to remediate the material weakness, including the enhancement of existing processes and controls over the accounting for the forfeiture of non-standard equity awards.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While we expect to take the measures necessary to address the underlying causes of this material weakness, we cannot provide assurance of when the material weakness will be remediated, nor can we be certain of whether additional actions will be required or the costs of any such actions. Moreover, we cannot provide assurance that additional material weaknesses will not arise in the future. While the material weakness discussed above did not result in material misstatements of our annual or interim consolidated financial statements, any failure to remediate the material weakness, or the identification of new material weaknesses in our internal control over financial reporting, could result in material misstatements in our financial statements that may continue undetected, negatively impacting the public perception of the Company and our securities and cause us to fail to meet our reporting and financial obligations or incur significant additional costs to remediate the material weaknesses, each of which could negatively affect our stock price, harm our ability to raise capital on favorable terms in the future or otherwise have a negative impact on our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judgments or estimates relating to our critical accounting policies are based on assumptions that change or prove to be incorrect, our results of operations could be adversely affected.</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management to make judgments, estimates, and assumptions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and equity, and the amount of revenue and expenses that are not readily apparent from other sources.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Significant judgments, estimates, and assumptions used in preparing our consolidated financial statements include, or may in the future include, those related to revenue recognition, goodwill and other long-lived assets, and income taxes.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Weakened global economic conditions may adversely affect our industry, business, operating results and financial condition.</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and geopolitical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at any point in time. In addition, geopolitical developments, such as the recent invasion of Ukraine by Russia, can increase levels of political and economic unpredictability globally and increase the volatility of global financial markets. Moreover, these conditions can affect the rate of information technology spending and could adversely affect our customers' ability or willingness to purchase our solutions and services, delay prospective customers' purchasing decisions, reduce the value or duration of their subscription contracts, or affect attrition rates, all of which could adversely affect our future sales and operating results.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events outside of our control, such as natural disasters, fire, power outages and other catastrophic events, and interruption by man-made problems such as wars or terrorism</w:t>
      </w:r>
      <w:r>
        <w:rPr>
          <w:rFonts w:ascii="Times New Roman" w:cs="Times New Roman" w:eastAsia="Times New Roman" w:hAnsi="Times New Roman"/>
          <w:sz w:val="18"/>
          <w:szCs w:val="18"/>
          <w:b w:val="1"/>
          <w:bCs w:val="1"/>
          <w:i w:val="1"/>
          <w:iCs w:val="1"/>
          <w:color w:val="auto"/>
          <w:strike w:val="1"/>
        </w:rPr>
        <w:t>.</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be impacted by natural disasters, wars, terrorist attacks, power outages, health epidemics or pandemics, or other events outside of our control. If major disasters such as earthquakes, floods, hurricanes, tornadoes, fires, or other events occur, or our information system or communications network breaks down, operates improperly, or is unusable, our headquarters and other facilities may be seriously damaged, or we may have to stop or delay production and delivery of our solutions and services. Although we maintain crisis management and disaster response plans, such events could make it difficult or impossible for us to deliver our solutions and services to our customers, and could decrease demand for our offerings. We may incur shutdowns, delays, disruptions or expenses relating to such events outside of our control, which could have a material adverse impact on our business, operating results and financial condition. Because we do not carry insurance for all of these possible losses, and significant recovery time could be required to resume operations, our financial condition and operating results could be materially adversely affected by such an event outside of our control.</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and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Investor advocacy groups, institutional investors, investment funds, proxy advisory services, stockholders, and customers are increasingly focused on companies' ESG practices. Additionally, public interest and legislative pressure related to public companies' ESG practices continue to grow.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spacing w:after="0" w:line="13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their application to us could result in unfavorable accounting charges or effects, which could adversely affect our results of operations and growth prospects.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prepare consolidated financial statements in accordance with U.S. GAAP. In particular, we make certain estimates and assumptions related to the adoption and interpretation of these principles, including the recognition of our revenue and the accounting of our stock-based compensation expense with respect to our consolidated financial statements. If these assumptions turn out to be incorrect, our revenue or our stock-based compensation expense could materially differ from our expectations, which could have a material adverse effect on our financial results. A change in any of these principles or guidance, or in their interpretations or application to us, may have a significant effect on our reported results, as well as our processes and related controls, and may retroactively affect previously reported results or our forecasts, which may negatively impact our financial statements. For example, any recent new standards issued by the Financial Accounting Standards Board could materially impact our consolidated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adoption of these new standards may potentially require enhancements or changes in our processes or systems and may require significant time and cost on behalf of our financial management. This may, in turn, adversely affect our results of operations and growth prospects.</w:t>
      </w:r>
    </w:p>
    <w:p>
      <w:pPr>
        <w:spacing w:after="0" w:line="130"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the ongoing COVID-19, including the resulting global economic disruptions, remains uncertain at this time, and may adversely affect our future business operations, financial condition and our ability to execute on business or contract opportunities.</w:t>
      </w:r>
    </w:p>
    <w:p>
      <w:pPr>
        <w:spacing w:after="0" w:line="10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COVID-19 pandemic disrupted the normal operations of many businesses and other organizations, including the temporary closure or scale-back of business operations and the imposition of either quarantine or remote work or meeting requirements for employees, either by government order or on a voluntary basis.</w:t>
      </w:r>
    </w:p>
    <w:p>
      <w:pPr>
        <w:spacing w:after="0" w:line="122"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The ongoing pandemic may adversely affect our customers' ability to perform their missions and is, in many cases disrupting their operations. It may also result in a change in spending priorities on the part of our customers, which could precipitate the cancellation, delay or deferral of programs, contracts or business opportunities. It may also impact the ability of our subcontractors, partners, and suppliers to operate and fulfill their contractual obligations, and result in an increase in their costs and cause delays in performance. These supply chain effects, and the direct effect of the virus and the disruption on our operations, may negatively impact both our ability to meet customer demand and our revenue and profit margins. Our employees, in some cases, are working remotely due either to safety concerns or to customer-imposed limitations and using various technologies to perform their functions.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clim</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b w:val="1"/>
          <w:bCs w:val="1"/>
          <w:i w:val="1"/>
          <w:iCs w:val="1"/>
          <w:color w:val="auto"/>
        </w:rPr>
        <w:t>te-related risks could negatively affect our business.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are inherent climate-related risks wherever business is conducted. Access to clean water and reliable energy in the communities where we conduct our business, whether for our offices, vendors, customers or other stakeholders, is a priority. Any of our primary locations may be vulnerable to the adverse effects of climate change. Climate-related events, including the increasing frequency of extreme weather events and their impact on U.S. critical infrastructure, have the potential to disrupt our business, our third-party suppliers, or the operations and business of our customers, and may cause us to experience higher attrition, losses and additional costs to maintain or resume operations.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Increased public awareness and concern regarding global climate change may result in state, federal or international requirements to reduce or mitigate global warming, such as the imposition of carbon pricing mechanisms or stricter limits on greenhouse gas emissions. If environmental or climate-change laws or regulations are adopted or changed that impose significant new costs, operational restrictions or compliance requirements upon our business or our products, they could increase our capital expenditures, reduce our margins and adversely affect our financial position.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reputation and client relationships may be damaged as a result of our practices related to climate change, including our involvement, or our clients' involvement, in certain industries or projects associated with causing or exacerbating climate change, as well as any decisions we make to continue to conduct or change our activities in response to considerations relating to climate change.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approximately 191,700 square feet of space for our corporate headquarters, integration facility, and primary service depot in Ashburn,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expires in May 2029.</w:t>
      </w:r>
    </w:p>
    <w:p>
      <w:pPr>
        <w:spacing w:after="0" w:line="15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lease additional office space in facilities located in Maryland, Virginia, Florida, Alabama and Nevada under various leases expiring through January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current space is substantially adequate to meet our operating requirements.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regarding legal proceedings may be found in </w:t>
      </w:r>
      <w:r>
        <w:rPr>
          <w:rFonts w:ascii="Times New Roman" w:cs="Times New Roman" w:eastAsia="Times New Roman" w:hAnsi="Times New Roman"/>
          <w:sz w:val="18"/>
          <w:szCs w:val="18"/>
          <w:u w:val="single" w:color="auto"/>
          <w:color w:val="0000FF"/>
        </w:rPr>
        <w:t>Note 22 - Commitments and Contingencies</w:t>
      </w:r>
      <w:r>
        <w:rPr>
          <w:rFonts w:ascii="Times New Roman" w:cs="Times New Roman" w:eastAsia="Times New Roman" w:hAnsi="Times New Roman"/>
          <w:sz w:val="18"/>
          <w:szCs w:val="18"/>
          <w:color w:val="auto"/>
        </w:rPr>
        <w:t xml:space="preserve"> to the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"TLS." As of March 10, 2023, there were approximately 148 holders of record of Telos common stock. The number of shareholders of record of our common stock may not be representative of the number of beneficial owners due to shares that may be held by depositories, brokers or nominees.</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did not sell any equity securities during the 12 months ended December 31, 2022, that were not registered under the Securities Act and were not previously disclosed on a Quarterly Report on Form 10-Q or a Current Report on Form 8-K.</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Common Stock Purchase Activity During the Three Months Ended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rPr>
              <w:t>Total Number of</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61"/>
              <w:spacing w:after="0" w:line="161" w:lineRule="exact"/>
              <w:rPr>
                <w:sz w:val="20"/>
                <w:szCs w:val="20"/>
                <w:color w:val="auto"/>
              </w:rPr>
            </w:pPr>
            <w:r>
              <w:rPr>
                <w:rFonts w:ascii="Times New Roman" w:cs="Times New Roman" w:eastAsia="Times New Roman" w:hAnsi="Times New Roman"/>
                <w:sz w:val="16"/>
                <w:szCs w:val="16"/>
                <w:color w:val="auto"/>
              </w:rPr>
              <w:t>Maximum Dollar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 Purchased as</w:t>
            </w:r>
          </w:p>
        </w:tc>
        <w:tc>
          <w:tcPr>
            <w:tcW w:w="80" w:type="dxa"/>
            <w:vAlign w:val="bottom"/>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Value of Shares that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Total Number of</w:t>
            </w:r>
          </w:p>
        </w:tc>
        <w:tc>
          <w:tcPr>
            <w:tcW w:w="100" w:type="dxa"/>
            <w:vAlign w:val="bottom"/>
          </w:tcPr>
          <w:p>
            <w:pPr>
              <w:spacing w:after="0"/>
              <w:rPr>
                <w:sz w:val="18"/>
                <w:szCs w:val="18"/>
                <w:color w:val="auto"/>
              </w:rPr>
            </w:pPr>
          </w:p>
        </w:tc>
        <w:tc>
          <w:tcPr>
            <w:tcW w:w="1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rPr>
              <w:t>Average Price Paid</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Part of Publicly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9"/>
              </w:rPr>
              <w:t>May Yet Be</w:t>
            </w:r>
          </w:p>
        </w:tc>
        <w:tc>
          <w:tcPr>
            <w:tcW w:w="0" w:type="dxa"/>
            <w:vAlign w:val="bottom"/>
          </w:tcPr>
          <w:p>
            <w:pPr>
              <w:spacing w:after="0"/>
              <w:rPr>
                <w:sz w:val="1"/>
                <w:szCs w:val="1"/>
                <w:color w:val="auto"/>
              </w:rPr>
            </w:pPr>
          </w:p>
        </w:tc>
      </w:tr>
      <w:tr>
        <w:trPr>
          <w:trHeight w:val="162"/>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4"/>
                <w:szCs w:val="14"/>
                <w:color w:val="auto"/>
              </w:rPr>
              <w:t xml:space="preserve">Shares Purchased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Announced</w:t>
            </w:r>
          </w:p>
        </w:tc>
        <w:tc>
          <w:tcPr>
            <w:tcW w:w="80" w:type="dxa"/>
            <w:vAlign w:val="bottom"/>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Purchased Under the</w:t>
            </w:r>
          </w:p>
        </w:tc>
        <w:tc>
          <w:tcPr>
            <w:tcW w:w="0" w:type="dxa"/>
            <w:vAlign w:val="bottom"/>
          </w:tcPr>
          <w:p>
            <w:pPr>
              <w:spacing w:after="0"/>
              <w:rPr>
                <w:sz w:val="1"/>
                <w:szCs w:val="1"/>
                <w:color w:val="auto"/>
              </w:rPr>
            </w:pPr>
          </w:p>
        </w:tc>
      </w:tr>
      <w:tr>
        <w:trPr>
          <w:trHeight w:val="162"/>
        </w:trPr>
        <w:tc>
          <w:tcPr>
            <w:tcW w:w="516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4"/>
                <w:szCs w:val="14"/>
                <w:color w:val="auto"/>
              </w:rPr>
              <w:t xml:space="preserve">per Share </w:t>
            </w:r>
            <w:r>
              <w:rPr>
                <w:rFonts w:ascii="Times New Roman" w:cs="Times New Roman" w:eastAsia="Times New Roman" w:hAnsi="Times New Roman"/>
                <w:sz w:val="18"/>
                <w:szCs w:val="18"/>
                <w:color w:val="auto"/>
                <w:vertAlign w:val="superscript"/>
              </w:rPr>
              <w:t>(1)</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color w:val="auto"/>
              </w:rPr>
              <w:t xml:space="preserve">Repurchases Plans </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61"/>
              <w:spacing w:after="0" w:line="162" w:lineRule="exact"/>
              <w:rPr>
                <w:sz w:val="20"/>
                <w:szCs w:val="20"/>
                <w:color w:val="auto"/>
              </w:rPr>
            </w:pPr>
            <w:r>
              <w:rPr>
                <w:rFonts w:ascii="Times New Roman" w:cs="Times New Roman" w:eastAsia="Times New Roman" w:hAnsi="Times New Roman"/>
                <w:sz w:val="14"/>
                <w:szCs w:val="14"/>
                <w:color w:val="auto"/>
              </w:rPr>
              <w:t xml:space="preserve">Plans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2022 - October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91,106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91,106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41,477,041</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2022 - November 30,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40,187,217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2022 -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910,380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38,715,568</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1,283,684</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690,992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80" w:hanging="172"/>
        <w:spacing w:after="0" w:line="233" w:lineRule="auto"/>
        <w:tabs>
          <w:tab w:leader="none" w:pos="163"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24, 2022, the Board of Directors authorized a Share Repurchase Program, pursuant to which the Company can repurchase up to $50.0 million of issued and outstanding common stock. The repurchase program has no expiration date and may be modified, suspended, or terminated at any time. For the fourth quarter of 2022, the Company repurchased 690,992 shares of common stock under the program for an aggregate price of $3.6 million in open market.</w:t>
      </w:r>
    </w:p>
    <w:p>
      <w:pPr>
        <w:spacing w:after="0" w:line="150" w:lineRule="exact"/>
        <w:rPr>
          <w:rFonts w:ascii="Times New Roman" w:cs="Times New Roman" w:eastAsia="Times New Roman" w:hAnsi="Times New Roman"/>
          <w:sz w:val="19"/>
          <w:szCs w:val="19"/>
          <w:color w:val="auto"/>
          <w:vertAlign w:val="superscript"/>
        </w:rPr>
      </w:pPr>
    </w:p>
    <w:p>
      <w:pPr>
        <w:ind w:left="180" w:right="520" w:hanging="172"/>
        <w:spacing w:after="0" w:line="230" w:lineRule="auto"/>
        <w:tabs>
          <w:tab w:leader="none" w:pos="163"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Total Number of Shares Purchased includes shares withheld by the Company upon the vesting of restricted stock units to satisfy tax withholding obligations of the holders of those restricted stock units.</w:t>
      </w:r>
    </w:p>
    <w:p>
      <w:pPr>
        <w:spacing w:after="0" w:line="1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securities authorized for issuance under our stock-based compensation plan, see </w:t>
      </w:r>
      <w:r>
        <w:rPr>
          <w:rFonts w:ascii="Times New Roman" w:cs="Times New Roman" w:eastAsia="Times New Roman" w:hAnsi="Times New Roman"/>
          <w:sz w:val="18"/>
          <w:szCs w:val="18"/>
          <w:u w:val="single" w:color="auto"/>
          <w:color w:val="0000FF"/>
        </w:rPr>
        <w:t>Note 16 - Stock-Based Compensation</w:t>
      </w:r>
      <w:r>
        <w:rPr>
          <w:rFonts w:ascii="Times New Roman" w:cs="Times New Roman" w:eastAsia="Times New Roman" w:hAnsi="Times New Roman"/>
          <w:sz w:val="18"/>
          <w:szCs w:val="18"/>
          <w:color w:val="auto"/>
        </w:rPr>
        <w:t xml:space="preserve"> to the Consolidated Financial Statements contained in Item 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to be "soliciting material" or to be "filed" with the SEC, and this performance graph shall not be incorporated by reference into any of Telos filings under the Securities Act or the Securities Exchange Act of 1934 and related regulations, or any other document, whether made before or after the date of this report and despite any general incorporation language contained in a filing or document (except to the extent Telos specifically incorporates this section by reference into a filing or document).</w:t>
      </w:r>
    </w:p>
    <w:p>
      <w:pPr>
        <w:spacing w:after="0" w:line="12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total cumulative return to stockholders on our common stock since our IPO price of $17.00 on November 19, 2020 (the date our common stock commenced trading on the NASDAQ National Market) to two indices: (i) the Standard &amp; Poor's 500 Index, and (ii) the Russell 2000 Index. An investment of $100 (with reinvestment of all dividends) is assumed to have been made in our common stock and in each index at the market close on November 18, 2020, and its relative performance is tracked quarterly through December 31, 2022. The comparisons in the graph are required by the U.S. Securities and Exchange Commission, based on historical data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96520</wp:posOffset>
            </wp:positionV>
            <wp:extent cx="5786755" cy="3429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675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3820"/>
        <w:spacing w:after="0" w:line="440"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Forward-Looking Information</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related notes to consolidated financial statements included in Part II, Item 8 of this Annual Report on Form 10-K ("10-K"). In addition to historical financial information, the following discussion and analysis contains forward-looking statements that involve risks, uncertainties and assumptions. Our actual results and timing of selected events in future periods may differ materially from those anticipated or implied in these forward-looking statements as a result of many factors, including those discussed under Item 1A,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and elsewhere in this 10-K. See also "</w:t>
      </w:r>
      <w:r>
        <w:rPr>
          <w:rFonts w:ascii="Times New Roman" w:cs="Times New Roman" w:eastAsia="Times New Roman" w:hAnsi="Times New Roman"/>
          <w:sz w:val="18"/>
          <w:szCs w:val="18"/>
          <w:u w:val="single" w:color="auto"/>
          <w:color w:val="0000FF"/>
        </w:rPr>
        <w:t>Special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Regarding Forward-Looking Statements</w:t>
      </w:r>
      <w:r>
        <w:rPr>
          <w:rFonts w:ascii="Times New Roman" w:cs="Times New Roman" w:eastAsia="Times New Roman" w:hAnsi="Times New Roman"/>
          <w:sz w:val="18"/>
          <w:szCs w:val="18"/>
          <w:color w:val="000000"/>
        </w:rPr>
        <w:t>" at the beginning of this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for the Year Ended December 31, 2020</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for the year December 31, 2020, including a comparison of our results for the years ended December 31, 2021 and 2020, is included in Item 7 of our Annual Report on Form 10-K for the year ended December 31, 2021, which was filed with the Securities and Exchange Commission on March 28,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126" w:lineRule="exact"/>
        <w:rPr>
          <w:sz w:val="20"/>
          <w:szCs w:val="20"/>
          <w:color w:val="auto"/>
        </w:rPr>
      </w:pPr>
    </w:p>
    <w:p>
      <w:pPr>
        <w:ind w:right="280"/>
        <w:spacing w:after="0" w:line="438" w:lineRule="auto"/>
        <w:rPr>
          <w:sz w:val="20"/>
          <w:szCs w:val="20"/>
          <w:color w:val="auto"/>
        </w:rPr>
      </w:pPr>
      <w:r>
        <w:rPr>
          <w:rFonts w:ascii="Times New Roman" w:cs="Times New Roman" w:eastAsia="Times New Roman" w:hAnsi="Times New Roman"/>
          <w:sz w:val="18"/>
          <w:szCs w:val="18"/>
          <w:color w:val="auto"/>
        </w:rPr>
        <w:t xml:space="preserve">Information regarding our segments is presented in </w:t>
      </w:r>
      <w:r>
        <w:rPr>
          <w:rFonts w:ascii="Times New Roman" w:cs="Times New Roman" w:eastAsia="Times New Roman" w:hAnsi="Times New Roman"/>
          <w:sz w:val="18"/>
          <w:szCs w:val="18"/>
          <w:u w:val="single" w:color="auto"/>
          <w:color w:val="0000FF"/>
        </w:rPr>
        <w:t>Note 21 - Segment Information</w:t>
      </w:r>
      <w:r>
        <w:rPr>
          <w:rFonts w:ascii="Times New Roman" w:cs="Times New Roman" w:eastAsia="Times New Roman" w:hAnsi="Times New Roman"/>
          <w:sz w:val="18"/>
          <w:szCs w:val="18"/>
          <w:color w:val="auto"/>
        </w:rPr>
        <w:t xml:space="preserve"> to the consolidated financial statements at Item 8 of this Form 10-K. </w:t>
      </w:r>
      <w:r>
        <w:rPr>
          <w:rFonts w:ascii="Times New Roman" w:cs="Times New Roman" w:eastAsia="Times New Roman" w:hAnsi="Times New Roman"/>
          <w:sz w:val="18"/>
          <w:szCs w:val="18"/>
          <w:b w:val="1"/>
          <w:bCs w:val="1"/>
          <w:color w:val="auto"/>
        </w:rPr>
        <w:t>Business Environment</w:t>
      </w:r>
    </w:p>
    <w:p>
      <w:pPr>
        <w:spacing w:after="0" w:line="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business performance continues to be heavily affected by the overall level of U.S. government spending and the alignment of our solutions with the priorities of the U.S. government. U.S. government spending and contracts continue to be affected by the federal budget, and appropriations process and related legislation.</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Congress could not agree on fiscal year ("FY") 2023 appropriations legislation before the start of the fiscal year on October 1, 2022. As a result, the entire federal government operated for nearly three months under the terms of a continuing resolution ("CR"), which only permitted agencies to spend at FY 2022 appropriations levels without any adjustments for the dramatic increase in inflation we have seen over the past year. Moreover, federal departments and agencies were generally precluded from moving forward on new contract starts or accelerating current projects while they were funded by a CR. Congress finally reached an agreement and completed action in late December on an omnibus appropriations package to fund the entire federal government through the remainder of FY 2023.</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final appropriations legislation provided an increase in total defense spending for FY 2023 of $44 billion above the budget proposed last spring by the White House, and represents a $76 billion increase above last year's funding level. It also included significant increases in federal civilian agency (non-defense) cybersecurity funding, including a 15 percent increase from last year for the Cybersecurity and Infrastructure Security Agency for various program enhancements and new initiatives.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Office of Management and Budget has already given federal departments and agencies guidance for cybersecurity priorities to include in their FY 2024 proposed budgets, including accelerated adoption of the cloud, IT modernization, further private sector collaboration for sector risk management responsibilities and ensuring adequate cyber threat information sharing, and supply chain risk management. We look forward to the President's budget and subsequent congressional action reflecting these priorities, which align with the solutions Telos has been developing and bringing to market for the past several years. For example, Xacta, our flagship offering, continues to set the standard for innovative capabilities in managing cyber risk and automating continuous compliance in on-premises, cloud, and hybrid environments. Our cloud practice area includes cloud migration, CloudSecOps, and cloud security compliance to accelerate IT modernization for business and government. Our Telos ACA platform combines decades of information security experience with an extensive background in cyber intelligence to defend enterprises against advanced cyber threats.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Landscape</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recent years, continuing and increasingly damaging ransomware and other cyberattacks against federal, state and local governments, K-12 and higher education, and private sector enterprises have resulted in intensified efforts to better defend against such attacks. The growing demand for these solutions continues to provide Telos with the privilege of offering our expertise to protect these vitally important organizations.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Ransomware remains arguably the most severe cyber threat to enterprises in the commercial, state, and local government and education sectors. Our Xacta offering empowers these organizations and institutions to maintain a strong cyber risk posture to minimize the risk of ransomware gaining a foothold in their IT environment. Our Telos ACA offering provides real- and near-real-time intelligence into known and unknown threats to give organizations advance warning of ransomware and other threats. Should ransomware get loose in the enterprise network, Telos Ghost, our virtual obfuscation network offering, can hide vital resources from view to prevent the payload from reaching them.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Nation's Critical Systems Are Still at Risk</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Critical infrastructure and industrial IoT are among the categories at greatest risk of cyberattacks. Energy, utilities, financial services, and healthcare were among the critical infrastructure sectors that experienced high-profile breaches or ransomware attacks over the past year. Telos Ghost can hide critical IoT and industrial control systems from the public internet to keep them from being compromised. Telos Ghost can also cordon off financial data, medical records, intellectual property, and other crown-jewel assets from visibility or accessibility by adversaries.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capabilities are increasingly important, as threat actors continue to breach enterprise networks in spite of access management systems such as virtual private networks and multi-factor authentication. Telos Ghost creates an additional layer of defense against intruders by hiding critical records, information, and applications as well as their users in an anonymous undiscoverable network. Adversaries cannot see them, so they cannot hack them. This also makes Telos Ghost a robust component in a Secure Access Service Edge or Zero Trust Network Access security architecture.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Challenging Complexity of Regulatory Compliance</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Government mandates and initiatives to assure stronger security in highly regulated industries, as noted above, also lead to opportunities for Telos solutions and services. An update to the research study Telos conducted last year reveals that audit fatigue continues to burden these organizations, with automation solutions being recognized as the most effective remedy for the many repetitive and redundant tasks that security compliance requires. Xacta streamlines, harmonizes, and automates the security controls and processes that comprise the leading cybersecurity standards and frameworks, in on-premises, cloud, hybrid, and multi-cloud environments.</w:t>
      </w:r>
    </w:p>
    <w:p>
      <w:pPr>
        <w:spacing w:after="0" w:line="1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For example, Xacta supports FedRAMP authorization, allowing all process participants to collaborate within the same Xacta application to attain a FedRAMP Authority to Operate. Xacta is also a trailblazer in deploying the Open Security Controls Assessment Language, a multi-format framework adopted by FedRAMP to allow security professionals to automate security assessment, auditing, and continuous monitoring processes.</w:t>
      </w:r>
    </w:p>
    <w:p>
      <w:pPr>
        <w:spacing w:after="0" w:line="12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DoD's emerging CMMC program is intended to ensure that members of the defense supply chain are applying sound cybersecurity practices in order to protect sensitive unclassified information. Because CMMC 2.0 is still an evolving standard, the flexible Xacta for CMMC offering enables Defense Industrial Base customers to conduct preliminary CMMC compliance audits that assess the maturity level required today as well as build a roadmap to future maturity level requirements. Telos is also a Cyber AB Registered Provider Organization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authorized by The Cyber AB to provide consulting services to government contractors and other companies in preparation for their CMMC assessments.</w:t>
      </w:r>
    </w:p>
    <w:p>
      <w:pPr>
        <w:spacing w:after="0" w:line="1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Finally, CISOs with today's cost-conscious enterprises are also under increasing pressure to provide evidence that their security strategies yield a return on investment. Xacta's latest cyber risk quantification capabilities meet this need, allowing our customers to calculate inherent risk likelihood, impact, and criticality, shown in a graphic display that illustrates real-time risk posture and visualizes progress over time. In addition, customers can also define their own financial loss formula for customer-specific risk analysis in dollar amounts.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Identity Assurance and Privacy Protection are Essential for Today's Enterprises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Identity and access management continues to be a major cybersecurity concern for organizations and individuals that need to ensure their security and protect their privacy. Trusted identities are essential to confidence in IT and physical security strategies and to the success of Zero Trust security models and architectures. Telos is a longstanding leader in solutions that assure identity trust, mitigate risk to critical infrastructure, and reduce the threat of sensitive information exposure.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IDTrust360® digital identity management platform integrates the full spectrum of identity and access management technologies in a cloud-based system that's quickly scalable to enterprise requirements. Our ONYX® touchless mobile fingerprinting solution captures fingerprints using the rear-facing camera on most off-the-shelf smartphones, replacing expensive physical hardware infrastructure for capturing fingerprints and streamlining customer identification and background checks in financial services, law enforcement, healthcare, and enterprise identity and authentication.</w:t>
      </w:r>
    </w:p>
    <w:p>
      <w:pPr>
        <w:spacing w:after="0" w:line="1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also maintain government certifications and designations that distinguish Telos in the identity and access field, including TSA PreCheck enrollment provider, Designated Aviation Channeling provider, FBI-approved Channeler, and Financial Industry Regulatory Authority Electronic Fingerprint Submission provider.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Global Networks and Worldwide Communications Need Baked-in Security</w:t>
      </w:r>
    </w:p>
    <w:p>
      <w:pPr>
        <w:spacing w:after="0" w:line="17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Today's enterprises are also in need of resilient cyber and information security capabilities to protect and defend critical infrastructure to ensure mission success. Telos Secure Networks offers secure mobility solutions, network architecting, planning and installation, security compliance, and network management expertise to defend against cyber threats and vulnerabilities. Telos Secure Networks offers these capabilities and more — on-premises, deployed, and in the cloud — to transform and empower military, government, and commercial enterprises to meet their critical and operational needs.</w:t>
      </w:r>
    </w:p>
    <w:p>
      <w:pPr>
        <w:spacing w:after="0" w:line="11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Telos is a certified IT company offering technical expertise, global reach, and strategic partnerships to meet our customers' most challenging issues. We have also built a culture of innovation focused on digital transformation — taking complex technology solutions and making them actionable and secure with advanced capabilities such as RPA, multi-cloud migration, and risk management.</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Telos serves the U.S. Air Force, U.S. Army, and other organizations in locations around the globe with base-level network support, deployable communications, modernized voice over IP solutions, infrastructure relocation and realignment, and other capabilities for secure enterprise communications. Our experience has prepared us for the unique responsibility of ensuring that the government's most critical information systems in the most sensitive locations are protected from threats in both the physical and virtual worlds.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Challenges and Risks</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derive a substantial portion of our revenues from contracts and subcontracts with the U.S. government. Our revenues are generated from a number of contract vehicles and task orders. Over the past several years we have sought to diversify and improve our operating margins through an evolution of our business from an emphasis on product reselling to that of an advanced solutions technologies provider. To that end, although we continue to offer resold products through our contract vehicles, we have focused on selling solutions and outsourcing product sales, as well as designing and delivering Telos manufactured and branded technologies. We believe our contract portfolio is characterized as having low to moderate financial risk due to the limited number of long-term fixed-price development contracts.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firm-fixed-price activities consist principally of contracts for products and services at established contract prices. Our time-and-material contracts generally allow the pass-through of allowable costs plus a profit margin. For 2022, 2021, and 2020, the Company's revenue derived from firm-fixed-price contracts was 82.9%, 87.6%, and 84.3%, respectively; cost-plus contracts revenue was 11.1%, 7.3%, and 8.2%, respectively; and time-and-material contracts was 6.0%, 5.1%, and 7.5%, respectively.</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performance is affected by the overall level of U.S. government spending and the alignment of our offerings and capabilities with the budget priorities of the U.S. government. Adverse changes in fiscal and economic conditions could materially impact our business. Some changes that could adversely impact our business include the implementation of future spending reductions and government shutdown. Despite the budget and competitive pressure affecting the industry, we believe we are well-positioned to expand existing customer relationships and benefit from opportunities that we have not previously pursued.</w:t>
      </w:r>
    </w:p>
    <w:p>
      <w:pPr>
        <w:spacing w:after="0" w:line="1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U.S. government has increasingly relied on contracts that are subject to a competitive bidding process (including indefinite delivery, IDIQ, GSA schedules, OTA, and other multi-award contracts), which has resulted in greater competition and increased pricing pressure. We expect that a majority of the business that we seek in the foreseeable future will be awarded through a competitive bidding process.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Backlog is a useful measure in developing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the basis of one year or less, and, as a result, funded backlog is generally expected to be earned within one year from any point in time, whereas unfunded backlog is expected to be earned over a longer period.</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1: Backlog by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Security Solutions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 backlog</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33,784</w:t>
            </w:r>
          </w:p>
        </w:tc>
        <w:tc>
          <w:tcPr>
            <w:tcW w:w="8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35,382</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backlog</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47,509</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54,198</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Security Solutions backlog</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81,292</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89,580</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Secure Networks</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 backlog</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88,097</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backlog</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82,296</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68,730</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Secure Networks backlog</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130,750</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156,827</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 backlog</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123,479</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backlog</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129,805</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122,928</w:t>
            </w:r>
          </w:p>
        </w:tc>
      </w:tr>
      <w:tr>
        <w:trPr>
          <w:trHeight w:val="212"/>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backlog</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212,043</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246,407</w:t>
            </w: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factors have affected our current and future financial growth, the most significant of which are described below. More details on these changes are presented below within our "Results of Operations" section.</w:t>
      </w:r>
    </w:p>
    <w:p>
      <w:pPr>
        <w:spacing w:after="0" w:line="104" w:lineRule="exact"/>
        <w:rPr>
          <w:sz w:val="20"/>
          <w:szCs w:val="20"/>
          <w:color w:val="auto"/>
        </w:rPr>
      </w:pPr>
    </w:p>
    <w:p>
      <w:pPr>
        <w:ind w:left="340" w:right="220" w:hanging="332"/>
        <w:spacing w:after="0" w:line="212" w:lineRule="auto"/>
        <w:tabs>
          <w:tab w:leader="none" w:pos="3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October 18, 2022, TSA issued an authority to operate to Telos ID for Telos'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 With TSA approval, Telos is providing its TSA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enrollment services for a trial period to a limited population of applicants in order to validate systems and processes in advance of its full implementation as an authorized TSA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enrollment provider. Once Telos successfully completes its trial period to the satisfaction of TSA, Telos will launch its services to the public more widely. Telos anticipates this launch will occur in calendar year 2023.</w:t>
      </w:r>
    </w:p>
    <w:p>
      <w:pPr>
        <w:spacing w:after="0" w:line="145" w:lineRule="exact"/>
        <w:rPr>
          <w:rFonts w:ascii="Times New Roman" w:cs="Times New Roman" w:eastAsia="Times New Roman" w:hAnsi="Times New Roman"/>
          <w:sz w:val="18"/>
          <w:szCs w:val="18"/>
          <w:i w:val="1"/>
          <w:iCs w:val="1"/>
          <w:color w:val="auto"/>
        </w:rPr>
      </w:pPr>
    </w:p>
    <w:p>
      <w:pPr>
        <w:ind w:left="340" w:right="20" w:hanging="332"/>
        <w:spacing w:after="0" w:line="258"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2022, we entered into a new credit agreement with JPMorgan Chase N.A., which provides for a $30.0 million senior secured revolving facility with a maturity date of December 30, 2025, the option of issuing letters of credit and with an uncommitted expansion feature of up to $30.0 million of additional revolver facility. The revolving credit facility will be used for working capital and general corporate purposes. While there are no drawn funds from the revolving credit facility as of December 31, 2022, the cost of servicing any debt for a full year, as well as increasing interest rates, may have an impact on future interest expense.</w:t>
      </w:r>
    </w:p>
    <w:p>
      <w:pPr>
        <w:spacing w:after="0" w:line="129"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down of certain projects, completion of several large programs in fiscal years 2021 and 2022, and new business wins below expectations resulted in a decline in current year revenue.</w:t>
      </w:r>
    </w:p>
    <w:p>
      <w:pPr>
        <w:spacing w:after="0" w:line="107"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2022, we committed to a restructuring plan resulting in a reduction of the Company's workforce, with a majority of the affected employees separating from the business in early 2023. The costs associated with the restructuring plan include employee severance–related benefit costs (including outplacement services and continuing health insurance coverage).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primary financial performance measures we use to manage our business and monitor results of operations are revenue, gross profit, and Adjusted EBITDA. We evaluate our results of operations by considering the drivers causing changes in these measures. We evaluate significant trends and fluctuations in our contract portfolio over time due to contract awards and completions, changes in customer requirements and changes in the volume of product and software sales. Changes in costs of revenue as a percentage of revenue other than from revenue volume or cost mix are driven by changes in the compensation expense and other allocated costs and/or cumulative revenue adjustments due to changes in estimates. Changes in operating cash flows are driven by changes in cash generated through delivery of products and services, fluctuations in current assets and liabilities and the impact of changes in the timing of cash receipts or disbursements.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2: Consolidated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160" w:type="dxa"/>
            <w:vAlign w:val="bottom"/>
            <w:tcBorders>
              <w:top w:val="single" w:sz="8" w:color="auto"/>
              <w:bottom w:val="single" w:sz="8" w:color="auto"/>
            </w:tcBorders>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Change ($)</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216,887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242,433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(25,546)</w:t>
            </w:r>
          </w:p>
        </w:tc>
      </w:tr>
      <w:tr>
        <w:trPr>
          <w:trHeight w:val="21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137,844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156,404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(18,560)</w:t>
            </w:r>
          </w:p>
        </w:tc>
      </w:tr>
      <w:tr>
        <w:trPr>
          <w:trHeight w:val="212"/>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79,043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86,029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w:t>
            </w:r>
          </w:p>
        </w:tc>
      </w:tr>
      <w:tr>
        <w:trPr>
          <w:trHeight w:val="214"/>
        </w:trPr>
        <w:tc>
          <w:tcPr>
            <w:tcW w:w="65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36.4 %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35.5 %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132,893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127,493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 as percentage of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61.3 %</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52.6 %</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(53,850)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(41,464)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(12,386)</w:t>
            </w:r>
          </w:p>
        </w:tc>
      </w:tr>
      <w:tr>
        <w:trPr>
          <w:trHeight w:val="213"/>
        </w:trPr>
        <w:tc>
          <w:tcPr>
            <w:tcW w:w="6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income/(expense)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r>
      <w:tr>
        <w:trPr>
          <w:trHeight w:val="21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(53,374)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(43,162)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for)/benefit from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(53,428)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(43,134)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Our business segments have different factors driving revenue fluctuations and profitability. The discussion of the changes in our net revenue and profitability are covered in greater detail under the section that follows "Segment Results." We generate revenue from the delivery of products and services to our customers. Cost of sales, for both products and services, consists of labor, materials, subcontracting costs and an allocation of indirect costs.</w:t>
      </w:r>
    </w:p>
    <w:p>
      <w:pPr>
        <w:spacing w:after="0" w:line="10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$5.4 million or 4.2% in 2022 compared to 2021. This is primarily due to increases in stock-based compensation by $3.6 million and labor costs by $3.0 million, offset by a decrease in outside services of $1.3 million. In 2022, labor costs include termination benefits related to the restructuring plan aggregating to $2.2 million, with no similar cost in 2021.</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income/(expense) increased by $2.3 million due to dividend income from money market placements amounting to $1.0 million earned in 2022 without similar income in 2021, and other expenses of $0.9 million for the settlement of outstanding litigation in 2021, with no similar cost in 2022. There was no significant change in interest expense between comparable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the income tax provision in 2022 compared to 2021 is primarily due to an increase in state income taxes.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accounting policies of each business segment are the same as those followed by the Company as a whole. Management evaluates business segment performance based on gross profit.</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3: Security Solutions Segment -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240" w:type="dxa"/>
            <w:vAlign w:val="bottom"/>
            <w:tcBorders>
              <w:top w:val="single" w:sz="8" w:color="auto"/>
              <w:bottom w:val="single" w:sz="8" w:color="auto"/>
            </w:tcBorders>
            <w:gridSpan w:val="6"/>
          </w:tcPr>
          <w:p>
            <w:pPr>
              <w:jc w:val="center"/>
              <w:ind w:left="7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20" w:type="dxa"/>
            <w:vAlign w:val="bottom"/>
            <w:tcBorders>
              <w:top w:val="single" w:sz="8" w:color="auto"/>
              <w:bottom w:val="single" w:sz="8" w:color="auto"/>
            </w:tcBorders>
          </w:tcPr>
          <w:p>
            <w:pPr>
              <w:spacing w:after="0"/>
              <w:rPr>
                <w:sz w:val="18"/>
                <w:szCs w:val="18"/>
                <w:color w:val="auto"/>
              </w:rPr>
            </w:pPr>
          </w:p>
        </w:tc>
      </w:tr>
      <w:tr>
        <w:trPr>
          <w:trHeight w:val="209"/>
        </w:trPr>
        <w:tc>
          <w:tcPr>
            <w:tcW w:w="6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Change ($)</w:t>
            </w:r>
          </w:p>
        </w:tc>
      </w:tr>
      <w:tr>
        <w:trPr>
          <w:trHeight w:val="216"/>
        </w:trPr>
        <w:tc>
          <w:tcPr>
            <w:tcW w:w="6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120,454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123,534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(3,080)</w:t>
            </w: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61,948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64,904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(2,956)</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51.4 %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52.5 %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w:t>
            </w:r>
          </w:p>
        </w:tc>
      </w:tr>
    </w:tbl>
    <w:p>
      <w:pPr>
        <w:spacing w:after="0" w:line="2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Security Solutions segment revenue decreased by $3.1 million or 2.5% in fiscal year 2022 compared to fiscal year 2021, primarily as a result of the Census program ending in 2021.</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Likewise, the segment gross profit decreased by $3.0 million or 4.6% in 2022 compared to 2021 and segment gross margin also decreased from 52.5% in 2021 to 51.4% in 2022. The decrease in gross margin is the result of changes in the mix of programs within the portfolio and lower margin of certain projects within the segment.</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4: Secure Networks Segment -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240" w:type="dxa"/>
            <w:vAlign w:val="bottom"/>
            <w:tcBorders>
              <w:top w:val="single" w:sz="8" w:color="auto"/>
              <w:bottom w:val="single" w:sz="8" w:color="auto"/>
            </w:tcBorders>
            <w:gridSpan w:val="6"/>
          </w:tcPr>
          <w:p>
            <w:pPr>
              <w:jc w:val="center"/>
              <w:ind w:left="7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20" w:type="dxa"/>
            <w:vAlign w:val="bottom"/>
            <w:tcBorders>
              <w:top w:val="single" w:sz="8" w:color="auto"/>
              <w:bottom w:val="single" w:sz="8" w:color="auto"/>
            </w:tcBorders>
          </w:tcPr>
          <w:p>
            <w:pPr>
              <w:spacing w:after="0"/>
              <w:rPr>
                <w:sz w:val="18"/>
                <w:szCs w:val="18"/>
                <w:color w:val="auto"/>
              </w:rPr>
            </w:pPr>
          </w:p>
        </w:tc>
      </w:tr>
      <w:tr>
        <w:trPr>
          <w:trHeight w:val="209"/>
        </w:trPr>
        <w:tc>
          <w:tcPr>
            <w:tcW w:w="6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Change ($)</w:t>
            </w:r>
          </w:p>
        </w:tc>
      </w:tr>
      <w:tr>
        <w:trPr>
          <w:trHeight w:val="216"/>
        </w:trPr>
        <w:tc>
          <w:tcPr>
            <w:tcW w:w="6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96,433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118,899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(22,466)</w:t>
            </w: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17,095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21,125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(4,030)</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(0.1)%</w:t>
            </w: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Secure Networks segment revenue decreased by $22.5 million or 18.9% in 2022 compared to 2021, primarily due to the expected wind-down in 2022 and completion of large programs in the second half of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gross profit decreased by $4.0 million or 19.1% in 2022 compared to 2021, primarily as a result of the decline in year-to-date segment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gross margin slightly decreased from 17.8% in 2021 to 17.7% in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non-GAAP financial measures of EBITDA, Adjusted EBITDA, Adjusted EBITDA Margin, Adjusted Net Income (Loss), Adjusted Earnings Per Share ("EPS")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 the following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and Adjusted EBITDA Margin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EBITDA, Adjusted EBITDA and Adjusted EBITDA Margin are supplemental measures of operating performance that are not made under GAAP and do not represent, and should not be considered as, an alternative to net loss as determined by GAAP. We define EBITDA as net (loss)/income, adjusted for non-operating expense/(income), interest expense, provision for/(benefit from) income taxes, and depreciation and amortization. We define Adjusted EBITDA as EBITDA, adjusted for restructuring expenses and stock-based compensation expense. We define Adjusted EBITDA Margin as Adjusted EBITDA as a percentage of total revenue.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5: Reconciliation of Net Loss to EBITDA, Adjusted EBITDA and Adjusted EBITDA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6"/>
          </w:tcPr>
          <w:p>
            <w:pPr>
              <w:jc w:val="center"/>
              <w:ind w:right="64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00" w:type="dxa"/>
            <w:vAlign w:val="bottom"/>
            <w:tcBorders>
              <w:top w:val="single" w:sz="8" w:color="auto"/>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2022</w:t>
            </w: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2021</w:t>
            </w:r>
          </w:p>
        </w:tc>
        <w:tc>
          <w:tcPr>
            <w:tcW w:w="1200" w:type="dxa"/>
            <w:vAlign w:val="bottom"/>
            <w:tcBorders>
              <w:bottom w:val="single" w:sz="8" w:color="auto"/>
            </w:tcBorders>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Margin</w:t>
            </w:r>
          </w:p>
        </w:tc>
      </w:tr>
      <w:tr>
        <w:trPr>
          <w:trHeight w:val="216"/>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0" w:type="dxa"/>
            <w:vAlign w:val="bottom"/>
          </w:tcPr>
          <w:p>
            <w:pPr>
              <w:spacing w:after="0"/>
              <w:rPr>
                <w:sz w:val="18"/>
                <w:szCs w:val="18"/>
                <w:color w:val="auto"/>
              </w:rPr>
            </w:pPr>
          </w:p>
        </w:tc>
      </w:tr>
      <w:tr>
        <w:trPr>
          <w:trHeight w:val="23"/>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3"/>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(income)/expense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for/(benefit from) income taxes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9"/>
        </w:trPr>
        <w:tc>
          <w:tcPr>
            <w:tcW w:w="5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Restructuring expenses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50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64,660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60,231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24.8 %</w:t>
            </w:r>
          </w:p>
        </w:tc>
      </w:tr>
      <w:tr>
        <w:trPr>
          <w:trHeight w:val="23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right="240" w:hanging="172"/>
        <w:spacing w:after="0" w:line="221" w:lineRule="auto"/>
        <w:tabs>
          <w:tab w:leader="none" w:pos="163"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restructuring expenses adjustment to EBITDA includes severance and other related benefit costs (including outplacement services and continuing health insurance coverage) associated with a reduction in workforce.</w:t>
      </w:r>
    </w:p>
    <w:p>
      <w:pPr>
        <w:spacing w:after="0" w:line="150" w:lineRule="exact"/>
        <w:rPr>
          <w:rFonts w:ascii="Times New Roman" w:cs="Times New Roman" w:eastAsia="Times New Roman" w:hAnsi="Times New Roman"/>
          <w:sz w:val="19"/>
          <w:szCs w:val="19"/>
          <w:color w:val="auto"/>
          <w:vertAlign w:val="superscript"/>
        </w:rPr>
      </w:pPr>
    </w:p>
    <w:p>
      <w:pPr>
        <w:ind w:left="180" w:hanging="172"/>
        <w:spacing w:after="0" w:line="266" w:lineRule="auto"/>
        <w:tabs>
          <w:tab w:leader="none" w:pos="163"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stock-based compensation adjustment to EBITDA for fiscal year 2022 is made up of $62.5 million of stock-based compensation expenses for the awarded service-based restricted stock units ("RSUs") and performance-based restricted stock units ("PRSUs"), and $2.1 million of other sources of stock-based compensation expense. The other source of stock-based compensation consists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a change in estimate that would add back to Adjusted EBITDA.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EPS - Non-GAAP</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Adjusted Net Income and Adjusted EPS are supplemental measures of operating performance that are not made under GAAP and do not represent, and should not be considered as, alternatives to net (loss)/income as determined by GAAP. We define Adjusted Net Income as net loss, adjusted for non-operating expense/(income), restructuring expenses and stock-based compensation expense. We define Adjusted EPS as Adjusted Net Income divided by the weighted-average number of common shares outstanding for the period.</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6: Reconciliation of Net Loss to Non-GAAP Adjusted Net Income and Adjusted EPS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340" w:type="dxa"/>
            <w:vAlign w:val="bottom"/>
            <w:tcBorders>
              <w:bottom w:val="single" w:sz="8" w:color="auto"/>
            </w:tcBorders>
          </w:tcPr>
          <w:p>
            <w:pPr>
              <w:spacing w:after="0"/>
              <w:rPr>
                <w:sz w:val="18"/>
                <w:szCs w:val="18"/>
                <w:color w:val="auto"/>
              </w:rPr>
            </w:pPr>
          </w:p>
        </w:tc>
      </w:tr>
      <w:tr>
        <w:trPr>
          <w:trHeight w:val="158"/>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color w:val="auto"/>
              </w:rPr>
              <w:t>Adjusted 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40"/>
              <w:spacing w:after="0" w:line="158" w:lineRule="exact"/>
              <w:rPr>
                <w:sz w:val="20"/>
                <w:szCs w:val="20"/>
                <w:color w:val="auto"/>
              </w:rPr>
            </w:pPr>
            <w:r>
              <w:rPr>
                <w:rFonts w:ascii="Times New Roman" w:cs="Times New Roman" w:eastAsia="Times New Roman" w:hAnsi="Times New Roman"/>
                <w:sz w:val="16"/>
                <w:szCs w:val="16"/>
                <w:color w:val="auto"/>
              </w:rPr>
              <w:t>Adjusted 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color w:val="auto"/>
              </w:rPr>
              <w:t>Adjusted 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color w:val="auto"/>
              </w:rPr>
              <w:t>Adjusted Earnings</w:t>
            </w:r>
          </w:p>
        </w:tc>
      </w:tr>
      <w:tr>
        <w:trPr>
          <w:trHeight w:val="213"/>
        </w:trPr>
        <w:tc>
          <w:tcPr>
            <w:tcW w:w="5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Income/(Loss)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rPr>
              <w:t>Per Share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Income/(Loss)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Per Share</w:t>
            </w:r>
          </w:p>
        </w:tc>
      </w:tr>
      <w:tr>
        <w:trPr>
          <w:trHeight w:val="216"/>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GAAP measure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center"/>
              <w:ind w:left="800"/>
              <w:spacing w:after="0"/>
              <w:rPr>
                <w:sz w:val="20"/>
                <w:szCs w:val="20"/>
                <w:color w:val="auto"/>
              </w:rPr>
            </w:pPr>
            <w:r>
              <w:rPr>
                <w:rFonts w:ascii="Times New Roman" w:cs="Times New Roman" w:eastAsia="Times New Roman" w:hAnsi="Times New Roman"/>
                <w:sz w:val="16"/>
                <w:szCs w:val="16"/>
                <w:color w:val="auto"/>
              </w:rPr>
              <w:t>(0.79)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(income)/expense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00"/>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6"/>
        </w:trPr>
        <w:tc>
          <w:tcPr>
            <w:tcW w:w="51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expenses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840"/>
              <w:spacing w:after="0"/>
              <w:rPr>
                <w:sz w:val="20"/>
                <w:szCs w:val="20"/>
                <w:color w:val="auto"/>
              </w:rPr>
            </w:pPr>
            <w:r>
              <w:rPr>
                <w:rFonts w:ascii="Times New Roman" w:cs="Times New Roman" w:eastAsia="Times New Roman" w:hAnsi="Times New Roman"/>
                <w:sz w:val="16"/>
                <w:szCs w:val="16"/>
                <w:color w:val="auto"/>
                <w:w w:val="99"/>
              </w:rPr>
              <w:t>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840"/>
              <w:spacing w:after="0"/>
              <w:rPr>
                <w:sz w:val="20"/>
                <w:szCs w:val="20"/>
                <w:color w:val="auto"/>
              </w:rPr>
            </w:pPr>
            <w:r>
              <w:rPr>
                <w:rFonts w:ascii="Times New Roman" w:cs="Times New Roman" w:eastAsia="Times New Roman" w:hAnsi="Times New Roman"/>
                <w:sz w:val="16"/>
                <w:szCs w:val="16"/>
                <w:color w:val="auto"/>
                <w:w w:val="99"/>
              </w:rPr>
              <w:t>0.96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non-GAAP measure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6"/>
                <w:szCs w:val="16"/>
                <w:color w:val="auto"/>
                <w:w w:val="99"/>
              </w:rPr>
              <w:t>0.19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67,559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ind w:left="180" w:right="40" w:hanging="172"/>
        <w:spacing w:after="0" w:line="230" w:lineRule="auto"/>
        <w:tabs>
          <w:tab w:leader="none" w:pos="163"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restructuring expenses adjustment to net loss includes severance and other related benefit costs (including outplacement services and continuing health insurance coverage) associated with a reduction in workforce.</w:t>
      </w:r>
    </w:p>
    <w:p>
      <w:pPr>
        <w:spacing w:after="0" w:line="135" w:lineRule="exact"/>
        <w:rPr>
          <w:rFonts w:ascii="Times New Roman" w:cs="Times New Roman" w:eastAsia="Times New Roman" w:hAnsi="Times New Roman"/>
          <w:sz w:val="19"/>
          <w:szCs w:val="19"/>
          <w:color w:val="auto"/>
          <w:vertAlign w:val="superscript"/>
        </w:rPr>
      </w:pPr>
    </w:p>
    <w:p>
      <w:pPr>
        <w:ind w:left="180" w:right="80" w:hanging="172"/>
        <w:spacing w:after="0" w:line="275" w:lineRule="auto"/>
        <w:tabs>
          <w:tab w:leader="none" w:pos="163"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stock-based compensation adjustment to net loss for fiscal year 2022 is made up of $62.5 million of stock-based compensation expenses for the awarded RSUs and PRSUs, and $2.1 million of other sources of stock-based compensation expense. The other source of stock-based compensation consists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a change in estimate that would add back to Adjusted Net Income/(Loss).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financial measure defined as net cash provided by or used in operating activities less purchases of property and equipment and capitalized software development costs plus net cash proceeds from resale of software under other financing obligations. This non-GAAP financial measure may be a useful measure for investors and other users of our financial statements as a supplemental measure of our cash performance and to assess the quality of our earnings as a key performance measure in evaluating management.</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7: Free Cash Flow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color w:val="auto"/>
              </w:rPr>
              <w:t>For the Year Ended December 31,</w:t>
            </w:r>
          </w:p>
        </w:tc>
      </w:tr>
      <w:tr>
        <w:trPr>
          <w:trHeight w:val="209"/>
        </w:trPr>
        <w:tc>
          <w:tcPr>
            <w:tcW w:w="8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2021</w:t>
            </w:r>
          </w:p>
        </w:tc>
      </w:tr>
      <w:tr>
        <w:trPr>
          <w:trHeight w:val="216"/>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8"/>
                <w:szCs w:val="18"/>
                <w:color w:val="auto"/>
              </w:rPr>
            </w:pP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7,262</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(9,968)</w:t>
            </w: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proceeds from resale of software</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Each of EBITDA, Adjusted EBITDA, Adjusted EBITDA Margin, Adjusted Net Income/(Loss), Adjusted EPS and Free Cash Flow has limitations as an analytical tool, and you should not consider any of them in isolation, or as a substitute for analysis of our results as reported under GAAP. Among other limitations, each of EBITDA, Adjusted EBITDA, Adjusted EBITDA Margin, Adjusted Net Income/(Loss), Adjusted EPS and Free Cash Flow does not reflect our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Adjusted EBITDA, Adjusted EBITDA Margin, Adjusted Net Income/(Loss), Adjusted EPS and Free Cash Flow differently than we do, which limits their usefulness as comparative measures. Because of these limitations, neither EBITDA, Adjusted EBITDA, Adjusted EBITDA Margin, Adjusted Net Income/(Loss), Adjusted EPS nor Free Cash Flow should be considered as a replacement for net (loss)/income, earnings per share or net cash flows provided by operating activities, as determined by GAAP, or as a measure of our profitability. We compensate for these limitations by relying primarily on our GAAP results and using non-GAAP measures only for supplemental purposes.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on hand, cash flow from operations, and availability under our revolving credit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Upon the closing of the IPO in November 2020, we issued 17.2 million shares of our common stock at a price of $17.00 per share, generating net proceeds of approximately $272.8 million. We used approximately $108.9 million of the net proceeds in connection with the exchangeable redeemable preferred stock conversion (see </w:t>
      </w:r>
      <w:r>
        <w:rPr>
          <w:rFonts w:ascii="Times New Roman" w:cs="Times New Roman" w:eastAsia="Times New Roman" w:hAnsi="Times New Roman"/>
          <w:sz w:val="18"/>
          <w:szCs w:val="18"/>
          <w:u w:val="single" w:color="auto"/>
          <w:color w:val="0000FF"/>
        </w:rPr>
        <w:t>Note 13 – Exchangeable Redeemable Preferred Stock Conversion</w:t>
      </w:r>
      <w:r>
        <w:rPr>
          <w:rFonts w:ascii="Times New Roman" w:cs="Times New Roman" w:eastAsia="Times New Roman" w:hAnsi="Times New Roman"/>
          <w:sz w:val="18"/>
          <w:szCs w:val="18"/>
          <w:color w:val="auto"/>
        </w:rPr>
        <w:t xml:space="preserve">), $30.0 million to fund our acquisition of the outstanding Class B Units of Telos ID (see </w:t>
      </w:r>
      <w:r>
        <w:rPr>
          <w:rFonts w:ascii="Times New Roman" w:cs="Times New Roman" w:eastAsia="Times New Roman" w:hAnsi="Times New Roman"/>
          <w:sz w:val="18"/>
          <w:szCs w:val="18"/>
          <w:u w:val="single" w:color="auto"/>
          <w:color w:val="0000FF"/>
        </w:rPr>
        <w:t>Note 11 – Purchase of Telos ID Non-controlling Interests</w:t>
      </w:r>
      <w:r>
        <w:rPr>
          <w:rFonts w:ascii="Times New Roman" w:cs="Times New Roman" w:eastAsia="Times New Roman" w:hAnsi="Times New Roman"/>
          <w:sz w:val="18"/>
          <w:szCs w:val="18"/>
          <w:color w:val="auto"/>
        </w:rPr>
        <w:t xml:space="preserve">), and $21.0 million to repay our outstanding senior term loan and subordinated debt (see </w:t>
      </w:r>
      <w:r>
        <w:rPr>
          <w:rFonts w:ascii="Times New Roman" w:cs="Times New Roman" w:eastAsia="Times New Roman" w:hAnsi="Times New Roman"/>
          <w:sz w:val="18"/>
          <w:szCs w:val="18"/>
          <w:u w:val="single" w:color="auto"/>
          <w:color w:val="0000FF"/>
        </w:rPr>
        <w:t>Note 12 – Debt and Other Obligations</w:t>
      </w:r>
      <w:r>
        <w:rPr>
          <w:rFonts w:ascii="Times New Roman" w:cs="Times New Roman" w:eastAsia="Times New Roman" w:hAnsi="Times New Roman"/>
          <w:sz w:val="18"/>
          <w:szCs w:val="18"/>
          <w:color w:val="auto"/>
        </w:rPr>
        <w:t xml:space="preserve">). On April 6, 2021, we completed our follow-on offering of 9.1 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warrants to purchase 900,970 shares of our common stock owned by EnCap (see </w:t>
      </w:r>
      <w:r>
        <w:rPr>
          <w:rFonts w:ascii="Times New Roman" w:cs="Times New Roman" w:eastAsia="Times New Roman" w:hAnsi="Times New Roman"/>
          <w:sz w:val="18"/>
          <w:szCs w:val="18"/>
          <w:u w:val="single" w:color="auto"/>
          <w:color w:val="0000FF"/>
        </w:rPr>
        <w:t>Note 12 - Debt and Other Obligations</w:t>
      </w:r>
      <w:r>
        <w:rPr>
          <w:rFonts w:ascii="Times New Roman" w:cs="Times New Roman" w:eastAsia="Times New Roman" w:hAnsi="Times New Roman"/>
          <w:sz w:val="18"/>
          <w:szCs w:val="18"/>
          <w:color w:val="auto"/>
        </w:rPr>
        <w:t xml:space="preserve">). Further, on July 30, 2021, we used approximately $5.9 million of the net proceeds to acquire the assets of DFT (see </w:t>
      </w:r>
      <w:r>
        <w:rPr>
          <w:rFonts w:ascii="Times New Roman" w:cs="Times New Roman" w:eastAsia="Times New Roman" w:hAnsi="Times New Roman"/>
          <w:sz w:val="18"/>
          <w:szCs w:val="18"/>
          <w:u w:val="single" w:color="auto"/>
          <w:color w:val="0000FF"/>
        </w:rPr>
        <w:t>Note 10 – Acquisition</w:t>
      </w:r>
      <w:r>
        <w:rPr>
          <w:rFonts w:ascii="Times New Roman" w:cs="Times New Roman" w:eastAsia="Times New Roman" w:hAnsi="Times New Roman"/>
          <w:sz w:val="18"/>
          <w:szCs w:val="18"/>
          <w:color w:val="auto"/>
        </w:rPr>
        <w:t>). We intend to use the remaining net proceeds of the IPO and the follow-on offering for general corporate purposes.</w:t>
      </w:r>
    </w:p>
    <w:p>
      <w:pPr>
        <w:spacing w:after="0" w:line="1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$119.3 million and our working capital was $122.5 million. In addition, on December 30, 2022, we entered into a $30.0 million senior secured revolving credit facility, with an expansion feature of up to $30.0 million of additional revolver capacity.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place a strong emphasis on cash flow generation.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that funds generated from operations, available cash balances and access to our revolving credit facility are sufficient to maintain the liquidity we require to meet our operating, investing and financing needs for the next 12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December 30, 2022, Telos (as borrower) and its subsidiaries (as guarantors) entered into a Credit Agreement with JPMorgan Chase Bank, N.A. that provides for a $30.0 million senior secured revolving credit facility, with the option of issuing letters of credits thereunder and with an uncommitted expansion feature of up to $30.0 million of additional revolver capacity (the "Loan"). The Loan will mature on December 30, 2025 and is subject to acceleration in the event of customary events of default.</w:t>
      </w:r>
    </w:p>
    <w:p>
      <w:pPr>
        <w:spacing w:after="0" w:line="12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Borrowings under the Credit Agreement will accrue interest and we may elect to borrow (at our option) at (i) the Alternative Base Rate, plus 0.9%; (ii) Adjusted Daily Simple Secured Overnight Financing Rate ("SOFR"), plus 1.9%; and (iii) Adjusted Term SOFR, plus 1.9%. After the occurrence and during the continuance of any event of default, the interest rate may increase by an additional 2.0%. We are also paying costs and customary fees, including a closing fee, commitment fees and letter of credit participation fee, if any, payable to the Agent and Lenders, as applicable, in connection with the Loan.</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representations, warranties, covenants, terms and conditions customary for transactions of this type and includes a maximum senior leverage ratio financial covenant. In connection with the Credit Agreement, the Agent has been granted, for the benefit of the Lenders, a security interest in and general lien upon various property of the Company and the Guarantors, subject to certain permitted liens and encumbrances. The occurrence of an event of default under the Credit Agreement could result in the Loan and other obligations becoming immediately due and payable and allow the Lenders to exercise all rights and remedies available to them under the Credit Agreement.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no outstanding balances under the revolving credit facility and we were in compliance with all covenants contained in the Credit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Financing Obligations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Telos entered into a Master Purchase Agreement ("MPA") with a third-party buyer ("Buyer") for $9.1 million ("Assignment Price")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(3) additional 12-month periods through January 2026. The DO payments assigned to the Buyer are billable to the customer at the beginning of the base period and for each option year exercised. The underlying licenses were acquired for resale, see </w:t>
      </w:r>
      <w:r>
        <w:rPr>
          <w:rFonts w:ascii="Times New Roman" w:cs="Times New Roman" w:eastAsia="Times New Roman" w:hAnsi="Times New Roman"/>
          <w:sz w:val="18"/>
          <w:szCs w:val="18"/>
          <w:u w:val="single" w:color="auto"/>
          <w:color w:val="0000FF"/>
        </w:rPr>
        <w:t>Note 8, Intangible Assets, net</w:t>
      </w:r>
      <w:r>
        <w:rPr>
          <w:rFonts w:ascii="Times New Roman" w:cs="Times New Roman" w:eastAsia="Times New Roman" w:hAnsi="Times New Roman"/>
          <w:sz w:val="18"/>
          <w:szCs w:val="18"/>
          <w:color w:val="auto"/>
        </w:rPr>
        <w:t xml:space="preserve"> for further details.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February 9, 2023, the customer notified Telos that it would not exercise the first option period under the DO. The MPA provides that, if the customer terminates the DO for non-renewal and the Buyer reasonably concludes that the customer's actions constitute grounds for filing a claim with the customer's contracting officer, Buyer and Telos will cooperate in preparing such a claim, which would be filed in Telos' name. Buyer has notified Telos of its intent to pursue a claim against the customer.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8: Cash Flows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7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16,508</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7,262</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(19,094)</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in)/provided by financing activities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32,349</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(7,124)</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20,517</w:t>
            </w:r>
          </w:p>
        </w:tc>
      </w:tr>
      <w:tr>
        <w:trPr>
          <w:trHeight w:val="21"/>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years ended December 31, 2022 and 2021 was $16.5 million and $7.3 million, respectively. The cash flow from operating activities is primarily driven by the Company's operating losses, the timing of receipts of customer payments, the timing of payments to vendors and employees, and the timing of inventory turnover, adjusted for certain non-cash items that do not impact cash flows from operating activities. The $9.2 million increase is due to favorable changes in certain operating assets and liabilities, particularly on receivables.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years ended December 31, 2022 and 2021 was $13.7 million and $19.1 million, respectively. Our investing activities include cash paid for capital expenditure and business acquisition. Capital expenditures for the year ended December 31, 2022 and 2021, consisted of the capitalization of software development costs of $12.7 million and $10.0 million, respectively, and the purchases of property and equipment of $1.0 million, and $3.2 million, respectively. In 2021, we paid $5.9 million of cash for the acquisition completed in July 2021.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net cash used in financing activities was $9.9 million compared to net cash provided by financing activities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$32.3 million in 2021. This is primarily attributable to payments under finance leases for both periods, payments of tax withholding related to the net share settlement of equity awards of $5.7 million in 2022, and the repurchase of common stock of $11.1 million in 2022 under the Share Repurchase Program, partially offset by the proceeds from the other financing obligations of $9.1 million. By contrast, in 2021, there was a cash inflow from the follow-on offering that generated $64.3 million of net proceeds, reduced by $2.4 million of final distributions to the Class B members of Telos ID in the first quarter, $26.9 million to repurchase the outstanding warrants and $1.3 million to repurchase the common stock held by EnCap fund 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does not have any other contractual obligations at December 31, 2022, except for the commitments on the existing lease obligations on various office space and equipment under non-cancelable operating and finance leases. We reported current and long term lease liabilities.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9: Contractual Obligations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color w:val="auto"/>
              </w:rPr>
              <w:t>Payments due by Period</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2024 - 2026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2027 - 2029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Thereafter</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obligations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Finance lease obligations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 obligations </w:t>
            </w:r>
            <w:r>
              <w:rPr>
                <w:rFonts w:ascii="Times New Roman" w:cs="Times New Roman" w:eastAsia="Times New Roman" w:hAnsi="Times New Roman"/>
                <w:sz w:val="21"/>
                <w:szCs w:val="21"/>
                <w:color w:val="auto"/>
                <w:vertAlign w:val="superscript"/>
              </w:rPr>
              <w:t>(1) (2)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contract obligations</w:t>
            </w: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23,976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3,823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5,971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interest expense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4580" w:type="dxa"/>
            <w:vAlign w:val="bottom"/>
            <w:vMerge w:val="continue"/>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2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24"/>
                <w:szCs w:val="24"/>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0" w:right="300" w:firstLine="6"/>
        <w:spacing w:after="0" w:line="220" w:lineRule="auto"/>
        <w:tabs>
          <w:tab w:leader="none" w:pos="165"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operating lease right-of-use obligations and short-term leases with terms of 12 months or less. We have various lease agreements pursuant to ASC 842, "Leases" that require us to record the present value of the minimum lease payments for such lease properties.</w:t>
      </w:r>
    </w:p>
    <w:p>
      <w:pPr>
        <w:spacing w:after="0" w:line="24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On December 30, 2022, we entered into a revolving credit facility with JPMorgan Chase Bank, N.A. We had no outstanding balances under the facility as of December 31, 2022 with $30 million of available capacity. See </w:t>
      </w:r>
      <w:r>
        <w:rPr>
          <w:rFonts w:ascii="Times New Roman" w:cs="Times New Roman" w:eastAsia="Times New Roman" w:hAnsi="Times New Roman"/>
          <w:sz w:val="18"/>
          <w:szCs w:val="18"/>
          <w:u w:val="single" w:color="auto"/>
          <w:color w:val="0000FF"/>
        </w:rPr>
        <w:t>Note 12 - Debt and Other Obligations</w:t>
      </w:r>
      <w:r>
        <w:rPr>
          <w:rFonts w:ascii="Times New Roman" w:cs="Times New Roman" w:eastAsia="Times New Roman" w:hAnsi="Times New Roman"/>
          <w:sz w:val="18"/>
          <w:szCs w:val="18"/>
          <w:color w:val="auto"/>
        </w:rPr>
        <w:t>, to the Consolidated Financial Statements for information regarding the terms of the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there were no outstanding commitments that were considered material for capital expenditures on December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22 - Commitment and Contingencies</w:t>
      </w:r>
      <w:r>
        <w:rPr>
          <w:rFonts w:ascii="Times New Roman" w:cs="Times New Roman" w:eastAsia="Times New Roman" w:hAnsi="Times New Roman"/>
          <w:sz w:val="18"/>
          <w:szCs w:val="18"/>
          <w:color w:val="auto"/>
        </w:rPr>
        <w:t>, to the Consolidated Financial Statements for further discussion of other commitment and contingencies.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preparing these financial statements, management has made its best estimates and judgments of certain amounts included in the consolidated financial statements, giving due consideration to materiality. Management evaluates these estimates and assumptions on an ongoing basis. Our estimates and assumptions have been prepared on the basis of the most current reasonably available information, and may change in the future as more current information is available.</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as a result, actual results could differ from those estimates.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requiring estimates, assumptions, and judgments that we believe have the most significant impact on our consolidated financial statements in fiscal year 2022 are described below. It is not intended to be a comprehensive list of all significant accounting policies that are more fully described in the notes to consolidated financial statements contained within this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Although most of our revenue is recognized concurrently with billing or with the passage of time, some of our revenue requires us to make estimates. The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 The standalone selling price is either based on estimated or actual costs plus a reasonable profit margin or the observable price of a good or service when Telos sells that good or service separately in similar circumstances and to similar customers. The transaction price for our contracts represents our best estimate of the consideration we will receive and includes assumptions regarding variable consideration, as applicable. The transaction price is allocated to each distinct performance obligation within the contract and recognized as revenue when, or as, the performance obligation is satisfied.</w:t>
      </w:r>
    </w:p>
    <w:p>
      <w:pPr>
        <w:spacing w:after="0" w:line="14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contracts may also include various types of variable considerations such as claims (i.e., indirect rate or other equitable adjustments) or incentive fees and we include estimated amounts in the transaction price to the extent it is probable that a significant reversal of cumulative revenue recognized will not occur. The estimated amounts are based on an assessment of our anticipated performance and all other information that is reasonably available to us.</w:t>
      </w:r>
    </w:p>
    <w:p>
      <w:pPr>
        <w:spacing w:after="0" w:line="12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For contracts where revenue is recognized over time, we recognized revenue based on progress towards completion of the performance obligation, using costs incurred to date relative to total estimated cost at completion to measure progress on a proportional performance basis for our contracts. Due to the nature of the work required to be performed on certain contracts,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 During the year ended December 31, 2022, there is no catch-up revenue recognized as a result of changes in contract estimates noted.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Long-Lived Assets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evaluate the impairment of goodwill and other long-lived assets in accordance with Accounting Standards Codification ("ASC") 350, "Intangibles – Goodwill and Other." Management annually reviews goodwill and other long-lived assets for impairment or whenever events or changes in circumstances indicate the carrying amount may not be recoverable. If we determine that the carrying value of the goodwill and other long-lived assets may not be recoverable, we will record an impairment charge for the amount by which the carrying value of the goodwill and other long-lived assets exceeds its fair value.</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Goodwill is not amortized, but rather tested for potential impairment as of December 31 each year. The goodwill impairment test is performed at the reporting unit level. Accounting requirements provide that a reporting entity may perform an optional qualitative assessment on an annual basis to determine whether events occurred or circumstances changed that would more likely than not reduce the fair value of a reporting unit below its carrying amount. If an initial qualitative assessment identifies that it is more likely than not that the fair value of a reporting unit is less than its carrying amount, or</w:t>
      </w:r>
    </w:p>
    <w:p>
      <w:pPr>
        <w:spacing w:after="0" w:line="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optional qualitative assessment is not performed, a quantitative analysis is performed. The Company performs the quantitative goodwill impairment test by calculating the fair value of the reporting unit and comparing 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measure fair value based on a discounted cash flow method, which requires management's judgment with respect to forecasted revenue, operating margins, capital expenditures, and selection and use of an appropriate discount rate commensurate with the risk inherent in each of our reporting units' current business models. We utilize the weighted average cost of capital as derived by certain assumptions specific to our facts and circumstances as the discount rate. Our estimate of cash flows and discount rate are subject to change due to the economic environment. In addition, the estimate of the total fair value of our reporting units is compared to the market capitalization of the Company.</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amortized intangible assets over their respective estimated useful lives, and reviewed them for impairment whenever events or changes in business circumstances indicate the carrying value may not be recoverable. We completed the required annual impairment test of goodwill for all reporting units and other long-lived assets as of December 31, 2022, resulting in no impairments. Based on our qualitative assessment, we concluded that it was more-likely-than-not that the estimated fair value of the reporting units exceeded their carrying value and thus, we did not proceed to the two-step goodwill impairment test.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Our income tax expense, deferred tax assets and liabilities, and liabilities for unrecognized tax benefits reflect our best estimate of current and future taxes to be paid. We record net deferred assets to the extent we believe these assets will more likely than not be realized. The realizability of net deferred tax assets is based on all available evidence, including future taxable income projections, tax planning strategies, and reversal of taxable temporary differences. We regularly review our deferred tax assets for recoverability and establish a valuation allowance when management believes it is more likely than not such asset will not be recovered, taking into consideration historical operating results, expectations of future earnings, tax planning strategies and the expected timing of the reversals of existing temporary differences.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xml:space="preserve"> of the Consolidated Financial Statements for a discussion of recently issued accounting pronouncements.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 of Telos Corporation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13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 xml:space="preserve">We have audited the accompanying consolidated balance sheet of Telos Corporation (the "Company") as of December 31, 2022, and the related consolidated statements of operations, comprehensive (loss)/income, changes in stockholders' equity/(deficit) and cash flows for the year ended December 31, 2022, including the related notes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 (COSO).</w:t>
      </w:r>
    </w:p>
    <w:p>
      <w:pPr>
        <w:spacing w:after="0" w:line="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 xml:space="preserve">In our opinion, the consolidated financial statements referred to above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 Also in our opinion, the Company did not maintain, in all material respects, effective internal control over financial reporting as of December 31, 2022,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COSO because a material weakness in internal control over financial reporting existed as of that date as the Company did not design and maintain effective controls over the assessment of the accounting for forfeitures of non-standard equity awards.</w:t>
      </w:r>
    </w:p>
    <w:p>
      <w:pPr>
        <w:spacing w:after="0" w:line="8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2022 consolidated financial statements, and our opinion regarding the effectiveness of the Company's internal control over financial reporting does not affect our opinion on those consolidated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11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audits provide a reasonable basis for our opinions.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11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Recognition – Estimated Costs to Complete Long-term Contracts</w:t>
      </w:r>
    </w:p>
    <w:p>
      <w:pPr>
        <w:spacing w:after="0" w:line="12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As discussed in Note 3 to the consolidated financial statements, a portion of the Company's revenues of $216.9 million for the year ended December 31, 2022 were generated from long-term contracts. For the Company's long-term contracts, due to the transfer of control over time, revenue is recognized based on progress towards completion of the performance obligation. Management generally uses the cost-to-cost measure of progress on a proportional performance basis for its long-term contracts because management believes that measure best depicts the transfer of control to the customer, which occurs as the Company incurs costs on the contracts. Under the cost-to-cost measure of progress, the extent of progress towards completion is measured based on the ratio of costs incurred to date to the total estimated costs at completion of the performance obligation, which includes both the actual costs already incurred and the estimated costs to complete. Revenues are recorded proportionately as costs are incurred. Due to the nature of the work required to be performed on certain of the performance obligations, management's estimation of costs at completion is complex, subject to many variables and requires significant judgment. Contract estimates are based on various assumptions, including labor and subcontractor costs, materials and other direct costs, and the complexity of the work to be performed.</w:t>
      </w:r>
    </w:p>
    <w:p>
      <w:pPr>
        <w:spacing w:after="0" w:line="7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revenue recognition - estimated costs to complete long-term contracts is a critical audit matter are (i) the significant judgment by management when estimating costs at completion and (ii) a high degree of auditor judgment, subjectivity and effort in performing procedures and evaluating management's significant assumptions related to labor and subcontractor costs and materials and other direct costs. As previously disclosed by management, a material weakness existed during the year related to this matter.</w:t>
      </w:r>
    </w:p>
    <w:p>
      <w:pPr>
        <w:spacing w:after="0" w:line="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among others, (i) testing management's process for estimating costs at completion for a sample of contracts (ii) evaluating the appropriateness of the cost-to-cost measure of progress, (iii) testing the completeness and accuracy of data used by management, and (iv) evaluating the reasonableness of management's significant assumptions related to labor and subcontractor costs and materials and other direct costs. Evaluating management's significant assumptions involved assessing whether the assumptions were reasonable by (i) performing a comparison of the originally estimated and actual costs incurred on a sample of similar completed contracts; (ii) assessing the reasonableness of estimated costs to complete on a sample of in-process contracts, including the timing of costs incurred and the related impacts on revenue; and (iii) performing retrospective reviews of a sample of contracts to understand and corroborate management's estimation process and budget-to-actual variances, if any.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 District of Columbia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16,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2022.</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Telos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Ashburn, Virginia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Telos Corporation (the "Company") and subsidiaries as of December 31, 2021, the related consolidated statements of operations, comprehensive income (loss), changes in stockholders' equity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and subsidiaries at December 31, 2021, and the results of its operations and its cash flows for each of the two years in the period ended December 31, 2021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conformity with accounting principles generally accepted in the United States of America.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LLP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from 2007 to 2022.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McLean,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28, 2022</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left="55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r>
      <w:tr>
        <w:trPr>
          <w:trHeight w:val="216"/>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6"/>
          </w:tcPr>
          <w:p>
            <w:pPr>
              <w:jc w:val="center"/>
              <w:ind w:left="55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980" w:type="dxa"/>
            <w:vAlign w:val="bottom"/>
          </w:tcPr>
          <w:p>
            <w:pPr>
              <w:spacing w:after="0"/>
              <w:rPr>
                <w:sz w:val="18"/>
                <w:szCs w:val="18"/>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 services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161,180</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Revenue – products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18,737</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216,887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242,433</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179,917</w:t>
            </w:r>
          </w:p>
        </w:tc>
      </w:tr>
      <w:tr>
        <w:trPr>
          <w:trHeight w:val="207"/>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 services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121,334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143,357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106,969</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products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10,528</w:t>
            </w:r>
          </w:p>
        </w:tc>
      </w:tr>
      <w:tr>
        <w:trPr>
          <w:trHeight w:val="207"/>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137,844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156,404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117,497</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62,420</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6,176</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14,243</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88,742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41,704</w:t>
            </w:r>
          </w:p>
        </w:tc>
      </w:tr>
      <w:tr>
        <w:trPr>
          <w:trHeight w:val="207"/>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selling, general and administrative expenses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132,893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127,493</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62,123</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redemption of public preferred stock</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14,012</w:t>
            </w:r>
          </w:p>
        </w:tc>
      </w:tr>
      <w:tr>
        <w:trPr>
          <w:trHeight w:val="212"/>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(43,162)</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for)/benefit from income taxes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r>
      <w:tr>
        <w:trPr>
          <w:trHeight w:val="234"/>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(loss)/income attributable to Telos Corporation</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(loss)/earnings per share: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70"/>
        </w:trPr>
        <w:tc>
          <w:tcPr>
            <w:tcW w:w="6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 outstanding: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41,642</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42,877</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(LOSS)/INCOME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r>
      <w:tr>
        <w:trPr>
          <w:trHeight w:val="216"/>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net of tax:</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40" w:type="dxa"/>
            <w:vAlign w:val="bottom"/>
          </w:tcPr>
          <w:p>
            <w:pPr>
              <w:spacing w:after="0"/>
              <w:rPr>
                <w:sz w:val="19"/>
                <w:szCs w:val="19"/>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r>
      <w:tr>
        <w:trPr>
          <w:trHeight w:val="234"/>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(loss)/income attributable to Telos Corporation</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As of December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2022</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35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119,305</w:t>
            </w:r>
          </w:p>
        </w:tc>
        <w:tc>
          <w:tcPr>
            <w:tcW w:w="80" w:type="dxa"/>
            <w:vAlign w:val="bottom"/>
          </w:tcPr>
          <w:p>
            <w:pPr>
              <w:spacing w:after="0"/>
              <w:rPr>
                <w:sz w:val="18"/>
                <w:szCs w:val="18"/>
                <w:color w:val="auto"/>
              </w:rPr>
            </w:pP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167,963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191,714</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37,415</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07"/>
        </w:trPr>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237,397</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246,081</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320" w:type="dxa"/>
            <w:vAlign w:val="bottom"/>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8,388</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obligations – current portion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current portion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financing obligations – current portion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4,919</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07"/>
        </w:trPr>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45,502</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 – non-current portion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12,840</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non-current portion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obligations – non-current portion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65,043</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65,827</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$0.001 par value, 250,000,000 shares authorized, 67,431,632 shares and 66,767,450</w:t>
            </w:r>
          </w:p>
        </w:tc>
        <w:tc>
          <w:tcPr>
            <w:tcW w:w="13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issued and outstanding as of December 31, 2022 and 2021, respectively</w:t>
            </w:r>
          </w:p>
        </w:tc>
        <w:tc>
          <w:tcPr>
            <w:tcW w:w="13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412,708</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367,153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(240,405)</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(186,977)</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172,354</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180,254</w:t>
            </w:r>
          </w:p>
        </w:tc>
        <w:tc>
          <w:tcPr>
            <w:tcW w:w="0" w:type="dxa"/>
            <w:vAlign w:val="bottom"/>
          </w:tcPr>
          <w:p>
            <w:pPr>
              <w:spacing w:after="0"/>
              <w:rPr>
                <w:sz w:val="1"/>
                <w:szCs w:val="1"/>
                <w:color w:val="auto"/>
              </w:rPr>
            </w:pPr>
          </w:p>
        </w:tc>
      </w:tr>
      <w:tr>
        <w:trPr>
          <w:trHeight w:val="207"/>
        </w:trPr>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237,397</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246,081</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r>
      <w:tr>
        <w:trPr>
          <w:trHeight w:val="216"/>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6,841</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(loss)/income to cash provided by/(used in)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w:t>
            </w: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for/(benefit from) doubtful accounts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doubtful non-trade receivables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deferred income tax</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on acquisition holdback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from preferred stock recorded as interest expense</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w:t>
            </w: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redemption of public preferred stock</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(14,012)</w:t>
            </w: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 on early extinguishment of debt and other transactions</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r>
      <w:tr>
        <w:trPr>
          <w:trHeight w:val="219"/>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1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Intangible assets – software held for resale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r>
      <w:tr>
        <w:trPr>
          <w:trHeight w:val="21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payable and other accrued payables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w:t>
            </w:r>
          </w:p>
        </w:tc>
      </w:tr>
      <w:tr>
        <w:trPr>
          <w:trHeight w:val="219"/>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r>
      <w:tr>
        <w:trPr>
          <w:trHeight w:val="21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r>
      <w:tr>
        <w:trPr>
          <w:trHeight w:val="219"/>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 current liabilities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207"/>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w:t>
            </w: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acquisition</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(19,094)</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r>
      <w:tr>
        <w:trPr>
          <w:trHeight w:val="19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under finance lease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tax withholding related to net share settlement of equity awards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other financing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other financing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272,813</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outstanding warrants</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 of public preferred stock</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(108,878)</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Telos ID membership interest</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senior term loan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(17,351)</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subordinated debt</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Amendment fee paid to lender</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Telos ID Class B member – non-controlling interest</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r>
      <w:tr>
        <w:trPr>
          <w:trHeight w:val="212"/>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32,349</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108,859</w:t>
            </w:r>
          </w:p>
        </w:tc>
      </w:tr>
      <w:tr>
        <w:trPr>
          <w:trHeight w:val="207"/>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99,294</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106,045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6,751</w:t>
            </w:r>
          </w:p>
        </w:tc>
      </w:tr>
      <w:tr>
        <w:trPr>
          <w:trHeight w:val="20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119,438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126,562</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106,045</w:t>
            </w: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EQUITY/(DEFICIT)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color w:val="auto"/>
              </w:rPr>
              <w:t>Class A Common</w:t>
            </w:r>
          </w:p>
        </w:tc>
        <w:tc>
          <w:tcPr>
            <w:tcW w:w="1320" w:type="dxa"/>
            <w:vAlign w:val="bottom"/>
            <w:gridSpan w:val="4"/>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Class B Common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3"/>
            <w:vMerge w:val="restart"/>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94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134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5"/>
                <w:szCs w:val="5"/>
                <w:color w:val="auto"/>
              </w:rPr>
            </w:pPr>
          </w:p>
        </w:tc>
        <w:tc>
          <w:tcPr>
            <w:tcW w:w="1400" w:type="dxa"/>
            <w:vAlign w:val="bottom"/>
            <w:gridSpan w:val="4"/>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Stock</w:t>
            </w:r>
          </w:p>
        </w:tc>
        <w:tc>
          <w:tcPr>
            <w:tcW w:w="80" w:type="dxa"/>
            <w:vAlign w:val="bottom"/>
            <w:vMerge w:val="restart"/>
          </w:tcPr>
          <w:p>
            <w:pPr>
              <w:spacing w:after="0"/>
              <w:rPr>
                <w:sz w:val="5"/>
                <w:szCs w:val="5"/>
                <w:color w:val="auto"/>
              </w:rPr>
            </w:pPr>
          </w:p>
        </w:tc>
        <w:tc>
          <w:tcPr>
            <w:tcW w:w="132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Stock</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13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320" w:type="dxa"/>
            <w:vAlign w:val="bottom"/>
            <w:tcBorders>
              <w:bottom w:val="single" w:sz="8" w:color="auto"/>
            </w:tcBorders>
            <w:gridSpan w:val="4"/>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Paid–in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1"/>
                <w:szCs w:val="11"/>
                <w:color w:val="auto"/>
              </w:rPr>
            </w:pPr>
          </w:p>
        </w:tc>
        <w:tc>
          <w:tcPr>
            <w:tcW w:w="1000" w:type="dxa"/>
            <w:vAlign w:val="bottom"/>
            <w:gridSpan w:val="3"/>
          </w:tcPr>
          <w:p>
            <w:pPr>
              <w:jc w:val="center"/>
              <w:ind w:right="228"/>
              <w:spacing w:after="0" w:line="129" w:lineRule="exact"/>
              <w:rPr>
                <w:sz w:val="20"/>
                <w:szCs w:val="20"/>
                <w:color w:val="auto"/>
              </w:rPr>
            </w:pPr>
            <w:r>
              <w:rPr>
                <w:rFonts w:ascii="Times New Roman" w:cs="Times New Roman" w:eastAsia="Times New Roman" w:hAnsi="Times New Roman"/>
                <w:sz w:val="14"/>
                <w:szCs w:val="14"/>
                <w:color w:val="auto"/>
              </w:rPr>
              <w:t>Controlling</w:t>
            </w:r>
          </w:p>
        </w:tc>
        <w:tc>
          <w:tcPr>
            <w:tcW w:w="94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line="202" w:lineRule="exact"/>
              <w:rPr>
                <w:sz w:val="20"/>
                <w:szCs w:val="20"/>
                <w:color w:val="auto"/>
              </w:rPr>
            </w:pPr>
            <w:r>
              <w:rPr>
                <w:rFonts w:ascii="Times New Roman" w:cs="Times New Roman" w:eastAsia="Times New Roman" w:hAnsi="Times New Roman"/>
                <w:sz w:val="14"/>
                <w:szCs w:val="14"/>
                <w:color w:val="auto"/>
                <w:w w:val="95"/>
              </w:rPr>
              <w:t>AOCI</w:t>
            </w:r>
            <w:r>
              <w:rPr>
                <w:rFonts w:ascii="Times New Roman" w:cs="Times New Roman" w:eastAsia="Times New Roman" w:hAnsi="Times New Roman"/>
                <w:sz w:val="18"/>
                <w:szCs w:val="18"/>
                <w:color w:val="auto"/>
                <w:w w:val="95"/>
                <w:vertAlign w:val="superscript"/>
              </w:rPr>
              <w:t>(1)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9"/>
              </w:rPr>
              <w:t>Interest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201"/>
        </w:trPr>
        <w:tc>
          <w:tcPr>
            <w:tcW w:w="2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2019</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(136,622)</w:t>
            </w:r>
          </w:p>
        </w:tc>
        <w:tc>
          <w:tcPr>
            <w:tcW w:w="0" w:type="dxa"/>
            <w:vAlign w:val="bottom"/>
          </w:tcPr>
          <w:p>
            <w:pPr>
              <w:spacing w:after="0"/>
              <w:rPr>
                <w:sz w:val="1"/>
                <w:szCs w:val="1"/>
                <w:color w:val="auto"/>
              </w:rPr>
            </w:pPr>
          </w:p>
        </w:tc>
      </w:tr>
      <w:tr>
        <w:trPr>
          <w:trHeight w:val="195"/>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6,841</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conversion of Class A and Class</w:t>
            </w: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 common stock</w:t>
            </w: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292,022</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Purchase of Telos ID</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12"/>
        </w:trPr>
        <w:tc>
          <w:tcPr>
            <w:tcW w:w="20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membership interest</w:t>
            </w:r>
          </w:p>
        </w:tc>
        <w:tc>
          <w:tcPr>
            <w:tcW w:w="6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64,625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270,800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(143,843)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127,104</w:t>
            </w:r>
          </w:p>
        </w:tc>
        <w:tc>
          <w:tcPr>
            <w:tcW w:w="0" w:type="dxa"/>
            <w:vAlign w:val="bottom"/>
          </w:tcPr>
          <w:p>
            <w:pPr>
              <w:spacing w:after="0"/>
              <w:rPr>
                <w:sz w:val="1"/>
                <w:szCs w:val="1"/>
                <w:color w:val="auto"/>
              </w:rPr>
            </w:pPr>
          </w:p>
        </w:tc>
      </w:tr>
      <w:tr>
        <w:trPr>
          <w:trHeight w:val="189"/>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(43,134)</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64,269</w:t>
            </w:r>
          </w:p>
        </w:tc>
        <w:tc>
          <w:tcPr>
            <w:tcW w:w="0" w:type="dxa"/>
            <w:vAlign w:val="bottom"/>
          </w:tcPr>
          <w:p>
            <w:pPr>
              <w:spacing w:after="0"/>
              <w:rPr>
                <w:sz w:val="1"/>
                <w:szCs w:val="1"/>
                <w:color w:val="auto"/>
              </w:rPr>
            </w:pPr>
          </w:p>
        </w:tc>
      </w:tr>
      <w:tr>
        <w:trPr>
          <w:trHeight w:val="195"/>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60,231</w:t>
            </w:r>
          </w:p>
        </w:tc>
        <w:tc>
          <w:tcPr>
            <w:tcW w:w="0" w:type="dxa"/>
            <w:vAlign w:val="bottom"/>
          </w:tcPr>
          <w:p>
            <w:pPr>
              <w:spacing w:after="0"/>
              <w:rPr>
                <w:sz w:val="1"/>
                <w:szCs w:val="1"/>
                <w:color w:val="auto"/>
              </w:rPr>
            </w:pPr>
          </w:p>
        </w:tc>
      </w:tr>
      <w:tr>
        <w:trPr>
          <w:trHeight w:val="135"/>
        </w:trPr>
        <w:tc>
          <w:tcPr>
            <w:tcW w:w="20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Repurchase of outstanding</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(26,894)</w:t>
            </w:r>
          </w:p>
        </w:tc>
        <w:tc>
          <w:tcPr>
            <w:tcW w:w="0" w:type="dxa"/>
            <w:vAlign w:val="bottom"/>
          </w:tcPr>
          <w:p>
            <w:pPr>
              <w:spacing w:after="0"/>
              <w:rPr>
                <w:sz w:val="1"/>
                <w:szCs w:val="1"/>
                <w:color w:val="auto"/>
              </w:rPr>
            </w:pPr>
          </w:p>
        </w:tc>
      </w:tr>
      <w:tr>
        <w:trPr>
          <w:trHeight w:val="112"/>
        </w:trPr>
        <w:tc>
          <w:tcPr>
            <w:tcW w:w="20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90"/>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66,767</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367,153</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(186,977)</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180,254</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(53,428)</w:t>
            </w:r>
          </w:p>
        </w:tc>
        <w:tc>
          <w:tcPr>
            <w:tcW w:w="0" w:type="dxa"/>
            <w:vAlign w:val="bottom"/>
          </w:tcPr>
          <w:p>
            <w:pPr>
              <w:spacing w:after="0"/>
              <w:rPr>
                <w:sz w:val="1"/>
                <w:szCs w:val="1"/>
                <w:color w:val="auto"/>
              </w:rPr>
            </w:pPr>
          </w:p>
        </w:tc>
      </w:tr>
      <w:tr>
        <w:trPr>
          <w:trHeight w:val="195"/>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62,511</w:t>
            </w:r>
          </w:p>
        </w:tc>
        <w:tc>
          <w:tcPr>
            <w:tcW w:w="0" w:type="dxa"/>
            <w:vAlign w:val="bottom"/>
          </w:tcPr>
          <w:p>
            <w:pPr>
              <w:spacing w:after="0"/>
              <w:rPr>
                <w:sz w:val="1"/>
                <w:szCs w:val="1"/>
                <w:color w:val="auto"/>
              </w:rPr>
            </w:pPr>
          </w:p>
        </w:tc>
      </w:tr>
      <w:tr>
        <w:trPr>
          <w:trHeight w:val="195"/>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(11,284)</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RSU vested, net of shares</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withheld to cover tax</w:t>
            </w: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67,431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412,708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(240,405)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172,354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Accumulated Other Comprehensive Income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ORGANIZATION</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Telos Corporation, together with its subsidiaries, (collectively, the "Company" or "Telos" or "We" or "Our"), a Maryland corporation, is a leading provider of cyber, cloud and enterprise security solutions for the world's most security-conscious organizations. We own all of the issued and outstanding share capital of Xacta Corporation, a subsidiary that develops, markets and sells government-validated secure enterprise solutions to government and commercial customers. We own the issued and outstanding share capital of ubIQuity.com, inc., a holding company for Xacta Corporation. We also hold a 100% ownership interest in Telos Identity Management Solutions, LLC ("Telos ID"), Teloworks, Inc. ("Teloworks") and Telos APAC Pte. Ltd. ("Telos APAC").</w:t>
      </w:r>
    </w:p>
    <w:p>
      <w:pPr>
        <w:spacing w:after="0" w:line="1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November 12, 2020, we amended our charter to effect an approximate 0.794-for-1 reverse stock split with respect to our common stock. The par value and the authorized shares of the common stock were not adjusted as a result of the reverse stock split. The accompanying consolidated financial statements and notes to the consolidated financial statements give retroactive effect to the reverse stock split for all periods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 of Common Stock</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November 19, 2020, we completed our initial public offering of shares of our common stock. We issued 17.2 million shares of our common stock at a price of $17.00 per share, generating net proceeds of approximately $272.8 million. We used approximately $108.9 million of the net proceeds in connection with the conversion of our outstanding shares of Exchangeable Redeemable Preferred Stock into the right to receive cash and shares of our common stock, $30.0 million to fund our acquisition of the outstanding Class B Units of Telos ID, and $21.0 million to repay our outstanding senior term loan and subordinated debt.</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6, 2021, we completed our follow-on offering of 9.1 million shares of our common stock at a price of $33.00 per share, including 7.0 million shares of common stock held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the warrants to purchase 900,970 shares of our common stock owned by certain affiliates of EnCap. Further, on July 30, 2021, we used approximately $5.9 million of the net proceeds to acquire the assets of DFT. We used the remaining net proceeds for general corporate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 of Consolidation</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include the accounts of Telos and its subsidiaries (see </w:t>
      </w:r>
      <w:r>
        <w:rPr>
          <w:rFonts w:ascii="Times New Roman" w:cs="Times New Roman" w:eastAsia="Times New Roman" w:hAnsi="Times New Roman"/>
          <w:sz w:val="18"/>
          <w:szCs w:val="18"/>
          <w:u w:val="single" w:color="auto"/>
          <w:color w:val="0000FF"/>
        </w:rPr>
        <w:t>Note 1 – Organization</w:t>
      </w:r>
      <w:r>
        <w:rPr>
          <w:rFonts w:ascii="Times New Roman" w:cs="Times New Roman" w:eastAsia="Times New Roman" w:hAnsi="Times New Roman"/>
          <w:sz w:val="18"/>
          <w:szCs w:val="18"/>
          <w:color w:val="auto"/>
        </w:rPr>
        <w:t>), all of whose issued and outstanding share capital is wholly-owned directly and indirectly by the Telos Corporation. All intercompany transactions have been eliminated in consolidation.</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and the rules and regulations of the U.S. Securities and Exchange Commission ("SEC").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Comparison</w:t>
      </w:r>
    </w:p>
    <w:p>
      <w:pPr>
        <w:spacing w:after="0" w:line="17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 In the current period, we reclassified and presented the finance leases right-of-use assets separately from our property and equipment line item. The reclassification had no impact on our total assets or liabilities nor on our net (loss)/income or stockholders' equity.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for which separate discrete financial information is available and evaluated regularly by the chief operating decision maker ("CODM"), or decision-making group, in deciding how to allocate resources and assess performance. We operate our business in two reportable and operating segments: Security Solutions and Secure Networks. These segments enable the alignment of our strategies and objectives and provide a framework for the timely and rational allocation of resources within the line of business. We eliminate any inter-segment revenues and expenses upon consolidation. See </w:t>
      </w:r>
      <w:r>
        <w:rPr>
          <w:rFonts w:ascii="Times New Roman" w:cs="Times New Roman" w:eastAsia="Times New Roman" w:hAnsi="Times New Roman"/>
          <w:sz w:val="18"/>
          <w:szCs w:val="18"/>
          <w:u w:val="single" w:color="auto"/>
          <w:color w:val="0000FF"/>
        </w:rPr>
        <w:t>Note 21 – Segment Information</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Preparing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 Our estimate also considers the potential effect of the COVID-19 pandemic-related government actions, wherein the actual impact of the pandemic on our business could be materially different than our current estimates.</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share-based compensation, valuation of intangible assets and goodwill, and contingencies. Actual results could differ from those estimates. The impact of changes in estimates is recorded in the period in which they become known.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that subject us to concentrations of credit risk consist primarily of cash and cash equivalents, and accounts receivable.</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consideration that a large amount of our working capital and total assets are held in cash and cash equivalents, we are exposed to credit risk in the event of default by the financial institutions to the extent of the amounts held in excess of federal insurance limits. Due to the financial strength and high credit quality of the financial institutions where the accounts are held, we do not believe that this credit risk makes it reasonably possible that a near-term severe impact risk of loss will occur.</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receivables are primarily due from the U.S. government, or from prime contractors to whom we are subcontractors and the end customer is the U.S. government, and are generally considered collectable from the perspective of the customer's ability to pay. We believe that the credit risk associated with our receivables is limited due to the creditworthiness of our customers. We maintain an allowance for estimated potential credit losses.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at the date of purchase to be cash equivalents.</w:t>
      </w:r>
    </w:p>
    <w:p>
      <w:pPr>
        <w:spacing w:after="0" w:line="17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Restricted cash represents funds that are held in our money market account but precluded from use of general business needs through contractual requirements. We report our restricted cash balance within "Other assets" on the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billing and cash receipts from customers. Amounts are invoiced as work progresses, either at periodic intervals or upon achievement of contractual milestones. We record a contract asset when revenue is recognized prior to invoicing, or a contract liability when cash is received in advance or when milestone payments from customers exceed revenue earned to date.</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contract asset is a right to consideration that is conditional upon factors other than the passage of time. Contract liabilities include deferred revenue, customer advances and billings in excess of revenue. Contract assets and liabilities are recorded net on a contract-by-contract basis and are classified based on the contract's operating cycle at the end of each reporting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includes the following:</w:t>
      </w:r>
    </w:p>
    <w:p>
      <w:pPr>
        <w:spacing w:after="0" w:line="171"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u w:val="single" w:color="auto"/>
          <w:color w:val="auto"/>
        </w:rPr>
        <w:t>Billed Receivables</w:t>
      </w:r>
      <w:r>
        <w:rPr>
          <w:rFonts w:ascii="Times New Roman" w:cs="Times New Roman" w:eastAsia="Times New Roman" w:hAnsi="Times New Roman"/>
          <w:sz w:val="18"/>
          <w:szCs w:val="18"/>
          <w:color w:val="auto"/>
        </w:rPr>
        <w:t xml:space="preserve"> - Billed receivables are balances where an invoice has been prepared and issued and is collectible under standard contract terms. Where we anticipate that an invoice will be issued within a short period of time and where the funds are considered collectible within standard contract terms, we include this balance as billable accounts receivable.</w:t>
      </w:r>
    </w:p>
    <w:p>
      <w:pPr>
        <w:spacing w:after="0" w:line="122"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Unbilled Receivables</w:t>
      </w:r>
      <w:r>
        <w:rPr>
          <w:rFonts w:ascii="Times New Roman" w:cs="Times New Roman" w:eastAsia="Times New Roman" w:hAnsi="Times New Roman"/>
          <w:sz w:val="18"/>
          <w:szCs w:val="18"/>
          <w:color w:val="auto"/>
        </w:rPr>
        <w:t xml:space="preserve"> - Unbilled receivables are balances which have not yet been billed due to timing, most commonly just a month delayed from the timing of revenue recognition and the actual bill being presented to the customer. The company has fulfilled all requirements in order to bill the customer and collect the funds.</w:t>
      </w:r>
    </w:p>
    <w:p>
      <w:pPr>
        <w:spacing w:after="0" w:line="122"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u w:val="single" w:color="auto"/>
          <w:color w:val="auto"/>
        </w:rPr>
        <w:t>Contract Assets</w:t>
      </w:r>
      <w:r>
        <w:rPr>
          <w:rFonts w:ascii="Times New Roman" w:cs="Times New Roman" w:eastAsia="Times New Roman" w:hAnsi="Times New Roman"/>
          <w:sz w:val="18"/>
          <w:szCs w:val="18"/>
          <w:color w:val="auto"/>
        </w:rPr>
        <w:t xml:space="preserve"> - Contract assets are receivables for which the right to consideration is conditional upon factors other than the passage of time. The timing of these billings is generally driven by contractual terms, which may have billing milestones that are different from revenue recognition milestones.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Both billed and unbilled balances are recorded at their face amount less an allowance for credit losses over the contractual payment terms of the receivable. Collectability of these amounts are periodically reviewed based upon managements' knowledge and analysis of available information as of the balance sheet date, including any specific circumstances related to overdue balances, length of time that the receivable has been outstanding, historical bad debts and aging trends, and other general and contract specific factors. The allowance for credit losses is adjusted based on such evaluation. Accounts receivable balances are written off against the allowance when management deems the balances uncollectible.</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contract asset balance is recorded at the net amount expected to be billed for services performed once the objective criteria laid out by the contract has been met.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where cost is determined using the weighted-average method. The value of inventory is adjusted for damaged, obsolete, excess and slowing-moving inventory. Net realizable value of inventory is estimated based on the historical obsolescence experience and planned usage.</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Inventories are substantially comprised of finished goods that are purchased customer off-the-shelf hardware and software, and component computer parts used in connection with system integration services that we perform.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recorded over the assets' estimated useful lives using the straight-line method, which is 3-5 years for furniture and equipment. Leasehold improvements are amortized over the shorter of their useful life or the remaining terms of the lease.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Upon sale or retirement of property and equipment, the costs and related accumulated depreciation are eliminated from the accounts and any gain or loss on such disposition is reflected in the consolidated statements of operations. For the years ended December 31, 2022, 2021, and 2020, such amounts are negligible. Repairs and maintenance costs are expensed as incurred.</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evaluate our long-lived assets, including property and equipment, for impairment whenever circumstances indicate that the carrying amount of the asset exceeds its estimated fair value. Considerable management judgment is necessary to estimate its fair value. Accordingly, actual results could differ from such estimates. No events have been identified that caused an evaluation of the recoverability of long-lived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3"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7"/>
          <w:szCs w:val="17"/>
          <w:color w:val="auto"/>
        </w:rPr>
        <w:t>We determine if an arrangement is a lease and we account for leases in accordance with ASC Topic 842, "Leases." We entered into contractual arrangements primarily for the use of real estate facilities, and certain other equipment. We determine the classification of the lease under these arrangements, if any, at inception based on: (1) whether the contract involves the use of a distinct identified asset, (2) whether we obtain the right to substantially all the economic benefits from the use of the asset throughout the period, and (3) whether we have a right to direct the use of the asset.</w:t>
      </w:r>
    </w:p>
    <w:p>
      <w:pPr>
        <w:spacing w:after="0" w:line="1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Leased property meeting certain criteria is capitalized at the present value of the related minimum lease payments. Amortization of finance lease ROU asset is computed using the straight-line method over the lesser of the lease term or the useful life of the related asset.</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accordance with ASC 842, we recorded operating lease ROU assets, which represent our right to use an underlying asset for the lease term, and operating lease liabilities which represent our obligation to make lease payments. Generally, we enter into operating lease agreements for facilities. The amount of operating lease liabilities due within 12 months are recorded in other current liabilities, with the remaining operating lease liabilities recorded as non-current liabilities in our consolidated balance sheets based on their contractual due dates. The operating lease ROU assets and liabilities are recognized as of the lease commencement date at the present value of the lease payments over the lease term. Most of our leases do not provide an implicit rate that can readily be determined. Therefore, we use a discount rate based on our incremental borrowing rate on all operating leases. Some of our operating leases contain lease and non-lease components, which we account for as a single component. Operating lease expense is recognized as rent expense on a straight-line basis over the lease term, and recorded within our consolidated statement of operations.</w:t>
      </w:r>
    </w:p>
    <w:p>
      <w:pPr>
        <w:spacing w:after="0" w:line="1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related lease payments on short-term lease arrangements (leases of 1 year or less) are recognized as expensed on a straight-line basis over the lease term.</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ROU assets are assessed for potential impairment whenever there is evidence that events or changes in circumstances indicate that the carrying value of the asset may not be recoverable and the carrying amount of the assets exceeds it estimated fair value.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account for development costs of software in accordance with ASC Topic 985-20 ("ASC 985-20"), "Software – Costs of Software to be Sold, Leased, or Marketed" and ASC Topic 350-40 ("ASC 350-40")"Internal Use Software", depending on the intended use of the software being developed. Under ASC 985-20, all costs of developing software prior to establishing its technological feasibility are research and development costs and are expensed as incurred. Once technological feasibility has been established, subsequent costs should be capitalized until the software begins to be marketed or is released to customers after which the capitalized costs should be amortized and reviewed for impairment. Under ASC 350-40, we capitalized certain software development costs when the preliminary project stage is completed and the software has entered the application development stage. Once substantial testing is complete and the software is ready to be used, capitalization of costs cease.</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Capitalized software development costs are amortized on a straight-line basis over the estimated economic life of the application, ranging from 2 - 5 years, beginning when the asset is ready for its intended use.</w:t>
      </w:r>
    </w:p>
    <w:p>
      <w:pPr>
        <w:spacing w:after="0" w:line="10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ASC 350-40 also requires hosting arrangements that are service contracts to follow the guidance for internal-use software to determine which implementation costs can be capitalized. In accordance with ASC 350-40, (i) capitalized implementation costs are classified in the same balance sheet line item as the amounts prepaid for the related hosting arrangement, (ii) amortization of capitalized implementation costs are presented in the same income statement line item as the service fees for the related hosting arrangement, and (iii) cash flows related to capitalized implementation costs are presented within the same category of cash flow activity as the cash flow for the related hosting arrangements (i.e. operating activity). There are no capitalized implementation costs prior to fiscal year 2022. As of December 31, 2022, the net carrying value of the capitalized implementation costs related to hosting arrangements that were incurred during the application development stage aggregated to $0.3 million, net of amortization expense. These costs are related primarily to the implementation of a new enterprise resource planning system. The Company begins amortizing the capitalized implementation costs after all substantial testing was complete and ready for its intended use, and amortized over the expected term of the arrangement on a straight-line basis.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Software costs classified as held for resale are stated at the lower of cost or net realizable value. Software held for resale are amortized into cost of sales on the consolidated statements of operations. The Company reported the software held for resale as part of the Intangible Assets on the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Goodwill is recorded for the difference between the aggregate consideration paid for an acquisition and the fair value of net tangible and intangible assets acquired and liabilities assumed. Goodwill is not amortized, but rather tested for potential impairment. We evaluate the impairment of goodwill in accordance with ASC 350, which requires goodwill to be assessed on at least an annual basis, as of December 31 each year, for impairment using a fair value basis. Between annual evaluations, if events occur or circumstances change that would more likely than not reduce the fair value of the reporting unit below its carrying amount, then impairment must be evaluated. Such circumstances could include, but are not limited to: (1) a significant adverse change in legal factors or business climate, or (2) a loss of key contracts or customers.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elect to utilize a qualitative assessment to evaluate whether it is more likely than not that the fair value of a reporting unit is less than its carrying value, and if so, we perform a quantitative test. We compare the carrying value of each reporting unit to its estimated fair value, and if the fair value is determined to be less than the carrying value, we recognize an impairment loss for the difference. The evaluation is based on the estimation of the fair values at the reporting unit level in comparison to the reporting unit's net asset carrying values. Our discounted cash flows requires management's judgment with respect to forecasted revenue streams and operating margins, capital expenditures and the selection and use of an appropriate discount rate. We utilize the weighted average cost of capital as derived by certain assumptions specific to our facts and circumstances as the discount 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goodwill is amortized and deducted over a 15-year period for tax purposes. See </w:t>
      </w:r>
      <w:r>
        <w:rPr>
          <w:rFonts w:ascii="Times New Roman" w:cs="Times New Roman" w:eastAsia="Times New Roman" w:hAnsi="Times New Roman"/>
          <w:sz w:val="18"/>
          <w:szCs w:val="18"/>
          <w:u w:val="single" w:color="auto"/>
          <w:color w:val="0000FF"/>
        </w:rPr>
        <w:t>Note 7 – Goodwill</w:t>
      </w:r>
      <w:r>
        <w:rPr>
          <w:rFonts w:ascii="Times New Roman" w:cs="Times New Roman" w:eastAsia="Times New Roman" w:hAnsi="Times New Roman"/>
          <w:sz w:val="18"/>
          <w:szCs w:val="18"/>
          <w:color w:val="auto"/>
        </w:rPr>
        <w:t xml:space="preserve"> for additional information.</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carried at cost, less accumulated amortization. Amortization is computed using the method that best reflects how their economic benefits are utilized or, if a pattern of economic benefits cannot be reliably determined, on a straight-line basis over their estimated useful lives.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evaluates its long-lived assets for potential impairment whenever there is evidence that events or changes in circumstances indicate that the carrying value may not be recoverable. If such evaluation indicates that the carrying amount of the asset exceeds its estimated future undiscounted cash flows, an impairment loss is recognized to reduce the asset's carrying amount to its estimated fair value.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recoverability assessment, the Company routinely reviews the remaining lives of its long-lived assets. Any reduction in the useful life assumptions will result in increased depreciation or amortization expense in the period when such determinations are made, as well as in subsequent periods. There are no changes in the estimated useful lives of long-lived assets for the periods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U.S. GAAP provides a framework for measuring fair value and expands disclosures about fair value measurements. The framework requires the valuation of investments using a three-tiered approach. The statement requires fair value measurement to be classified and disclosed in one of the following categories:</w:t>
      </w:r>
    </w:p>
    <w:p>
      <w:pPr>
        <w:spacing w:after="0" w:line="68"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and liabilities;</w:t>
      </w:r>
    </w:p>
    <w:p>
      <w:pPr>
        <w:spacing w:after="0" w:line="117"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or</w:t>
      </w:r>
    </w:p>
    <w:p>
      <w:pPr>
        <w:spacing w:after="0" w:line="53"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we did not have any financial instruments with significant Level 3 inputs and we did not have any financial instruments that are measured at fair value on a recurring basis.</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For certain of our non-derivative financial instruments, including receivables, accounts payable and other accrued liabilities, the carrying amount approximates fair value due to the short-term maturities of these instruments.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(such as salaries, taxes, benefits and stock-based compensation), allocated overhead costs and outside services costs related to the development and improvement of the Company's software. Research and development costs are generally expensed as incurred, except for costs incurred in connection with the development of software that qualify for the capitalization as described in our software development costs policy.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7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and included in sales and marketing expense when incurred. Advertising expense was $1.3 million, $1.8 million, and $1.0 million for the years ended December 31, 2022, 2021 and 2020,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7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Acquisitions were accounted for under U.S. GAAP using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allocates the fair value of purchase consideration to the tangible and intangible assets acquired and liabilities assumed based on their estimated fair values. The excess of the fair value of purchase consideration over the values of these identifiable assets and liabilities, if any, is recorded as goodwill.</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an acquisition. Estimating the fair value of acquired assets and assumed liabilities, including intangibles, requires judgment about expected future cash flows, weighted-average cost of capital, discount rates and expected long-term growth rates.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2016 Omnibus Long-Term Incentive Plan, as amended (the "2016 LTIP"), provides for the grant of restricted stock units with time-based vesting ("Service-Based RSU" or "RSU") and restricted stock units with performance-based vesting ("Performance-Based RSU" or "PRSU") to our senior executives, directors, employees and other eligible service providers. Awards granted under the 2016 LTIP vest over the periods determined by the Board of Directors or the Compensation Committee of the Board of Directors, who has the discretion to establish the terms, conditions and criteria of the various awards, including the weighting and vesting schedule of Service-Based RSUs and the performance conditions applicable to the Performance-Based RSUs, including the achievement of certain financial performance criteria or price targets for our common stock. Upon vesting, Service-Based RSUs and Performance-Based RSUs will be settled in the Company's common stock.</w:t>
      </w:r>
    </w:p>
    <w:p>
      <w:pPr>
        <w:spacing w:after="0" w:line="79" w:lineRule="exact"/>
        <w:rPr>
          <w:sz w:val="20"/>
          <w:szCs w:val="20"/>
          <w:color w:val="auto"/>
        </w:rPr>
      </w:pPr>
    </w:p>
    <w:p>
      <w:pPr>
        <w:ind w:left="340" w:hanging="332"/>
        <w:spacing w:after="0" w:line="284"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Service-Based RSUs </w:t>
      </w:r>
      <w:r>
        <w:rPr>
          <w:rFonts w:ascii="Times New Roman" w:cs="Times New Roman" w:eastAsia="Times New Roman" w:hAnsi="Times New Roman"/>
          <w:sz w:val="18"/>
          <w:szCs w:val="18"/>
          <w:color w:val="auto"/>
        </w:rPr>
        <w:t>granted to eligible employees as an incentive generally may vest in installments over a period of up to three years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The grant date fair value per share is equal to the closing stock price on the date of grant.</w:t>
      </w:r>
    </w:p>
    <w:p>
      <w:pPr>
        <w:spacing w:after="0" w:line="50" w:lineRule="exact"/>
        <w:rPr>
          <w:rFonts w:ascii="Times New Roman" w:cs="Times New Roman" w:eastAsia="Times New Roman" w:hAnsi="Times New Roman"/>
          <w:sz w:val="18"/>
          <w:szCs w:val="18"/>
          <w:color w:val="auto"/>
        </w:rPr>
      </w:pPr>
    </w:p>
    <w:p>
      <w:pPr>
        <w:ind w:left="340" w:hanging="332"/>
        <w:spacing w:after="0" w:line="254"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Performance-Based RSUs </w:t>
      </w:r>
      <w:r>
        <w:rPr>
          <w:rFonts w:ascii="Times New Roman" w:cs="Times New Roman" w:eastAsia="Times New Roman" w:hAnsi="Times New Roman"/>
          <w:sz w:val="18"/>
          <w:szCs w:val="18"/>
          <w:color w:val="auto"/>
        </w:rPr>
        <w:t>may vest upon the achievement of a defined performance target or at the end of the defined performance period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whichever initially occurs. The grant date fair value per share of these Performance-Based RSUs is equal to the closing stock price on the date of the grant or the fair value of the award on the grant date as determined through an independent valuation for Performance-Based RSUs with market conditions. Performance-Based RSUs may vest upon the achievement of certain price targets or market conditions for the Company's common stock anytime or certain operational milestones over a three-year period from the date of grant. In order to reflect the substantive characteristics of these market condition awards, the Company employs a Monte Carlo simulation valuation model to calculate the grant date fair value and corresponding requisite service period of the award. Monte Carlo approaches are a class of computational algorithms that rely on repeated random sampling to compute their results. This approach allows the calculation of the value of such awards based on a large number of possible stock price path scenarios.</w:t>
      </w:r>
    </w:p>
    <w:p>
      <w:pPr>
        <w:spacing w:after="0" w:line="13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recognize these share-based payment transactions when services from the employees are received and recognize a corresponding increase in additional paid-in capital in our consolidated balance sheets, in accordance with ASC 718, "Compensation - Stock Compensation." The measurement objective for these equity awards is the estimated fair value at the date of grant of the equity instruments that we are obligated to issue when employees have rendered the requisite service and satisfied any other conditions necessary to earn the right to benefit from the instruments. The compensation expense for an award is recognized ratably over the requisite service period for the entire award, which is the period during which an employee is required to provide service in exchange for an award. Compensation expense for awards with performance conditions is recognized over the requisite service period if it is probable that the performance condition will be satisfied. If such performance conditions are not or are no longer considered probable, no compensation expense for these awards is recognized, and any previously recognized expense is reversed. If the performance condition is achieved prior to the completion of the requisite service period, any unrecognized compensation expense will be recognized in the period the performance condition is achieved. Compensation expense for awards with market conditions is recognized over the derived service period, or sooner, if the market condition is achieved. Previously recognized expense for awards with market conditions will never be reversed subsequent to completion of the derived service period even if the market conditions are never achieved. We recognize forfeitures of share-based compensation awards as they occur. Share-based compensation expense is recognized as part of the cost of sales and selling, general and administrative expenses in our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(Loss)/Earnings per Share</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Basic net (loss)/earnings per share is computed by dividing the net (loss)/earnings by the weighted-average number of common shares outstanding for the period, without consideration for potentially dilutive securities. Diluted net (loss)/earnings per share is computed by dividing the net (loss)/earnings by the weighted-average number of shares of common stock and dilutive common stock equivalents outstanding for the period determined using the treasury-stock and if-converted methods. Dilutive common stock equivalents are comprised of unvested restricted common stock and warrants.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Comprehensive (Loss)/Income</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functional currency is the U.S. Dollar. 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(loss)/income.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determination of when the Company accrues for involuntary termination benefits under restructuring plans depends on whether the termination benefits are provided under an on-going benefit arrangement or under a one-time benefit arrangement. The Company accounts for on-going benefit arrangements, such as those documented by employment agreements, in accordance with ASC 712 ("ASC 712"), "Compensation – Nonretirement Postemployment Benefits." Under ASC 712, liabilities for postemployment benefits are recorded at the time of obligations are probable of being incurred and can be reasonably estimated. When applicable, the Company records such costs into operating expenses.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fourth quarter of 2022, the Company committed to a restructuring plan resulting in a reduction of the Company's workforce, with a majority of the affected employees separating from the business in early 2023. As a result of the workforce reduction, the Company accrued for involuntary termination benefits consisting of employee severance-related benefit costs (including outplacement services and continuing health insurance coverage). During the year ended December 31, 2022, the Company recorded approximately $2.8 million in involuntary termination benefits, with no similar costs in prior years, and is recorded under "Selling, general and administrative expenses" on the Consolidated Statements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No. 2019-12, "Income Taxes (Topic 740): Simplifying the Accounting for Income Taxes," which simplifies the accounting for income taxes by removing certain exceptions to the general principles in Topic 740. The ASU also clarifies and amends existing guidance to improve consistent application. This standard was effective for reporting periods beginning after December 15, 2020, which made this standard effective for us on January 1, 2021. The adoption of this ASU did not have a material impact on our consolidated financial position, results of operations and cash flows.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which provides optional expedients and exceptions for a limited period of time to ease the potential burden in accounting for contracts, hedging relationships and other transactions that reference LIBOR or another reference rate expected to be discontinued because of reference rate reform. This amendment is effective for all entities as of March 12, 2020 through December 31, 2022. The adoption of this ASU did not have a material impact on our consolidated financial position, results of operations or 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 (Topic 805): Accounting for Contract Assets and Contract Liabilities from Contracts with Customers," which requires entities to apply Topic 606 to recognize and measure contract assets and contract liabilities in a business combination. The ASU improves comparability after the business combination by providing consistent recognition and measurement guidance for revenue contracts with customers acquired in a business combination and revenue contracts with customers not acquired in a business combination. Entities should apply the amendments prospectively to business combinations that occur after the effective date. This standard will be effective for reporting periods beginning after December 15, 2022, with early adoption permitted. While we are currently assessing the impact of the adoption of this ASU, we do not believe the adoption of this ASU will have a material impact on our consolidated financial position, results of operations, and cash flows.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September 2022, the FASB issued ASU No. 2022-04, "Liabilities - Supplier Finance Programs (Subtopic 405-50): Disclosure of Supplier Finance Program Obligations," which requires a company that uses a supplier finance program in connection with the purchase of goods or services to disclose sufficient information about the program to allow a user of the financial statements to understand the program's nature, activity during the period, changes from period to period, and potential magnitude. This standard will be effective for reporting periods beginning December 15, 2022, with early adoption permitted. While we are currently assessing the impact of the adoption of this ASU, we do not believe the adoption of this ASU will have a material impact on our consolidated financial position, results of operations, and cash flows.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 (Topic 820): Fair Value Measurement of Equity Securities Subject to Contractual Sale Restrictions," which clarifies that a contractual restriction on the sale of an equity security is not considered part of the unit of account of the equity security and, therefore, is not considered in measuring fair value. This standard will be effective for reporting periods beginning December 15, 2023, with early adoption permitted. While we are currently assessing the impact of the adoption of this ASU, we do not believe the adoption of this ASU will have a material impact on our consolidated financial position, results of operations, and cash flows.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REVENUE RECOGNITION</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recognize revenue in accordance with ASC Topic 606, "Revenue from Contracts with Customers." The unit of account in ASC 606 is a performance obligation, which is a promise in a contract with a customer to transfer a good or service to the customer.</w:t>
      </w:r>
    </w:p>
    <w:p>
      <w:pPr>
        <w:spacing w:after="0" w:line="10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follows the five-step model for recognizing revenue that includes identifying the contract with the customer, determining the performance obligation(s), determining the transaction price, allocating the transaction price to the performance obligation(s), and recognizing revenue as the performance obligations are satisfied.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contracts with the U.S. government are generally subject to the Federal Acquisition Regulation ("FAR") and the price is typically based on estimated or actual costs plus a reasonable profit margin. As such, the standalone selling price of products or services in our contracts with the U.S. Government are typically equal to the selling price stated in the contract. For non-U.S. Government contracts with multiple performance obligations, standalone selling price is the observable price of a good or service when Telos sells that good or service separately in similar circumstances and to similar customers.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majority of our revenue is recognized over time, as control is transferred continuously to our customers who receive and consume benefits as we perform. Revenue transferred to customers over time accounted for 89%, 91% and 90% of our revenue for the years ended December 31, 2022, 2021 and 2020. All of our business groups earn services revenue under a variety of contract types, including time and materials, firm-fixed price, firm fixed price level of effort, and cost-plus fixed fee contract types, which may include variable consideration.</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Contract costs include labor, material, subcontractor costs and indirect expenses. This continuous transfer of control to the customer is supported by clauses in our contracts with U.S. government customers whereby the customer may terminate a contract for convenience and then pay for costs incurred plus a profit, at which time the customer would take control of any work in process. For non-U.S. government contracts where we perform as a subcontractor and our order includes similar FAR provisions as the prime contractor's order from the U.S. government, continuous transfer of control is likewise supported by such provisions. For other non-U.S.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11%, 9% and 10% of our revenue for the years ended December 31, 2022, 2021 and 2020.</w:t>
      </w:r>
    </w:p>
    <w:p>
      <w:pPr>
        <w:spacing w:after="0" w:line="12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Due to the transfer of control over time, revenue is recognized based on progress towards completion of the performance obligation. The selection of the method to measure progress towards completion requires judgment and is based on the nature of the performance obligations. We generally use the cost-to-cost measure of progress on a proportional performance basis for our long-term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which includes both the actual costs already incurred and the estimated costs to complete. Revenues are recorded proportionally as costs are incurred. Due to the nature of the work required to be performed on certain of our performance obligations, the estimation of costs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 We have revised and re-submitted several years of incurred cost submissions reflecting certain indirect rate structure changes as a result of regular Defense Contract Audit Agency audits of incurred cost submissions. This resulted in signed final rate agreement letters for fiscal years 2014 to 2016 and conformed incurred cost submissions for 2017 to 2021. We evaluated the resulting changes to revenue under the applicable cost-plus fixed fee contracts for the years 2014 to 2016 as variable consideration, and determined the most likely amount to which we expect to be entitled, to the extent that no constraint exists that would preclude recognizing this revenue or result in a significant reversal of cumulative revenue recognized. We included these estimated amounts of variable consideration in the transaction price and as performance on these contracts is complete, we have recognized revenue of $0.2 million during the year ended December 31, 2021. No revenue adjustment was recorded during the fiscal years ended December 31, 2022 and 2020.</w:t>
      </w:r>
    </w:p>
    <w:p>
      <w:pPr>
        <w:spacing w:after="0" w:line="1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provide for anticipated losses on contracts during the period when the loss is determined by recording an expense for the total expected costs that exceeds the total estimated revenue for a performance obligation. No contract losses were recorded during the years ended December 31, 2022 and 2020. We recorded an immaterial contract loss during the year ended December 31, 2021.</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our segment reporting, as further discussed in </w:t>
      </w:r>
      <w:r>
        <w:rPr>
          <w:rFonts w:ascii="Times New Roman" w:cs="Times New Roman" w:eastAsia="Times New Roman" w:hAnsi="Times New Roman"/>
          <w:sz w:val="18"/>
          <w:szCs w:val="18"/>
          <w:u w:val="single" w:color="auto"/>
          <w:color w:val="0000FF"/>
        </w:rPr>
        <w:t>Note 21 – Segment Information</w:t>
      </w:r>
      <w:r>
        <w:rPr>
          <w:rFonts w:ascii="Times New Roman" w:cs="Times New Roman" w:eastAsia="Times New Roman" w:hAnsi="Times New Roman"/>
          <w:sz w:val="18"/>
          <w:szCs w:val="18"/>
          <w:color w:val="auto"/>
        </w:rPr>
        <w:t>, we disaggregate our revenue by customer and contract types. We treat sales to U.S. customers as sales within the U.S. regardless of where the services are performed. Substantially most of our revenues are generated from U.S. customers, while international customers are de minimis, as such the financial information by geographic location is not presented.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3.1: Revenue by Customer Type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6"/>
                <w:szCs w:val="16"/>
                <w:color w:val="auto"/>
                <w:w w:val="99"/>
              </w:rPr>
              <w:t>2021</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2020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85"/>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00" w:type="dxa"/>
            <w:vAlign w:val="bottom"/>
            <w:tcBorders>
              <w:bottom w:val="single" w:sz="8" w:color="auto"/>
            </w:tcBorders>
            <w:gridSpan w:val="2"/>
          </w:tcPr>
          <w:p>
            <w:pPr>
              <w:spacing w:after="0"/>
              <w:rPr>
                <w:sz w:val="18"/>
                <w:szCs w:val="18"/>
                <w:color w:val="auto"/>
              </w:rPr>
            </w:pPr>
          </w:p>
        </w:tc>
        <w:tc>
          <w:tcPr>
            <w:tcW w:w="6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government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205,538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232,876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171,677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State &amp; local government, and commercial</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11,349</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9,557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8,240</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216,887</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242,433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179,917</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3.2: Revenue by Contract Type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2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6"/>
                <w:szCs w:val="16"/>
                <w:color w:val="auto"/>
                <w:w w:val="99"/>
              </w:rPr>
              <w:t>2021</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2020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85"/>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00" w:type="dxa"/>
            <w:vAlign w:val="bottom"/>
            <w:tcBorders>
              <w:bottom w:val="single" w:sz="8" w:color="auto"/>
            </w:tcBorders>
            <w:gridSpan w:val="2"/>
          </w:tcPr>
          <w:p>
            <w:pPr>
              <w:spacing w:after="0"/>
              <w:rPr>
                <w:sz w:val="18"/>
                <w:szCs w:val="18"/>
                <w:color w:val="auto"/>
              </w:rPr>
            </w:pPr>
          </w:p>
        </w:tc>
        <w:tc>
          <w:tcPr>
            <w:tcW w:w="6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Firm fixed-price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179,803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212,304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151,703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12,461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13,455</w:t>
            </w:r>
          </w:p>
        </w:tc>
        <w:tc>
          <w:tcPr>
            <w:tcW w:w="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plus fixed-fee</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17,668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14,759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216,887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242,433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179,917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5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Table 3.3: Revenue Concentrations Greater than 10% of Total Revenue</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85"/>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Department of Defense ("DoD")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Civilian federal agencies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502"/>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3.4: Contract Balances</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8"/>
          </w:tcPr>
          <w:p>
            <w:pPr>
              <w:jc w:val="right"/>
              <w:ind w:right="520"/>
              <w:spacing w:after="0"/>
              <w:rPr>
                <w:sz w:val="20"/>
                <w:szCs w:val="20"/>
                <w:color w:val="auto"/>
              </w:rPr>
            </w:pPr>
            <w:r>
              <w:rPr>
                <w:rFonts w:ascii="Times New Roman" w:cs="Times New Roman" w:eastAsia="Times New Roman" w:hAnsi="Times New Roman"/>
                <w:sz w:val="16"/>
                <w:szCs w:val="16"/>
                <w:color w:val="auto"/>
              </w:rPr>
              <w:t>As of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color w:val="auto"/>
              </w:rPr>
              <w:t>Balance Sheet Presentation</w:t>
            </w:r>
          </w:p>
        </w:tc>
        <w:tc>
          <w:tcPr>
            <w:tcW w:w="80" w:type="dxa"/>
            <w:vAlign w:val="bottom"/>
          </w:tcPr>
          <w:p>
            <w:pPr>
              <w:spacing w:after="0"/>
              <w:rPr>
                <w:sz w:val="18"/>
                <w:szCs w:val="18"/>
                <w:color w:val="auto"/>
              </w:rPr>
            </w:pPr>
          </w:p>
        </w:tc>
        <w:tc>
          <w:tcPr>
            <w:tcW w:w="124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bottom w:val="single" w:sz="8" w:color="auto"/>
            </w:tcBorders>
            <w:gridSpan w:val="5"/>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180" w:type="dxa"/>
            <w:vAlign w:val="bottom"/>
            <w:gridSpan w:val="6"/>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Billed account receivables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Accounts receivable, net</w:t>
            </w:r>
          </w:p>
        </w:tc>
        <w:tc>
          <w:tcPr>
            <w:tcW w:w="940" w:type="dxa"/>
            <w:vAlign w:val="bottom"/>
            <w:gridSpan w:val="2"/>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 receivables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8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33,811</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auto"/>
              </w:rPr>
              <w:t>Contract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of allowance for credit losses</w:t>
      </w:r>
    </w:p>
    <w:p>
      <w:pPr>
        <w:spacing w:after="0" w:line="14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significant changes in the Company's contract assets and contract liabilities during the current period were primarily the result of the timing differences between the Company's performance, invoicing and customer payments. For the years ended December 31, 2022, 2021 and 2020, the amount of revenue recognized during the year that was included in the opening contract liabilities balance was $5.2 million, $4.3 million, and $5.3 million, respectively.</w:t>
      </w:r>
    </w:p>
    <w:p>
      <w:pPr>
        <w:spacing w:after="0" w:line="1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2022, we had approximately $82.2 million of remaining performance obligations, which we also refer to as funded backlog. We expect to recognize approximately 93% of our remaining performance obligations as revenue in 2023, and approximately 4% by 2024, with the remainder recognized thereafter.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ACCOUNTS RECEIVABLE,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4.1: Details of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r>
      <w:tr>
        <w:trPr>
          <w:trHeight w:val="277"/>
        </w:trPr>
        <w:tc>
          <w:tcPr>
            <w:tcW w:w="70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40" w:type="dxa"/>
            <w:vAlign w:val="bottom"/>
            <w:tcBorders>
              <w:bottom w:val="single" w:sz="8" w:color="auto"/>
            </w:tcBorders>
          </w:tcPr>
          <w:p>
            <w:pPr>
              <w:spacing w:after="0"/>
              <w:rPr>
                <w:sz w:val="24"/>
                <w:szCs w:val="24"/>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 accounts receivables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18,586</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33,811</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58"/>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40,069</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our primary customer base includes agencies of the U.S. government, we have a concentration of credit risk associated with our accounts receivable, as 92% of our billed and unbilled accounts receivable, as of December 31, 2022, were directly with U.S. government customers. While we acknowledge the potentially material and adverse risk of such a significant concentration of credit risk, our past experience of collecting substantially all of such receivables provide us with an informed basis that such risk, if any, is manageable. We perform ongoing credit evaluations of all of our customers and generally do not require collateral or other guarantee from our customers. We maintain allowances for potential losses.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4.2: Allowance for Credit Losses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Balance</w:t>
            </w: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Beginning</w:t>
            </w: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Bad Debt</w:t>
            </w:r>
          </w:p>
        </w:tc>
        <w:tc>
          <w:tcPr>
            <w:tcW w:w="20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Write-Offs /</w:t>
            </w:r>
          </w:p>
        </w:tc>
        <w:tc>
          <w:tcPr>
            <w:tcW w:w="28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End</w:t>
            </w:r>
          </w:p>
        </w:tc>
      </w:tr>
      <w:tr>
        <w:trPr>
          <w:trHeight w:val="243"/>
        </w:trPr>
        <w:tc>
          <w:tcPr>
            <w:tcW w:w="5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of Year</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color w:val="auto"/>
                <w:w w:val="96"/>
              </w:rPr>
              <w:t xml:space="preserve">Expenses </w:t>
            </w:r>
            <w:r>
              <w:rPr>
                <w:rFonts w:ascii="Times New Roman" w:cs="Times New Roman" w:eastAsia="Times New Roman" w:hAnsi="Times New Roman"/>
                <w:sz w:val="21"/>
                <w:szCs w:val="21"/>
                <w:color w:val="auto"/>
                <w:w w:val="96"/>
                <w:vertAlign w:val="superscript"/>
              </w:rPr>
              <w:t>(1)</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 xml:space="preserve">Recoveries </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4"/>
              </w:rPr>
              <w:t>of Year</w:t>
            </w:r>
          </w:p>
        </w:tc>
      </w:tr>
      <w:tr>
        <w:trPr>
          <w:trHeight w:val="213"/>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5"/>
          </w:tcPr>
          <w:p>
            <w:pPr>
              <w:ind w:left="8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3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5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bl>
    <w:p>
      <w:pPr>
        <w:spacing w:after="0" w:line="112" w:lineRule="exact"/>
        <w:rPr>
          <w:sz w:val="20"/>
          <w:szCs w:val="20"/>
          <w:color w:val="auto"/>
        </w:rPr>
      </w:pPr>
    </w:p>
    <w:p>
      <w:pPr>
        <w:ind w:left="140" w:hanging="132"/>
        <w:spacing w:after="0"/>
        <w:tabs>
          <w:tab w:leader="none" w:pos="14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Accounts receivable reserves and reversals of allowance for subsequent collections, net</w:t>
      </w:r>
    </w:p>
    <w:p>
      <w:pPr>
        <w:spacing w:after="0" w:line="122"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Accounts receivable written-off and subsequent recoveries, net</w:t>
      </w:r>
    </w:p>
    <w:p>
      <w:pPr>
        <w:spacing w:after="0" w:line="10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July 15, 2016, the Company entered into an accounts receivable purchase agreement under which the Company could sell certain accounts receivable (balance not to exceed $10.0 million) to a third party, or the "Factor", without recourse to the Company, with an availability period through June 30, 2022, and from year to year thereafter unless terminated in writing by the parties. There were no accounts receivable sold during 2022 and 2021, respectively. As of December 31, 2022 and 2021, there were no outstanding sold accounts receivable.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INVENTORIES,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5.1: Details of Inventories,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inventory</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inventory obsolescence</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PROPERTY AND EQUIPMENT,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 Details of Property and Equipment,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15,420</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w:t>
            </w:r>
          </w:p>
        </w:tc>
      </w:tr>
      <w:tr>
        <w:trPr>
          <w:trHeight w:val="21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at cost</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18,414</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(14,391)</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(12,326)</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$2.4 million, $1.8 million, and $1.7 million for the years ended December 31, 2022, 2021, and 2020,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GOODWILL</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goodwill balance was $17.9 million as of December 31, 2022 and 2021, of which $3.0 million is allocated to the Security Solutions segment and $14.9 million is allocated to the Secure Networks segment.</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2021, the Company recorded goodwill of $3.0 million in connection with the DFT acquisition that was completed in July 2021. See </w:t>
      </w:r>
      <w:r>
        <w:rPr>
          <w:rFonts w:ascii="Times New Roman" w:cs="Times New Roman" w:eastAsia="Times New Roman" w:hAnsi="Times New Roman"/>
          <w:sz w:val="18"/>
          <w:szCs w:val="18"/>
          <w:u w:val="single" w:color="auto"/>
          <w:color w:val="0000FF"/>
        </w:rPr>
        <w:t>Note 10 – Acquisition</w:t>
      </w:r>
      <w:r>
        <w:rPr>
          <w:rFonts w:ascii="Times New Roman" w:cs="Times New Roman" w:eastAsia="Times New Roman" w:hAnsi="Times New Roman"/>
          <w:sz w:val="18"/>
          <w:szCs w:val="18"/>
          <w:color w:val="auto"/>
        </w:rPr>
        <w:t xml:space="preserve"> for further details.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a result of the segment reorganization in 2021, as further discussed in Note 2 - Significant Accounting Policies, we reported two operating and reportable segments: Security Solutions and Secure Networks. The two operating and reportable segments represent the reporting units for purposes of testing goodwill.</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net assets attributable to the reporting units are determined based upon the estimated assets and liabilities attributable to the reporting units in deriving its free cash flows. In addition, the estimate of the total fair value of our reporting units is compared to the market capitalization of the Company.</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Goodwill is subject to annual impairment tests and in the interim if triggering events are present before the annual tests, we will assess impairment. At year-end, the Company performed its annual impairment test of goodwill for all of the reporting units, and no impairment charges were taken during the years ended December 31, 2022, 2021 and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INTANGIBLE ASSETS,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8.1: Details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6"/>
          </w:tcPr>
          <w:p>
            <w:pPr>
              <w:jc w:val="center"/>
              <w:ind w:left="879"/>
              <w:spacing w:after="0"/>
              <w:rPr>
                <w:sz w:val="20"/>
                <w:szCs w:val="20"/>
                <w:color w:val="auto"/>
              </w:rPr>
            </w:pPr>
            <w:r>
              <w:rPr>
                <w:rFonts w:ascii="Times New Roman" w:cs="Times New Roman" w:eastAsia="Times New Roman" w:hAnsi="Times New Roman"/>
                <w:sz w:val="16"/>
                <w:szCs w:val="16"/>
                <w:color w:val="auto"/>
              </w:rPr>
              <w:t>As of December 31, 2022</w:t>
            </w: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2021</w:t>
            </w:r>
          </w:p>
        </w:tc>
        <w:tc>
          <w:tcPr>
            <w:tcW w:w="1080" w:type="dxa"/>
            <w:vAlign w:val="bottom"/>
            <w:tcBorders>
              <w:top w:val="single" w:sz="8" w:color="auto"/>
              <w:bottom w:val="single" w:sz="8" w:color="auto"/>
            </w:tcBorders>
          </w:tcPr>
          <w:p>
            <w:pPr>
              <w:spacing w:after="0"/>
              <w:rPr>
                <w:sz w:val="18"/>
                <w:szCs w:val="18"/>
                <w:color w:val="auto"/>
              </w:rPr>
            </w:pPr>
          </w:p>
        </w:tc>
      </w:tr>
      <w:tr>
        <w:trPr>
          <w:trHeight w:val="307"/>
        </w:trPr>
        <w:tc>
          <w:tcPr>
            <w:tcW w:w="2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Estimated useful</w:t>
            </w:r>
          </w:p>
        </w:tc>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24"/>
                <w:szCs w:val="24"/>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Net Carrying</w:t>
            </w:r>
          </w:p>
        </w:tc>
      </w:tr>
      <w:tr>
        <w:trPr>
          <w:trHeight w:val="213"/>
        </w:trPr>
        <w:tc>
          <w:tcPr>
            <w:tcW w:w="2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life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Value</w:t>
            </w:r>
          </w:p>
        </w:tc>
      </w:tr>
      <w:tr>
        <w:trPr>
          <w:trHeight w:val="216"/>
        </w:trPr>
        <w:tc>
          <w:tcPr>
            <w:tcW w:w="2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7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2 - 5 years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15,790</w:t>
            </w:r>
          </w:p>
        </w:tc>
      </w:tr>
      <w:tr>
        <w:trPr>
          <w:trHeight w:val="207"/>
        </w:trPr>
        <w:tc>
          <w:tcPr>
            <w:tcW w:w="2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19,199</w:t>
            </w:r>
          </w:p>
        </w:tc>
      </w:tr>
      <w:tr>
        <w:trPr>
          <w:trHeight w:val="219"/>
        </w:trPr>
        <w:tc>
          <w:tcPr>
            <w:tcW w:w="21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Software held for resale </w:t>
            </w:r>
            <w:r>
              <w:rPr>
                <w:rFonts w:ascii="Times New Roman" w:cs="Times New Roman" w:eastAsia="Times New Roman" w:hAnsi="Times New Roman"/>
                <w:sz w:val="21"/>
                <w:szCs w:val="21"/>
                <w:color w:val="auto"/>
                <w:vertAlign w:val="superscript"/>
              </w:rPr>
              <w:t>(1)</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45,870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37,415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19,199</w:t>
            </w:r>
          </w:p>
        </w:tc>
      </w:tr>
      <w:tr>
        <w:trPr>
          <w:trHeight w:val="20"/>
        </w:trPr>
        <w:tc>
          <w:tcPr>
            <w:tcW w:w="2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60" w:hanging="152"/>
        <w:spacing w:after="0"/>
        <w:tabs>
          <w:tab w:leader="none" w:pos="16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amount is net of $0.7 million charged into cost of sales.</w:t>
      </w:r>
    </w:p>
    <w:p>
      <w:pPr>
        <w:spacing w:after="0" w:line="1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capitalized software development costs was $1.4 million, $1.6 million, and $1.7 million for the years ended December 31, 2022, 2021, and 2020,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other intangible assets was $0.4 million, and $0.3 million for the years ended December 31,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 other intangible assets reported prior to the acquisition in 2021, see </w:t>
      </w:r>
      <w:r>
        <w:rPr>
          <w:rFonts w:ascii="Times New Roman" w:cs="Times New Roman" w:eastAsia="Times New Roman" w:hAnsi="Times New Roman"/>
          <w:sz w:val="18"/>
          <w:szCs w:val="18"/>
          <w:u w:val="single" w:color="auto"/>
          <w:color w:val="0000FF"/>
        </w:rPr>
        <w:t>Note 10 – Acquisition</w:t>
      </w:r>
      <w:r>
        <w:rPr>
          <w:rFonts w:ascii="Times New Roman" w:cs="Times New Roman" w:eastAsia="Times New Roman" w:hAnsi="Times New Roman"/>
          <w:sz w:val="18"/>
          <w:szCs w:val="18"/>
          <w:color w:val="auto"/>
        </w:rPr>
        <w:t xml:space="preserve"> for further details.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impairment charges on intangible assets for the periods presented.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8.2: Estimated Future Amortization Expense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As of December 31, 2022</w:t>
            </w:r>
          </w:p>
        </w:tc>
      </w:tr>
      <w:tr>
        <w:trPr>
          <w:trHeight w:val="192"/>
        </w:trPr>
        <w:tc>
          <w:tcPr>
            <w:tcW w:w="8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tcPr>
          <w:p>
            <w:pPr>
              <w:jc w:val="right"/>
              <w:ind w:right="76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2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2023</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6,046</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2024</w:t>
            </w: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5,699</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w:t>
            </w:r>
          </w:p>
        </w:tc>
      </w:tr>
      <w:tr>
        <w:trPr>
          <w:trHeight w:val="237"/>
        </w:trPr>
        <w:tc>
          <w:tcPr>
            <w:tcW w:w="8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30,295</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Actual amortization expense in future periods could differ from these estimates as a result of impairments, timing of completion of in-process software development projects, future releases and other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OTHER BALANCE SHEET COMPONENTS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9.1: Details of Accounts Payable and Other Accrued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7,869</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payables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Others</w:t>
            </w:r>
          </w:p>
        </w:tc>
        <w:tc>
          <w:tcPr>
            <w:tcW w:w="1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0" w:type="dxa"/>
            <w:vAlign w:val="bottom"/>
          </w:tcPr>
          <w:p>
            <w:pPr>
              <w:spacing w:after="0"/>
              <w:rPr>
                <w:sz w:val="1"/>
                <w:szCs w:val="1"/>
                <w:color w:val="auto"/>
              </w:rPr>
            </w:pPr>
          </w:p>
        </w:tc>
      </w:tr>
      <w:tr>
        <w:trPr>
          <w:trHeight w:val="204"/>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340" w:type="dxa"/>
            <w:vAlign w:val="bottom"/>
            <w:tcBorders>
              <w:top w:val="single" w:sz="8" w:color="auto"/>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34,548</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9.2: Details of Other Current Liabilities</w:t>
            </w: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7"/>
        </w:trPr>
        <w:tc>
          <w:tcPr>
            <w:tcW w:w="700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 accrual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4,919</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ACQUISITION</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30, 2021, the Company acquired the assets of DFT and wholly-owned subsidiaries for a total purchase consideration of $6.7 million, inclusive of $0.3 million related to a pre-existing contractual arrangement with DFT. Upon closing, $5.9 million of cash was paid with an additional $0.6 million payable to DFT 18 months after the close date (the "holdback"). The holdback amount was discounted to its present value of $0.5 million using a discount rate relevant to the acquisition. The acquisition adds several new patents to the Company's library of biometric and digital identity intellectual property. The addition of contactless biometrics technology will enable the Company to better serve the needs of organizations in existing and new markets. The acquisition of the assets of DFT has been accounted for under U.S. GAAP using the acquisition method of accounting. The total purchase consideration of $6.7 million has been allocated among the assets acquired at their fair value at the acquisition date.</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recognized $3.7 million of intangible assets and $3.0 million of goodwill, which is housed in the Security Solutions operating segment. Goodwill is primarily attributable to excess of the purchase price over the acquired identifiable net tangible and intangible assets. The acquired intangible assets will be amortized on a straight-line basis over 3 - 8 years. The acquisition was considered an asset purchase for tax purposes and the recognized goodwill is deductible for tax purposes. Acquisition-related costs were immaterial and have been expensed as incurred.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PURCHASE OF TELOS ID NON-CONTROLLING INTERESTS</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Telos ID was formed as a limited liability company under the Delaware Limited Liability Company Act in 2007. Prior to the IPO in November 2020, the Company owned a 50% interest in Telos ID, with the remaining interest owned by Hoya ID Fund A, LLC ("Hoya") as the non-controlling interest.</w:t>
      </w:r>
    </w:p>
    <w:p>
      <w:pPr>
        <w:spacing w:after="0" w:line="10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October 5, 2020, we entered into a Membership Interest Purchase Agreement between the Company and Hoya to purchase all of the Class B Units of Telos ID ("Telos ID Units") owned by Hoya (the "Telos ID Purchase"). Upon the closing of the Telos ID Purchase, Telos ID became our wholly-owned subsidiary. On November 23, 2020, the Telos ID Purchase was consummated with the Company transferring $30.0 million in cash and issuing 7.3 million shares of our common stock at $20.39 per share (which totals approximately $148.4 million); the total consideration transferred to Hoya was</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$178.4 million. As part of the common stock issuance, the Company recognized a credit to additional paid-in-capital ("APIC") of $148.4 million. The Company further recognized a debit to APIC of $173.9 million as part of the elimination of Hoya's non-controlling interest in Telos ID. The net impact to APIC associated with the acquisition of the additional 50% interest in Telos ID was a debit of $25.5 million.</w:t>
      </w:r>
    </w:p>
    <w:p>
      <w:pPr>
        <w:spacing w:after="0" w:line="13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fiscal year 2020, 50% of the profit allocated to the Class B member amounted to $5.2 million. During the year ended December 31, 2020, the Class B member received a total of $2.8 million of distribution and a final distribution of $2.4 million in January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DEBT AND OTHER OBLIGATIONS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30, 2022 (the "Closing Date"), we entered into a Credit Agreement (the "Credit Agreement"), by and among the Company, as borrower, Xacta Corporation, ubIQuity.com.inc,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Credit Agreement will accrue interest, at our option, at one of three variable rates, plus a specified margin. We can elect to borrow at</w:t>
      </w:r>
    </w:p>
    <w:p>
      <w:pPr>
        <w:spacing w:after="0" w:line="27" w:lineRule="exact"/>
        <w:rPr>
          <w:sz w:val="20"/>
          <w:szCs w:val="20"/>
          <w:color w:val="auto"/>
        </w:rPr>
      </w:pPr>
    </w:p>
    <w:p>
      <w:pPr>
        <w:ind w:firstLine="8"/>
        <w:spacing w:after="0" w:line="251"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 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are also paying costs and customary fees, including a closing fee, commitment fees and letter of credit participation fee, if any, payable to the Agent and Lenders, as applicable, in connection with the Loan.</w:t>
      </w:r>
    </w:p>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Loan under the Credit Agreement is collateralized by substantially all of the Company's assets, including the Company's pledge of its domestic and material foreign subsidiary equity interests.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December 31, 2022.</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occurrence of an event of default under the Credit Agreement could result in the Loan and other obligations becoming immediately due and payable and allow the Lenders to exercise all rights and remedies available to them under the Credit Agreement.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Financing Obligations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entered into a Master Purchase Agreement ("MPA") with a third-party buyer ("Buyer") for $9.1 million ("Assignment Price")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(3) additional 12-month periods through January 2026. The DO payments assigned to the Buyer are billable to the customer at the beginning of the base period and for each option year exercised. The underlying licenses were acquired for resale, see </w:t>
      </w:r>
      <w:r>
        <w:rPr>
          <w:rFonts w:ascii="Times New Roman" w:cs="Times New Roman" w:eastAsia="Times New Roman" w:hAnsi="Times New Roman"/>
          <w:sz w:val="18"/>
          <w:szCs w:val="18"/>
          <w:u w:val="single" w:color="auto"/>
          <w:color w:val="0000FF"/>
        </w:rPr>
        <w:t>Note 8 – Intangible Assets, net</w:t>
      </w:r>
      <w:r>
        <w:rPr>
          <w:rFonts w:ascii="Times New Roman" w:cs="Times New Roman" w:eastAsia="Times New Roman" w:hAnsi="Times New Roman"/>
          <w:sz w:val="18"/>
          <w:szCs w:val="18"/>
          <w:color w:val="auto"/>
        </w:rPr>
        <w:t xml:space="preserve"> for further details.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February 9, 2023, the customer notified us that it would not exercise the first option period under the DO. The MPA provides that, if the customer terminates the DO for non-renewal and the Buyer reasonably concludes that the customer's actions constitute grounds for filing a claim with the customer's contracting officer, Buyer and Telos will cooperate in preparing such a claim, which would be filed in Telos' name. Buyer has notified Telos of its intent to pursue a claim against the customer.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Term Loan</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25, 2017, we entered into a Credit Agreement (the "EnCap Credit Agreement") with Enlightenment Capital Solutions Fund II, L.P., as agent (the "Agent") and the lenders party thereto (the "Lenders") (together referenced as "EnCap"). The EnCap Credit Agreement provided for an $11.0 million senior term loan (the "Loan") with a maturity date of January 25, 2022, subject to acceleration in the event of customary events of default. All borrowings under the Credit Agreement accrued interest at the rate of 13.0% per annum.</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the EnCap Credit Agreement, the Company issued warrants (each, a "Warrant") to the Agent and certain of the Lenders representing in the aggregate the right to purchase in accordance with their terms 900,970 shares of the Class A Common Stock of the Company, no par value per share, which was equivalent to approximately 2.5% of the common equity interests of the Company on a fully diluted basis. The exercise price as $1.665 per share and each Warrant would expire on January 25, 2027. The value of the warrants was determined to be de minimis and no value was allocated to them on a relative fair value basis in accounting for the debt instrument. The Credit Agreement also included an $825,000 exit fee, which was payable upon any repayment or prepayment of the loan. This has been included in the total principal due and treated as an unamortized discount on the debt, which would be amortized over the term of the loan, using the effective interest method at a rate of 15.0%. In addition, incurred fees and transaction costs related to the issuance of the EnCap Credit Agreement were amortized over the life of this Agreement.</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July 19, 2019, the EnCap Credit Agreement was amended to, among others, provide an additional $5.0 million in principal borrowings, change the maturity date from January 25, 2022 to January 15, 2021 and increase the exit fee to $1.2 million. The exit fee had been included in the total principal due and treated as an unamortized discount on the debt, which was amortized over the term of the loan using the effective interest method at a rate of 17.3% over the remaining term of the loan.</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EnCap Credit Agreement was further amended on March 26, 2020 to provide for four quarterly maturity date extensions, which would increase the Exit Fee payable under the Credit Agreement by $0.3 million for each quarterly maturity date extension elected, for a total of $1.0 million increase to the Exit Fee were all four of the maturity date extensions to be elected. The Company paid EnCap an amendment fee of $0.1 million and out-of-pocket costs and expenses in consideration for the March 2020 amendment.</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24, 2020, upon the closing of the IPO, the Company paid a total of $17.4 million which paid off the EnCap Credit Agreement in full, including an exit fee of $1.2 million, accrued interest of $0.1 million, and legal fees of $13,000. As a result, we recognized a loss on debt extinguishment of $0.1 million presented as a part of the non-operating expense in the consolidated statements of operations. For the year ended December 31, 2020, we incurred interest expenses amounting to $2.7 million.</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19, 2021, the Company entered into multiple Redemption Agreements and Warrant Redemption and Cancellation Agreements (collectively the "Repurchase Agreement") with EnCap and certain related funds that held the warrants to purchase 900,970 shares of the Company's common stock in addition to 39,682 shares of the Company's common stock. Under the Repurchase Agreement, the Company agreed to repurchase the outstanding warrants for $26.9 million and common stock for $1.3 million. The average price of the warrants and common stock repurchased were $29.85 per share and $31.51 per share, respectively. Upon settlement, the repurchased warrants were retired. The Company reduced common stock for the $0.001 par value of the shares repurchased, with the excess purchase price over par value recorded as a reduction of APIC. As a result of the repurchases, the Company recognized these amounts as a reduction to APIC.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31, 2015, the Company entered into unsecured Subordinated Loan Agreements and Subordinated Promissory Notes ("Porter Notes") with affiliated entities of Mr. John R. C. Porter (together referenced as "Porter"). Mr. Porter and Toxford Corporation, of which Mr. Porter was the sole shareholder, owned 35.0% of our Class A Common Stock. Under the terms of the Porter Notes, Porter lent the Company $2.5 million, with the outstanding principal bearing interest at a fixed rate of twelve percent (12%), payable quarterly starting August 20, 2015. The unpaid principal, together with interest, was originally due and payable in full on July 1, 2017.</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EnCap Credit Agreement and any subsequent senior lenders, and payments under the Porter Notes were permitted only if certain conditions were met. All other terms remained in full force and effect.</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November 23, 2020, upon the closing of the IPO, the Porter Notes were paid in full. We incurred interest expense amounting to $0.3 million for fiscal year 2020 on the Porter Notes.</w:t>
      </w:r>
    </w:p>
    <w:p>
      <w:pPr>
        <w:spacing w:after="0" w:line="108" w:lineRule="exact"/>
        <w:rPr>
          <w:sz w:val="20"/>
          <w:szCs w:val="20"/>
          <w:color w:val="auto"/>
        </w:rPr>
      </w:pPr>
    </w:p>
    <w:p>
      <w:pPr>
        <w:ind w:right="5340"/>
        <w:spacing w:after="0" w:line="438" w:lineRule="auto"/>
        <w:rPr>
          <w:sz w:val="20"/>
          <w:szCs w:val="20"/>
          <w:color w:val="auto"/>
        </w:rPr>
      </w:pPr>
      <w:r>
        <w:rPr>
          <w:rFonts w:ascii="Times New Roman" w:cs="Times New Roman" w:eastAsia="Times New Roman" w:hAnsi="Times New Roman"/>
          <w:sz w:val="18"/>
          <w:szCs w:val="18"/>
          <w:color w:val="auto"/>
        </w:rPr>
        <w:t xml:space="preserve">13. EXCHANGEABLE REDEEMABLE PREFERRED STOCK CONVERSION </w:t>
      </w:r>
      <w:r>
        <w:rPr>
          <w:rFonts w:ascii="Times New Roman" w:cs="Times New Roman" w:eastAsia="Times New Roman" w:hAnsi="Times New Roman"/>
          <w:sz w:val="18"/>
          <w:szCs w:val="18"/>
          <w:i w:val="1"/>
          <w:iCs w:val="1"/>
          <w:color w:val="auto"/>
        </w:rPr>
        <w:t>Public Preferred Stock</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maximum of 6,000,000 shares of the Public Preferred Stock, par value $0.01 per share, had been authorized for issuance. We initially issued 2,858,723 shares of the Public Preferred Stock pursuant to the acquisition of the Company during fiscal year 1990, recorded at fair value on the date of original issuance. In November 1998, we retired 410,000 shares of the Public Preferred Stock. Prior to the IPO, the total number of shares issued and outstanding was 3,185,586. The Public Preferred Stock was quoted as "TLSRP" on the OTCQB marketplace and the OTC Bulletin Board.</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Public Preferred Stock accrued a semi-annual dividend at the annual rate of 12% ($1.20) per share, based on the liquidation preference of $10 per share, and was fully cumulative. For the year ended December 31, 2020, we accrued dividends on the Public Preferred Stock amounting to $3.4 million, which was recorded as interest expense.</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Upon the closing of the IPO, which constituted a qualified initial public offering for the purposes of the terms of the Exchangeable Redeemable Preferred Stock, each issued and outstanding share of Exchangeable Redeemable Preferred Stock automatically was converted (the "ERPS Conversion") into the right to receive (i) an amount of cash equal to (I) the ERPS Liquidation Value; multiplied by (II) 0.90; multiplied by (III) 0.85 and (ii) that number of shares of common stock (valued at the initial offering price to the public) equal to (I) the ERPS Liquidation Value; multiplied by (II) 0.90; multiplied by (III) 0.15. No fractional shares of common stock, however, were issued upon an ERPS Conversion Event but, in lieu thereof, the holder was entitled to receive an amount of cash equal to the fair market value of a share of common stock (valued at the initial offering price to the public) at the time of such ERPS Conversion Event multiplied by such fractional amount (rounded to the nearest cent). "ERPS Liquidation Value" means, per each share of Exchangeable Redeemable Preferred Stock, $10 together with all accrued and unpaid dividends (whether or not earned or declared) thereon calculated as of the actual date of an ERPS Conversion Event without interest, which was approximately $142.3 million as of November 19, 2020. All shares of common stock issued upon an ERPS Conversion were validly issued, fully paid and non-assessable. On November 23, 2020, holders of Exchangeable Redeemable Preferred Stock received $108.9 million in cash and 1.1 million shares of our common stock at $17 per share for a total value of $19.2 million in connection with the ERPS Conversion. The difference in the redemption value of the ERPS and the carrying value has been accounted for as a gain on extinguishment of debt in accordance with ASC 470 and ASC 480. Approximately $0.2 million of costs directly attributable to this redemption were applied against the gain, resulting in a net gain of $14.0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STOCKHOLDERS' EQUITY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Stock</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250,000,000 shares of common stock, $0.001 par value per share, and 10,000,000 shares of preferred stock, $0.01 par value per share. Prior to our Second Amended and Restated Articles of Incorporation, which were effective November 12, 2020, the relative rights, preferences, and limitations of the Class A common stock and the Class B common stock were in all respects identical. The holders of the common stock had one vote for each share of common stock held. Our Second Amended and Restated Articles of Incorporation authorized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On November 12, 2020, we filed Articles of Amendment (the "Articles") with the State Department of Assessments and Taxation of the State of Maryland, effective as of the same date (the "Effective Time"). The Articles amended the Company's charter to effect a reverse stock split such that (1) every</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1.259446 shares of Class A Common Stock that were issued and outstanding immediately prior to the Effective Time were changed into one issued and outstanding share of Class A Common Stock, and (2) every 1.259446 shares of Class B Common Stock that were issued and outstanding immediately prior to the Effective Time were changed into one issued and outstanding share of Class B Common Stock. Also on November 12, 2020, we filed the Second Articles of Amendment and Restatement (the "Second Amended Articles") with the State Department of Assessments and Taxation of the State of Maryland, effective as of the same date (the "Effective Time"). The Second Amended Articles amended the Company's charter to effect a conversion of each share of the Class B Common Stock that was issued and outstanding immediately prior to the Effective Time into one fully paid and non-assessable share of Class A Common Stock. From and after the Effective Time, certificates representing the Class B Common Stock now represent the number of shares of Class A Common Stock in which such Class B Common Stock was converted. Also, at the Effective Time, the Class A Common Stock was renamed and re-designated as common stock, par value $0.001 per share, of the Corporation.</w:t>
      </w:r>
    </w:p>
    <w:p>
      <w:pPr>
        <w:spacing w:after="0" w:line="1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there were 67,431,632 and 66,767,450 shares of common stock issued and outstanding, respectively. There were no shares of preferred stock issued and outstanding on either date.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Repurchases</w:t>
      </w:r>
    </w:p>
    <w:p>
      <w:pPr>
        <w:spacing w:after="0" w:line="17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Relative to the Repurchase Agreements, as disclosed under </w:t>
      </w:r>
      <w:r>
        <w:rPr>
          <w:rFonts w:ascii="Times New Roman" w:cs="Times New Roman" w:eastAsia="Times New Roman" w:hAnsi="Times New Roman"/>
          <w:sz w:val="18"/>
          <w:szCs w:val="18"/>
          <w:u w:val="single" w:color="auto"/>
          <w:color w:val="0000FF"/>
        </w:rPr>
        <w:t>Note 12 – Debt and Other Obligations</w:t>
      </w:r>
      <w:r>
        <w:rPr>
          <w:rFonts w:ascii="Times New Roman" w:cs="Times New Roman" w:eastAsia="Times New Roman" w:hAnsi="Times New Roman"/>
          <w:sz w:val="18"/>
          <w:szCs w:val="18"/>
          <w:color w:val="auto"/>
        </w:rPr>
        <w:t xml:space="preserve"> above, the Company agreed to repurchase the 39,682 outstanding shares held by EnCap for $1.3 million on April 19, 2021.</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 As of December 31, 2022, there was $38.7 million of the remaining authorization for future common stock repurchases under the SRP.</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14.1: Share Repurchase Program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gridSpan w:val="7"/>
          </w:tcPr>
          <w:p>
            <w:pPr>
              <w:jc w:val="center"/>
              <w:ind w:left="52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900" w:type="dxa"/>
            <w:vAlign w:val="bottom"/>
            <w:tcBorders>
              <w:top w:val="single" w:sz="8" w:color="auto"/>
              <w:bottom w:val="single" w:sz="8" w:color="auto"/>
            </w:tcBorders>
          </w:tcPr>
          <w:p>
            <w:pPr>
              <w:spacing w:after="0"/>
              <w:rPr>
                <w:sz w:val="18"/>
                <w:szCs w:val="18"/>
                <w:color w:val="auto"/>
              </w:rPr>
            </w:pPr>
          </w:p>
        </w:tc>
      </w:tr>
      <w:tr>
        <w:trPr>
          <w:trHeight w:val="209"/>
        </w:trPr>
        <w:tc>
          <w:tcPr>
            <w:tcW w:w="6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jc w:val="center"/>
              <w:ind w:left="480"/>
              <w:spacing w:after="0"/>
              <w:rPr>
                <w:sz w:val="20"/>
                <w:szCs w:val="20"/>
                <w:color w:val="auto"/>
              </w:rPr>
            </w:pPr>
            <w:r>
              <w:rPr>
                <w:rFonts w:ascii="Times New Roman" w:cs="Times New Roman" w:eastAsia="Times New Roman" w:hAnsi="Times New Roman"/>
                <w:sz w:val="16"/>
                <w:szCs w:val="16"/>
                <w:color w:val="auto"/>
                <w:w w:val="99"/>
              </w:rPr>
              <w:t>2021</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2020</w:t>
            </w:r>
          </w:p>
        </w:tc>
      </w:tr>
      <w:tr>
        <w:trPr>
          <w:trHeight w:val="216"/>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gridSpan w:val="7"/>
          </w:tcPr>
          <w:p>
            <w:pPr>
              <w:jc w:val="center"/>
              <w:ind w:left="520"/>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900" w:type="dxa"/>
            <w:vAlign w:val="bottom"/>
          </w:tcPr>
          <w:p>
            <w:pPr>
              <w:spacing w:after="0"/>
              <w:rPr>
                <w:sz w:val="18"/>
                <w:szCs w:val="18"/>
                <w:color w:val="auto"/>
              </w:rPr>
            </w:pPr>
          </w:p>
        </w:tc>
      </w:tr>
      <w:tr>
        <w:trPr>
          <w:trHeight w:val="23"/>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Amounts paid for shares repurchased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1,550,162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Average per share price paid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commission paid for repurchases on the open market</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(Loss)/Income</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2"/>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14.2: Components of Accumulated Other Comprehensive Loss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0"/>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259"/>
              <w:spacing w:after="0"/>
              <w:rPr>
                <w:sz w:val="20"/>
                <w:szCs w:val="20"/>
                <w:color w:val="auto"/>
              </w:rPr>
            </w:pPr>
            <w:r>
              <w:rPr>
                <w:rFonts w:ascii="Times New Roman" w:cs="Times New Roman" w:eastAsia="Times New Roman" w:hAnsi="Times New Roman"/>
                <w:sz w:val="16"/>
                <w:szCs w:val="16"/>
                <w:color w:val="auto"/>
              </w:rPr>
              <w:t>As of December 31, 2022</w:t>
            </w:r>
          </w:p>
        </w:tc>
        <w:tc>
          <w:tcPr>
            <w:tcW w:w="900" w:type="dxa"/>
            <w:vAlign w:val="bottom"/>
            <w:tcBorders>
              <w:bottom w:val="single" w:sz="8" w:color="auto"/>
            </w:tcBorders>
          </w:tcPr>
          <w:p>
            <w:pPr>
              <w:spacing w:after="0"/>
              <w:rPr>
                <w:sz w:val="18"/>
                <w:szCs w:val="18"/>
                <w:color w:val="auto"/>
              </w:rPr>
            </w:pPr>
          </w:p>
        </w:tc>
      </w:tr>
      <w:tr>
        <w:trPr>
          <w:trHeight w:val="209"/>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2022</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r>
      <w:tr>
        <w:trPr>
          <w:trHeight w:val="216"/>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4"/>
          </w:tcPr>
          <w:p>
            <w:pPr>
              <w:jc w:val="center"/>
              <w:ind w:left="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foreign currency translation loss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Cumulative actuarial gain on pension liability adjustment</w:t>
            </w:r>
          </w:p>
        </w:tc>
        <w:tc>
          <w:tcPr>
            <w:tcW w:w="3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EMPLOYEE BENEFIT PLAN</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Telos sponsors a defined contribution employee savings plan (the "Plan") under which substantially all full-time employees are eligible to participate. As of December 31, 2022, the Plan held 876,602 shares of Telos common stock. Prior to March 2022, we matched one-half of employee contribution to the Plan up to a maximum of 2% of such employee's eligible annual base salary. In March 2022, we increased the maximum employer match up to 4% of the employee's eligible annual base salary. Participant contributions vest immediately, and Telos contributions vest at the rate of 20% each year, with full vesting occurring after completion of five years of service. Telos intends to fund the employer matching contribution in Telos stock, but will have the discretion to fund the match in cash or a combination of stock and cash, and are funded in the first quarter of the subsequent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contributions to the Plan for 2022, 2021, and 2020 were $2.2 million, $1.3 million, and $1.2 million,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STOCK-BASED COMPENSATION</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stock-based compensation awards are under the 2016 LTIP and issue new shares upon the vesting of stock units under this plan. In October 2020, the Company amended the 2016 LTIP to increase the total number of shares available for issuance from 4,500,000 to 9,400,000 (equivalent to 7,459,913 shares after the stock split in November 2020) and extended the term to September 30, 2030. Our 2016 LTIP provides for the grant of stock options, stock appreciation rights, restricted stock, restricted stock units, unrestricted stock and dividend equivalent rights to our senior executives, directors, employees, and other eligible service providers.</w:t>
      </w:r>
    </w:p>
    <w:p>
      <w:pPr>
        <w:spacing w:after="0" w:line="1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stock options granted under the 2016 LTIP expire no more than 10 years after the date of grant. No stock options granted under the 2016 LTIP are outstanding as of December 31, 2022. Approximately 0.4 million shares of our common stock were reserved for future grants as of December 31, 2022 under the 2016 LTIP.</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records stock-based compensation related to accrued compensation in which it intends to settle in shares of the Company's common stock. However, it is the Company's discretion whether this compensation will ultimately be paid in stock or cash, as it has the right to dictate the form of these payments up until the date they are paid. In addition, stock-based compensation expense includes an immaterial increase of $1.3 million for the year ended December 31, 2022, to correct a prior period error. There were no income tax benefits recognized on the share-based compensation expense for these periods.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16.1: Details of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7"/>
          </w:tcPr>
          <w:p>
            <w:pPr>
              <w:jc w:val="center"/>
              <w:ind w:right="25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33"/>
        </w:trPr>
        <w:tc>
          <w:tcPr>
            <w:tcW w:w="5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services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52,689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47,134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4"/>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16.2: Service-Based RSU and Performance-Based RSU Award Activity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7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Performance-Based</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color w:val="auto"/>
              </w:rPr>
              <w:t>Weighted-Average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Service-Based RSU</w:t>
            </w:r>
          </w:p>
        </w:tc>
        <w:tc>
          <w:tcPr>
            <w:tcW w:w="15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RSU</w:t>
            </w: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3,030,608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492,727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3,523,335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3,987,911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3,987,911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(3,068,525)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(3,068,525)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(379,912)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(155,942)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(535,854)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3,570,082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336,785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3,906,867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key assumptions used to calculate the grant date fair value of the PRSU awards in 2021 include a performance period ranging from 2.45 to 2.92 years, expected volatility between 57.4% - 58.8%, and a risk-free rate of 0.18% - 0.29%. The fair value at the grant date and derived service periods calculated for these market condition PRSUs were $19.12 - $30.84 and between 0.38 - 0.76 years, respectively.</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2022, the intrinsic value of the RSU and PRSUs outstanding, exercisable, and vested or expected to vest was $19.8 million. There was $26.8 million of total compensation costs related to stock-based awards not yet recognized as of December 31, 2022, which is expected to be recognized on a straight-line basis over a weighted-average remaining vesting period of 0.8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(LOSS)/EARNINGS PER SHARE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period of net loss, potentially dilutive securities are not included in the calculation of diluted net (loss)/earnings per share because to do so would be anti-dilutive.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17.1: Potentially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r>
      <w:tr>
        <w:trPr>
          <w:trHeight w:val="216"/>
        </w:trPr>
        <w:tc>
          <w:tcPr>
            <w:tcW w:w="6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8"/>
                <w:szCs w:val="18"/>
                <w:color w:val="auto"/>
              </w:rPr>
            </w:pPr>
          </w:p>
        </w:tc>
      </w:tr>
      <w:tr>
        <w:trPr>
          <w:trHeight w:val="23"/>
        </w:trPr>
        <w:tc>
          <w:tcPr>
            <w:tcW w:w="6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and restricted stock units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stock warrants, exercisable at $1.665/sh.</w:t>
            </w: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32"/>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Performance-based RSUs of 336,785 have been excluded in the calculation of the potentially dilutive securities above because issuance of such shares are contingent upon the satisfaction of certain conditions which were not satisfied by the end of the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INCOME TAXES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18.1: Components of Provision for/(Benefit from)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980" w:type="dxa"/>
            <w:vAlign w:val="bottom"/>
            <w:tcBorders>
              <w:bottom w:val="single" w:sz="8" w:color="auto"/>
            </w:tcBorders>
          </w:tcPr>
          <w:p>
            <w:pPr>
              <w:spacing w:after="0"/>
              <w:rPr>
                <w:sz w:val="19"/>
                <w:szCs w:val="19"/>
                <w:color w:val="auto"/>
              </w:rPr>
            </w:pPr>
          </w:p>
        </w:tc>
      </w:tr>
      <w:tr>
        <w:trPr>
          <w:trHeight w:val="237"/>
        </w:trPr>
        <w:tc>
          <w:tcPr>
            <w:tcW w:w="6900" w:type="dxa"/>
            <w:vAlign w:val="bottom"/>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r>
      <w:tr>
        <w:trPr>
          <w:trHeight w:val="233"/>
        </w:trPr>
        <w:tc>
          <w:tcPr>
            <w:tcW w:w="6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
        </w:trPr>
        <w:tc>
          <w:tcPr>
            <w:tcW w:w="6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provision/(benefit)</w:t>
            </w: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center"/>
              <w:ind w:left="7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9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left="760"/>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0"/>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current</w:t>
            </w: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760"/>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expense</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6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left="800"/>
              <w:spacing w:after="0"/>
              <w:rPr>
                <w:sz w:val="20"/>
                <w:szCs w:val="20"/>
                <w:color w:val="auto"/>
              </w:rPr>
            </w:pPr>
            <w:r>
              <w:rPr>
                <w:rFonts w:ascii="Times New Roman" w:cs="Times New Roman" w:eastAsia="Times New Roman" w:hAnsi="Times New Roman"/>
                <w:sz w:val="16"/>
                <w:szCs w:val="16"/>
                <w:color w:val="auto"/>
                <w:w w:val="99"/>
              </w:rPr>
              <w:t>19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53"/>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9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left="800"/>
              <w:spacing w:after="0"/>
              <w:rPr>
                <w:sz w:val="20"/>
                <w:szCs w:val="20"/>
                <w:color w:val="auto"/>
              </w:rPr>
            </w:pPr>
            <w:r>
              <w:rPr>
                <w:rFonts w:ascii="Times New Roman" w:cs="Times New Roman" w:eastAsia="Times New Roman" w:hAnsi="Times New Roman"/>
                <w:sz w:val="16"/>
                <w:szCs w:val="16"/>
                <w:color w:val="auto"/>
                <w:w w:val="99"/>
              </w:rPr>
              <w:t>51</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0"/>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w:t>
            </w: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800"/>
              <w:spacing w:after="0"/>
              <w:rPr>
                <w:sz w:val="20"/>
                <w:szCs w:val="20"/>
                <w:color w:val="auto"/>
              </w:rPr>
            </w:pPr>
            <w:r>
              <w:rPr>
                <w:rFonts w:ascii="Times New Roman" w:cs="Times New Roman" w:eastAsia="Times New Roman" w:hAnsi="Times New Roman"/>
                <w:sz w:val="16"/>
                <w:szCs w:val="16"/>
                <w:color w:val="auto"/>
                <w:w w:val="99"/>
              </w:rPr>
              <w:t>70</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6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for/(benefit from) income taxes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center"/>
              <w:ind w:left="76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18.2: Reconciliation of Statutory Tax Rate to Actual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29210</wp:posOffset>
            </wp:positionV>
            <wp:extent cx="31032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gridSpan w:val="2"/>
          </w:tcPr>
          <w:p>
            <w:pPr>
              <w:ind w:left="6980"/>
              <w:spacing w:after="0"/>
              <w:rPr>
                <w:sz w:val="20"/>
                <w:szCs w:val="20"/>
                <w:color w:val="auto"/>
              </w:rPr>
            </w:pPr>
            <w:r>
              <w:rPr>
                <w:rFonts w:ascii="Times New Roman" w:cs="Times New Roman" w:eastAsia="Times New Roman" w:hAnsi="Times New Roman"/>
                <w:sz w:val="16"/>
                <w:szCs w:val="16"/>
                <w:color w:val="auto"/>
                <w:w w:val="99"/>
              </w:rPr>
              <w:t>2022</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2021</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2020</w:t>
            </w:r>
          </w:p>
        </w:tc>
      </w:tr>
      <w:tr>
        <w:trPr>
          <w:trHeight w:val="24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Computed expected income tax provision</w:t>
            </w:r>
          </w:p>
        </w:tc>
        <w:tc>
          <w:tcPr>
            <w:tcW w:w="96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income tax benefit</w:t>
            </w: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w:t>
            </w:r>
          </w:p>
        </w:tc>
      </w:tr>
      <w:tr>
        <w:trPr>
          <w:trHeight w:val="25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 for deferred tax assets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17.0</w:t>
            </w:r>
          </w:p>
        </w:tc>
      </w:tr>
      <w:tr>
        <w:trPr>
          <w:trHeight w:val="23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Cumulative deferred adjustments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r>
      <w:tr>
        <w:trPr>
          <w:trHeight w:val="25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to return adjustments</w:t>
            </w:r>
          </w:p>
        </w:tc>
        <w:tc>
          <w:tcPr>
            <w:tcW w:w="6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r>
      <w:tr>
        <w:trPr>
          <w:trHeight w:val="23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20"/>
                <w:szCs w:val="20"/>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w:t>
            </w:r>
          </w:p>
        </w:tc>
      </w:tr>
      <w:tr>
        <w:trPr>
          <w:trHeight w:val="25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and accretion on preferred stock</w:t>
            </w:r>
          </w:p>
        </w:tc>
        <w:tc>
          <w:tcPr>
            <w:tcW w:w="166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10.5</w:t>
            </w:r>
          </w:p>
        </w:tc>
      </w:tr>
      <w:tr>
        <w:trPr>
          <w:trHeight w:val="23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redemption of preferred stock</w:t>
            </w:r>
          </w:p>
        </w:tc>
        <w:tc>
          <w:tcPr>
            <w:tcW w:w="1660" w:type="dxa"/>
            <w:vAlign w:val="bottom"/>
            <w:gridSpan w:val="3"/>
          </w:tcPr>
          <w:p>
            <w:pPr>
              <w:jc w:val="right"/>
              <w:ind w:right="1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(43.3)</w:t>
            </w:r>
          </w:p>
        </w:tc>
      </w:tr>
      <w:tr>
        <w:trPr>
          <w:trHeight w:val="22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Section 162(m) limitation - covered employees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20"/>
                <w:szCs w:val="20"/>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14.6</w:t>
            </w:r>
          </w:p>
        </w:tc>
      </w:tr>
      <w:tr>
        <w:trPr>
          <w:trHeight w:val="25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of IPO transaction costs</w:t>
            </w:r>
          </w:p>
        </w:tc>
        <w:tc>
          <w:tcPr>
            <w:tcW w:w="166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4.4</w:t>
            </w:r>
          </w:p>
        </w:tc>
      </w:tr>
      <w:tr>
        <w:trPr>
          <w:trHeight w:val="23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20"/>
                <w:szCs w:val="20"/>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r>
      <w:tr>
        <w:trPr>
          <w:trHeight w:val="25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R&amp;D credit</w:t>
            </w:r>
          </w:p>
        </w:tc>
        <w:tc>
          <w:tcPr>
            <w:tcW w:w="6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(12.4)</w:t>
            </w:r>
          </w:p>
        </w:tc>
      </w:tr>
      <w:tr>
        <w:trPr>
          <w:trHeight w:val="23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(15.9)</w:t>
            </w:r>
          </w:p>
        </w:tc>
      </w:tr>
      <w:tr>
        <w:trPr>
          <w:trHeight w:val="263"/>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tax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18.3: Components of Deferred Tax Assets and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As of December 31,</w:t>
            </w: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principally due to allowance for doubtful accounts</w:t>
            </w:r>
          </w:p>
        </w:tc>
        <w:tc>
          <w:tcPr>
            <w:tcW w:w="3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inventory obsolescence and amortization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not currently deductible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163(j) interest limitation</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37,394</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costs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 - federal</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 - state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R&amp;D tax credit</w:t>
            </w:r>
          </w:p>
        </w:tc>
        <w:tc>
          <w:tcPr>
            <w:tcW w:w="3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0" w:type="dxa"/>
            <w:vAlign w:val="bottom"/>
          </w:tcPr>
          <w:p>
            <w:pPr>
              <w:spacing w:after="0"/>
              <w:rPr>
                <w:sz w:val="1"/>
                <w:szCs w:val="1"/>
                <w:color w:val="auto"/>
              </w:rPr>
            </w:pPr>
          </w:p>
        </w:tc>
      </w:tr>
      <w:tr>
        <w:trPr>
          <w:trHeight w:val="207"/>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61,299</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(55,588)</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3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and depreciation</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3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(6,434)</w:t>
            </w: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18.4: Valuation Allowance Activity</w:t>
            </w: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7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center"/>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2021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0" w:type="dxa"/>
            <w:vAlign w:val="bottom"/>
          </w:tcPr>
          <w:p>
            <w:pPr>
              <w:spacing w:after="0"/>
              <w:rPr>
                <w:sz w:val="1"/>
                <w:szCs w:val="1"/>
                <w:color w:val="auto"/>
              </w:rPr>
            </w:pPr>
          </w:p>
        </w:tc>
      </w:tr>
      <w:tr>
        <w:trPr>
          <w:trHeight w:val="240"/>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44,992</w:t>
            </w:r>
          </w:p>
        </w:tc>
        <w:tc>
          <w:tcPr>
            <w:tcW w:w="0" w:type="dxa"/>
            <w:vAlign w:val="bottom"/>
          </w:tcPr>
          <w:p>
            <w:pPr>
              <w:spacing w:after="0"/>
              <w:rPr>
                <w:sz w:val="1"/>
                <w:szCs w:val="1"/>
                <w:color w:val="auto"/>
              </w:rPr>
            </w:pPr>
          </w:p>
        </w:tc>
      </w:tr>
      <w:tr>
        <w:trPr>
          <w:trHeight w:val="25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establish a valuation allowance for deferred tax assets if, based on the weight of available evidence, it is more likely than not that some portion or all of the deferred tax assets will not be realized. The realization of deferred tax assets is dependent upon the generation of future taxable income. We considered projected future taxable income, tax planning strategies, and reversal of taxable temporary differences in making this assessment. Based on available evidence, we have determined that a full valuation allowance is required as of December 31, 2022 and 2021. As a result of a full valuation allowance against our deferred tax assets and liabilities, a deferred tax liability related to indefinite-lived goodwill remains on our consolidated balance sheets on December 31, 2022 and 2021.</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31, 2022, for federal income tax purposes, there was approximately a $28.7 million net operating loss available to be carried forward to offset future taxable income. Approximately $10.6 million of these net operating loss carryforwards expire in 2037, the remaining will be carried forward indefinitely. As of December 31, 2022, there was approximately $5.0 million of R&amp;D credit carryover which begins to expire in 2033. Certain tax attributes of the Company, including net operating losses and credits, would be subject to a limitation should an ownership change as defined under Section 382 of the Internal Revenue Code of 1986, as amended, occur. The limitations resulting from a change in ownership could affect the Company's ability to utilize its tax attributes. A study was completed in 2020 which confirmed that no limitation applies to the Company's tax attributes as of December 31, 2020. We believe that ownership activity since December 31, 2020 would not result in limitation sufficient to result in the expiration of unused attributes.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provisions of ASC 740, we determined that there were approximately $1.4 million, $1.1 million, and $0.8 million of unrecognized tax benefits as of December 31, 2022, 2021, and 2020, respectively. Included in the balance of unrecognized tax benefits as of December 31, 2022, 2021, and 2020 were $0.1 million, $0.2 million, and $0.3 million, respectively, of tax benefits that, if recognized, would impact the effective tax rate. Also included in the balance of unrecognized tax benefits as of December 31, 2022, 2021, and 2020 were $1.3 million, $0.9 million, and $0.5 million, respectively, of tax benefits that, if recognized, would not impact the effective tax rate due to the Company's valuation allowance. The Company had accrued interest and penalties related to the unrecognized tax benefits of $0.1 million and $0.2 million, which were recorded in other liabilities as of December 31, 2022 and 2021, respectively.</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believe that the total amounts of unrecognized tax benefits will not significantly increase or decrease within the next 12 months. The period for which tax years are open, 2013 to 2022, has not been extended beyond the applicable statute of limitations. As of December 31, 2022, the Company is not under examination by any federal tax jurisdiction, but is currently under examination by a state tax jurisdiction.</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18.5: Reconciliation of the Beginning and Ending Amounts of Unrecognized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020" w:type="dxa"/>
            <w:vAlign w:val="bottom"/>
            <w:tcBorders>
              <w:bottom w:val="single" w:sz="8" w:color="auto"/>
            </w:tcBorders>
          </w:tcPr>
          <w:p>
            <w:pPr>
              <w:spacing w:after="0"/>
              <w:rPr>
                <w:sz w:val="19"/>
                <w:szCs w:val="19"/>
                <w:color w:val="auto"/>
              </w:rPr>
            </w:pPr>
          </w:p>
        </w:tc>
      </w:tr>
      <w:tr>
        <w:trPr>
          <w:trHeight w:val="237"/>
        </w:trPr>
        <w:tc>
          <w:tcPr>
            <w:tcW w:w="67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r>
      <w:tr>
        <w:trPr>
          <w:trHeight w:val="233"/>
        </w:trPr>
        <w:tc>
          <w:tcPr>
            <w:tcW w:w="6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
        </w:trPr>
        <w:tc>
          <w:tcPr>
            <w:tcW w:w="6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(Decrease)/increase in prior year tax positions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related to current year tax positions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Decrease related to lapse of statutes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LEASES</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lease office space facilities and equipment under non-cancelable operating and finance leases with various expiration dates, some of which contain renewal options. The Company's lease portfolio is comprised of two major classes. The lease of the Ashburn facility is accounted for as a finance lease. The other office spaces and equipment leased are accounted for as operating leases. We have included options to extend in the operating lease ROU assets and liabilities when we are reasonably certain that we will exercise such options.</w:t>
      </w:r>
    </w:p>
    <w:p>
      <w:pPr>
        <w:spacing w:after="0" w:line="12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May 2014, the Company entered into a new lease arrangement with the new landlord on the Ashburn facility, which expires on May 28, 2029. In accordance with this lease agreement, the basic rent increases by a fixed 2.5% escalation annually.</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19.1: Details of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020" w:type="dxa"/>
            <w:vAlign w:val="bottom"/>
            <w:tcBorders>
              <w:bottom w:val="single" w:sz="8" w:color="auto"/>
            </w:tcBorders>
          </w:tcPr>
          <w:p>
            <w:pPr>
              <w:spacing w:after="0"/>
              <w:rPr>
                <w:sz w:val="19"/>
                <w:szCs w:val="19"/>
                <w:color w:val="auto"/>
              </w:rPr>
            </w:pPr>
          </w:p>
        </w:tc>
      </w:tr>
      <w:tr>
        <w:trPr>
          <w:trHeight w:val="236"/>
        </w:trPr>
        <w:tc>
          <w:tcPr>
            <w:tcW w:w="67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color w:val="auto"/>
              </w:rPr>
              <w:t>2020</w:t>
            </w:r>
          </w:p>
        </w:tc>
      </w:tr>
      <w:tr>
        <w:trPr>
          <w:trHeight w:val="233"/>
        </w:trPr>
        <w:tc>
          <w:tcPr>
            <w:tcW w:w="6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
        </w:trPr>
        <w:tc>
          <w:tcPr>
            <w:tcW w:w="6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Short-term lease cost </w:t>
            </w:r>
            <w:r>
              <w:rPr>
                <w:rFonts w:ascii="Times New Roman" w:cs="Times New Roman" w:eastAsia="Times New Roman" w:hAnsi="Times New Roman"/>
                <w:sz w:val="21"/>
                <w:szCs w:val="21"/>
                <w:color w:val="auto"/>
                <w:vertAlign w:val="superscript"/>
              </w:rPr>
              <w:t>(1)</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finance lease assets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finance lease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07"/>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finance lease cost</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Leases that have terms of 12 months or less.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19.2: Future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6"/>
                <w:szCs w:val="16"/>
                <w:color w:val="auto"/>
              </w:rPr>
              <w:t>Operating Leases</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color w:val="auto"/>
                <w:w w:val="99"/>
              </w:rPr>
              <w:t>Finance Leases</w:t>
            </w: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2024</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0" w:type="dxa"/>
            <w:vAlign w:val="bottom"/>
          </w:tcPr>
          <w:p>
            <w:pPr>
              <w:spacing w:after="0"/>
              <w:rPr>
                <w:sz w:val="1"/>
                <w:szCs w:val="1"/>
                <w:color w:val="auto"/>
              </w:rPr>
            </w:pPr>
          </w:p>
        </w:tc>
      </w:tr>
      <w:tr>
        <w:trPr>
          <w:trHeight w:val="212"/>
        </w:trPr>
        <w:tc>
          <w:tcPr>
            <w:tcW w:w="6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15,118</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lease obligations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Current portion of lease obligations</w:t>
            </w:r>
          </w:p>
        </w:tc>
        <w:tc>
          <w:tcPr>
            <w:tcW w:w="3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lease obligations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19.3: Weighted-Average Remaining Lease Terms and Discount Rates</w:t>
            </w: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67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jc w:val="center"/>
              <w:ind w:left="75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6"/>
                <w:szCs w:val="16"/>
                <w:color w:val="auto"/>
                <w:w w:val="99"/>
              </w:rPr>
              <w:t>2021</w:t>
            </w: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30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6.3 years</w:t>
            </w:r>
          </w:p>
        </w:tc>
        <w:tc>
          <w:tcPr>
            <w:tcW w:w="220" w:type="dxa"/>
            <w:vAlign w:val="bottom"/>
          </w:tcPr>
          <w:p>
            <w:pPr>
              <w:spacing w:after="0"/>
              <w:rPr>
                <w:sz w:val="18"/>
                <w:szCs w:val="18"/>
                <w:color w:val="auto"/>
              </w:rPr>
            </w:pP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7.3 years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8.3 years</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 year</w:t>
            </w:r>
          </w:p>
        </w:tc>
        <w:tc>
          <w:tcPr>
            <w:tcW w:w="2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1.7 years</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2.5 years</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1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300" w:type="dxa"/>
            <w:vAlign w:val="bottom"/>
          </w:tcPr>
          <w:p>
            <w:pPr>
              <w:spacing w:after="0"/>
              <w:rPr>
                <w:sz w:val="18"/>
                <w:szCs w:val="18"/>
                <w:color w:val="auto"/>
              </w:rPr>
            </w:pP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48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19.4: Supplemental cash flow information related to leases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jc w:val="center"/>
              <w:ind w:left="75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6"/>
                <w:szCs w:val="16"/>
                <w:color w:val="auto"/>
                <w:w w:val="99"/>
              </w:rPr>
              <w:t>2021</w:t>
            </w: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center"/>
              <w:ind w:right="1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related to operating leases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related to finance leases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0"/>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related to finance leases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RELATED PARTY TRANSACTIONS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Emmett J. Wood, the brother of our Chairman and CEO, has been an employee of ours since 1996. The amounts paid to this individual as compensation for the years ended December 31, 2022, 2021, and 2020 were $1.3 million, $0.5 million and $1.2 million, respectively. Additionally, Mr. Wood owned 178,041 and 73,562 shares of the Company's common stock as of December 31, 2022 and 2021, respectively. In January 2023, Emmett Wood tendered his resignation as an employee effective February 7, 2023.</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March 31, 2015, the Company entered into an interest-bearing subordinated debt with Mr. Porter and Toxford Corporation ("Porter Notes") for $2.5 million (see </w:t>
      </w:r>
      <w:r>
        <w:rPr>
          <w:rFonts w:ascii="Times New Roman" w:cs="Times New Roman" w:eastAsia="Times New Roman" w:hAnsi="Times New Roman"/>
          <w:sz w:val="18"/>
          <w:szCs w:val="18"/>
          <w:u w:val="single" w:color="auto"/>
          <w:color w:val="0000FF"/>
        </w:rPr>
        <w:t>Note 12 - Debt and Other Obligations</w:t>
      </w:r>
      <w:r>
        <w:rPr>
          <w:rFonts w:ascii="Times New Roman" w:cs="Times New Roman" w:eastAsia="Times New Roman" w:hAnsi="Times New Roman"/>
          <w:sz w:val="18"/>
          <w:szCs w:val="18"/>
          <w:color w:val="auto"/>
        </w:rPr>
        <w:t xml:space="preserve"> for further information on the Porter Notes). Toxford Corporation, of which Mr. Porter was the sole shareholder, owned 35.0% of our Class A Common Stock. The Porter Notes were paid in full upon the closing of the IPO in 2020. We incurred $0.3 million of interest expense for the year ended December 31, 2020.</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One of the Company's directors serves as a consultant to the Company. In February 2022, the director and the Company amended the consulting agreement to provide that the Company would pay the remainder of the director's consulting fees for 2022 in a fixed price amount in the form of restricted stock units. The Company granted the director 26,091 restricted stock units on February 1, 2022, which vest quarterly in four equal amounts through the end of the year, subject to the director's continued performance under the consulting agreement. The cash amount paid for his consultancy services were $25,000, $0.3 million and $0.3 million for the years ended December 31, 2022, 2021 and 2020,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SEGMENT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we conduct our operations through two operating segments: Security Solutions and Secure Networks.</w:t>
      </w:r>
    </w:p>
    <w:p>
      <w:pPr>
        <w:spacing w:after="0" w:line="15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Our Security Solutions segment is primarily focused on cybersecurity, cloud and identity solutions, and secure messaging through Xacta, Telos Ghost, Telos Advanced Cyber Analytics, Telos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and/or cybersecurity solutions during the period. The majority of the operating costs relate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spacing w:after="0" w:line="13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21.1: Results of Operations by Business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020" w:type="dxa"/>
            <w:vAlign w:val="bottom"/>
            <w:tcBorders>
              <w:top w:val="single" w:sz="8" w:color="auto"/>
              <w:bottom w:val="single" w:sz="8" w:color="auto"/>
            </w:tcBorders>
          </w:tcPr>
          <w:p>
            <w:pPr>
              <w:spacing w:after="0"/>
              <w:rPr>
                <w:sz w:val="18"/>
                <w:szCs w:val="18"/>
                <w:color w:val="auto"/>
              </w:rPr>
            </w:pPr>
          </w:p>
        </w:tc>
      </w:tr>
      <w:tr>
        <w:trPr>
          <w:trHeight w:val="209"/>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r>
      <w:tr>
        <w:trPr>
          <w:trHeight w:val="216"/>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120,454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123,534</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127,667</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118,899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62,627</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Inter-segment elimination</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(10,377)</w:t>
            </w:r>
          </w:p>
        </w:tc>
      </w:tr>
      <w:tr>
        <w:trPr>
          <w:trHeight w:val="212"/>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216,887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242,433</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179,917</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Security Solutions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50,458</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Secure Networks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21,125</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11,962</w:t>
            </w:r>
          </w:p>
        </w:tc>
      </w:tr>
      <w:tr>
        <w:trPr>
          <w:trHeight w:val="212"/>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gross profit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62,420</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132,893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127,493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62,123</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redemption of public preferred stock</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14,012</w:t>
            </w:r>
          </w:p>
        </w:tc>
      </w:tr>
      <w:tr>
        <w:trPr>
          <w:trHeight w:val="212"/>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(43,162)</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for)/benefit from income taxes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r>
      <w:tr>
        <w:trPr>
          <w:trHeight w:val="237"/>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(loss)/income attributable to Telos Corporation</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COMMITMENT AND CONTINGENCIES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February 7, 2022, Telos and certain of its current and former officers were named as defendants in a lawsuit filed in the United States District Court for the Eastern District of Virginia ("Court"). In the complaint, the plaintiffs, who purport to represent a class of purchasers of Telos common stock between November 19, 2020, and March 16, 2022, allege that the defendants violated securities laws by failing to disclose delays relating to the launch of certain contracts between Telos and the Transportation Security Administration ("TSA") and the Centers for Medicare and Medicaid Services and to take into account those delays when providing a financial forecast for the Company's 2021 performance. On June 15, 2022, the Plaintiffs filed a consolidated complaint which added claims (i) concerning Telos' disclosure of revenue projections for these contracts, (ii) against the directors of Telos at the time of its initial public offering, and (iii) pursuant to Sections 11 and 15 of the Securities Act of 1933. On February 1, 2023, the Court dismissed the lawsuit in its entirety for failure to state a claim. The Court's order of dismissal provided the plaintiff twenty-one days within which to file a motion for leave to file an amended complaint, should they have a good faith basis to do so. On March 1, 2023, Plaintiffs filed a motion for leave to file an amended complaint, and on March 13, 2023, the Court granted the parties' consent motion permitting the filing of a consolidated amended class action complaint and establishing a briefing schedule for Telos' forthcoming motion to dismiss that amended complaint.</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the Company is a party to litigation arising in the ordinary course of business.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financial condition and results of operations.</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does not believe that there are claims or proceedings that would have a material adverse effect on the business, or the consolidated financial statements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 Government Contracts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SUPPLEMENTAL CASH FLOW INFORMATION</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23.1: Details of Cash, Cash Equivalent,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2021</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119,305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126,562</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21"/>
                <w:szCs w:val="21"/>
                <w:color w:val="auto"/>
                <w:vertAlign w:val="superscript"/>
              </w:rPr>
              <w:t>(1)</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119,438</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Restricted cash consists of a commercial money market account held as a deposit on the Ashburn lease and is recorded under "Other assets" on the Consolidated Balance Sheets.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Table 23.2: Supplemental Cash Flow Information</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64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040" w:type="dxa"/>
            <w:vAlign w:val="bottom"/>
            <w:tcBorders>
              <w:top w:val="single" w:sz="8" w:color="auto"/>
              <w:bottom w:val="single" w:sz="8" w:color="auto"/>
            </w:tcBorders>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2020</w:t>
            </w:r>
          </w:p>
        </w:tc>
      </w:tr>
      <w:tr>
        <w:trPr>
          <w:trHeight w:val="216"/>
        </w:trPr>
        <w:tc>
          <w:tcPr>
            <w:tcW w:w="6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7,259</w:t>
            </w: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ROU assets obtained in exchange for operating lease liabilities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 activity in accounts payable and other accrued liabilities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repurchase under accounts payable and other accrued liabilities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holdback</w:t>
            </w:r>
          </w:p>
        </w:tc>
        <w:tc>
          <w:tcPr>
            <w:tcW w:w="10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from preferred stock recorded as interest expense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 on redemption of public preferred stock</w:t>
            </w:r>
          </w:p>
        </w:tc>
        <w:tc>
          <w:tcPr>
            <w:tcW w:w="10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19,213</w:t>
            </w: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issued on purchase of Telos ID membership interest</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148,399</w:t>
            </w: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to Telos ID Class B member – non-controlling interest</w:t>
            </w:r>
          </w:p>
        </w:tc>
        <w:tc>
          <w:tcPr>
            <w:tcW w:w="10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financing costs in accounts payable and other accrued liabilities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REVISION OF UNAUDITED QUARTERLY FINANCIAL DATA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Revisions of Previously Issued Quarterly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course of preparing the Company's consolidated financial statements for the year ended December 31, 2022, we identified that stock-based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related to PRSU awards with market conditions was erroneously reversed when those PRSUs were forfeited during 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quarters ended March 31, 2022, June 30, 2022 and September 30, 2022. Due to the errors, general and administrative expense was understated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in the first quarter of 2022, $1.9 million in the second quarter of 2022, and $1.1 million in the third quarter of 2022. Although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determined that these errors did not have a material impact on its previously issued interim consolidated financial statements, it will revise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reported interim financial information in conjunction with the issuance of its quarterly filings on Form 10-Q for the quarters ended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June 30, 2023 and September 30, 2023. The errors had no net impact on cash flows from operating, investing or financing activities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cash flows. The following tables set forth the effects of the revisions of previously issued unaudited quarterly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to correct for prior period errors.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24.1. Revised Quarterly Financial Data for Fiscal Years 2022 and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color w:val="auto"/>
              </w:rPr>
              <w:t>Fiscal Year 2022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color w:val="auto"/>
              </w:rPr>
              <w:t>Fiscal Year 2021</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4"/>
                <w:szCs w:val="14"/>
                <w:color w:val="auto"/>
              </w:rPr>
              <w:t>March 31,</w:t>
            </w:r>
          </w:p>
        </w:tc>
        <w:tc>
          <w:tcPr>
            <w:tcW w:w="200" w:type="dxa"/>
            <w:vAlign w:val="bottom"/>
          </w:tcPr>
          <w:p>
            <w:pPr>
              <w:spacing w:after="0"/>
              <w:rPr>
                <w:sz w:val="12"/>
                <w:szCs w:val="12"/>
                <w:color w:val="auto"/>
              </w:rPr>
            </w:pPr>
          </w:p>
        </w:tc>
        <w:tc>
          <w:tcPr>
            <w:tcW w:w="9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color w:val="auto"/>
              </w:rPr>
              <w:t>June 30</w:t>
            </w:r>
          </w:p>
        </w:tc>
        <w:tc>
          <w:tcPr>
            <w:tcW w:w="100" w:type="dxa"/>
            <w:vAlign w:val="bottom"/>
          </w:tcPr>
          <w:p>
            <w:pPr>
              <w:spacing w:after="0"/>
              <w:rPr>
                <w:sz w:val="12"/>
                <w:szCs w:val="12"/>
                <w:color w:val="auto"/>
              </w:rPr>
            </w:pPr>
          </w:p>
        </w:tc>
        <w:tc>
          <w:tcPr>
            <w:tcW w:w="940" w:type="dxa"/>
            <w:vAlign w:val="bottom"/>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rPr>
              <w:t>September 30,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2"/>
                <w:szCs w:val="12"/>
                <w:color w:val="auto"/>
              </w:rPr>
            </w:pPr>
          </w:p>
        </w:tc>
        <w:tc>
          <w:tcPr>
            <w:tcW w:w="94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color w:val="auto"/>
              </w:rPr>
              <w:t>June 30,</w:t>
            </w:r>
          </w:p>
        </w:tc>
        <w:tc>
          <w:tcPr>
            <w:tcW w:w="100" w:type="dxa"/>
            <w:vAlign w:val="bottom"/>
          </w:tcPr>
          <w:p>
            <w:pPr>
              <w:spacing w:after="0"/>
              <w:rPr>
                <w:sz w:val="12"/>
                <w:szCs w:val="12"/>
                <w:color w:val="auto"/>
              </w:rPr>
            </w:pPr>
          </w:p>
        </w:tc>
        <w:tc>
          <w:tcPr>
            <w:tcW w:w="10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2"/>
                <w:szCs w:val="12"/>
                <w:color w:val="auto"/>
              </w:rPr>
            </w:pPr>
          </w:p>
        </w:tc>
        <w:tc>
          <w:tcPr>
            <w:tcW w:w="940" w:type="dxa"/>
            <w:vAlign w:val="bottom"/>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2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40" w:type="dxa"/>
            <w:vAlign w:val="bottom"/>
            <w:gridSpan w:val="9"/>
          </w:tcPr>
          <w:p>
            <w:pPr>
              <w:jc w:val="center"/>
              <w:ind w:right="88"/>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55,305</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52,058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57,532</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Revenue - products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8,284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3,699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4,641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6,519</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63,593</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47,343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55,757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53,644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64,051</w:t>
            </w:r>
          </w:p>
        </w:tc>
        <w:tc>
          <w:tcPr>
            <w:tcW w:w="0" w:type="dxa"/>
            <w:vAlign w:val="bottom"/>
          </w:tcPr>
          <w:p>
            <w:pPr>
              <w:spacing w:after="0"/>
              <w:rPr>
                <w:sz w:val="1"/>
                <w:szCs w:val="1"/>
                <w:color w:val="auto"/>
              </w:rPr>
            </w:pPr>
          </w:p>
        </w:tc>
      </w:tr>
      <w:tr>
        <w:trPr>
          <w:trHeight w:val="189"/>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sales – services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35,121</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sales – products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5,624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0" w:type="dxa"/>
            <w:vAlign w:val="bottom"/>
          </w:tcPr>
          <w:p>
            <w:pPr>
              <w:spacing w:after="0"/>
              <w:rPr>
                <w:sz w:val="1"/>
                <w:szCs w:val="1"/>
                <w:color w:val="auto"/>
              </w:rPr>
            </w:pPr>
          </w:p>
        </w:tc>
      </w:tr>
      <w:tr>
        <w:trPr>
          <w:trHeight w:val="190"/>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cost of sales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31,289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34,862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42,648</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29,045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41,288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31,110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39,902</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14,469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24,149</w:t>
            </w:r>
          </w:p>
        </w:tc>
        <w:tc>
          <w:tcPr>
            <w:tcW w:w="0" w:type="dxa"/>
            <w:vAlign w:val="bottom"/>
          </w:tcPr>
          <w:p>
            <w:pPr>
              <w:spacing w:after="0"/>
              <w:rPr>
                <w:sz w:val="1"/>
                <w:szCs w:val="1"/>
                <w:color w:val="auto"/>
              </w:rPr>
            </w:pPr>
          </w:p>
        </w:tc>
      </w:tr>
      <w:tr>
        <w:trPr>
          <w:trHeight w:val="139"/>
        </w:trPr>
        <w:tc>
          <w:tcPr>
            <w:tcW w:w="2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0" w:type="dxa"/>
            <w:vAlign w:val="bottom"/>
          </w:tcPr>
          <w:p>
            <w:pPr>
              <w:spacing w:after="0"/>
              <w:rPr>
                <w:sz w:val="1"/>
                <w:szCs w:val="1"/>
                <w:color w:val="auto"/>
              </w:rPr>
            </w:pPr>
          </w:p>
        </w:tc>
      </w:tr>
      <w:tr>
        <w:trPr>
          <w:trHeight w:val="195"/>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4,845</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26,396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20,076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29,635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19,292</w:t>
            </w:r>
          </w:p>
        </w:tc>
        <w:tc>
          <w:tcPr>
            <w:tcW w:w="0" w:type="dxa"/>
            <w:vAlign w:val="bottom"/>
          </w:tcPr>
          <w:p>
            <w:pPr>
              <w:spacing w:after="0"/>
              <w:rPr>
                <w:sz w:val="1"/>
                <w:szCs w:val="1"/>
                <w:color w:val="auto"/>
              </w:rPr>
            </w:pPr>
          </w:p>
        </w:tc>
      </w:tr>
      <w:tr>
        <w:trPr>
          <w:trHeight w:val="119"/>
        </w:trPr>
        <w:tc>
          <w:tcPr>
            <w:tcW w:w="23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selling, general and</w:t>
            </w: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35,238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34,965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29,729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32,961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27,963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40,005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29,965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29,560</w:t>
            </w:r>
          </w:p>
        </w:tc>
        <w:tc>
          <w:tcPr>
            <w:tcW w:w="0" w:type="dxa"/>
            <w:vAlign w:val="bottom"/>
          </w:tcPr>
          <w:p>
            <w:pPr>
              <w:spacing w:after="0"/>
              <w:rPr>
                <w:sz w:val="1"/>
                <w:szCs w:val="1"/>
                <w:color w:val="auto"/>
              </w:rPr>
            </w:pPr>
          </w:p>
        </w:tc>
      </w:tr>
      <w:tr>
        <w:trPr>
          <w:trHeight w:val="193"/>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administrative expenses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0" w:type="dxa"/>
            <w:vAlign w:val="bottom"/>
          </w:tcPr>
          <w:p>
            <w:pPr>
              <w:spacing w:after="0"/>
              <w:rPr>
                <w:sz w:val="1"/>
                <w:szCs w:val="1"/>
                <w:color w:val="auto"/>
              </w:rPr>
            </w:pPr>
          </w:p>
        </w:tc>
      </w:tr>
      <w:tr>
        <w:trPr>
          <w:trHeight w:val="195"/>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0" w:type="dxa"/>
            <w:vAlign w:val="bottom"/>
          </w:tcPr>
          <w:p>
            <w:pPr>
              <w:spacing w:after="0"/>
              <w:rPr>
                <w:sz w:val="1"/>
                <w:szCs w:val="1"/>
                <w:color w:val="auto"/>
              </w:rPr>
            </w:pPr>
          </w:p>
        </w:tc>
      </w:tr>
      <w:tr>
        <w:trPr>
          <w:trHeight w:val="146"/>
        </w:trPr>
        <w:tc>
          <w:tcPr>
            <w:tcW w:w="23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(Provision for)/benefit from income</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(14,159)</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(17,644)</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Net loss per share: </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88"/>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loss is equal to Net loss attributable to Telos Corporation.</w:t>
      </w:r>
    </w:p>
    <w:p>
      <w:pPr>
        <w:spacing w:after="0" w:line="135" w:lineRule="exact"/>
        <w:rPr>
          <w:rFonts w:ascii="Times New Roman" w:cs="Times New Roman" w:eastAsia="Times New Roman" w:hAnsi="Times New Roman"/>
          <w:sz w:val="19"/>
          <w:szCs w:val="19"/>
          <w:color w:val="auto"/>
          <w:vertAlign w:val="superscript"/>
        </w:rPr>
      </w:pPr>
    </w:p>
    <w:p>
      <w:pPr>
        <w:ind w:right="340" w:firstLine="8"/>
        <w:spacing w:after="0" w:line="302" w:lineRule="auto"/>
        <w:tabs>
          <w:tab w:leader="none" w:pos="145"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sum of the quarterly net loss per share amounts may not equal the full year amount reported since per share amounts are computed independently for each quarter and for the full year based upon the respective weighted-average shares outstanding, basic and diluted.</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24.2. Consolidated Statement of Operations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7"/>
          </w:tcPr>
          <w:p>
            <w:pPr>
              <w:jc w:val="right"/>
              <w:ind w:right="328"/>
              <w:spacing w:after="0"/>
              <w:rPr>
                <w:sz w:val="20"/>
                <w:szCs w:val="20"/>
                <w:color w:val="auto"/>
              </w:rPr>
            </w:pPr>
            <w:r>
              <w:rPr>
                <w:rFonts w:ascii="Times New Roman" w:cs="Times New Roman" w:eastAsia="Times New Roman" w:hAnsi="Times New Roman"/>
                <w:sz w:val="14"/>
                <w:szCs w:val="14"/>
                <w:color w:val="auto"/>
              </w:rPr>
              <w:t>Three Months Ended March 31, 2022</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color w:val="auto"/>
              </w:rPr>
              <w:t>Three Months Ended June 30, 2022</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7"/>
          </w:tcPr>
          <w:p>
            <w:pPr>
              <w:jc w:val="right"/>
              <w:ind w:right="208"/>
              <w:spacing w:after="0"/>
              <w:rPr>
                <w:sz w:val="20"/>
                <w:szCs w:val="20"/>
                <w:color w:val="auto"/>
              </w:rPr>
            </w:pPr>
            <w:r>
              <w:rPr>
                <w:rFonts w:ascii="Times New Roman" w:cs="Times New Roman" w:eastAsia="Times New Roman" w:hAnsi="Times New Roman"/>
                <w:sz w:val="14"/>
                <w:szCs w:val="14"/>
                <w:color w:val="auto"/>
              </w:rPr>
              <w:t>Three Months Ended September 30, 2022</w:t>
            </w:r>
          </w:p>
        </w:tc>
        <w:tc>
          <w:tcPr>
            <w:tcW w:w="0" w:type="dxa"/>
            <w:vAlign w:val="bottom"/>
          </w:tcPr>
          <w:p>
            <w:pPr>
              <w:spacing w:after="0"/>
              <w:rPr>
                <w:sz w:val="1"/>
                <w:szCs w:val="1"/>
                <w:color w:val="auto"/>
              </w:rPr>
            </w:pPr>
          </w:p>
        </w:tc>
      </w:tr>
      <w:tr>
        <w:trPr>
          <w:trHeight w:val="139"/>
        </w:trPr>
        <w:tc>
          <w:tcPr>
            <w:tcW w:w="2200" w:type="dxa"/>
            <w:vAlign w:val="bottom"/>
          </w:tcPr>
          <w:p>
            <w:pPr>
              <w:spacing w:after="0"/>
              <w:rPr>
                <w:sz w:val="12"/>
                <w:szCs w:val="12"/>
                <w:color w:val="auto"/>
              </w:rPr>
            </w:pPr>
          </w:p>
        </w:tc>
        <w:tc>
          <w:tcPr>
            <w:tcW w:w="1000" w:type="dxa"/>
            <w:vAlign w:val="bottom"/>
            <w:gridSpan w:val="3"/>
          </w:tcPr>
          <w:p>
            <w:pPr>
              <w:jc w:val="right"/>
              <w:ind w:right="140"/>
              <w:spacing w:after="0" w:line="139" w:lineRule="exact"/>
              <w:rPr>
                <w:sz w:val="20"/>
                <w:szCs w:val="20"/>
                <w:color w:val="auto"/>
              </w:rPr>
            </w:pPr>
            <w:r>
              <w:rPr>
                <w:rFonts w:ascii="Times New Roman" w:cs="Times New Roman" w:eastAsia="Times New Roman" w:hAnsi="Times New Roman"/>
                <w:sz w:val="14"/>
                <w:szCs w:val="14"/>
                <w:color w:val="auto"/>
              </w:rPr>
              <w:t>As Previously</w:t>
            </w: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As Revised</w:t>
            </w:r>
          </w:p>
        </w:tc>
        <w:tc>
          <w:tcPr>
            <w:tcW w:w="80" w:type="dxa"/>
            <w:vAlign w:val="bottom"/>
            <w:vMerge w:val="restart"/>
          </w:tcPr>
          <w:p>
            <w:pPr>
              <w:spacing w:after="0"/>
              <w:rPr>
                <w:sz w:val="12"/>
                <w:szCs w:val="12"/>
                <w:color w:val="auto"/>
              </w:rPr>
            </w:pPr>
          </w:p>
        </w:tc>
        <w:tc>
          <w:tcPr>
            <w:tcW w:w="1020" w:type="dxa"/>
            <w:vAlign w:val="bottom"/>
            <w:gridSpan w:val="3"/>
          </w:tcPr>
          <w:p>
            <w:pPr>
              <w:jc w:val="right"/>
              <w:ind w:right="140"/>
              <w:spacing w:after="0" w:line="139" w:lineRule="exact"/>
              <w:rPr>
                <w:sz w:val="20"/>
                <w:szCs w:val="20"/>
                <w:color w:val="auto"/>
              </w:rPr>
            </w:pPr>
            <w:r>
              <w:rPr>
                <w:rFonts w:ascii="Times New Roman" w:cs="Times New Roman" w:eastAsia="Times New Roman" w:hAnsi="Times New Roman"/>
                <w:sz w:val="14"/>
                <w:szCs w:val="14"/>
                <w:color w:val="auto"/>
              </w:rPr>
              <w:t>As Previously</w:t>
            </w:r>
          </w:p>
        </w:tc>
        <w:tc>
          <w:tcPr>
            <w:tcW w:w="100" w:type="dxa"/>
            <w:vAlign w:val="bottom"/>
          </w:tcPr>
          <w:p>
            <w:pPr>
              <w:spacing w:after="0"/>
              <w:rPr>
                <w:sz w:val="12"/>
                <w:szCs w:val="12"/>
                <w:color w:val="auto"/>
              </w:rPr>
            </w:pP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As Revised</w:t>
            </w:r>
          </w:p>
        </w:tc>
        <w:tc>
          <w:tcPr>
            <w:tcW w:w="80" w:type="dxa"/>
            <w:vAlign w:val="bottom"/>
            <w:vMerge w:val="restart"/>
          </w:tcPr>
          <w:p>
            <w:pPr>
              <w:spacing w:after="0"/>
              <w:rPr>
                <w:sz w:val="12"/>
                <w:szCs w:val="12"/>
                <w:color w:val="auto"/>
              </w:rPr>
            </w:pPr>
          </w:p>
        </w:tc>
        <w:tc>
          <w:tcPr>
            <w:tcW w:w="1020" w:type="dxa"/>
            <w:vAlign w:val="bottom"/>
            <w:gridSpan w:val="3"/>
          </w:tcPr>
          <w:p>
            <w:pPr>
              <w:jc w:val="right"/>
              <w:ind w:right="140"/>
              <w:spacing w:after="0" w:line="139" w:lineRule="exact"/>
              <w:rPr>
                <w:sz w:val="20"/>
                <w:szCs w:val="20"/>
                <w:color w:val="auto"/>
              </w:rPr>
            </w:pPr>
            <w:r>
              <w:rPr>
                <w:rFonts w:ascii="Times New Roman" w:cs="Times New Roman" w:eastAsia="Times New Roman" w:hAnsi="Times New Roman"/>
                <w:sz w:val="14"/>
                <w:szCs w:val="14"/>
                <w:color w:val="auto"/>
              </w:rPr>
              <w:t>As Previously</w:t>
            </w:r>
          </w:p>
        </w:tc>
        <w:tc>
          <w:tcPr>
            <w:tcW w:w="1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As Revised</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Total selling, general and</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33,095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29,729</w:t>
            </w:r>
          </w:p>
        </w:tc>
        <w:tc>
          <w:tcPr>
            <w:tcW w:w="0" w:type="dxa"/>
            <w:vAlign w:val="bottom"/>
          </w:tcPr>
          <w:p>
            <w:pPr>
              <w:spacing w:after="0"/>
              <w:rPr>
                <w:sz w:val="1"/>
                <w:szCs w:val="1"/>
                <w:color w:val="auto"/>
              </w:rPr>
            </w:pPr>
          </w:p>
        </w:tc>
      </w:tr>
      <w:tr>
        <w:trPr>
          <w:trHeight w:val="19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administrative expenses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(8,784)</w:t>
            </w: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(8,447)</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basis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88"/>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diluted</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24.3. Consolidated Statement of Comprehensive Loss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14"/>
          </w:tcPr>
          <w:p>
            <w:pPr>
              <w:jc w:val="center"/>
              <w:ind w:right="60"/>
              <w:spacing w:after="0"/>
              <w:rPr>
                <w:sz w:val="20"/>
                <w:szCs w:val="20"/>
                <w:color w:val="auto"/>
              </w:rPr>
            </w:pPr>
            <w:r>
              <w:rPr>
                <w:rFonts w:ascii="Times New Roman" w:cs="Times New Roman" w:eastAsia="Times New Roman" w:hAnsi="Times New Roman"/>
                <w:sz w:val="14"/>
                <w:szCs w:val="14"/>
                <w:color w:val="auto"/>
              </w:rPr>
              <w:t>Three Months Ended March 31, 2022</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color w:val="auto"/>
              </w:rPr>
              <w:t>Three Months Ended June 30, 2022</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color w:val="auto"/>
              </w:rPr>
              <w:t>Three Months Ended September 30, 2022</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spacing w:after="0" w:line="139" w:lineRule="exact"/>
              <w:rPr>
                <w:sz w:val="20"/>
                <w:szCs w:val="20"/>
                <w:color w:val="auto"/>
              </w:rPr>
            </w:pPr>
            <w:r>
              <w:rPr>
                <w:rFonts w:ascii="Times New Roman" w:cs="Times New Roman" w:eastAsia="Times New Roman" w:hAnsi="Times New Roman"/>
                <w:sz w:val="14"/>
                <w:szCs w:val="14"/>
                <w:color w:val="auto"/>
              </w:rPr>
              <w:t>As Previously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Adjustment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As Revised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As Previously</w:t>
            </w:r>
          </w:p>
        </w:tc>
        <w:tc>
          <w:tcPr>
            <w:tcW w:w="120" w:type="dxa"/>
            <w:vAlign w:val="bottom"/>
          </w:tcPr>
          <w:p>
            <w:pPr>
              <w:spacing w:after="0"/>
              <w:rPr>
                <w:sz w:val="12"/>
                <w:szCs w:val="12"/>
                <w:color w:val="auto"/>
              </w:rPr>
            </w:pPr>
          </w:p>
        </w:tc>
        <w:tc>
          <w:tcPr>
            <w:tcW w:w="8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As Revised</w:t>
            </w:r>
          </w:p>
        </w:tc>
        <w:tc>
          <w:tcPr>
            <w:tcW w:w="80" w:type="dxa"/>
            <w:vAlign w:val="bottom"/>
            <w:vMerge w:val="restart"/>
          </w:tcPr>
          <w:p>
            <w:pPr>
              <w:spacing w:after="0"/>
              <w:rPr>
                <w:sz w:val="12"/>
                <w:szCs w:val="12"/>
                <w:color w:val="auto"/>
              </w:rPr>
            </w:pPr>
          </w:p>
        </w:tc>
        <w:tc>
          <w:tcPr>
            <w:tcW w:w="1020" w:type="dxa"/>
            <w:vAlign w:val="bottom"/>
            <w:gridSpan w:val="3"/>
          </w:tcPr>
          <w:p>
            <w:pPr>
              <w:jc w:val="center"/>
              <w:ind w:right="60"/>
              <w:spacing w:after="0" w:line="139" w:lineRule="exact"/>
              <w:rPr>
                <w:sz w:val="20"/>
                <w:szCs w:val="20"/>
                <w:color w:val="auto"/>
              </w:rPr>
            </w:pPr>
            <w:r>
              <w:rPr>
                <w:rFonts w:ascii="Times New Roman" w:cs="Times New Roman" w:eastAsia="Times New Roman" w:hAnsi="Times New Roman"/>
                <w:sz w:val="14"/>
                <w:szCs w:val="14"/>
                <w:color w:val="auto"/>
              </w:rPr>
              <w:t>As Previously</w:t>
            </w:r>
          </w:p>
        </w:tc>
        <w:tc>
          <w:tcPr>
            <w:tcW w:w="120" w:type="dxa"/>
            <w:vAlign w:val="bottom"/>
          </w:tcPr>
          <w:p>
            <w:pPr>
              <w:spacing w:after="0"/>
              <w:rPr>
                <w:sz w:val="12"/>
                <w:szCs w:val="12"/>
                <w:color w:val="auto"/>
              </w:rPr>
            </w:pPr>
          </w:p>
        </w:tc>
        <w:tc>
          <w:tcPr>
            <w:tcW w:w="8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As Revised</w:t>
            </w:r>
          </w:p>
        </w:tc>
        <w:tc>
          <w:tcPr>
            <w:tcW w:w="0" w:type="dxa"/>
            <w:vAlign w:val="bottom"/>
          </w:tcPr>
          <w:p>
            <w:pPr>
              <w:spacing w:after="0"/>
              <w:rPr>
                <w:sz w:val="1"/>
                <w:szCs w:val="1"/>
                <w:color w:val="auto"/>
              </w:rPr>
            </w:pPr>
          </w:p>
        </w:tc>
      </w:tr>
      <w:tr>
        <w:trPr>
          <w:trHeight w:val="193"/>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(14,983)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(16,616)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7"/>
              </w:rPr>
              <w:t>(1,870)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(14,954)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(16,587)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7"/>
              </w:rPr>
              <w:t>(1,870)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0" w:type="dxa"/>
            <w:vAlign w:val="bottom"/>
          </w:tcPr>
          <w:p>
            <w:pPr>
              <w:spacing w:after="0"/>
              <w:rPr>
                <w:sz w:val="1"/>
                <w:szCs w:val="1"/>
                <w:color w:val="auto"/>
              </w:rPr>
            </w:pPr>
          </w:p>
        </w:tc>
      </w:tr>
      <w:tr>
        <w:trPr>
          <w:trHeight w:val="477"/>
        </w:trPr>
        <w:tc>
          <w:tcPr>
            <w:tcW w:w="31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Table 24.4. Consolidated Balance Sheet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color w:val="auto"/>
              </w:rPr>
              <w:t>As of March 31, 2022</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left="588"/>
              <w:spacing w:after="0"/>
              <w:rPr>
                <w:sz w:val="20"/>
                <w:szCs w:val="20"/>
                <w:color w:val="auto"/>
              </w:rPr>
            </w:pPr>
            <w:r>
              <w:rPr>
                <w:rFonts w:ascii="Times New Roman" w:cs="Times New Roman" w:eastAsia="Times New Roman" w:hAnsi="Times New Roman"/>
                <w:sz w:val="14"/>
                <w:szCs w:val="14"/>
                <w:color w:val="auto"/>
              </w:rPr>
              <w:t>As of June 30, 2022</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88"/>
              <w:spacing w:after="0"/>
              <w:rPr>
                <w:sz w:val="20"/>
                <w:szCs w:val="20"/>
                <w:color w:val="auto"/>
              </w:rPr>
            </w:pPr>
            <w:r>
              <w:rPr>
                <w:rFonts w:ascii="Times New Roman" w:cs="Times New Roman" w:eastAsia="Times New Roman" w:hAnsi="Times New Roman"/>
                <w:sz w:val="14"/>
                <w:szCs w:val="14"/>
                <w:color w:val="auto"/>
              </w:rPr>
              <w:t>As of September 30, 2022</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4"/>
          </w:tcPr>
          <w:p>
            <w:pPr>
              <w:jc w:val="center"/>
              <w:ind w:right="20"/>
              <w:spacing w:after="0" w:line="135" w:lineRule="exact"/>
              <w:rPr>
                <w:sz w:val="20"/>
                <w:szCs w:val="20"/>
                <w:color w:val="auto"/>
              </w:rPr>
            </w:pPr>
            <w:r>
              <w:rPr>
                <w:rFonts w:ascii="Times New Roman" w:cs="Times New Roman" w:eastAsia="Times New Roman" w:hAnsi="Times New Roman"/>
                <w:sz w:val="14"/>
                <w:szCs w:val="14"/>
                <w:color w:val="auto"/>
              </w:rPr>
              <w:t>As Previously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Adjustment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As Revised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As Previously</w:t>
            </w:r>
          </w:p>
        </w:tc>
        <w:tc>
          <w:tcPr>
            <w:tcW w:w="120" w:type="dxa"/>
            <w:vAlign w:val="bottom"/>
          </w:tcPr>
          <w:p>
            <w:pPr>
              <w:spacing w:after="0"/>
              <w:rPr>
                <w:sz w:val="11"/>
                <w:szCs w:val="11"/>
                <w:color w:val="auto"/>
              </w:rPr>
            </w:pPr>
          </w:p>
        </w:tc>
        <w:tc>
          <w:tcPr>
            <w:tcW w:w="8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As Revised</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color w:val="auto"/>
              </w:rPr>
              <w:t>As Previously</w:t>
            </w:r>
          </w:p>
        </w:tc>
        <w:tc>
          <w:tcPr>
            <w:tcW w:w="120" w:type="dxa"/>
            <w:vAlign w:val="bottom"/>
          </w:tcPr>
          <w:p>
            <w:pPr>
              <w:spacing w:after="0"/>
              <w:rPr>
                <w:sz w:val="11"/>
                <w:szCs w:val="11"/>
                <w:color w:val="auto"/>
              </w:rPr>
            </w:pPr>
          </w:p>
        </w:tc>
        <w:tc>
          <w:tcPr>
            <w:tcW w:w="8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As Revised</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378,546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388,464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4,618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403,164</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(1,633)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(203,593)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7"/>
              </w:rPr>
              <w:t>(3,503)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(4,618)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(226,207)</w:t>
            </w:r>
          </w:p>
        </w:tc>
        <w:tc>
          <w:tcPr>
            <w:tcW w:w="0" w:type="dxa"/>
            <w:vAlign w:val="bottom"/>
          </w:tcPr>
          <w:p>
            <w:pPr>
              <w:spacing w:after="0"/>
              <w:rPr>
                <w:sz w:val="1"/>
                <w:szCs w:val="1"/>
                <w:color w:val="auto"/>
              </w:rPr>
            </w:pPr>
          </w:p>
        </w:tc>
      </w:tr>
      <w:tr>
        <w:trPr>
          <w:trHeight w:val="463"/>
        </w:trPr>
        <w:tc>
          <w:tcPr>
            <w:tcW w:w="5140" w:type="dxa"/>
            <w:vAlign w:val="bottom"/>
            <w:gridSpan w:val="18"/>
          </w:tcPr>
          <w:p>
            <w:pPr>
              <w:ind w:left="20"/>
              <w:spacing w:after="0"/>
              <w:rPr>
                <w:sz w:val="20"/>
                <w:szCs w:val="20"/>
                <w:color w:val="auto"/>
              </w:rPr>
            </w:pPr>
            <w:r>
              <w:rPr>
                <w:rFonts w:ascii="Times New Roman" w:cs="Times New Roman" w:eastAsia="Times New Roman" w:hAnsi="Times New Roman"/>
                <w:sz w:val="14"/>
                <w:szCs w:val="14"/>
                <w:b w:val="1"/>
                <w:bCs w:val="1"/>
                <w:color w:val="auto"/>
              </w:rPr>
              <w:t>Table 24.5. Consolidated Statement of Changes in Stockholders' Equity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1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2"/>
          </w:tcPr>
          <w:p>
            <w:pPr>
              <w:jc w:val="right"/>
              <w:ind w:right="328"/>
              <w:spacing w:after="0"/>
              <w:rPr>
                <w:sz w:val="20"/>
                <w:szCs w:val="20"/>
                <w:color w:val="auto"/>
              </w:rPr>
            </w:pPr>
            <w:r>
              <w:rPr>
                <w:rFonts w:ascii="Times New Roman" w:cs="Times New Roman" w:eastAsia="Times New Roman" w:hAnsi="Times New Roman"/>
                <w:sz w:val="14"/>
                <w:szCs w:val="14"/>
                <w:color w:val="auto"/>
              </w:rPr>
              <w:t>Three Months Ended March 31, 2022</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428"/>
              <w:spacing w:after="0"/>
              <w:rPr>
                <w:sz w:val="20"/>
                <w:szCs w:val="20"/>
                <w:color w:val="auto"/>
              </w:rPr>
            </w:pPr>
            <w:r>
              <w:rPr>
                <w:rFonts w:ascii="Times New Roman" w:cs="Times New Roman" w:eastAsia="Times New Roman" w:hAnsi="Times New Roman"/>
                <w:sz w:val="14"/>
                <w:szCs w:val="14"/>
                <w:color w:val="auto"/>
              </w:rPr>
              <w:t>Three Months Ended June 30, 2022</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color w:val="auto"/>
              </w:rPr>
              <w:t>Three Months Ended September 30, 2022</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040" w:type="dxa"/>
            <w:vAlign w:val="bottom"/>
            <w:gridSpan w:val="6"/>
          </w:tcPr>
          <w:p>
            <w:pPr>
              <w:ind w:left="60"/>
              <w:spacing w:after="0" w:line="139" w:lineRule="exact"/>
              <w:rPr>
                <w:sz w:val="20"/>
                <w:szCs w:val="20"/>
                <w:color w:val="auto"/>
              </w:rPr>
            </w:pPr>
            <w:r>
              <w:rPr>
                <w:rFonts w:ascii="Times New Roman" w:cs="Times New Roman" w:eastAsia="Times New Roman" w:hAnsi="Times New Roman"/>
                <w:sz w:val="14"/>
                <w:szCs w:val="14"/>
                <w:color w:val="auto"/>
              </w:rPr>
              <w:t>As Previously</w:t>
            </w:r>
          </w:p>
        </w:tc>
        <w:tc>
          <w:tcPr>
            <w:tcW w:w="8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As Revised</w:t>
            </w: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As Previously</w:t>
            </w:r>
          </w:p>
        </w:tc>
        <w:tc>
          <w:tcPr>
            <w:tcW w:w="120" w:type="dxa"/>
            <w:vAlign w:val="bottom"/>
          </w:tcPr>
          <w:p>
            <w:pPr>
              <w:spacing w:after="0"/>
              <w:rPr>
                <w:sz w:val="12"/>
                <w:szCs w:val="12"/>
                <w:color w:val="auto"/>
              </w:rPr>
            </w:pPr>
          </w:p>
        </w:tc>
        <w:tc>
          <w:tcPr>
            <w:tcW w:w="8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As Revised</w:t>
            </w:r>
          </w:p>
        </w:tc>
        <w:tc>
          <w:tcPr>
            <w:tcW w:w="80" w:type="dxa"/>
            <w:vAlign w:val="bottom"/>
            <w:vMerge w:val="restart"/>
          </w:tcPr>
          <w:p>
            <w:pPr>
              <w:spacing w:after="0"/>
              <w:rPr>
                <w:sz w:val="12"/>
                <w:szCs w:val="12"/>
                <w:color w:val="auto"/>
              </w:rPr>
            </w:pPr>
          </w:p>
        </w:tc>
        <w:tc>
          <w:tcPr>
            <w:tcW w:w="1020" w:type="dxa"/>
            <w:vAlign w:val="bottom"/>
            <w:gridSpan w:val="3"/>
          </w:tcPr>
          <w:p>
            <w:pPr>
              <w:jc w:val="center"/>
              <w:ind w:right="60"/>
              <w:spacing w:after="0" w:line="139" w:lineRule="exact"/>
              <w:rPr>
                <w:sz w:val="20"/>
                <w:szCs w:val="20"/>
                <w:color w:val="auto"/>
              </w:rPr>
            </w:pPr>
            <w:r>
              <w:rPr>
                <w:rFonts w:ascii="Times New Roman" w:cs="Times New Roman" w:eastAsia="Times New Roman" w:hAnsi="Times New Roman"/>
                <w:sz w:val="14"/>
                <w:szCs w:val="14"/>
                <w:color w:val="auto"/>
              </w:rPr>
              <w:t>As Previously</w:t>
            </w:r>
          </w:p>
        </w:tc>
        <w:tc>
          <w:tcPr>
            <w:tcW w:w="120" w:type="dxa"/>
            <w:vAlign w:val="bottom"/>
          </w:tcPr>
          <w:p>
            <w:pPr>
              <w:spacing w:after="0"/>
              <w:rPr>
                <w:sz w:val="12"/>
                <w:szCs w:val="12"/>
                <w:color w:val="auto"/>
              </w:rPr>
            </w:pPr>
          </w:p>
        </w:tc>
        <w:tc>
          <w:tcPr>
            <w:tcW w:w="8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As Revised</w:t>
            </w:r>
          </w:p>
        </w:tc>
        <w:tc>
          <w:tcPr>
            <w:tcW w:w="0" w:type="dxa"/>
            <w:vAlign w:val="bottom"/>
          </w:tcPr>
          <w:p>
            <w:pPr>
              <w:spacing w:after="0"/>
              <w:rPr>
                <w:sz w:val="1"/>
                <w:szCs w:val="1"/>
                <w:color w:val="auto"/>
              </w:rPr>
            </w:pPr>
          </w:p>
        </w:tc>
      </w:tr>
      <w:tr>
        <w:trPr>
          <w:trHeight w:val="193"/>
        </w:trPr>
        <w:tc>
          <w:tcPr>
            <w:tcW w:w="2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Reported</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367,153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367,153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376,913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378,546</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388,464</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391,967</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w:t>
            </w:r>
          </w:p>
        </w:tc>
        <w:tc>
          <w:tcPr>
            <w:tcW w:w="1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16,127</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 end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378,546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4,618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403,164</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 beginning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(186,977)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(186,977)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7"/>
              </w:rPr>
              <w:t>(1,633)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(217,752)</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7"/>
              </w:rPr>
              <w:t>(1,870)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 end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7"/>
              </w:rPr>
              <w:t>(3,503)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(4,618)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as appropriate to allow timely decisions regarding required disclosure. Based on the evaluation of our disclosure controls and procedures, our Chief Executive Officer and Chief Financial Officer concluded that our disclosure controls and procedures were ineffective as of December 31, 2022 due to a material weakness identified and described below.</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light of the material weakness described below, management performed additional analysis and other procedures to ensure that our interim and annual consolidated financial statements were prepared in accordance with U.S. GAAP. Accordingly, management believes that the consolidated financial statements included in this Annual Report on Form 10-K fairly present, in all material respects, our financial position, results of operations, and cash flows as of and for the periods presented, in accordance with U.S. GAAP.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Internal control over financial reporting includes policies and procedures that provide reasonable assurance regarding the reliability of financial reporting and the preparation of consolidated financial statements for external reporting purposes in accordance with U.S. GAAP. Our internal control over financial reporting includes those policies and procedures that:</w:t>
      </w:r>
    </w:p>
    <w:p>
      <w:pPr>
        <w:spacing w:after="0" w:line="126"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properly to allow for the preparation of financial statements in accordance with U.S. GAAP and that our receipts and expenditures are being made only in accordance with authorizations of our management and directors; and</w:t>
      </w:r>
    </w:p>
    <w:p>
      <w:pPr>
        <w:spacing w:after="0" w:line="85" w:lineRule="exact"/>
        <w:rPr>
          <w:rFonts w:ascii="Times New Roman" w:cs="Times New Roman" w:eastAsia="Times New Roman" w:hAnsi="Times New Roman"/>
          <w:sz w:val="17"/>
          <w:szCs w:val="17"/>
          <w:color w:val="auto"/>
        </w:rPr>
      </w:pPr>
    </w:p>
    <w:p>
      <w:pPr>
        <w:ind w:left="660" w:hanging="328"/>
        <w:spacing w:after="0" w:line="282" w:lineRule="auto"/>
        <w:tabs>
          <w:tab w:leader="none" w:pos="6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2022 based on the guidelines established in the "Internal Control—Integrated Framework" (2013 framework) issued by the Committee of Sponsoring Organizations of the Treadway Commission (COSO). Based on its assessment, management concluded that the Company's internal control over financial reporting was ineffective as of December 31, 2022 due to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Company did not design and maintain effective controls over the assessment of the accounting for forfeitures of non-standard equity awards. This material weakness resulted in immaterial errors to stock compensation expense for the interim periods ended March 31, 2022, June 30, 2022, and September 30, 2022. These immaterial errors also resulted in a revision to previously issued quarterly financial statements for each of these periods. Additionally, this material weakness could result in misstatements of the aforementioned account balances or disclosures that would result in a material misstatement to the Company's annual or interim consolidated financial statements that would not be prevented or detected.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PricewaterhouseCoopers LLP, our independent registered public accounting firm, which has audited our consolidated financial statements, has also audited the effectiveness of our internal control over financial reporting as of December 31, 2022, and has issued an adverse opinion on the effectiveness of our internal control over financial reporting, as stated in their report, which is included in Item 8 of this Annual Report on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Material Weakness existing as of December 31, 2022</w:t>
      </w:r>
    </w:p>
    <w:p>
      <w:pPr>
        <w:spacing w:after="0" w:line="17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management has executed a plan to remediate the material weakness described above. This plan includes the enhancement of existing processes and controls over the accounting for the forfeiture of non-standard equity awards.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material weakness will be considered remediated when management concludes that, through testing, the applicable remedial controls are operating effectively.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Previously Disclosed Material Weakness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previously identified and disclosed in our 2021 Annual Report, as well as in our Quarterly Report on Form 10-Q filed for the quarters ended March 31, 2022, June 30, 2022, and September 30, 2022 certain material weaknesses in our control environment whereby the Company did not have adequate controls to sufficiently mitigate risks of material misstatement associated with the control environment and monitoring activities to prevent or detect material misstatements to the consolidated financial statements, information technology general controls, and certain business processes. As of December 31, 2022, management has completed our remediation efforts of these material weaknesses. Our remediation efforts included the following:</w:t>
      </w:r>
    </w:p>
    <w:p>
      <w:pPr>
        <w:spacing w:after="0" w:line="129" w:lineRule="exact"/>
        <w:rPr>
          <w:sz w:val="20"/>
          <w:szCs w:val="20"/>
          <w:color w:val="auto"/>
        </w:rPr>
      </w:pPr>
    </w:p>
    <w:p>
      <w:pPr>
        <w:ind w:left="660" w:right="60" w:hanging="328"/>
        <w:spacing w:after="0" w:line="282" w:lineRule="auto"/>
        <w:tabs>
          <w:tab w:leader="none" w:pos="6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hired additional experienced accounting personnel and implemented training of new and existing personnel on proper execution of designed control procedures;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enhanced processes, and designed and implemented internal controls around revenue recognition, software development costs, stock-based compensation, business combination, and financial close and reporting; and,</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enhanced user access provisioning and monitoring controls to enforce appropriate system access and segregation of duties.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2022 that have materially affected, or are reasonably likely to materially effect,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since we intend to file our definitive proxy statement for our 2023 Annual Meeting of Stockholders, or the Proxy Statement, pursuant to Regulation 14A of the Securities Exchange Act of 1934, as amended, not later</w:t>
      </w:r>
    </w:p>
    <w:p>
      <w:pPr>
        <w:spacing w:after="0" w:line="1"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8"/>
          <w:szCs w:val="18"/>
          <w:color w:val="auto"/>
        </w:rPr>
        <w:t>than 120 days after the end of the fiscal year covered by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K, and certain information to be included in the Proxy Statement is incorporated herein by reference.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Information required by this item regarding executive officers, directors and nominees for directors, including information with respect to our audit committee and audit committee financial expert, and the compliance of certain reporting persons with Section 16(a) of the Securities Exchange Act of 1934, as amended, will be included under Election of Directors, Biographical Information Concerning the Company's Executive Officers, Section 16(a) Beneficial Ownership Reporting Compliance, Corporate Governance, Independence of Directors, Board of Directors Nomination Process, Role in Risk Oversight, Meetings of the Board of Directors and Committees of the Board of Directors, as well as Audit Committee, Management Development and Compensation Committee, and Nominating and Corporate Governance Committee, in the Proxy Statement and is incorporated herein by reference.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Compensation of Executive Officers and Directors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December 31, 2022, information with respect to (a) number of securities to be issued upon exercise of outstanding options, warrants, and rights, (b) the weighted average exercise price of outstanding options, warrants, and rights and (c) the number of securities remaining available for future issuance under our existing equity incentive plan. All shares under our existing equity incentive plan may be issued in the form of restricted stock, performance shares, stock appreciation rights, stock units, or other stock-based awards.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(b)</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168"/>
        </w:trPr>
        <w:tc>
          <w:tcPr>
            <w:tcW w:w="4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Number of securities</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 securities to be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 available for future</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Weighted-average exercise</w:t>
            </w: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issuance under equity</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issued upon exercise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compensation plans (excluding</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outstanding options, warrants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price of outstanding options,</w:t>
            </w: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securities reflected in column</w:t>
            </w:r>
          </w:p>
        </w:tc>
        <w:tc>
          <w:tcPr>
            <w:tcW w:w="0" w:type="dxa"/>
            <w:vAlign w:val="bottom"/>
          </w:tcPr>
          <w:p>
            <w:pPr>
              <w:spacing w:after="0"/>
              <w:rPr>
                <w:sz w:val="1"/>
                <w:szCs w:val="1"/>
                <w:color w:val="auto"/>
              </w:rPr>
            </w:pPr>
          </w:p>
        </w:tc>
      </w:tr>
      <w:tr>
        <w:trPr>
          <w:trHeight w:val="213"/>
        </w:trPr>
        <w:tc>
          <w:tcPr>
            <w:tcW w:w="48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and rights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warrants and rights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9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Equity compensation plans approved by security holders </w:t>
            </w:r>
            <w:r>
              <w:rPr>
                <w:rFonts w:ascii="Times New Roman" w:cs="Times New Roman" w:eastAsia="Times New Roman" w:hAnsi="Times New Roman"/>
                <w:sz w:val="21"/>
                <w:szCs w:val="21"/>
                <w:color w:val="auto"/>
                <w:vertAlign w:val="superscript"/>
              </w:rPr>
              <w:t>(1)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3,906,867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412,022</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3,906,867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412,022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the Company's 2016 Omnibus Long-Term Incentive Plan, as amended.</w:t>
      </w:r>
    </w:p>
    <w:p>
      <w:pPr>
        <w:spacing w:after="0" w:line="154" w:lineRule="exact"/>
        <w:rPr>
          <w:sz w:val="20"/>
          <w:szCs w:val="20"/>
          <w:color w:val="auto"/>
        </w:rPr>
      </w:pPr>
    </w:p>
    <w:p>
      <w:pPr>
        <w:ind w:right="20"/>
        <w:spacing w:after="0" w:line="438" w:lineRule="auto"/>
        <w:rPr>
          <w:sz w:val="20"/>
          <w:szCs w:val="20"/>
          <w:color w:val="auto"/>
        </w:rPr>
      </w:pPr>
      <w:r>
        <w:rPr>
          <w:rFonts w:ascii="Times New Roman" w:cs="Times New Roman" w:eastAsia="Times New Roman" w:hAnsi="Times New Roman"/>
          <w:sz w:val="18"/>
          <w:szCs w:val="18"/>
          <w:color w:val="auto"/>
        </w:rPr>
        <w:t xml:space="preserve">All other information required by this item is herein incorporated by reference to the Proxy Statement relating to the 2023 Annual Meeting of Stockholders. </w:t>
      </w: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Certain Relationships and Related Transactions, and Independence of Directors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Independent Registered Public Accounting Firm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report are as follows:</w:t>
      </w:r>
    </w:p>
    <w:p>
      <w:pPr>
        <w:spacing w:after="0" w:line="171" w:lineRule="exact"/>
        <w:rPr>
          <w:sz w:val="20"/>
          <w:szCs w:val="20"/>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Company's consolidated financial statements are included in Item 8. Financial Statements and Supplementary Data.</w:t>
      </w:r>
    </w:p>
    <w:p>
      <w:pPr>
        <w:spacing w:after="0" w:line="171" w:lineRule="exact"/>
        <w:rPr>
          <w:rFonts w:ascii="Times New Roman" w:cs="Times New Roman" w:eastAsia="Times New Roman" w:hAnsi="Times New Roman"/>
          <w:sz w:val="18"/>
          <w:szCs w:val="18"/>
          <w:color w:val="auto"/>
        </w:rPr>
      </w:pPr>
    </w:p>
    <w:p>
      <w:pPr>
        <w:ind w:left="660" w:right="320" w:hanging="490"/>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as the required information is not applicable or the information is presented in the Consolidated Financial Statements.</w:t>
      </w:r>
    </w:p>
    <w:p>
      <w:pPr>
        <w:spacing w:after="0" w:line="107"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 listed in the Exhibit Index immediately below are filed as part of this Annual Report on Form 10-K, or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9"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gridSpan w:val="5"/>
          </w:tcPr>
          <w:p>
            <w:pPr>
              <w:jc w:val="center"/>
              <w:ind w:right="660"/>
              <w:spacing w:after="0"/>
              <w:rPr>
                <w:sz w:val="20"/>
                <w:szCs w:val="20"/>
                <w:color w:val="auto"/>
              </w:rPr>
            </w:pPr>
            <w:r>
              <w:rPr>
                <w:rFonts w:ascii="Times New Roman" w:cs="Times New Roman" w:eastAsia="Times New Roman" w:hAnsi="Times New Roman"/>
                <w:sz w:val="16"/>
                <w:szCs w:val="16"/>
                <w:color w:val="auto"/>
              </w:rPr>
              <w:t>Exhibit</w:t>
            </w:r>
          </w:p>
        </w:tc>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 of Exhibit</w:t>
            </w:r>
          </w:p>
        </w:tc>
      </w:tr>
      <w:tr>
        <w:trPr>
          <w:trHeight w:val="142"/>
        </w:trPr>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6"/>
                <w:szCs w:val="16"/>
                <w:color w:val="auto"/>
                <w:w w:val="91"/>
              </w:rPr>
              <w:t>Number</w:t>
            </w:r>
          </w:p>
        </w:tc>
        <w:tc>
          <w:tcPr>
            <w:tcW w:w="2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360" w:type="dxa"/>
            <w:vAlign w:val="bottom"/>
            <w:gridSpan w:val="3"/>
          </w:tcPr>
          <w:p>
            <w:pPr>
              <w:jc w:val="center"/>
              <w:ind w:left="79"/>
              <w:spacing w:after="0" w:line="183" w:lineRule="exact"/>
              <w:rPr>
                <w:rFonts w:ascii="Times New Roman" w:cs="Times New Roman" w:eastAsia="Times New Roman" w:hAnsi="Times New Roman"/>
                <w:sz w:val="16"/>
                <w:szCs w:val="16"/>
                <w:color w:val="0000FF"/>
                <w:w w:val="99"/>
              </w:rPr>
            </w:pPr>
            <w:hyperlink r:id="rId104">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40" w:type="dxa"/>
            <w:vAlign w:val="bottom"/>
            <w:gridSpan w:val="6"/>
          </w:tcPr>
          <w:p>
            <w:pPr>
              <w:spacing w:after="0" w:line="183"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Second Articles of Amendment and Restatement of Telos Corporation dated November 12, 2020 (Incorporated by reference to Exhibit 3.2 filed with</w:t>
              </w:r>
            </w:hyperlink>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860" w:type="dxa"/>
            <w:vAlign w:val="bottom"/>
            <w:tcBorders>
              <w:top w:val="single" w:sz="8" w:color="0000FF"/>
              <w:bottom w:val="single" w:sz="8" w:color="0000FF"/>
            </w:tcBorders>
            <w:gridSpan w:val="2"/>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the Company's Current Report on Form 8-K report on November 16, 2020)</w:t>
              </w:r>
            </w:hyperlink>
          </w:p>
        </w:tc>
        <w:tc>
          <w:tcPr>
            <w:tcW w:w="47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bl>
    <w:p>
      <w:pPr>
        <w:spacing w:after="0" w:line="54" w:lineRule="exact"/>
        <w:rPr>
          <w:sz w:val="20"/>
          <w:szCs w:val="20"/>
          <w:color w:val="auto"/>
        </w:rPr>
      </w:pPr>
    </w:p>
    <w:p>
      <w:pPr>
        <w:sectPr>
          <w:pgSz w:w="11900" w:h="16838" w:orient="portrait"/>
          <w:cols w:equalWidth="0" w:num="1">
            <w:col w:w="11120"/>
          </w:cols>
          <w:pgMar w:left="320" w:top="119" w:right="459" w:bottom="1440" w:gutter="0" w:footer="0" w:header="0"/>
        </w:sectPr>
      </w:pPr>
    </w:p>
    <w:p>
      <w:pPr>
        <w:ind w:left="420"/>
        <w:spacing w:after="0"/>
        <w:rPr>
          <w:rFonts w:ascii="Times New Roman" w:cs="Times New Roman" w:eastAsia="Times New Roman" w:hAnsi="Times New Roman"/>
          <w:sz w:val="15"/>
          <w:szCs w:val="15"/>
          <w:u w:val="single" w:color="auto"/>
          <w:color w:val="0000FF"/>
        </w:rPr>
      </w:pPr>
      <w:hyperlink r:id="rId105">
        <w:r>
          <w:rPr>
            <w:rFonts w:ascii="Times New Roman" w:cs="Times New Roman" w:eastAsia="Times New Roman" w:hAnsi="Times New Roman"/>
            <w:sz w:val="15"/>
            <w:szCs w:val="15"/>
            <w:u w:val="single" w:color="auto"/>
            <w:color w:val="0000FF"/>
          </w:rPr>
          <w:t>3.2</w:t>
        </w:r>
      </w:hyperlink>
    </w:p>
    <w:p>
      <w:pPr>
        <w:spacing w:after="0" w:line="273" w:lineRule="exact"/>
        <w:rPr>
          <w:sz w:val="20"/>
          <w:szCs w:val="20"/>
          <w:color w:val="auto"/>
        </w:rPr>
      </w:pPr>
    </w:p>
    <w:p>
      <w:pPr>
        <w:ind w:left="420"/>
        <w:spacing w:after="0"/>
        <w:rPr>
          <w:rFonts w:ascii="Times New Roman" w:cs="Times New Roman" w:eastAsia="Times New Roman" w:hAnsi="Times New Roman"/>
          <w:sz w:val="15"/>
          <w:szCs w:val="15"/>
          <w:u w:val="single" w:color="auto"/>
          <w:color w:val="0000FF"/>
        </w:rPr>
      </w:pPr>
      <w:hyperlink r:id="rId106">
        <w:r>
          <w:rPr>
            <w:rFonts w:ascii="Times New Roman" w:cs="Times New Roman" w:eastAsia="Times New Roman" w:hAnsi="Times New Roman"/>
            <w:sz w:val="15"/>
            <w:szCs w:val="15"/>
            <w:u w:val="single" w:color="auto"/>
            <w:color w:val="0000FF"/>
          </w:rPr>
          <w:t>4.1</w:t>
        </w:r>
      </w:hyperlink>
    </w:p>
    <w:p>
      <w:pPr>
        <w:spacing w:after="0" w:line="20" w:lineRule="exact"/>
        <w:rPr>
          <w:sz w:val="20"/>
          <w:szCs w:val="20"/>
          <w:color w:val="auto"/>
        </w:rPr>
      </w:pPr>
      <w:r>
        <w:rPr>
          <w:sz w:val="20"/>
          <w:szCs w:val="20"/>
          <w:color w:val="auto"/>
        </w:rPr>
        <w:br w:type="column"/>
      </w:r>
    </w:p>
    <w:p>
      <w:pPr>
        <w:ind w:right="220"/>
        <w:spacing w:after="0" w:line="280" w:lineRule="auto"/>
        <w:rPr>
          <w:rFonts w:ascii="Times New Roman" w:cs="Times New Roman" w:eastAsia="Times New Roman" w:hAnsi="Times New Roman"/>
          <w:sz w:val="16"/>
          <w:szCs w:val="16"/>
          <w:u w:val="single" w:color="auto"/>
          <w:color w:val="0000FF"/>
        </w:rPr>
      </w:pPr>
      <w:hyperlink r:id="rId105">
        <w:r>
          <w:rPr>
            <w:rFonts w:ascii="Times New Roman" w:cs="Times New Roman" w:eastAsia="Times New Roman" w:hAnsi="Times New Roman"/>
            <w:sz w:val="16"/>
            <w:szCs w:val="16"/>
            <w:u w:val="single" w:color="auto"/>
            <w:color w:val="0000FF"/>
          </w:rPr>
          <w:t>Third Amended and Restated Bylaws of Telos Corporation, effective as of March 23, 2021 (Incorporated by reference to Exhibit 3.2 filed with the</w:t>
        </w:r>
      </w:hyperlink>
      <w:r>
        <w:rPr>
          <w:rFonts w:ascii="Times New Roman" w:cs="Times New Roman" w:eastAsia="Times New Roman" w:hAnsi="Times New Roman"/>
          <w:sz w:val="16"/>
          <w:szCs w:val="16"/>
          <w:u w:val="single" w:color="auto"/>
          <w:color w:val="0000FF"/>
        </w:rPr>
        <w:t xml:space="preserve"> </w:t>
      </w:r>
      <w:hyperlink r:id="rId105">
        <w:r>
          <w:rPr>
            <w:rFonts w:ascii="Times New Roman" w:cs="Times New Roman" w:eastAsia="Times New Roman" w:hAnsi="Times New Roman"/>
            <w:sz w:val="16"/>
            <w:szCs w:val="16"/>
            <w:u w:val="single" w:color="auto"/>
            <w:color w:val="0000FF"/>
          </w:rPr>
          <w:t>Company's Annual Report on Form 10-K for the year ended December 31, 2020)</w:t>
        </w:r>
      </w:hyperlink>
    </w:p>
    <w:p>
      <w:pPr>
        <w:spacing w:after="0" w:line="16" w:lineRule="exact"/>
        <w:rPr>
          <w:sz w:val="20"/>
          <w:szCs w:val="20"/>
          <w:color w:val="auto"/>
        </w:rPr>
      </w:pPr>
    </w:p>
    <w:p>
      <w:pPr>
        <w:ind w:right="400"/>
        <w:spacing w:after="0" w:line="280" w:lineRule="auto"/>
        <w:rPr>
          <w:rFonts w:ascii="Times New Roman" w:cs="Times New Roman" w:eastAsia="Times New Roman" w:hAnsi="Times New Roman"/>
          <w:sz w:val="16"/>
          <w:szCs w:val="16"/>
          <w:u w:val="single" w:color="auto"/>
          <w:color w:val="0000FF"/>
        </w:rPr>
      </w:pPr>
      <w:hyperlink r:id="rId106">
        <w:r>
          <w:rPr>
            <w:rFonts w:ascii="Times New Roman" w:cs="Times New Roman" w:eastAsia="Times New Roman" w:hAnsi="Times New Roman"/>
            <w:sz w:val="16"/>
            <w:szCs w:val="16"/>
            <w:u w:val="single" w:color="auto"/>
            <w:color w:val="0000FF"/>
          </w:rPr>
          <w:t>Description of our Capital Stock (Incorporated by reference to Exhibit 4.13 filed with the Company's Annual Report on Form 10-K for the year</w:t>
        </w:r>
      </w:hyperlink>
      <w:r>
        <w:rPr>
          <w:rFonts w:ascii="Times New Roman" w:cs="Times New Roman" w:eastAsia="Times New Roman" w:hAnsi="Times New Roman"/>
          <w:sz w:val="16"/>
          <w:szCs w:val="16"/>
          <w:u w:val="single" w:color="auto"/>
          <w:color w:val="0000FF"/>
        </w:rPr>
        <w:t xml:space="preserve"> </w:t>
      </w:r>
      <w:hyperlink r:id="rId106">
        <w:r>
          <w:rPr>
            <w:rFonts w:ascii="Times New Roman" w:cs="Times New Roman" w:eastAsia="Times New Roman" w:hAnsi="Times New Roman"/>
            <w:sz w:val="16"/>
            <w:szCs w:val="16"/>
            <w:u w:val="single" w:color="auto"/>
            <w:color w:val="0000FF"/>
          </w:rPr>
          <w:t>ended December 31, 2021)</w:t>
        </w:r>
      </w:hyperlink>
    </w:p>
    <w:p>
      <w:pPr>
        <w:spacing w:after="0" w:line="1" w:lineRule="exact"/>
        <w:rPr>
          <w:sz w:val="20"/>
          <w:szCs w:val="20"/>
          <w:color w:val="auto"/>
        </w:rPr>
      </w:pPr>
    </w:p>
    <w:p>
      <w:pPr>
        <w:sectPr>
          <w:pgSz w:w="11900" w:h="16838" w:orient="portrait"/>
          <w:cols w:equalWidth="0" w:num="2">
            <w:col w:w="700" w:space="720"/>
            <w:col w:w="9700"/>
          </w:cols>
          <w:pgMar w:left="320" w:top="119" w:right="459" w:bottom="1440" w:gutter="0" w:footer="0" w:header="0"/>
          <w:type w:val="continuous"/>
        </w:sectPr>
      </w:pPr>
    </w:p>
    <w:tbl>
      <w:tblPr>
        <w:tblLayout w:type="fixed"/>
        <w:tblInd w:w="340" w:type="dxa"/>
        <w:tblCellMar>
          <w:top w:w="0" w:type="dxa"/>
          <w:left w:w="0" w:type="dxa"/>
          <w:bottom w:w="0" w:type="dxa"/>
          <w:right w:w="0" w:type="dxa"/>
        </w:tblCellMar>
      </w:tblPr>
      <w:tr>
        <w:trPr>
          <w:trHeight w:val="186"/>
        </w:trPr>
        <w:tc>
          <w:tcPr>
            <w:tcW w:w="280" w:type="dxa"/>
            <w:vAlign w:val="bottom"/>
            <w:gridSpan w:val="2"/>
          </w:tcPr>
          <w:p>
            <w:pPr>
              <w:jc w:val="center"/>
              <w:spacing w:after="0" w:line="158" w:lineRule="exact"/>
              <w:rPr>
                <w:rFonts w:ascii="Times New Roman" w:cs="Times New Roman" w:eastAsia="Times New Roman" w:hAnsi="Times New Roman"/>
                <w:sz w:val="16"/>
                <w:szCs w:val="16"/>
                <w:color w:val="0000FF"/>
                <w:w w:val="99"/>
              </w:rPr>
            </w:pPr>
            <w:hyperlink r:id="rId107">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16"/>
                <w:szCs w:val="16"/>
                <w:color w:val="auto"/>
              </w:rPr>
            </w:pPr>
          </w:p>
        </w:tc>
        <w:tc>
          <w:tcPr>
            <w:tcW w:w="720" w:type="dxa"/>
            <w:vAlign w:val="bottom"/>
          </w:tcPr>
          <w:p>
            <w:pPr>
              <w:jc w:val="center"/>
              <w:ind w:left="239"/>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line="158"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Credit Agreement, dated January 25, 2017, among Telos Corporation, Xacta Corporation, ubIQuity.com, inc., Teloworks, Inc., Enlightenment Capital</w:t>
              </w:r>
            </w:hyperlink>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680" w:type="dxa"/>
            <w:vAlign w:val="bottom"/>
            <w:tcBorders>
              <w:top w:val="single" w:sz="8" w:color="0000FF"/>
              <w:bottom w:val="single" w:sz="8" w:color="0000FF"/>
            </w:tcBorders>
            <w:gridSpan w:val="40"/>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Solutions Fund II, L.P., and the lenders party thereto (Incorporated by reference to Exhibit 4.1 to the Company's Current Report on Form 8-K filed on</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760" w:type="dxa"/>
            <w:vAlign w:val="bottom"/>
            <w:gridSpan w:val="44"/>
          </w:tcPr>
          <w:p>
            <w:pPr>
              <w:spacing w:after="0" w:line="183"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January 31, 2017)</w:t>
              </w:r>
            </w:hyperlink>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jc w:val="center"/>
              <w:spacing w:after="0"/>
              <w:rPr>
                <w:rFonts w:ascii="Times New Roman" w:cs="Times New Roman" w:eastAsia="Times New Roman" w:hAnsi="Times New Roman"/>
                <w:sz w:val="16"/>
                <w:szCs w:val="16"/>
                <w:color w:val="0000FF"/>
                <w:w w:val="99"/>
              </w:rPr>
            </w:pPr>
            <w:hyperlink r:id="rId108">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3</w:t>
              </w:r>
            </w:hyperlink>
          </w:p>
        </w:tc>
        <w:tc>
          <w:tcPr>
            <w:tcW w:w="80" w:type="dxa"/>
            <w:vAlign w:val="bottom"/>
          </w:tcPr>
          <w:p>
            <w:pPr>
              <w:spacing w:after="0" w:line="20" w:lineRule="exact"/>
              <w:rPr>
                <w:sz w:val="1"/>
                <w:szCs w:val="1"/>
                <w:color w:val="auto"/>
              </w:rPr>
            </w:pP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760" w:type="dxa"/>
            <w:vAlign w:val="bottom"/>
            <w:gridSpan w:val="44"/>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First Amendment to Credit Agreement, effective as of February 23, 2017, among Telos Corporation, Xacta Corporation, ubIQuity.com, inc.,</w:t>
              </w:r>
            </w:hyperlink>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080" w:type="dxa"/>
            <w:vAlign w:val="bottom"/>
            <w:tcBorders>
              <w:top w:val="single" w:sz="8" w:color="0000FF"/>
              <w:bottom w:val="single" w:sz="8" w:color="0000FF"/>
            </w:tcBorders>
            <w:gridSpan w:val="25"/>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Teloworks, Inc., Enlightenment Capital Solutions Fund II, L.P., and the lenders party thereto (Incorporated by reference to Exhibit 4.2 filed</w:t>
              </w:r>
            </w:hyperlink>
          </w:p>
        </w:tc>
        <w:tc>
          <w:tcPr>
            <w:tcW w:w="500" w:type="dxa"/>
            <w:vAlign w:val="bottom"/>
            <w:tcBorders>
              <w:bottom w:val="single" w:sz="8" w:color="0000FF"/>
            </w:tcBorders>
            <w:gridSpan w:val="10"/>
          </w:tcPr>
          <w:p>
            <w:pPr>
              <w:spacing w:after="0" w:line="175" w:lineRule="exact"/>
              <w:rPr>
                <w:rFonts w:ascii="Times New Roman" w:cs="Times New Roman" w:eastAsia="Times New Roman" w:hAnsi="Times New Roman"/>
                <w:sz w:val="16"/>
                <w:szCs w:val="16"/>
                <w:color w:val="0000FF"/>
                <w:w w:val="92"/>
              </w:rPr>
            </w:pPr>
            <w:hyperlink r:id="rId108">
              <w:r>
                <w:rPr>
                  <w:rFonts w:ascii="Times New Roman" w:cs="Times New Roman" w:eastAsia="Times New Roman" w:hAnsi="Times New Roman"/>
                  <w:sz w:val="16"/>
                  <w:szCs w:val="16"/>
                  <w:color w:val="0000FF"/>
                  <w:w w:val="92"/>
                </w:rPr>
                <w:t>with the</w:t>
              </w:r>
            </w:hyperlink>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500" w:type="dxa"/>
            <w:vAlign w:val="bottom"/>
            <w:tcBorders>
              <w:bottom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Company's Form 10-K report for the year ended December 31, 2016)</w:t>
              </w:r>
            </w:hyperlink>
          </w:p>
        </w:tc>
        <w:tc>
          <w:tcPr>
            <w:tcW w:w="526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109">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4</w:t>
              </w:r>
            </w:hyperlink>
          </w:p>
        </w:tc>
        <w:tc>
          <w:tcPr>
            <w:tcW w:w="80" w:type="dxa"/>
            <w:vAlign w:val="bottom"/>
          </w:tcPr>
          <w:p>
            <w:pPr>
              <w:spacing w:after="0"/>
              <w:rPr>
                <w:sz w:val="21"/>
                <w:szCs w:val="21"/>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Second Amendment to Credit Agreement, dated April 18, 2017, among Telos Corporation, Xacta Corporation, ubIQuity.com, inc., Teloworks, Inc.,</w:t>
              </w:r>
            </w:hyperlink>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Enlightenment Capital Solutions Fund II, L.P., and the lenders party thereto (Incorporated by reference to Exhibit 4.1 filed with</w:t>
              </w:r>
            </w:hyperlink>
          </w:p>
        </w:tc>
        <w:tc>
          <w:tcPr>
            <w:tcW w:w="1040" w:type="dxa"/>
            <w:vAlign w:val="bottom"/>
            <w:tcBorders>
              <w:top w:val="single" w:sz="8" w:color="0000FF"/>
              <w:bottom w:val="single" w:sz="8" w:color="0000FF"/>
            </w:tcBorders>
            <w:gridSpan w:val="5"/>
          </w:tcPr>
          <w:p>
            <w:pPr>
              <w:ind w:left="80"/>
              <w:spacing w:after="0" w:line="142" w:lineRule="exact"/>
              <w:rPr>
                <w:rFonts w:ascii="Times New Roman" w:cs="Times New Roman" w:eastAsia="Times New Roman" w:hAnsi="Times New Roman"/>
                <w:sz w:val="16"/>
                <w:szCs w:val="16"/>
                <w:color w:val="0000FF"/>
                <w:w w:val="99"/>
              </w:rPr>
            </w:pPr>
            <w:hyperlink r:id="rId109">
              <w:r>
                <w:rPr>
                  <w:rFonts w:ascii="Times New Roman" w:cs="Times New Roman" w:eastAsia="Times New Roman" w:hAnsi="Times New Roman"/>
                  <w:sz w:val="16"/>
                  <w:szCs w:val="16"/>
                  <w:color w:val="0000FF"/>
                  <w:w w:val="99"/>
                </w:rPr>
                <w:t>the Company's</w:t>
              </w:r>
            </w:hyperlink>
          </w:p>
        </w:tc>
        <w:tc>
          <w:tcPr>
            <w:tcW w:w="3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760" w:type="dxa"/>
            <w:vAlign w:val="bottom"/>
            <w:gridSpan w:val="44"/>
          </w:tcPr>
          <w:p>
            <w:pPr>
              <w:spacing w:after="0" w:line="183"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Current Report on Form 8-K on April 24, 2017)</w:t>
              </w:r>
            </w:hyperlink>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jc w:val="center"/>
              <w:spacing w:after="0"/>
              <w:rPr>
                <w:rFonts w:ascii="Times New Roman" w:cs="Times New Roman" w:eastAsia="Times New Roman" w:hAnsi="Times New Roman"/>
                <w:sz w:val="16"/>
                <w:szCs w:val="16"/>
                <w:color w:val="0000FF"/>
                <w:w w:val="99"/>
              </w:rPr>
            </w:pPr>
            <w:hyperlink r:id="rId110">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5</w:t>
              </w:r>
            </w:hyperlink>
          </w:p>
        </w:tc>
        <w:tc>
          <w:tcPr>
            <w:tcW w:w="80" w:type="dxa"/>
            <w:vAlign w:val="bottom"/>
          </w:tcPr>
          <w:p>
            <w:pPr>
              <w:spacing w:after="0" w:line="20" w:lineRule="exact"/>
              <w:rPr>
                <w:sz w:val="1"/>
                <w:szCs w:val="1"/>
                <w:color w:val="auto"/>
              </w:rPr>
            </w:pP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760" w:type="dxa"/>
            <w:vAlign w:val="bottom"/>
            <w:gridSpan w:val="44"/>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Third Amendment to Credit Agreement and Waiver, dated March 30, 2018, among Telos Corporation, Xacta Corporation, ubIQuity.com, Inc.,</w:t>
              </w:r>
            </w:hyperlink>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200" w:type="dxa"/>
            <w:vAlign w:val="bottom"/>
            <w:tcBorders>
              <w:top w:val="single" w:sz="8" w:color="0000FF"/>
              <w:bottom w:val="single" w:sz="8" w:color="0000FF"/>
            </w:tcBorders>
            <w:gridSpan w:val="27"/>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Teloworks, Inc., Enlightenment Capital Solutions Fund II, L.P., and the lenders party thereto (Incorporated by reference to Exhibit 4.10 filed</w:t>
              </w:r>
            </w:hyperlink>
          </w:p>
        </w:tc>
        <w:tc>
          <w:tcPr>
            <w:tcW w:w="460" w:type="dxa"/>
            <w:vAlign w:val="bottom"/>
            <w:tcBorders>
              <w:bottom w:val="single" w:sz="8" w:color="0000FF"/>
            </w:tcBorders>
            <w:gridSpan w:val="12"/>
          </w:tcPr>
          <w:p>
            <w:pPr>
              <w:spacing w:after="0" w:line="175" w:lineRule="exact"/>
              <w:rPr>
                <w:rFonts w:ascii="Times New Roman" w:cs="Times New Roman" w:eastAsia="Times New Roman" w:hAnsi="Times New Roman"/>
                <w:sz w:val="16"/>
                <w:szCs w:val="16"/>
                <w:color w:val="0000FF"/>
                <w:w w:val="84"/>
              </w:rPr>
            </w:pPr>
            <w:hyperlink r:id="rId110">
              <w:r>
                <w:rPr>
                  <w:rFonts w:ascii="Times New Roman" w:cs="Times New Roman" w:eastAsia="Times New Roman" w:hAnsi="Times New Roman"/>
                  <w:sz w:val="16"/>
                  <w:szCs w:val="16"/>
                  <w:color w:val="0000FF"/>
                  <w:w w:val="84"/>
                </w:rPr>
                <w:t>with the</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500" w:type="dxa"/>
            <w:vAlign w:val="bottom"/>
            <w:tcBorders>
              <w:bottom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Company's Form 10-K report for the year ended December 31, 2017)</w:t>
              </w:r>
            </w:hyperlink>
          </w:p>
        </w:tc>
        <w:tc>
          <w:tcPr>
            <w:tcW w:w="526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111">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6</w:t>
              </w:r>
            </w:hyperlink>
          </w:p>
        </w:tc>
        <w:tc>
          <w:tcPr>
            <w:tcW w:w="80" w:type="dxa"/>
            <w:vAlign w:val="bottom"/>
          </w:tcPr>
          <w:p>
            <w:pPr>
              <w:spacing w:after="0"/>
              <w:rPr>
                <w:sz w:val="18"/>
                <w:szCs w:val="18"/>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Fourth Amendment to Credit Agreement and Waiver; First Amendment to Fee Letter between Telos Corporation and Enlightenment Capital</w:t>
              </w:r>
            </w:hyperlink>
          </w:p>
        </w:tc>
        <w:tc>
          <w:tcPr>
            <w:tcW w:w="0" w:type="dxa"/>
            <w:vAlign w:val="bottom"/>
          </w:tcPr>
          <w:p>
            <w:pPr>
              <w:spacing w:after="0"/>
              <w:rPr>
                <w:sz w:val="1"/>
                <w:szCs w:val="1"/>
                <w:color w:val="auto"/>
              </w:rPr>
            </w:pPr>
          </w:p>
        </w:tc>
      </w:tr>
      <w:tr>
        <w:trPr>
          <w:trHeight w:val="27"/>
        </w:trPr>
        <w:tc>
          <w:tcPr>
            <w:tcW w:w="100" w:type="dxa"/>
            <w:vAlign w:val="bottom"/>
            <w:tcBorders>
              <w:right w:val="single" w:sz="8" w:color="0000FF"/>
            </w:tcBorders>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gridSpan w:val="2"/>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340" w:type="dxa"/>
            <w:vAlign w:val="bottom"/>
            <w:gridSpan w:val="2"/>
            <w:shd w:val="clear" w:color="auto" w:fill="0000FF"/>
          </w:tcPr>
          <w:p>
            <w:pPr>
              <w:spacing w:after="0"/>
              <w:rPr>
                <w:sz w:val="2"/>
                <w:szCs w:val="2"/>
                <w:color w:val="auto"/>
              </w:rPr>
            </w:pPr>
          </w:p>
        </w:tc>
        <w:tc>
          <w:tcPr>
            <w:tcW w:w="120" w:type="dxa"/>
            <w:vAlign w:val="bottom"/>
            <w:gridSpan w:val="2"/>
          </w:tcPr>
          <w:p>
            <w:pPr>
              <w:spacing w:after="0"/>
              <w:rPr>
                <w:sz w:val="2"/>
                <w:szCs w:val="2"/>
                <w:color w:val="auto"/>
              </w:rPr>
            </w:pPr>
          </w:p>
        </w:tc>
        <w:tc>
          <w:tcPr>
            <w:tcW w:w="2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9740" w:type="dxa"/>
            <w:vAlign w:val="bottom"/>
            <w:gridSpan w:val="43"/>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Solutions Fund II, L.P. dated July 19, 2019 (Incorporated by reference to Exhibit 99.1 filed with the Company's Current Report on Form 8-K on July</w:t>
              </w:r>
            </w:hyperlink>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16"/>
                <w:szCs w:val="16"/>
                <w:color w:val="0000FF"/>
                <w:w w:val="97"/>
              </w:rPr>
            </w:pPr>
            <w:hyperlink r:id="rId111">
              <w:r>
                <w:rPr>
                  <w:rFonts w:ascii="Times New Roman" w:cs="Times New Roman" w:eastAsia="Times New Roman" w:hAnsi="Times New Roman"/>
                  <w:sz w:val="16"/>
                  <w:szCs w:val="16"/>
                  <w:color w:val="0000FF"/>
                  <w:w w:val="97"/>
                </w:rPr>
                <w:t>23, 2019)</w:t>
              </w:r>
            </w:hyperlink>
          </w:p>
        </w:tc>
        <w:tc>
          <w:tcPr>
            <w:tcW w:w="5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112">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7</w:t>
              </w:r>
            </w:hyperlink>
          </w:p>
        </w:tc>
        <w:tc>
          <w:tcPr>
            <w:tcW w:w="80" w:type="dxa"/>
            <w:vAlign w:val="bottom"/>
          </w:tcPr>
          <w:p>
            <w:pPr>
              <w:spacing w:after="0"/>
              <w:rPr>
                <w:sz w:val="18"/>
                <w:szCs w:val="18"/>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Fifth Amendment to Credit Agreement and Second Amendment to Fee Letter between Telos Corporation and Enlightenment Capital Solutions Fund</w:t>
              </w:r>
            </w:hyperlink>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580" w:type="dxa"/>
            <w:vAlign w:val="bottom"/>
            <w:tcBorders>
              <w:top w:val="single" w:sz="8" w:color="0000FF"/>
              <w:bottom w:val="single" w:sz="8" w:color="0000FF"/>
            </w:tcBorders>
            <w:gridSpan w:val="35"/>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II, L.P. dated March 26, 2020 (Incorporated by reference to Exhibit 99.1 filed with the Company's Current Report on Form 8-K on March 30, 2020)</w:t>
              </w:r>
            </w:hyperlink>
          </w:p>
        </w:tc>
        <w:tc>
          <w:tcPr>
            <w:tcW w:w="6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11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0"/>
                <w:szCs w:val="20"/>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Forms of Indemnification Agreement between the Company and 16 of its directors and executive officers (Incorporated by reference to Exhibit 10.1</w:t>
              </w:r>
            </w:hyperlink>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top w:val="single" w:sz="8" w:color="0000FF"/>
            </w:tcBorders>
            <w:gridSpan w:val="37"/>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filed with the Company's Form 10-Q for the quarter ended March 31, 2021)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jc w:val="center"/>
              <w:spacing w:after="0"/>
              <w:rPr>
                <w:rFonts w:ascii="Times New Roman" w:cs="Times New Roman" w:eastAsia="Times New Roman" w:hAnsi="Times New Roman"/>
                <w:sz w:val="16"/>
                <w:szCs w:val="16"/>
                <w:color w:val="0000FF"/>
                <w:w w:val="99"/>
              </w:rPr>
            </w:pPr>
            <w:hyperlink r:id="rId11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line="20" w:lineRule="exact"/>
              <w:rPr>
                <w:sz w:val="1"/>
                <w:szCs w:val="1"/>
                <w:color w:val="auto"/>
              </w:rPr>
            </w:pP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9760" w:type="dxa"/>
            <w:vAlign w:val="bottom"/>
            <w:gridSpan w:val="44"/>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Form of Employment Agreement between the Company and two of its executive officers (Incorporated by reference to Exhibit 10.5 filed with the</w:t>
              </w:r>
            </w:hyperlink>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5600" w:type="dxa"/>
            <w:vAlign w:val="bottom"/>
            <w:tcBorders>
              <w:top w:val="single" w:sz="8" w:color="0000FF"/>
              <w:bottom w:val="single" w:sz="8" w:color="0000FF"/>
            </w:tcBorders>
            <w:gridSpan w:val="14"/>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Company's Quarterly Report on Form 10-Q for the quarter ended September 30, 2012)</w:t>
              </w:r>
            </w:hyperlink>
          </w:p>
        </w:tc>
        <w:tc>
          <w:tcPr>
            <w:tcW w:w="382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11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hyperlink>
          </w:p>
        </w:tc>
        <w:tc>
          <w:tcPr>
            <w:tcW w:w="80" w:type="dxa"/>
            <w:vAlign w:val="bottom"/>
          </w:tcPr>
          <w:p>
            <w:pPr>
              <w:spacing w:after="0"/>
              <w:rPr>
                <w:sz w:val="20"/>
                <w:szCs w:val="20"/>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Second Amended Employment Agreement, dated as of November 12, 2012, between the Company and John B. Wood (Incorporated by reference to</w:t>
              </w:r>
            </w:hyperlink>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FF"/>
            </w:tcBorders>
            <w:gridSpan w:val="36"/>
          </w:tcPr>
          <w:p>
            <w:pPr>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Exhibit 10.1 filed with the Company's Quarterly Report on Form 10-Q for the quarter ended September 30, 2012)</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jc w:val="center"/>
              <w:spacing w:after="0"/>
              <w:rPr>
                <w:rFonts w:ascii="Times New Roman" w:cs="Times New Roman" w:eastAsia="Times New Roman" w:hAnsi="Times New Roman"/>
                <w:sz w:val="16"/>
                <w:szCs w:val="16"/>
                <w:color w:val="0000FF"/>
                <w:w w:val="99"/>
              </w:rPr>
            </w:pPr>
            <w:hyperlink r:id="rId11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4</w:t>
              </w:r>
            </w:hyperlink>
          </w:p>
        </w:tc>
        <w:tc>
          <w:tcPr>
            <w:tcW w:w="80" w:type="dxa"/>
            <w:vAlign w:val="bottom"/>
          </w:tcPr>
          <w:p>
            <w:pPr>
              <w:spacing w:after="0" w:line="20" w:lineRule="exact"/>
              <w:rPr>
                <w:sz w:val="1"/>
                <w:szCs w:val="1"/>
                <w:color w:val="auto"/>
              </w:rPr>
            </w:pP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9760" w:type="dxa"/>
            <w:vAlign w:val="bottom"/>
            <w:gridSpan w:val="44"/>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Executive Employment Agreement between Mark Bendza and the Company, dated as of July 19, 2021 (Incorporated by reference to Exhibit 10.1</w:t>
              </w:r>
            </w:hyperlink>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0" w:type="dxa"/>
            <w:vAlign w:val="bottom"/>
            <w:tcBorders>
              <w:top w:val="single" w:sz="8" w:color="0000FF"/>
            </w:tcBorders>
            <w:gridSpan w:val="29"/>
          </w:tcPr>
          <w:p>
            <w:pPr>
              <w:spacing w:after="0" w:line="17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filed with the Company's Quarterly Report on Form 10-Q for the quarter ended June 30, 2021)</w:t>
              </w:r>
            </w:hyperlink>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p>
        </w:tc>
        <w:tc>
          <w:tcPr>
            <w:tcW w:w="80" w:type="dxa"/>
            <w:vAlign w:val="bottom"/>
          </w:tcPr>
          <w:p>
            <w:pPr>
              <w:spacing w:after="0" w:line="20" w:lineRule="exact"/>
              <w:rPr>
                <w:sz w:val="1"/>
                <w:szCs w:val="1"/>
                <w:color w:val="auto"/>
              </w:rPr>
            </w:pP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93"/>
              </w:rPr>
              <w:t>*+</w:t>
            </w:r>
          </w:p>
        </w:tc>
        <w:tc>
          <w:tcPr>
            <w:tcW w:w="38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9760" w:type="dxa"/>
            <w:vAlign w:val="bottom"/>
            <w:gridSpan w:val="44"/>
          </w:tcPr>
          <w:p>
            <w:pPr>
              <w:spacing w:after="0"/>
              <w:rPr>
                <w:sz w:val="20"/>
                <w:szCs w:val="20"/>
                <w:color w:val="auto"/>
              </w:rPr>
            </w:pPr>
            <w:r>
              <w:rPr>
                <w:rFonts w:ascii="Times New Roman" w:cs="Times New Roman" w:eastAsia="Times New Roman" w:hAnsi="Times New Roman"/>
                <w:sz w:val="16"/>
                <w:szCs w:val="16"/>
                <w:color w:val="0000FF"/>
              </w:rPr>
              <w:t>Executive Employment Agreement between E. Hutchinson Robbins, Jr. and the Company, dated as of February 1, 2022</w:t>
            </w:r>
          </w:p>
        </w:tc>
        <w:tc>
          <w:tcPr>
            <w:tcW w:w="0" w:type="dxa"/>
            <w:vAlign w:val="bottom"/>
          </w:tcPr>
          <w:p>
            <w:pPr>
              <w:spacing w:after="0"/>
              <w:rPr>
                <w:sz w:val="1"/>
                <w:szCs w:val="1"/>
                <w:color w:val="auto"/>
              </w:rPr>
            </w:pP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11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6</w:t>
              </w:r>
            </w:hyperlink>
          </w:p>
        </w:tc>
        <w:tc>
          <w:tcPr>
            <w:tcW w:w="80" w:type="dxa"/>
            <w:vAlign w:val="bottom"/>
          </w:tcPr>
          <w:p>
            <w:pPr>
              <w:spacing w:after="0"/>
              <w:rPr>
                <w:sz w:val="18"/>
                <w:szCs w:val="18"/>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Amendment to Employment Agreement, dated as of November 12, 2012, between the Company and Brendan D. Malloy (Incorporated by reference</w:t>
              </w:r>
            </w:hyperlink>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600" w:type="dxa"/>
            <w:vAlign w:val="bottom"/>
            <w:tcBorders>
              <w:top w:val="single" w:sz="8" w:color="0000FF"/>
              <w:bottom w:val="single" w:sz="8" w:color="0000FF"/>
            </w:tcBorders>
            <w:gridSpan w:val="20"/>
          </w:tcPr>
          <w:p>
            <w:pPr>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to Exhibit 10.4 filed with the Company's Form 10-Q report for the quarter ended September 30, 2012)</w:t>
              </w:r>
            </w:hyperlink>
          </w:p>
        </w:tc>
        <w:tc>
          <w:tcPr>
            <w:tcW w:w="2980" w:type="dxa"/>
            <w:vAlign w:val="bottom"/>
            <w:tcBorders>
              <w:top w:val="single" w:sz="8" w:color="0000FF"/>
            </w:tcBorders>
            <w:gridSpan w:val="15"/>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11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7</w:t>
              </w:r>
            </w:hyperlink>
          </w:p>
        </w:tc>
        <w:tc>
          <w:tcPr>
            <w:tcW w:w="80" w:type="dxa"/>
            <w:vAlign w:val="bottom"/>
          </w:tcPr>
          <w:p>
            <w:pPr>
              <w:spacing w:after="0"/>
              <w:rPr>
                <w:sz w:val="20"/>
                <w:szCs w:val="20"/>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Annual Incentive Plan for 2022 (Incorporated by reference to Exhibit 99.1 filed with the Company's Current Report on Form 8-K on February 28,</w:t>
              </w:r>
            </w:hyperlink>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60" w:type="dxa"/>
            <w:vAlign w:val="bottom"/>
            <w:tcBorders>
              <w:top w:val="single" w:sz="8" w:color="0000FF"/>
              <w:bottom w:val="single" w:sz="8" w:color="0000FF"/>
            </w:tcBorders>
          </w:tcPr>
          <w:p>
            <w:pPr>
              <w:spacing w:after="0" w:line="175" w:lineRule="exact"/>
              <w:rPr>
                <w:rFonts w:ascii="Times New Roman" w:cs="Times New Roman" w:eastAsia="Times New Roman" w:hAnsi="Times New Roman"/>
                <w:sz w:val="16"/>
                <w:szCs w:val="16"/>
                <w:color w:val="0000FF"/>
                <w:w w:val="90"/>
              </w:rPr>
            </w:pPr>
            <w:hyperlink r:id="rId118">
              <w:r>
                <w:rPr>
                  <w:rFonts w:ascii="Times New Roman" w:cs="Times New Roman" w:eastAsia="Times New Roman" w:hAnsi="Times New Roman"/>
                  <w:sz w:val="16"/>
                  <w:szCs w:val="16"/>
                  <w:color w:val="0000FF"/>
                  <w:w w:val="90"/>
                </w:rPr>
                <w:t>2022)</w:t>
              </w:r>
            </w:hyperlink>
          </w:p>
        </w:tc>
        <w:tc>
          <w:tcPr>
            <w:tcW w:w="2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11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8</w:t>
              </w:r>
            </w:hyperlink>
          </w:p>
        </w:tc>
        <w:tc>
          <w:tcPr>
            <w:tcW w:w="80" w:type="dxa"/>
            <w:vAlign w:val="bottom"/>
          </w:tcPr>
          <w:p>
            <w:pPr>
              <w:spacing w:after="0"/>
              <w:rPr>
                <w:sz w:val="20"/>
                <w:szCs w:val="20"/>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 xml:space="preserve">Telos Corporation 2016 Omnibus Long-Term Incentive Plan (Incorporated by reference to Exhibit 10.3 filed with the </w:t>
              </w:r>
            </w:hyperlink>
            <w:r>
              <w:rPr>
                <w:rFonts w:ascii="Times New Roman" w:cs="Times New Roman" w:eastAsia="Times New Roman" w:hAnsi="Times New Roman"/>
                <w:sz w:val="16"/>
                <w:szCs w:val="16"/>
                <w:color w:val="0000FF"/>
              </w:rPr>
              <w:t xml:space="preserve">Company's </w:t>
            </w:r>
            <w:hyperlink r:id="rId119">
              <w:r>
                <w:rPr>
                  <w:rFonts w:ascii="Times New Roman" w:cs="Times New Roman" w:eastAsia="Times New Roman" w:hAnsi="Times New Roman"/>
                  <w:sz w:val="16"/>
                  <w:szCs w:val="16"/>
                  <w:color w:val="0000FF"/>
                </w:rPr>
                <w:t>Quarterly Report on</w:t>
              </w:r>
            </w:hyperlink>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100" w:type="dxa"/>
            <w:vAlign w:val="bottom"/>
            <w:tcBorders>
              <w:top w:val="single" w:sz="8" w:color="0000FF"/>
              <w:bottom w:val="single" w:sz="8" w:color="0000FF"/>
            </w:tcBorders>
            <w:gridSpan w:val="9"/>
          </w:tcPr>
          <w:p>
            <w:pPr>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Form 10-Q for the quarter ended June 30, 2016)</w:t>
              </w:r>
            </w:hyperlink>
          </w:p>
        </w:tc>
        <w:tc>
          <w:tcPr>
            <w:tcW w:w="6580" w:type="dxa"/>
            <w:vAlign w:val="bottom"/>
            <w:tcBorders>
              <w:top w:val="single" w:sz="8" w:color="0000FF"/>
            </w:tcBorders>
            <w:gridSpan w:val="3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12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9</w:t>
              </w:r>
            </w:hyperlink>
          </w:p>
        </w:tc>
        <w:tc>
          <w:tcPr>
            <w:tcW w:w="80" w:type="dxa"/>
            <w:vAlign w:val="bottom"/>
          </w:tcPr>
          <w:p>
            <w:pPr>
              <w:spacing w:after="0"/>
              <w:rPr>
                <w:sz w:val="20"/>
                <w:szCs w:val="20"/>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Amendment No. 1 to the 2016 Omnibus Long-Term Incentive Plan (Incorporated by reference to Exhibit 4.4 filed with the Company's Form S-8 on</w:t>
              </w:r>
            </w:hyperlink>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tcBorders>
            <w:gridSpan w:val="34"/>
          </w:tcPr>
          <w:p>
            <w:pPr>
              <w:spacing w:after="0" w:line="17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January 25, 2021)</w:t>
              </w:r>
            </w:hyperlink>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gridSpan w:val="3"/>
            <w:vMerge w:val="restart"/>
          </w:tcPr>
          <w:p>
            <w:pPr>
              <w:jc w:val="center"/>
              <w:spacing w:after="0"/>
              <w:rPr>
                <w:rFonts w:ascii="Times New Roman" w:cs="Times New Roman" w:eastAsia="Times New Roman" w:hAnsi="Times New Roman"/>
                <w:sz w:val="16"/>
                <w:szCs w:val="16"/>
                <w:color w:val="0000FF"/>
                <w:w w:val="99"/>
              </w:rPr>
            </w:pPr>
            <w:hyperlink r:id="rId121">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10</w:t>
            </w: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gridSpan w:val="3"/>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9760" w:type="dxa"/>
            <w:vAlign w:val="bottom"/>
            <w:gridSpan w:val="44"/>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Notice of Grant of Restricted Stock (Incorporated by reference to Exhibit 10.4 filed with the Company's Form 10-Q report for the quarter ended June</w:t>
              </w:r>
            </w:hyperlink>
          </w:p>
        </w:tc>
        <w:tc>
          <w:tcPr>
            <w:tcW w:w="0" w:type="dxa"/>
            <w:vAlign w:val="bottom"/>
          </w:tcPr>
          <w:p>
            <w:pPr>
              <w:spacing w:after="0"/>
              <w:rPr>
                <w:sz w:val="1"/>
                <w:szCs w:val="1"/>
                <w:color w:val="auto"/>
              </w:rPr>
            </w:pPr>
          </w:p>
        </w:tc>
      </w:tr>
      <w:tr>
        <w:trPr>
          <w:trHeight w:val="175"/>
        </w:trPr>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0" w:type="dxa"/>
            <w:vAlign w:val="bottom"/>
            <w:tcBorders>
              <w:top w:val="single" w:sz="8" w:color="0000FF"/>
              <w:bottom w:val="single" w:sz="8" w:color="0000FF"/>
            </w:tcBorders>
            <w:gridSpan w:val="2"/>
          </w:tcPr>
          <w:p>
            <w:pPr>
              <w:spacing w:after="0" w:line="175" w:lineRule="exact"/>
              <w:rPr>
                <w:rFonts w:ascii="Times New Roman" w:cs="Times New Roman" w:eastAsia="Times New Roman" w:hAnsi="Times New Roman"/>
                <w:sz w:val="16"/>
                <w:szCs w:val="16"/>
                <w:color w:val="0000FF"/>
                <w:w w:val="94"/>
              </w:rPr>
            </w:pPr>
            <w:hyperlink r:id="rId121">
              <w:r>
                <w:rPr>
                  <w:rFonts w:ascii="Times New Roman" w:cs="Times New Roman" w:eastAsia="Times New Roman" w:hAnsi="Times New Roman"/>
                  <w:sz w:val="16"/>
                  <w:szCs w:val="16"/>
                  <w:color w:val="0000FF"/>
                  <w:w w:val="94"/>
                </w:rPr>
                <w:t>30, 2016)</w:t>
              </w:r>
            </w:hyperlink>
          </w:p>
        </w:tc>
        <w:tc>
          <w:tcPr>
            <w:tcW w:w="5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 w:type="dxa"/>
            <w:vAlign w:val="bottom"/>
            <w:gridSpan w:val="3"/>
          </w:tcPr>
          <w:p>
            <w:pPr>
              <w:jc w:val="center"/>
              <w:spacing w:after="0"/>
              <w:rPr>
                <w:rFonts w:ascii="Times New Roman" w:cs="Times New Roman" w:eastAsia="Times New Roman" w:hAnsi="Times New Roman"/>
                <w:sz w:val="16"/>
                <w:szCs w:val="16"/>
                <w:color w:val="0000FF"/>
                <w:w w:val="99"/>
              </w:rPr>
            </w:pPr>
            <w:hyperlink r:id="rId122">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11</w:t>
            </w: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The Company’s Annual Cash Incentive Plan for 2021 (Incorporated by reference to Exhibit 99.2 filed with the Company's Current Report on Form 8-</w:t>
              </w:r>
            </w:hyperlink>
          </w:p>
        </w:tc>
        <w:tc>
          <w:tcPr>
            <w:tcW w:w="0" w:type="dxa"/>
            <w:vAlign w:val="bottom"/>
          </w:tcPr>
          <w:p>
            <w:pPr>
              <w:spacing w:after="0"/>
              <w:rPr>
                <w:sz w:val="1"/>
                <w:szCs w:val="1"/>
                <w:color w:val="auto"/>
              </w:rPr>
            </w:pPr>
          </w:p>
        </w:tc>
      </w:tr>
      <w:tr>
        <w:trPr>
          <w:trHeight w:val="175"/>
        </w:trPr>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FF"/>
            </w:tcBorders>
            <w:gridSpan w:val="41"/>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K on November 12,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gridSpan w:val="3"/>
            <w:vMerge w:val="restart"/>
          </w:tcPr>
          <w:p>
            <w:pPr>
              <w:jc w:val="center"/>
              <w:spacing w:after="0"/>
              <w:rPr>
                <w:rFonts w:ascii="Times New Roman" w:cs="Times New Roman" w:eastAsia="Times New Roman" w:hAnsi="Times New Roman"/>
                <w:sz w:val="16"/>
                <w:szCs w:val="16"/>
                <w:color w:val="0000FF"/>
                <w:w w:val="99"/>
              </w:rPr>
            </w:pPr>
            <w:hyperlink r:id="rId123">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12</w:t>
            </w: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gridSpan w:val="3"/>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9760" w:type="dxa"/>
            <w:vAlign w:val="bottom"/>
            <w:gridSpan w:val="44"/>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Form of Restricted Share Unit Award Notice and Restricted Share or Restricted Share Unit Agreement (Time-Based) (Incorporated by reference to</w:t>
              </w:r>
            </w:hyperlink>
          </w:p>
        </w:tc>
        <w:tc>
          <w:tcPr>
            <w:tcW w:w="0" w:type="dxa"/>
            <w:vAlign w:val="bottom"/>
          </w:tcPr>
          <w:p>
            <w:pPr>
              <w:spacing w:after="0"/>
              <w:rPr>
                <w:sz w:val="1"/>
                <w:szCs w:val="1"/>
                <w:color w:val="auto"/>
              </w:rPr>
            </w:pPr>
          </w:p>
        </w:tc>
      </w:tr>
      <w:tr>
        <w:trPr>
          <w:trHeight w:val="176"/>
        </w:trPr>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5760" w:type="dxa"/>
            <w:vAlign w:val="bottom"/>
            <w:tcBorders>
              <w:top w:val="single" w:sz="8" w:color="0000FF"/>
              <w:bottom w:val="single" w:sz="8" w:color="0000FF"/>
            </w:tcBorders>
            <w:gridSpan w:val="15"/>
          </w:tcPr>
          <w:p>
            <w:pPr>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Exhibit 99.1 filed with the Company's Current Report on Form 8-K on February 3, 2021)</w:t>
              </w:r>
            </w:hyperlink>
          </w:p>
        </w:tc>
        <w:tc>
          <w:tcPr>
            <w:tcW w:w="3740" w:type="dxa"/>
            <w:vAlign w:val="bottom"/>
            <w:tcBorders>
              <w:top w:val="single" w:sz="8" w:color="0000FF"/>
            </w:tcBorders>
            <w:gridSpan w:val="17"/>
          </w:tcPr>
          <w:p>
            <w:pPr>
              <w:spacing w:after="0"/>
              <w:rPr>
                <w:sz w:val="15"/>
                <w:szCs w:val="15"/>
                <w:color w:val="auto"/>
              </w:rPr>
            </w:pPr>
          </w:p>
        </w:tc>
        <w:tc>
          <w:tcPr>
            <w:tcW w:w="22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 w:type="dxa"/>
            <w:vAlign w:val="bottom"/>
            <w:gridSpan w:val="3"/>
          </w:tcPr>
          <w:p>
            <w:pPr>
              <w:jc w:val="center"/>
              <w:spacing w:after="0"/>
              <w:rPr>
                <w:rFonts w:ascii="Times New Roman" w:cs="Times New Roman" w:eastAsia="Times New Roman" w:hAnsi="Times New Roman"/>
                <w:sz w:val="16"/>
                <w:szCs w:val="16"/>
                <w:color w:val="0000FF"/>
                <w:w w:val="99"/>
              </w:rPr>
            </w:pPr>
            <w:hyperlink r:id="rId124">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13</w:t>
            </w: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Form of Restricted Share Unit Award Notice and Restricted Share or Restricted Share Unit Agreement (Performance-Based) (Incorporated by</w:t>
              </w:r>
            </w:hyperlink>
          </w:p>
        </w:tc>
        <w:tc>
          <w:tcPr>
            <w:tcW w:w="0" w:type="dxa"/>
            <w:vAlign w:val="bottom"/>
          </w:tcPr>
          <w:p>
            <w:pPr>
              <w:spacing w:after="0"/>
              <w:rPr>
                <w:sz w:val="1"/>
                <w:szCs w:val="1"/>
                <w:color w:val="auto"/>
              </w:rPr>
            </w:pPr>
          </w:p>
        </w:tc>
      </w:tr>
      <w:tr>
        <w:trPr>
          <w:trHeight w:val="176"/>
        </w:trPr>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tcBorders>
              <w:top w:val="single" w:sz="8" w:color="0000FF"/>
            </w:tcBorders>
            <w:gridSpan w:val="26"/>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reference to Exhibit 99.2 filed with the Company's Current Report on Form 8-K on February 3, 2021)</w:t>
              </w:r>
            </w:hyperlink>
          </w:p>
        </w:tc>
        <w:tc>
          <w:tcPr>
            <w:tcW w:w="260" w:type="dxa"/>
            <w:vAlign w:val="bottom"/>
            <w:gridSpan w:val="5"/>
          </w:tcPr>
          <w:p>
            <w:pPr>
              <w:spacing w:after="0"/>
              <w:rPr>
                <w:sz w:val="15"/>
                <w:szCs w:val="15"/>
                <w:color w:val="auto"/>
              </w:rPr>
            </w:pPr>
          </w:p>
        </w:tc>
        <w:tc>
          <w:tcPr>
            <w:tcW w:w="28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gridSpan w:val="3"/>
            <w:vMerge w:val="restart"/>
          </w:tcPr>
          <w:p>
            <w:pPr>
              <w:jc w:val="center"/>
              <w:spacing w:after="0"/>
              <w:rPr>
                <w:rFonts w:ascii="Times New Roman" w:cs="Times New Roman" w:eastAsia="Times New Roman" w:hAnsi="Times New Roman"/>
                <w:sz w:val="16"/>
                <w:szCs w:val="16"/>
                <w:color w:val="0000FF"/>
                <w:w w:val="99"/>
              </w:rPr>
            </w:pPr>
            <w:hyperlink r:id="rId125">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14</w:t>
            </w:r>
          </w:p>
        </w:tc>
        <w:tc>
          <w:tcPr>
            <w:tcW w:w="7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gridSpan w:val="3"/>
            <w:vMerge w:val="continue"/>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4"/>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Credit Agreement between, among others, Telos Corporation and JP Morgan Chase Bank (Incorporated by reference to Exhibit 99.1 filed with the</w:t>
              </w:r>
            </w:hyperlink>
          </w:p>
        </w:tc>
        <w:tc>
          <w:tcPr>
            <w:tcW w:w="0" w:type="dxa"/>
            <w:vAlign w:val="bottom"/>
          </w:tcPr>
          <w:p>
            <w:pPr>
              <w:spacing w:after="0"/>
              <w:rPr>
                <w:sz w:val="1"/>
                <w:szCs w:val="1"/>
                <w:color w:val="auto"/>
              </w:rPr>
            </w:pPr>
          </w:p>
        </w:tc>
      </w:tr>
      <w:tr>
        <w:trPr>
          <w:trHeight w:val="176"/>
        </w:trPr>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880" w:type="dxa"/>
            <w:vAlign w:val="bottom"/>
            <w:tcBorders>
              <w:top w:val="single" w:sz="8" w:color="0000FF"/>
              <w:bottom w:val="single" w:sz="8" w:color="0000FF"/>
            </w:tcBorders>
            <w:gridSpan w:val="10"/>
          </w:tcPr>
          <w:p>
            <w:pPr>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Company's Current Report on Form 8-K on January 5, 2023</w:t>
              </w:r>
            </w:hyperlink>
          </w:p>
        </w:tc>
        <w:tc>
          <w:tcPr>
            <w:tcW w:w="5560" w:type="dxa"/>
            <w:vAlign w:val="bottom"/>
            <w:tcBorders>
              <w:top w:val="single" w:sz="8" w:color="0000FF"/>
            </w:tcBorders>
            <w:gridSpan w:val="21"/>
          </w:tcPr>
          <w:p>
            <w:pPr>
              <w:spacing w:after="0"/>
              <w:rPr>
                <w:sz w:val="15"/>
                <w:szCs w:val="15"/>
                <w:color w:val="auto"/>
              </w:rPr>
            </w:pPr>
          </w:p>
        </w:tc>
        <w:tc>
          <w:tcPr>
            <w:tcW w:w="28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 w:type="dxa"/>
            <w:vAlign w:val="bottom"/>
            <w:gridSpan w:val="3"/>
          </w:tcPr>
          <w:p>
            <w:pPr>
              <w:jc w:val="center"/>
              <w:spacing w:after="0"/>
              <w:rPr>
                <w:rFonts w:ascii="Times New Roman" w:cs="Times New Roman" w:eastAsia="Times New Roman" w:hAnsi="Times New Roman"/>
                <w:sz w:val="16"/>
                <w:szCs w:val="16"/>
                <w:color w:val="0000FF"/>
                <w:w w:val="99"/>
              </w:rPr>
            </w:pPr>
            <w:hyperlink r:id="rId126">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15</w:t>
            </w: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9760" w:type="dxa"/>
            <w:vAlign w:val="bottom"/>
            <w:gridSpan w:val="44"/>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Membership Interest Purchase Agreement, dated October 5, 2020 (Incorporated by reference to Exhibit 99.1 filed with the Company's Current Report</w:t>
              </w:r>
            </w:hyperlink>
          </w:p>
        </w:tc>
        <w:tc>
          <w:tcPr>
            <w:tcW w:w="0" w:type="dxa"/>
            <w:vAlign w:val="bottom"/>
          </w:tcPr>
          <w:p>
            <w:pPr>
              <w:spacing w:after="0"/>
              <w:rPr>
                <w:sz w:val="1"/>
                <w:szCs w:val="1"/>
                <w:color w:val="auto"/>
              </w:rPr>
            </w:pPr>
          </w:p>
        </w:tc>
      </w:tr>
      <w:tr>
        <w:trPr>
          <w:trHeight w:val="176"/>
        </w:trPr>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42"/>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on Form 8-K on October 6, 2020)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w:t>
            </w:r>
            <w:r>
              <w:rPr>
                <w:rFonts w:ascii="Times New Roman" w:cs="Times New Roman" w:eastAsia="Times New Roman" w:hAnsi="Times New Roman"/>
                <w:sz w:val="16"/>
                <w:szCs w:val="16"/>
                <w:u w:val="single" w:color="auto"/>
                <w:color w:val="0000FF"/>
                <w:w w:val="99"/>
              </w:rPr>
              <w:t>1</w:t>
            </w:r>
          </w:p>
        </w:tc>
        <w:tc>
          <w:tcPr>
            <w:tcW w:w="80" w:type="dxa"/>
            <w:vAlign w:val="bottom"/>
          </w:tcPr>
          <w:p>
            <w:pPr>
              <w:spacing w:after="0" w:line="20" w:lineRule="exact"/>
              <w:rPr>
                <w:sz w:val="1"/>
                <w:szCs w:val="1"/>
                <w:color w:val="auto"/>
              </w:rPr>
            </w:pP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88"/>
              </w:rPr>
              <w:t>+</w:t>
            </w:r>
          </w:p>
        </w:tc>
        <w:tc>
          <w:tcPr>
            <w:tcW w:w="1200" w:type="dxa"/>
            <w:vAlign w:val="bottom"/>
            <w:gridSpan w:val="5"/>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30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9760" w:type="dxa"/>
            <w:vAlign w:val="bottom"/>
            <w:gridSpan w:val="44"/>
          </w:tcPr>
          <w:p>
            <w:pPr>
              <w:spacing w:after="0"/>
              <w:rPr>
                <w:sz w:val="20"/>
                <w:szCs w:val="20"/>
                <w:color w:val="auto"/>
              </w:rPr>
            </w:pPr>
            <w:r>
              <w:rPr>
                <w:rFonts w:ascii="Times New Roman" w:cs="Times New Roman" w:eastAsia="Times New Roman" w:hAnsi="Times New Roman"/>
                <w:sz w:val="16"/>
                <w:szCs w:val="16"/>
                <w:color w:val="0000FF"/>
              </w:rPr>
              <w:t>List of subsidiaries of Telos Corporation</w:t>
            </w:r>
          </w:p>
        </w:tc>
        <w:tc>
          <w:tcPr>
            <w:tcW w:w="0" w:type="dxa"/>
            <w:vAlign w:val="bottom"/>
          </w:tcPr>
          <w:p>
            <w:pPr>
              <w:spacing w:after="0"/>
              <w:rPr>
                <w:sz w:val="1"/>
                <w:szCs w:val="1"/>
                <w:color w:val="auto"/>
              </w:rPr>
            </w:pP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0000FF"/>
            </w:tcBorders>
            <w:gridSpan w:val="4"/>
          </w:tcPr>
          <w:p>
            <w:pPr>
              <w:spacing w:after="0" w:line="20" w:lineRule="exact"/>
              <w:rPr>
                <w:sz w:val="1"/>
                <w:szCs w:val="1"/>
                <w:color w:val="auto"/>
              </w:rPr>
            </w:pPr>
          </w:p>
        </w:tc>
        <w:tc>
          <w:tcPr>
            <w:tcW w:w="1420" w:type="dxa"/>
            <w:vAlign w:val="bottom"/>
            <w:tcBorders>
              <w:bottom w:val="single" w:sz="8" w:color="0000FF"/>
            </w:tcBorders>
            <w:gridSpan w:val="3"/>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30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1</w:t>
            </w:r>
          </w:p>
        </w:tc>
        <w:tc>
          <w:tcPr>
            <w:tcW w:w="80" w:type="dxa"/>
            <w:vAlign w:val="bottom"/>
          </w:tcPr>
          <w:p>
            <w:pPr>
              <w:spacing w:after="0"/>
              <w:rPr>
                <w:sz w:val="17"/>
                <w:szCs w:val="17"/>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88"/>
              </w:rPr>
              <w:t>+</w:t>
            </w:r>
          </w:p>
        </w:tc>
        <w:tc>
          <w:tcPr>
            <w:tcW w:w="9760" w:type="dxa"/>
            <w:vAlign w:val="bottom"/>
            <w:gridSpan w:val="44"/>
          </w:tcPr>
          <w:p>
            <w:pPr>
              <w:spacing w:after="0"/>
              <w:rPr>
                <w:sz w:val="20"/>
                <w:szCs w:val="20"/>
                <w:color w:val="auto"/>
              </w:rPr>
            </w:pPr>
            <w:r>
              <w:rPr>
                <w:rFonts w:ascii="Times New Roman" w:cs="Times New Roman" w:eastAsia="Times New Roman" w:hAnsi="Times New Roman"/>
                <w:sz w:val="16"/>
                <w:szCs w:val="16"/>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0000FF"/>
            </w:tcBorders>
            <w:gridSpan w:val="4"/>
          </w:tcPr>
          <w:p>
            <w:pPr>
              <w:spacing w:after="0" w:line="20" w:lineRule="exact"/>
              <w:rPr>
                <w:sz w:val="1"/>
                <w:szCs w:val="1"/>
                <w:color w:val="auto"/>
              </w:rPr>
            </w:pPr>
          </w:p>
        </w:tc>
        <w:tc>
          <w:tcPr>
            <w:tcW w:w="3780" w:type="dxa"/>
            <w:vAlign w:val="bottom"/>
            <w:tcBorders>
              <w:bottom w:val="single" w:sz="8" w:color="0000FF"/>
            </w:tcBorders>
            <w:gridSpan w:val="9"/>
          </w:tcPr>
          <w:p>
            <w:pPr>
              <w:spacing w:after="0" w:line="20" w:lineRule="exact"/>
              <w:rPr>
                <w:sz w:val="1"/>
                <w:szCs w:val="1"/>
                <w:color w:val="auto"/>
              </w:rPr>
            </w:pPr>
          </w:p>
        </w:tc>
        <w:tc>
          <w:tcPr>
            <w:tcW w:w="900" w:type="dxa"/>
            <w:vAlign w:val="bottom"/>
            <w:tcBorders>
              <w:bottom w:val="single" w:sz="8" w:color="0000FF"/>
            </w:tcBorders>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30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2</w:t>
            </w:r>
          </w:p>
        </w:tc>
        <w:tc>
          <w:tcPr>
            <w:tcW w:w="80" w:type="dxa"/>
            <w:vAlign w:val="bottom"/>
          </w:tcPr>
          <w:p>
            <w:pPr>
              <w:spacing w:after="0"/>
              <w:rPr>
                <w:sz w:val="17"/>
                <w:szCs w:val="17"/>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88"/>
              </w:rPr>
              <w:t>+</w:t>
            </w:r>
          </w:p>
        </w:tc>
        <w:tc>
          <w:tcPr>
            <w:tcW w:w="9760" w:type="dxa"/>
            <w:vAlign w:val="bottom"/>
            <w:gridSpan w:val="44"/>
          </w:tcPr>
          <w:p>
            <w:pPr>
              <w:spacing w:after="0"/>
              <w:rPr>
                <w:sz w:val="20"/>
                <w:szCs w:val="20"/>
                <w:color w:val="auto"/>
              </w:rPr>
            </w:pPr>
            <w:r>
              <w:rPr>
                <w:rFonts w:ascii="Times New Roman" w:cs="Times New Roman" w:eastAsia="Times New Roman" w:hAnsi="Times New Roman"/>
                <w:sz w:val="16"/>
                <w:szCs w:val="16"/>
                <w:color w:val="0000FF"/>
              </w:rPr>
              <w:t>Consent of BDO USA LLP, Independent Registered Public Accounting Firm</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180" w:type="dxa"/>
            <w:vAlign w:val="bottom"/>
            <w:tcBorders>
              <w:top w:val="single" w:sz="8" w:color="0000FF"/>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w:t>
            </w:r>
          </w:p>
        </w:tc>
        <w:tc>
          <w:tcPr>
            <w:tcW w:w="80" w:type="dxa"/>
            <w:vAlign w:val="bottom"/>
          </w:tcPr>
          <w:p>
            <w:pPr>
              <w:spacing w:after="0" w:line="20" w:lineRule="exact"/>
              <w:rPr>
                <w:sz w:val="1"/>
                <w:szCs w:val="1"/>
                <w:color w:val="auto"/>
              </w:rPr>
            </w:pP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88"/>
              </w:rPr>
              <w:t>+</w:t>
            </w:r>
          </w:p>
        </w:tc>
        <w:tc>
          <w:tcPr>
            <w:tcW w:w="2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780" w:type="dxa"/>
            <w:vAlign w:val="bottom"/>
            <w:gridSpan w:val="9"/>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30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 w:type="dxa"/>
            <w:vAlign w:val="bottom"/>
            <w:vMerge w:val="continue"/>
          </w:tcPr>
          <w:p>
            <w:pPr>
              <w:spacing w:after="0"/>
              <w:rPr>
                <w:sz w:val="17"/>
                <w:szCs w:val="17"/>
                <w:color w:val="auto"/>
              </w:rPr>
            </w:pPr>
          </w:p>
        </w:tc>
        <w:tc>
          <w:tcPr>
            <w:tcW w:w="180" w:type="dxa"/>
            <w:vAlign w:val="bottom"/>
            <w:tcBorders>
              <w:bottom w:val="single" w:sz="8" w:color="0000FF"/>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760" w:type="dxa"/>
            <w:vAlign w:val="bottom"/>
            <w:gridSpan w:val="44"/>
          </w:tcPr>
          <w:p>
            <w:pPr>
              <w:spacing w:after="0"/>
              <w:rPr>
                <w:sz w:val="20"/>
                <w:szCs w:val="20"/>
                <w:color w:val="auto"/>
              </w:rPr>
            </w:pPr>
            <w:r>
              <w:rPr>
                <w:rFonts w:ascii="Times New Roman" w:cs="Times New Roman" w:eastAsia="Times New Roman" w:hAnsi="Times New Roman"/>
                <w:sz w:val="16"/>
                <w:szCs w:val="16"/>
                <w:color w:val="0000FF"/>
              </w:rPr>
              <w:t>Power of Attorney</w:t>
            </w: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80" w:type="dxa"/>
            <w:vAlign w:val="bottom"/>
          </w:tcPr>
          <w:p>
            <w:pPr>
              <w:spacing w:after="0" w:line="20" w:lineRule="exact"/>
              <w:rPr>
                <w:sz w:val="1"/>
                <w:szCs w:val="1"/>
                <w:color w:val="auto"/>
              </w:rPr>
            </w:pPr>
          </w:p>
        </w:tc>
        <w:tc>
          <w:tcPr>
            <w:tcW w:w="72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88"/>
              </w:rPr>
              <w:t>+</w:t>
            </w:r>
          </w:p>
        </w:tc>
        <w:tc>
          <w:tcPr>
            <w:tcW w:w="2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5260" w:type="dxa"/>
            <w:vAlign w:val="bottom"/>
            <w:gridSpan w:val="14"/>
          </w:tcPr>
          <w:p>
            <w:pPr>
              <w:spacing w:after="0" w:line="20" w:lineRule="exact"/>
              <w:rPr>
                <w:sz w:val="1"/>
                <w:szCs w:val="1"/>
                <w:color w:val="auto"/>
              </w:rPr>
            </w:pPr>
          </w:p>
        </w:tc>
        <w:tc>
          <w:tcPr>
            <w:tcW w:w="330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760" w:type="dxa"/>
            <w:vAlign w:val="bottom"/>
            <w:gridSpan w:val="44"/>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
        </w:trPr>
        <w:tc>
          <w:tcPr>
            <w:tcW w:w="100" w:type="dxa"/>
            <w:vAlign w:val="bottom"/>
            <w:tcBorders>
              <w:right w:val="single" w:sz="8" w:color="0000FF"/>
            </w:tcBorders>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19" w:right="459" w:bottom="1440" w:gutter="0" w:footer="0" w:header="0"/>
          <w:type w:val="continuous"/>
        </w:sect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340" w:type="dxa"/>
            <w:vAlign w:val="bottom"/>
          </w:tcPr>
          <w:p>
            <w:pPr>
              <w:spacing w:after="0"/>
              <w:rPr>
                <w:sz w:val="17"/>
                <w:szCs w:val="17"/>
                <w:color w:val="auto"/>
              </w:rPr>
            </w:pPr>
          </w:p>
        </w:tc>
        <w:tc>
          <w:tcPr>
            <w:tcW w:w="101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Financial Officer pursuant to Section 302 of the Sarbanes-Oxley Act of 2002</w:t>
            </w:r>
          </w:p>
        </w:tc>
      </w:tr>
      <w:tr>
        <w:trPr>
          <w:trHeight w:val="27"/>
        </w:trPr>
        <w:tc>
          <w:tcPr>
            <w:tcW w:w="4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20" w:type="dxa"/>
            <w:vAlign w:val="bottom"/>
            <w:shd w:val="clear" w:color="auto" w:fill="0000FF"/>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340" w:type="dxa"/>
            <w:vAlign w:val="bottom"/>
          </w:tcPr>
          <w:p>
            <w:pPr>
              <w:spacing w:after="0"/>
              <w:rPr>
                <w:sz w:val="18"/>
                <w:szCs w:val="18"/>
                <w:color w:val="auto"/>
              </w:rPr>
            </w:pPr>
          </w:p>
        </w:tc>
        <w:tc>
          <w:tcPr>
            <w:tcW w:w="101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Executive Officer and Chief Financial Officer pursuant to Section 906 of the Sarbanes-Oxley Act of 2002</w:t>
            </w:r>
          </w:p>
        </w:tc>
      </w:tr>
      <w:tr>
        <w:trPr>
          <w:trHeight w:val="27"/>
        </w:trPr>
        <w:tc>
          <w:tcPr>
            <w:tcW w:w="78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8280" w:type="dxa"/>
            <w:vAlign w:val="bottom"/>
            <w:gridSpan w:val="2"/>
            <w:shd w:val="clear" w:color="auto" w:fill="0000FF"/>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101.INS</w:t>
            </w:r>
          </w:p>
        </w:tc>
        <w:tc>
          <w:tcPr>
            <w:tcW w:w="101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  XBRL Instance Document - the instance document does not appear in the Interactive Data File because its XBRL tags are embedded within the Inline</w:t>
            </w:r>
          </w:p>
        </w:tc>
      </w:tr>
      <w:tr>
        <w:trPr>
          <w:trHeight w:val="210"/>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40" w:type="dxa"/>
            <w:vAlign w:val="bottom"/>
            <w:gridSpan w:val="4"/>
          </w:tcPr>
          <w:p>
            <w:pPr>
              <w:ind w:left="420"/>
              <w:spacing w:after="0"/>
              <w:rPr>
                <w:sz w:val="20"/>
                <w:szCs w:val="20"/>
                <w:color w:val="auto"/>
              </w:rPr>
            </w:pPr>
            <w:r>
              <w:rPr>
                <w:rFonts w:ascii="Times New Roman" w:cs="Times New Roman" w:eastAsia="Times New Roman" w:hAnsi="Times New Roman"/>
                <w:sz w:val="16"/>
                <w:szCs w:val="16"/>
                <w:color w:val="auto"/>
              </w:rPr>
              <w:t>XBRL document</w:t>
            </w:r>
          </w:p>
        </w:tc>
      </w:tr>
      <w:tr>
        <w:trPr>
          <w:trHeight w:val="256"/>
        </w:trPr>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101.SCH</w:t>
            </w:r>
          </w:p>
        </w:tc>
        <w:tc>
          <w:tcPr>
            <w:tcW w:w="101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  XBRL Taxonomy Extension Schema</w:t>
            </w:r>
          </w:p>
        </w:tc>
      </w:tr>
      <w:tr>
        <w:trPr>
          <w:trHeight w:val="243"/>
        </w:trPr>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101.CAL</w:t>
            </w:r>
          </w:p>
        </w:tc>
        <w:tc>
          <w:tcPr>
            <w:tcW w:w="101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  XBRL Taxonomy Extension Calculation Linkbase</w:t>
            </w:r>
          </w:p>
        </w:tc>
      </w:tr>
      <w:tr>
        <w:trPr>
          <w:trHeight w:val="243"/>
        </w:trPr>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101.DEF</w:t>
            </w:r>
          </w:p>
        </w:tc>
        <w:tc>
          <w:tcPr>
            <w:tcW w:w="101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  XBRL Taxonomy Extension Definition Linkbase</w:t>
            </w:r>
          </w:p>
        </w:tc>
      </w:tr>
      <w:tr>
        <w:trPr>
          <w:trHeight w:val="243"/>
        </w:trPr>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101.LAB</w:t>
            </w:r>
          </w:p>
        </w:tc>
        <w:tc>
          <w:tcPr>
            <w:tcW w:w="101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  XBRL Taxonomy Extension Label Linkbase</w:t>
            </w:r>
          </w:p>
        </w:tc>
      </w:tr>
      <w:tr>
        <w:trPr>
          <w:trHeight w:val="243"/>
        </w:trPr>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101.PRE</w:t>
            </w:r>
          </w:p>
        </w:tc>
        <w:tc>
          <w:tcPr>
            <w:tcW w:w="101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  XBRL Taxonomy Extension Presentation Linkbase</w:t>
            </w:r>
          </w:p>
        </w:tc>
      </w:tr>
      <w:tr>
        <w:trPr>
          <w:trHeight w:val="243"/>
        </w:trPr>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104</w:t>
            </w:r>
          </w:p>
        </w:tc>
        <w:tc>
          <w:tcPr>
            <w:tcW w:w="340" w:type="dxa"/>
            <w:vAlign w:val="bottom"/>
          </w:tcPr>
          <w:p>
            <w:pPr>
              <w:spacing w:after="0"/>
              <w:rPr>
                <w:sz w:val="21"/>
                <w:szCs w:val="21"/>
                <w:color w:val="auto"/>
              </w:rPr>
            </w:pPr>
          </w:p>
        </w:tc>
        <w:tc>
          <w:tcPr>
            <w:tcW w:w="10140" w:type="dxa"/>
            <w:vAlign w:val="bottom"/>
            <w:gridSpan w:val="4"/>
          </w:tcPr>
          <w:p>
            <w:pPr>
              <w:ind w:left="420"/>
              <w:spacing w:after="0"/>
              <w:rPr>
                <w:sz w:val="20"/>
                <w:szCs w:val="20"/>
                <w:color w:val="auto"/>
              </w:rPr>
            </w:pPr>
            <w:r>
              <w:rPr>
                <w:rFonts w:ascii="Times New Roman" w:cs="Times New Roman" w:eastAsia="Times New Roman" w:hAnsi="Times New Roman"/>
                <w:sz w:val="16"/>
                <w:szCs w:val="16"/>
                <w:color w:val="auto"/>
              </w:rPr>
              <w:t>Cover Page Interactive Data File - the cover page iXBRL tags are embedded within the Inline XBRL document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573"/>
        <w:spacing w:after="0"/>
        <w:tabs>
          <w:tab w:leader="none" w:pos="10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a management contract or compensatory plan or arrangement.</w:t>
      </w:r>
    </w:p>
    <w:p>
      <w:pPr>
        <w:spacing w:after="0" w:line="32" w:lineRule="exact"/>
        <w:rPr>
          <w:sz w:val="20"/>
          <w:szCs w:val="20"/>
          <w:color w:val="auto"/>
        </w:rPr>
      </w:pPr>
    </w:p>
    <w:p>
      <w:pPr>
        <w:ind w:left="1060" w:right="80" w:hanging="573"/>
        <w:spacing w:after="0" w:line="245" w:lineRule="auto"/>
        <w:tabs>
          <w:tab w:leader="none" w:pos="10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similar attachments omitted pursuant to Item 601(a)(5) of Regulation S-K. The Company agrees to furnish a copy of any omitted schedules to the Securities and Exchange Commission upon request.</w:t>
      </w:r>
    </w:p>
    <w:p>
      <w:pPr>
        <w:spacing w:after="0" w:line="2" w:lineRule="exact"/>
        <w:rPr>
          <w:sz w:val="20"/>
          <w:szCs w:val="20"/>
          <w:color w:val="auto"/>
        </w:rPr>
      </w:pPr>
    </w:p>
    <w:p>
      <w:pPr>
        <w:ind w:left="1060" w:hanging="578"/>
        <w:spacing w:after="0"/>
        <w:tabs>
          <w:tab w:leader="none" w:pos="10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060" w:hanging="570"/>
        <w:spacing w:after="0"/>
        <w:tabs>
          <w:tab w:leader="none" w:pos="10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9"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Telos Corporation has duly caused this report to be signed on its behalf by the undersigned, thereunto duly authorized.</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283" w:lineRule="exact"/>
        <w:rPr>
          <w:sz w:val="20"/>
          <w:szCs w:val="20"/>
          <w:color w:val="auto"/>
        </w:rPr>
      </w:pPr>
    </w:p>
    <w:p>
      <w:pPr>
        <w:ind w:left="560"/>
        <w:spacing w:after="0"/>
        <w:tabs>
          <w:tab w:leader="none" w:pos="8740" w:val="left"/>
        </w:tabs>
        <w:rPr>
          <w:sz w:val="20"/>
          <w:szCs w:val="20"/>
          <w:color w:val="auto"/>
        </w:rPr>
      </w:pPr>
      <w:r>
        <w:rPr>
          <w:rFonts w:ascii="Times New Roman" w:cs="Times New Roman" w:eastAsia="Times New Roman" w:hAnsi="Times New Roman"/>
          <w:sz w:val="18"/>
          <w:szCs w:val="18"/>
          <w:color w:val="auto"/>
        </w:rPr>
        <w:t>/s/ John B. Wood</w:t>
      </w:r>
      <w:r>
        <w:rPr>
          <w:sz w:val="20"/>
          <w:szCs w:val="20"/>
          <w:color w:val="auto"/>
        </w:rPr>
        <w:tab/>
      </w:r>
      <w:r>
        <w:rPr>
          <w:rFonts w:ascii="Times New Roman" w:cs="Times New Roman" w:eastAsia="Times New Roman" w:hAnsi="Times New Roman"/>
          <w:sz w:val="17"/>
          <w:szCs w:val="17"/>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tab/>
        <w:t>John B. Wood</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Telos Corporation and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8"/>
                <w:szCs w:val="18"/>
                <w:color w:val="auto"/>
              </w:rPr>
            </w:pPr>
          </w:p>
        </w:tc>
        <w:tc>
          <w:tcPr>
            <w:tcW w:w="6120" w:type="dxa"/>
            <w:vAlign w:val="bottom"/>
            <w:gridSpan w:val="2"/>
          </w:tcPr>
          <w:p>
            <w:pPr>
              <w:ind w:left="28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50"/>
        </w:trPr>
        <w:tc>
          <w:tcPr>
            <w:tcW w:w="35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John B. Wood</w:t>
            </w:r>
          </w:p>
        </w:tc>
        <w:tc>
          <w:tcPr>
            <w:tcW w:w="80" w:type="dxa"/>
            <w:vAlign w:val="bottom"/>
          </w:tcPr>
          <w:p>
            <w:pPr>
              <w:spacing w:after="0"/>
              <w:rPr>
                <w:sz w:val="24"/>
                <w:szCs w:val="24"/>
                <w:color w:val="auto"/>
              </w:rPr>
            </w:pPr>
          </w:p>
        </w:tc>
        <w:tc>
          <w:tcPr>
            <w:tcW w:w="6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161"/>
        </w:trPr>
        <w:tc>
          <w:tcPr>
            <w:tcW w:w="354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John B. Wood</w:t>
            </w:r>
          </w:p>
        </w:tc>
        <w:tc>
          <w:tcPr>
            <w:tcW w:w="80" w:type="dxa"/>
            <w:vAlign w:val="bottom"/>
          </w:tcPr>
          <w:p>
            <w:pPr>
              <w:spacing w:after="0"/>
              <w:rPr>
                <w:sz w:val="14"/>
                <w:szCs w:val="14"/>
                <w:color w:val="auto"/>
              </w:rPr>
            </w:pPr>
          </w:p>
        </w:tc>
        <w:tc>
          <w:tcPr>
            <w:tcW w:w="61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Chief Executive Officer (Principal Executive Officer)</w:t>
            </w:r>
          </w:p>
        </w:tc>
        <w:tc>
          <w:tcPr>
            <w:tcW w:w="1360" w:type="dxa"/>
            <w:vAlign w:val="bottom"/>
          </w:tcPr>
          <w:p>
            <w:pPr>
              <w:spacing w:after="0"/>
              <w:rPr>
                <w:sz w:val="14"/>
                <w:szCs w:val="14"/>
                <w:color w:val="auto"/>
              </w:rPr>
            </w:pPr>
          </w:p>
        </w:tc>
      </w:tr>
      <w:tr>
        <w:trPr>
          <w:trHeight w:val="210"/>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1360" w:type="dxa"/>
            <w:vAlign w:val="bottom"/>
          </w:tcPr>
          <w:p>
            <w:pPr>
              <w:spacing w:after="0"/>
              <w:rPr>
                <w:sz w:val="18"/>
                <w:szCs w:val="18"/>
                <w:color w:val="auto"/>
              </w:rPr>
            </w:pPr>
          </w:p>
        </w:tc>
      </w:tr>
      <w:tr>
        <w:trPr>
          <w:trHeight w:val="364"/>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Mark Bendza</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 Bendza</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Victoria Harding</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Victoria Harding</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Controller and Chief Accounting Officer (Principal Accounting Officer)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David Borland *</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David Borland</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Bonnie L. Carroll *</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Bonnie L. Carroll</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Fredrick D. Shaufeld *</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Fredrick D. Shaufeld</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John W. Maluda *</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John W. Maluda, Major Gen., USAF (Ret)</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Bradley W. Jacobs *</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Bradley W. Jacobs</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Derrick Dockery *</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Derrick Dockery</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above-named directors of the Registrant sign this Annual Report on Form 10-K by John B. Wood, their attorney-in-fact, pursuant to Powers of</w:t>
      </w:r>
    </w:p>
    <w:p>
      <w:pPr>
        <w:ind w:left="600" w:right="300" w:hanging="574"/>
        <w:spacing w:after="0" w:line="233"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 signed by the above-named directors, which Powers of Attorney are filed with this Annual Report on Form 10-K in Exhibit 24, in the capacities indicated and on the 16th day of March, 2023.</w:t>
      </w:r>
    </w:p>
    <w:p>
      <w:pPr>
        <w:spacing w:after="0" w:line="267"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John B Wood</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John B. Wood</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80"/>
          </w:cols>
          <w:pgMar w:left="320" w:top="119" w:right="39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3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xml:space="preserve"> (“Agreement”) is made and entered into as of this 1st day of February, 2022 by and between Telos Corporation, a Maryland corporation, for itself and its subsidiary companies, divisions, affiliates and operating entities (the “Company”) and </w:t>
      </w:r>
      <w:r>
        <w:rPr>
          <w:rFonts w:ascii="Times New Roman" w:cs="Times New Roman" w:eastAsia="Times New Roman" w:hAnsi="Times New Roman"/>
          <w:sz w:val="18"/>
          <w:szCs w:val="18"/>
          <w:b w:val="1"/>
          <w:bCs w:val="1"/>
          <w:color w:val="auto"/>
        </w:rPr>
        <w:t>E. Hutchinson Robbins, Jr.</w:t>
      </w:r>
      <w:r>
        <w:rPr>
          <w:rFonts w:ascii="Times New Roman" w:cs="Times New Roman" w:eastAsia="Times New Roman" w:hAnsi="Times New Roman"/>
          <w:sz w:val="18"/>
          <w:szCs w:val="18"/>
          <w:color w:val="auto"/>
        </w:rPr>
        <w:t xml:space="preserve"> (the “Executive”).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Company and the Executive desire to enter into this Agreement pertaining to the employment of the Executive by the Company.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below and other good and valuable consideration, the receipt of which is hereby acknowledged, the Executive and the Company hereby agree as follows:</w:t>
      </w:r>
    </w:p>
    <w:p>
      <w:pPr>
        <w:spacing w:after="0" w:line="1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u w:val="single" w:color="auto"/>
          <w:color w:val="auto"/>
        </w:rPr>
        <w:t>Performance of Services</w:t>
      </w:r>
      <w:r>
        <w:rPr>
          <w:rFonts w:ascii="Times New Roman" w:cs="Times New Roman" w:eastAsia="Times New Roman" w:hAnsi="Times New Roman"/>
          <w:sz w:val="17"/>
          <w:szCs w:val="17"/>
          <w:color w:val="auto"/>
        </w:rPr>
        <w:t>. The Executive’s employment with the Company shall be subject to the following:</w:t>
      </w:r>
    </w:p>
    <w:p>
      <w:pPr>
        <w:spacing w:after="0" w:line="171" w:lineRule="exact"/>
        <w:rPr>
          <w:sz w:val="20"/>
          <w:szCs w:val="20"/>
          <w:color w:val="auto"/>
        </w:rPr>
      </w:pPr>
    </w:p>
    <w:p>
      <w:pPr>
        <w:ind w:left="660" w:right="20" w:hanging="652"/>
        <w:spacing w:after="0" w:line="282" w:lineRule="auto"/>
        <w:tabs>
          <w:tab w:leader="none" w:pos="4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agrees to employ the Executive as its Executive Vice President &amp; General Counsel during the Agreement Term (as defined below).</w:t>
      </w:r>
    </w:p>
    <w:p>
      <w:pPr>
        <w:spacing w:after="0" w:line="107" w:lineRule="exact"/>
        <w:rPr>
          <w:rFonts w:ascii="Times New Roman" w:cs="Times New Roman" w:eastAsia="Times New Roman" w:hAnsi="Times New Roman"/>
          <w:sz w:val="18"/>
          <w:szCs w:val="18"/>
          <w:color w:val="auto"/>
        </w:rPr>
      </w:pPr>
    </w:p>
    <w:p>
      <w:pPr>
        <w:ind w:left="660" w:hanging="652"/>
        <w:spacing w:after="0" w:line="282" w:lineRule="auto"/>
        <w:tabs>
          <w:tab w:leader="none" w:pos="4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Agreement Term, the Executive shall devote full time (paid time off and other authorized leave excepted) and best efforts, energies and talents to serving the Company as an employee.</w:t>
      </w:r>
    </w:p>
    <w:p>
      <w:pPr>
        <w:spacing w:after="0" w:line="107" w:lineRule="exact"/>
        <w:rPr>
          <w:rFonts w:ascii="Times New Roman" w:cs="Times New Roman" w:eastAsia="Times New Roman" w:hAnsi="Times New Roman"/>
          <w:sz w:val="18"/>
          <w:szCs w:val="18"/>
          <w:color w:val="auto"/>
        </w:rPr>
      </w:pPr>
    </w:p>
    <w:p>
      <w:pPr>
        <w:ind w:left="660" w:hanging="652"/>
        <w:spacing w:after="0" w:line="261" w:lineRule="auto"/>
        <w:tabs>
          <w:tab w:leader="none" w:pos="4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to perform his duties faithfully, efficiently and with integrity subject to the direction of the Company. The Executive will have such authority, power, responsibilities and duties as are inherent in such position and necessary to carry out such responsibilities and the duties required hereunder, as well as any additional duties and authority granted to him by the Company’s Chief Executive Officer and/or Board of Directors (the “Board of Directors”).</w:t>
      </w:r>
    </w:p>
    <w:p>
      <w:pPr>
        <w:spacing w:after="0" w:line="125" w:lineRule="exact"/>
        <w:rPr>
          <w:rFonts w:ascii="Times New Roman" w:cs="Times New Roman" w:eastAsia="Times New Roman" w:hAnsi="Times New Roman"/>
          <w:sz w:val="18"/>
          <w:szCs w:val="18"/>
          <w:color w:val="auto"/>
        </w:rPr>
      </w:pPr>
    </w:p>
    <w:p>
      <w:pPr>
        <w:ind w:left="660" w:hanging="652"/>
        <w:spacing w:after="0" w:line="258" w:lineRule="auto"/>
        <w:tabs>
          <w:tab w:leader="none" w:pos="4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during the Agreement Term, the Executive may devote reasonable time to activities other than those required under this Agreement, including activities involving professional, charitable, educational, religious and similar types of organizations, speaking engagements, membership on the boards of directors of other profit or not-for-profit organizations, and similar activities, to the extent that such other activities do not, in the judgment of the Company, inhibit or prohibit the performance of the Executive’s duties under this Agreement or conflict in any material way with the Company’s business.</w:t>
      </w:r>
    </w:p>
    <w:p>
      <w:pPr>
        <w:spacing w:after="0" w:line="129" w:lineRule="exact"/>
        <w:rPr>
          <w:rFonts w:ascii="Times New Roman" w:cs="Times New Roman" w:eastAsia="Times New Roman" w:hAnsi="Times New Roman"/>
          <w:sz w:val="18"/>
          <w:szCs w:val="18"/>
          <w:color w:val="auto"/>
        </w:rPr>
      </w:pPr>
    </w:p>
    <w:p>
      <w:pPr>
        <w:ind w:left="660" w:hanging="652"/>
        <w:spacing w:after="0" w:line="282" w:lineRule="auto"/>
        <w:tabs>
          <w:tab w:leader="none" w:pos="4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not be required to perform services under this Agreement during any period in which Executive is determined to be Disabled (as defined below).</w:t>
      </w:r>
    </w:p>
    <w:p>
      <w:pPr>
        <w:spacing w:after="0" w:line="107" w:lineRule="exact"/>
        <w:rPr>
          <w:rFonts w:ascii="Times New Roman" w:cs="Times New Roman" w:eastAsia="Times New Roman" w:hAnsi="Times New Roman"/>
          <w:sz w:val="18"/>
          <w:szCs w:val="18"/>
          <w:color w:val="auto"/>
        </w:rPr>
      </w:pPr>
    </w:p>
    <w:p>
      <w:pPr>
        <w:ind w:left="660" w:hanging="652"/>
        <w:spacing w:after="0" w:line="282" w:lineRule="auto"/>
        <w:tabs>
          <w:tab w:leader="none" w:pos="3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Term” shall be the period beginning on February 1, 2022 for a one year period, and thereafter automatically renewing for consecutive one year periods unless terminated in accordance with the provisions hereof.</w:t>
      </w:r>
    </w:p>
    <w:p>
      <w:pPr>
        <w:spacing w:after="0" w:line="108" w:lineRule="exact"/>
        <w:rPr>
          <w:sz w:val="20"/>
          <w:szCs w:val="20"/>
          <w:color w:val="auto"/>
        </w:rPr>
      </w:pPr>
    </w:p>
    <w:p>
      <w:pPr>
        <w:ind w:left="660" w:hanging="652"/>
        <w:spacing w:after="0" w:line="282" w:lineRule="auto"/>
        <w:tabs>
          <w:tab w:leader="none" w:pos="3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While the Executive is employed by the Company pursuant to this Agreement, the Company shall compensate him for his services as follows:</w:t>
      </w:r>
    </w:p>
    <w:p>
      <w:pPr>
        <w:spacing w:after="0" w:line="108" w:lineRule="exact"/>
        <w:rPr>
          <w:sz w:val="20"/>
          <w:szCs w:val="20"/>
          <w:color w:val="auto"/>
        </w:rPr>
      </w:pPr>
    </w:p>
    <w:p>
      <w:pPr>
        <w:ind w:left="660" w:hanging="652"/>
        <w:spacing w:after="0" w:line="258" w:lineRule="auto"/>
        <w:tabs>
          <w:tab w:leader="none" w:pos="4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Executive shall receive an annual base salary of Three Hundred and Eighty-Five Thousand Dollars ($385,000), effective as of the commencement of employment (the “Salary”), plus any salary increases authorized during the Agreement Term, if any, payable in accordance with the Company’s payroll cycle. Executive and Company acknowledge and agree that the salaries of executive officers, including this salary, are subject to review and approval by the Management Development &amp; Compensation Committee of the Board of Directors (“Compensation Committee”) and that such review and approval for the 2022 year is scheduled to take place in approximately February, 2022.</w:t>
      </w:r>
    </w:p>
    <w:p>
      <w:pPr>
        <w:spacing w:after="0" w:line="129" w:lineRule="exact"/>
        <w:rPr>
          <w:rFonts w:ascii="Times New Roman" w:cs="Times New Roman" w:eastAsia="Times New Roman" w:hAnsi="Times New Roman"/>
          <w:sz w:val="18"/>
          <w:szCs w:val="18"/>
          <w:color w:val="auto"/>
        </w:rPr>
      </w:pPr>
    </w:p>
    <w:p>
      <w:pPr>
        <w:ind w:left="660" w:hanging="652"/>
        <w:spacing w:after="0" w:line="258" w:lineRule="auto"/>
        <w:tabs>
          <w:tab w:leader="none" w:pos="4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The Executive shall have the opportunity to participate in the Company’s annual incentive (or bonus) plan or plans, under the terms and conditions as defined by the Company and in those plans as they may exist from time to time. Any bonus for the Executive shall be subject to the then-existing requirements of the Company governing internal recommendation and approval of such a bonus. Any such annual bonus shall be paid to the Executive as soon as practicable following achievement of the requirements for the bonus, in accordance with the terms of the annual incentive plan or plans. The Company reserves the right in its sole discretion to pay any earned bonus in cash, equity or a combination of both.</w:t>
      </w:r>
    </w:p>
    <w:p>
      <w:pPr>
        <w:spacing w:after="0" w:line="129" w:lineRule="exact"/>
        <w:rPr>
          <w:rFonts w:ascii="Times New Roman" w:cs="Times New Roman" w:eastAsia="Times New Roman" w:hAnsi="Times New Roman"/>
          <w:sz w:val="18"/>
          <w:szCs w:val="18"/>
          <w:color w:val="auto"/>
        </w:rPr>
      </w:pPr>
    </w:p>
    <w:p>
      <w:pPr>
        <w:ind w:left="660" w:hanging="652"/>
        <w:spacing w:after="0" w:line="266" w:lineRule="auto"/>
        <w:tabs>
          <w:tab w:leader="none" w:pos="4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The Executive shall be eligible to receive equity awards under the Company’s long-term equity incentive plans under the terms and conditions as defined by the Company and in those plans as they may exist from time to time, and in an amount determined by the Compensation Committee, subject to any approval required by the Board of Directors.</w:t>
      </w:r>
    </w:p>
    <w:p>
      <w:pPr>
        <w:sectPr>
          <w:pgSz w:w="11900" w:h="16838" w:orient="portrait"/>
          <w:cols w:equalWidth="0" w:num="1">
            <w:col w:w="11240"/>
          </w:cols>
          <w:pgMar w:left="320" w:top="743" w:right="339" w:bottom="1440" w:gutter="0" w:footer="0" w:header="0"/>
        </w:sectPr>
      </w:pPr>
    </w:p>
    <w:bookmarkStart w:id="83" w:name="page84"/>
    <w:bookmarkEnd w:id="83"/>
    <w:p>
      <w:pPr>
        <w:ind w:left="660" w:hanging="652"/>
        <w:spacing w:after="0" w:line="261" w:lineRule="auto"/>
        <w:tabs>
          <w:tab w:leader="none" w:pos="4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While the Agreement is in effect, the Company will reimburse the Executive for all reasonable and necessary expenses incurred by the Executive in connection with the performance of his duties for the Company. Such reimbursement is subject to the submission to the Company by the Executive of appropriate documentation and/or vouchers, and will be made in accordance with the customary procedures of the Company for expense reimbursement, as may from time to time be established.</w:t>
      </w:r>
    </w:p>
    <w:p>
      <w:pPr>
        <w:spacing w:after="0" w:line="125" w:lineRule="exact"/>
        <w:rPr>
          <w:rFonts w:ascii="Times New Roman" w:cs="Times New Roman" w:eastAsia="Times New Roman" w:hAnsi="Times New Roman"/>
          <w:sz w:val="18"/>
          <w:szCs w:val="18"/>
          <w:color w:val="auto"/>
        </w:rPr>
      </w:pPr>
    </w:p>
    <w:p>
      <w:pPr>
        <w:ind w:left="660" w:hanging="652"/>
        <w:spacing w:after="0" w:line="266" w:lineRule="auto"/>
        <w:tabs>
          <w:tab w:leader="none" w:pos="3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The Executive shall be eligible to participate in any and all plans maintained by the Company to provide benefits for its salaried senior executives, and, including, without limitation, any vacation plan, pension, profit sharing or other retirement plan, any life, accident, disability, medical, hospital or similar group insurance program and any other benefit plan, subject to the normal terms and conditions of such plans.</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4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All payments made to the Executive pursuant to this Agreement are subject to clawback by the Company to the extent required by applicable law or the policies of the Company as in effect from time to time.</w:t>
      </w:r>
    </w:p>
    <w:p>
      <w:pPr>
        <w:spacing w:after="0" w:line="108" w:lineRule="exact"/>
        <w:rPr>
          <w:sz w:val="20"/>
          <w:szCs w:val="20"/>
          <w:color w:val="auto"/>
        </w:rPr>
      </w:pPr>
    </w:p>
    <w:p>
      <w:pPr>
        <w:ind w:left="660" w:right="20" w:hanging="652"/>
        <w:spacing w:after="0" w:line="282" w:lineRule="auto"/>
        <w:tabs>
          <w:tab w:leader="none" w:pos="4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Executive’s employment with the Company pursuant to this Agreement may terminate under the following circumstances (hereinafter referred to as a “Termination”).</w:t>
      </w:r>
    </w:p>
    <w:p>
      <w:pPr>
        <w:spacing w:after="0" w:line="108" w:lineRule="exact"/>
        <w:rPr>
          <w:sz w:val="20"/>
          <w:szCs w:val="20"/>
          <w:color w:val="auto"/>
        </w:rPr>
      </w:pPr>
    </w:p>
    <w:p>
      <w:pPr>
        <w:spacing w:after="0"/>
        <w:tabs>
          <w:tab w:leader="none" w:pos="360" w:val="left"/>
          <w:tab w:leader="none" w:pos="68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his death (referred</w:t>
      </w:r>
      <w:r>
        <w:rPr>
          <w:sz w:val="20"/>
          <w:szCs w:val="20"/>
          <w:color w:val="auto"/>
        </w:rPr>
        <w:tab/>
      </w:r>
      <w:r>
        <w:rPr>
          <w:rFonts w:ascii="Times New Roman" w:cs="Times New Roman" w:eastAsia="Times New Roman" w:hAnsi="Times New Roman"/>
          <w:sz w:val="18"/>
          <w:szCs w:val="18"/>
          <w:color w:val="auto"/>
        </w:rPr>
        <w:t>to hereafter as “Death”).</w:t>
      </w:r>
    </w:p>
    <w:p>
      <w:pPr>
        <w:spacing w:after="0" w:line="171" w:lineRule="exact"/>
        <w:rPr>
          <w:sz w:val="20"/>
          <w:szCs w:val="20"/>
          <w:color w:val="auto"/>
        </w:rPr>
      </w:pPr>
    </w:p>
    <w:p>
      <w:pPr>
        <w:ind w:left="660" w:hanging="652"/>
        <w:spacing w:after="0" w:line="256" w:lineRule="auto"/>
        <w:tabs>
          <w:tab w:leader="none" w:pos="4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Executive becomes Disabled, the Company may terminate Executive’s employment. For purposes of this Agreement, the Executive shall be deemed to be “Disabled” if (i) eligible for disability benefits under the Company’s long-term disability plan, or (ii) has a physical or mental disability which renders Executive incapable, after reasonable accommodation, of performing substantially all of Executive’s duties hereunder for a period of 180 days (which need not be consecutive) in any 12-month period. In the event of a dispute as to whether the Executive is Disabled, the Company may, at its expense, refer Executive to a licensed practicing physician of the Company’s choice and the Executive agrees to submit to such tests and examination as such physician shall deem customary and appropriate.</w:t>
      </w:r>
    </w:p>
    <w:p>
      <w:pPr>
        <w:spacing w:after="0" w:line="133" w:lineRule="exact"/>
        <w:rPr>
          <w:rFonts w:ascii="Times New Roman" w:cs="Times New Roman" w:eastAsia="Times New Roman" w:hAnsi="Times New Roman"/>
          <w:sz w:val="18"/>
          <w:szCs w:val="18"/>
          <w:color w:val="auto"/>
        </w:rPr>
      </w:pPr>
    </w:p>
    <w:p>
      <w:pPr>
        <w:ind w:left="660" w:hanging="652"/>
        <w:spacing w:after="0" w:line="258" w:lineRule="auto"/>
        <w:tabs>
          <w:tab w:leader="none" w:pos="3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may terminate the Executive’s employment hereunder immediately and at any time for Cause by written notice to the Executive detailing the basis for the Cause Termination. For purposes of this Agreement, “Cause” means (i) gross negligence or willful and continued failure by the Executive to substantially perform his duties as an employee of the Company (other than any such failure resulting from incapacity due to physical or mental illness); (ii) Executive’s dishonesty, fraudulent misrepresentation, willful misconduct, malfeasance, or violation of fiduciary duty relating to the business of the Company; or (iii) conviction of a felony.</w:t>
      </w:r>
    </w:p>
    <w:p>
      <w:pPr>
        <w:spacing w:after="0" w:line="129" w:lineRule="exact"/>
        <w:rPr>
          <w:rFonts w:ascii="Times New Roman" w:cs="Times New Roman" w:eastAsia="Times New Roman" w:hAnsi="Times New Roman"/>
          <w:sz w:val="18"/>
          <w:szCs w:val="18"/>
          <w:color w:val="auto"/>
        </w:rPr>
      </w:pPr>
    </w:p>
    <w:p>
      <w:pPr>
        <w:ind w:left="660" w:hanging="652"/>
        <w:spacing w:after="0" w:line="282" w:lineRule="auto"/>
        <w:tabs>
          <w:tab w:leader="none" w:pos="4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Cause</w:t>
      </w:r>
      <w:r>
        <w:rPr>
          <w:rFonts w:ascii="Times New Roman" w:cs="Times New Roman" w:eastAsia="Times New Roman" w:hAnsi="Times New Roman"/>
          <w:sz w:val="18"/>
          <w:szCs w:val="18"/>
          <w:color w:val="auto"/>
        </w:rPr>
        <w:t>. The Company may terminate the Executive’s employment hereunder immediately and at any time without Cause (referred to hereafter as “Without Cause”) by written notice to the Executive.</w:t>
      </w:r>
    </w:p>
    <w:p>
      <w:pPr>
        <w:spacing w:after="0" w:line="107" w:lineRule="exact"/>
        <w:rPr>
          <w:rFonts w:ascii="Times New Roman" w:cs="Times New Roman" w:eastAsia="Times New Roman" w:hAnsi="Times New Roman"/>
          <w:sz w:val="18"/>
          <w:szCs w:val="18"/>
          <w:color w:val="auto"/>
        </w:rPr>
      </w:pPr>
    </w:p>
    <w:p>
      <w:pPr>
        <w:ind w:left="660" w:hanging="652"/>
        <w:spacing w:after="0" w:line="282" w:lineRule="auto"/>
        <w:tabs>
          <w:tab w:leader="none" w:pos="4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Executive</w:t>
      </w:r>
      <w:r>
        <w:rPr>
          <w:rFonts w:ascii="Times New Roman" w:cs="Times New Roman" w:eastAsia="Times New Roman" w:hAnsi="Times New Roman"/>
          <w:sz w:val="18"/>
          <w:szCs w:val="18"/>
          <w:color w:val="auto"/>
        </w:rPr>
        <w:t>. The Executive may terminate his employment hereunder at any time for any reason by giving the Company prior written notice not less than thirty (30) days prior to such Termination.</w:t>
      </w:r>
    </w:p>
    <w:p>
      <w:pPr>
        <w:spacing w:after="0" w:line="10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Agreement</w:t>
      </w:r>
      <w:r>
        <w:rPr>
          <w:rFonts w:ascii="Times New Roman" w:cs="Times New Roman" w:eastAsia="Times New Roman" w:hAnsi="Times New Roman"/>
          <w:sz w:val="18"/>
          <w:szCs w:val="18"/>
          <w:color w:val="auto"/>
        </w:rPr>
        <w:t>. This Agreement may be terminated at any time by mutual written agreement of the parties.</w:t>
      </w:r>
    </w:p>
    <w:p>
      <w:pPr>
        <w:spacing w:after="0" w:line="171" w:lineRule="exact"/>
        <w:rPr>
          <w:rFonts w:ascii="Times New Roman" w:cs="Times New Roman" w:eastAsia="Times New Roman" w:hAnsi="Times New Roman"/>
          <w:sz w:val="18"/>
          <w:szCs w:val="18"/>
          <w:color w:val="auto"/>
        </w:rPr>
      </w:pPr>
    </w:p>
    <w:p>
      <w:pPr>
        <w:ind w:left="660" w:hanging="652"/>
        <w:spacing w:after="0" w:line="266" w:lineRule="auto"/>
        <w:tabs>
          <w:tab w:leader="none" w:pos="4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within Twelve (12) Months of Change in Control</w:t>
      </w:r>
      <w:r>
        <w:rPr>
          <w:rFonts w:ascii="Times New Roman" w:cs="Times New Roman" w:eastAsia="Times New Roman" w:hAnsi="Times New Roman"/>
          <w:sz w:val="18"/>
          <w:szCs w:val="18"/>
          <w:color w:val="auto"/>
        </w:rPr>
        <w:t>. Termination because of a Change in Control (as defined in paragraph 4(d) below) occurs when the Executive’s employment is terminated by the Company or its successor Without Cause within twelve (12) months after a Change in Control.</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4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means the last day that the Executive is employed by the Company under the terms of this Agreement, provided that Executive’s employment is terminated in accordance with one of the foregoing provisions.</w:t>
      </w:r>
    </w:p>
    <w:p>
      <w:pPr>
        <w:spacing w:after="0" w:line="108" w:lineRule="exact"/>
        <w:rPr>
          <w:sz w:val="20"/>
          <w:szCs w:val="20"/>
          <w:color w:val="auto"/>
        </w:rPr>
      </w:pPr>
    </w:p>
    <w:p>
      <w:pPr>
        <w:ind w:left="660" w:hanging="652"/>
        <w:spacing w:after="0" w:line="282" w:lineRule="auto"/>
        <w:tabs>
          <w:tab w:leader="none" w:pos="3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Termination</w:t>
      </w:r>
      <w:r>
        <w:rPr>
          <w:rFonts w:ascii="Times New Roman" w:cs="Times New Roman" w:eastAsia="Times New Roman" w:hAnsi="Times New Roman"/>
          <w:sz w:val="18"/>
          <w:szCs w:val="18"/>
          <w:color w:val="auto"/>
        </w:rPr>
        <w:t>. The Executive’s right to payments and benefits under this Agreement for periods after Termination shall be determined in accordance with the following:</w:t>
      </w:r>
    </w:p>
    <w:p>
      <w:pPr>
        <w:spacing w:after="0" w:line="108" w:lineRule="exact"/>
        <w:rPr>
          <w:sz w:val="20"/>
          <w:szCs w:val="20"/>
          <w:color w:val="auto"/>
        </w:rPr>
      </w:pPr>
    </w:p>
    <w:p>
      <w:pPr>
        <w:ind w:left="660" w:hanging="652"/>
        <w:spacing w:after="0" w:line="282" w:lineRule="auto"/>
        <w:tabs>
          <w:tab w:leader="none" w:pos="4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Termination occurs for Cause, if the Executive terminates the Agreement in accordance with paragraph 3(e) above, or if the Executive’s Termination occurs by mutual agreement, the Company shall pay to the Executive:</w:t>
      </w:r>
    </w:p>
    <w:p>
      <w:pPr>
        <w:spacing w:after="0" w:line="10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equivalent to the remaining unpaid portion of the Executive’s Salary for the period ending on the Date of Termination.</w:t>
      </w:r>
    </w:p>
    <w:p>
      <w:pPr>
        <w:spacing w:after="0" w:line="17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for all accrued and unused vacation days.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877" w:right="339" w:bottom="1440" w:gutter="0" w:footer="0" w:header="0"/>
        </w:sectPr>
      </w:pPr>
    </w:p>
    <w:bookmarkStart w:id="84" w:name="page85"/>
    <w:bookmarkEnd w:id="84"/>
    <w:p>
      <w:pPr>
        <w:ind w:left="1300" w:hanging="644"/>
        <w:spacing w:after="0" w:line="258" w:lineRule="auto"/>
        <w:tabs>
          <w:tab w:leader="none" w:pos="11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payments or benefits to be provided to the Executive by the Company pursuant to any employee benefit plans or arrangements adopted by the Company, to the extent such payments and benefits are earned and vested as of the Date of Termination, or are required by law to be offered for periods following the Executive’s Date of Termination. In addition, any bonus which has been earned by Executive and approved by the appropriate corporate authorities but which remains unpaid as of the date of Executive’s Termination, shall be paid to Executive at such time and in such manner as if Executive had continued to be employed by the Company.</w:t>
      </w:r>
    </w:p>
    <w:p>
      <w:pPr>
        <w:spacing w:after="0" w:line="129" w:lineRule="exact"/>
        <w:rPr>
          <w:rFonts w:ascii="Times New Roman" w:cs="Times New Roman" w:eastAsia="Times New Roman" w:hAnsi="Times New Roman"/>
          <w:sz w:val="18"/>
          <w:szCs w:val="18"/>
          <w:color w:val="auto"/>
        </w:rPr>
      </w:pPr>
    </w:p>
    <w:p>
      <w:pPr>
        <w:ind w:left="660" w:hanging="652"/>
        <w:spacing w:after="0" w:line="254" w:lineRule="auto"/>
        <w:tabs>
          <w:tab w:leader="none" w:pos="4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the Executive’s employment Without Cause as referenced in paragraph 3(d) above, or Termination occurs due to Disability in accordance with paragraph 3(b) above, the Company shall pay or provide to the Executive the following: The amounts payable under paragraph 4(a), and in addition, the Executive shall be entitled to monthly payments over a 12-month period of an amount equal to the monthly salary which the Executive was being paid as of the Date of Termination. Such payments will commence as of the month following the date that the Executive incurs a separation from service, as such term is defined in the context of Section 409A of the Code (as defined below). Such payments will continue over the 12-month period in accordance with the Company’s normal payroll cycle. In the event that the Executive dies prior to the completion of the 12-month payment cycle, any amounts remaining unpaid as of the date of Executive’s death will be paid to Executive’s estate in lump sum.</w:t>
      </w:r>
    </w:p>
    <w:p>
      <w:pPr>
        <w:spacing w:after="0" w:line="137" w:lineRule="exact"/>
        <w:rPr>
          <w:rFonts w:ascii="Times New Roman" w:cs="Times New Roman" w:eastAsia="Times New Roman" w:hAnsi="Times New Roman"/>
          <w:sz w:val="18"/>
          <w:szCs w:val="18"/>
          <w:color w:val="auto"/>
        </w:rPr>
      </w:pPr>
    </w:p>
    <w:p>
      <w:pPr>
        <w:ind w:left="660" w:hanging="652"/>
        <w:spacing w:after="0" w:line="266" w:lineRule="auto"/>
        <w:tabs>
          <w:tab w:leader="none" w:pos="4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due to Death in accordance with paragraph 3(a), the Executive’s estate shall be entitled to the amounts payable under paragraph 4(a), and in addition, the Executive’s estate shall be entitled to a lump-sum payment of an amount equal to the amount of monthly salary which the Executive was being paid as of the Date of Termination times 12 months.</w:t>
      </w:r>
    </w:p>
    <w:p>
      <w:pPr>
        <w:spacing w:after="0" w:line="121" w:lineRule="exact"/>
        <w:rPr>
          <w:rFonts w:ascii="Times New Roman" w:cs="Times New Roman" w:eastAsia="Times New Roman" w:hAnsi="Times New Roman"/>
          <w:sz w:val="18"/>
          <w:szCs w:val="18"/>
          <w:color w:val="auto"/>
        </w:rPr>
      </w:pPr>
    </w:p>
    <w:p>
      <w:pPr>
        <w:jc w:val="right"/>
        <w:ind w:left="660" w:hanging="652"/>
        <w:spacing w:after="0" w:line="257" w:lineRule="auto"/>
        <w:tabs>
          <w:tab w:leader="none" w:pos="4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Executive’s employment within 12 months after a Change in Control in accordance with paragraph 3(g), Executive shall be entitled to the amounts payable under paragraph 4(a), and in addition, the Executive shall be entitled to a lump-sum payment of amounts equal to the following: (i) the amount of monthly salary which the Executive was being paid as of the Date of Termination times 12 months; plus (ii) one</w:t>
      </w:r>
    </w:p>
    <w:p>
      <w:pPr>
        <w:spacing w:after="0" w:line="1"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times the Average Bonus Amount (as defined below). For purposes of this Agreement, “Average Bonus Amount” shall equal (x) if, at the time of the Date of Termination, the Executive has been employed by the Company for two calendar years or more, the average amount of the bonus to be earned for the then-current year (i.e., the year in which the Change in Control occurs) and the bonuses received for the two immediately prior years; (y) if, at the time of the Date of Termination, the Executive has been employed by the Company for more than one calendar year but less than two calendar years, the average amount of the bonus to be earned for the then-current year and the bonus received for the prior year; and (z) if, at the time of the Date of Termination, the Executive has been employed by the Company for less than one calendar year, the amount of the bonus to be earned for the then-current year. For purposes of calculating the Average Bonus Amount, the amount of the bonus for the then-current year shall equal the amount earned or scheduled to be earned by the Executive as if the bonus targets set in the bonus plan have been met. The Average Bonus Amount, which is payable in lump sum, shall be paid contemporaneously with the Date of Termination. “Change in Control” means an occasion upon which (i) any one person, or more than one person acting as a group (as defined in Treasury Regulation Section 1.409A-3(i)(5)(v)(B)), other than a member of the Board of Directors or fiduciary holding securities under an employee benefit plan of the Company or a corporation controlled by the Company, acquires (either directly and/or through becoming the “beneficial owner” (as defined in Rule 13d-3 under the Securities Exchange Act)), directly or indirectly, securities of the Company representing 50% or more of the combined voting power of the Company’s then outstanding securities (or has acquired securities representing 50% or more of the combined voting power of the Company’s then outstanding securities during the 12-month period ending on the date of the most recent acquisition of Company securities by such person); or (ii) during any period of twelve (12) consecutive months, a majority of the members of the Board of Directors is replaced by directors whose appointment or election is not endorsed by a majority of the members of the Board of Directors before the date of the appointment or election; or</w:t>
      </w:r>
    </w:p>
    <w:p>
      <w:pPr>
        <w:spacing w:after="0" w:line="6" w:lineRule="exact"/>
        <w:rPr>
          <w:rFonts w:ascii="Times New Roman" w:cs="Times New Roman" w:eastAsia="Times New Roman" w:hAnsi="Times New Roman"/>
          <w:sz w:val="18"/>
          <w:szCs w:val="18"/>
          <w:color w:val="auto"/>
        </w:rPr>
      </w:pPr>
    </w:p>
    <w:p>
      <w:pPr>
        <w:jc w:val="both"/>
        <w:ind w:left="660" w:hanging="4"/>
        <w:spacing w:after="0" w:line="269" w:lineRule="auto"/>
        <w:tabs>
          <w:tab w:leader="none" w:pos="98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one person, or more than one person acting as a group (as defined in Treasury Regulation Section 1.409A-3(i)(5)(v)(B)) acquires (or has acquired during the 12-month period ending on the date of the most recent acquisition by such person or persons) all, or substantially all, of the Company’s assets. Each Change in Control event described in this paragraph is intended to constitute a change in ownership or effective control of the Company or in the ownership of a substantial portion of the Company’s assets within the meaning of Section 409A(a)(2)(A)(v) of the Internal Revenue Code of 1986, as amended (“Code”), and the IRS guidance issued thereunder and this Agreement shall be interpreted accordingly. For the sake of clarity, and notwithstanding anything to the contrary set forth in this Agreement, the Executive shall not be entitled to any payments under paragraphs 4(b) or 4(c) upon Termination if the Executive receives the payments under this paragraph 4(d) upon a Change in Control.</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877" w:right="339" w:bottom="1440" w:gutter="0" w:footer="0" w:header="0"/>
        </w:sectPr>
      </w:pPr>
    </w:p>
    <w:bookmarkStart w:id="85" w:name="page86"/>
    <w:bookmarkEnd w:id="85"/>
    <w:p>
      <w:pPr>
        <w:ind w:left="660" w:hanging="652"/>
        <w:spacing w:after="0" w:line="282" w:lineRule="auto"/>
        <w:tabs>
          <w:tab w:leader="none" w:pos="4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Executive’s employment is terminated for any reason discussed in paragraphs 4(b), 4(c) or 4(d), in addition to the amounts payable under paragraphs 4(b), 4(c) or 4(d) as applicable, the Executive or the Executive’s estate shall be entitled to the following:</w:t>
      </w:r>
    </w:p>
    <w:p>
      <w:pPr>
        <w:spacing w:after="0" w:line="107" w:lineRule="exact"/>
        <w:rPr>
          <w:rFonts w:ascii="Times New Roman" w:cs="Times New Roman" w:eastAsia="Times New Roman" w:hAnsi="Times New Roman"/>
          <w:sz w:val="18"/>
          <w:szCs w:val="18"/>
          <w:color w:val="auto"/>
        </w:rPr>
      </w:pPr>
    </w:p>
    <w:p>
      <w:pPr>
        <w:ind w:left="1300" w:hanging="644"/>
        <w:spacing w:after="0" w:line="258" w:lineRule="auto"/>
        <w:tabs>
          <w:tab w:leader="none" w:pos="107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equity and equity-based awards will continue to be subject to the terms of the applicable grant notice and award agreement, which may provide for immediate vesting of the unvested portion of the award under certain circumstances. In addition, if the Company terminates the Executive’s employment due to Death as referenced in paragraph 3(a) above, Disability as referenced in paragraph 3(b) above, or Without Cause as referenced in paragraph 3(d) above, all equity and equity-based awards, including but not limited to, Restricted Shares and/or Restricted Share Units, that have not yet vested shall vest immediately on the Date of Termination.</w:t>
      </w:r>
    </w:p>
    <w:p>
      <w:pPr>
        <w:spacing w:after="0" w:line="129" w:lineRule="exact"/>
        <w:rPr>
          <w:rFonts w:ascii="Times New Roman" w:cs="Times New Roman" w:eastAsia="Times New Roman" w:hAnsi="Times New Roman"/>
          <w:sz w:val="18"/>
          <w:szCs w:val="18"/>
          <w:color w:val="auto"/>
        </w:rPr>
      </w:pPr>
    </w:p>
    <w:p>
      <w:pPr>
        <w:ind w:left="1300" w:hanging="644"/>
        <w:spacing w:after="0" w:line="256" w:lineRule="auto"/>
        <w:tabs>
          <w:tab w:leader="none" w:pos="10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equal to twelve (12) months of premium payments for medical and dental coverage. The amount of the monthly payments shall be equal to the amount of the “applicable premium” as determined pursuant to the terms of the Consolidated Omnibus Budget Reconciliation Act of 1985, as amended (“COBRA”) (without regard to whether or not the Executive elects COBRA continuation coverage) based on the Executive’s choices under the Company’s plan as of the Date of Termination and further based upon the current premiums as of the Date of Termination, less the amount that the Executive was contributing for coverage. The Company benefits package in which the Executive participated will cease as of the Date of Termination.</w:t>
      </w:r>
    </w:p>
    <w:p>
      <w:pPr>
        <w:spacing w:after="0" w:line="133" w:lineRule="exact"/>
        <w:rPr>
          <w:rFonts w:ascii="Times New Roman" w:cs="Times New Roman" w:eastAsia="Times New Roman" w:hAnsi="Times New Roman"/>
          <w:sz w:val="18"/>
          <w:szCs w:val="18"/>
          <w:color w:val="auto"/>
        </w:rPr>
      </w:pPr>
    </w:p>
    <w:p>
      <w:pPr>
        <w:ind w:left="1300" w:hanging="644"/>
        <w:spacing w:after="0" w:line="258" w:lineRule="auto"/>
        <w:tabs>
          <w:tab w:leader="none" w:pos="110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equal to twelve (12) months of benefit premiums based upon the premium rate at the Date of Termination under the terms of the Company’s Group Life Policy which allows the option to convert to an individual policy for basic life and accidental death and dismemberment (AD&amp;D) coverage. However, the cash payments shall be no more than the amount of the premiums that the Company was paying as if the Executive was still employed. This paragraph shall not apply if the Executive’s employment is terminated per paragraph 4(c).</w:t>
      </w:r>
    </w:p>
    <w:p>
      <w:pPr>
        <w:spacing w:after="0" w:line="129" w:lineRule="exact"/>
        <w:rPr>
          <w:rFonts w:ascii="Times New Roman" w:cs="Times New Roman" w:eastAsia="Times New Roman" w:hAnsi="Times New Roman"/>
          <w:sz w:val="18"/>
          <w:szCs w:val="18"/>
          <w:color w:val="auto"/>
        </w:rPr>
      </w:pPr>
    </w:p>
    <w:p>
      <w:pPr>
        <w:ind w:left="1300" w:hanging="644"/>
        <w:spacing w:after="0" w:line="266" w:lineRule="auto"/>
        <w:tabs>
          <w:tab w:leader="none" w:pos="110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equal to the employer matching contribution, as if the Executive was still a plan participant that would otherwise have been contributed on Executive's behalf to the Code Section 401(k) program maintained by the Company with respect to the 12-month period commencing on the Date of Termination under the following assumptions:</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73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would have made a voluntary salary reduction contribution to the Code Section 401(k) program with respect to the 12-month period based upon the salary reduction election in effect on behalf of the Executive as of the Date of Termination.</w:t>
      </w:r>
    </w:p>
    <w:p>
      <w:pPr>
        <w:spacing w:after="0" w:line="107" w:lineRule="exact"/>
        <w:rPr>
          <w:rFonts w:ascii="Times New Roman" w:cs="Times New Roman" w:eastAsia="Times New Roman" w:hAnsi="Times New Roman"/>
          <w:sz w:val="18"/>
          <w:szCs w:val="18"/>
          <w:color w:val="auto"/>
        </w:rPr>
      </w:pPr>
    </w:p>
    <w:p>
      <w:pPr>
        <w:ind w:left="1960" w:hanging="656"/>
        <w:spacing w:after="0" w:line="258" w:lineRule="auto"/>
        <w:tabs>
          <w:tab w:leader="none" w:pos="1827"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"constructive matching" payments will be made under this provision with respect to a calendar year once the combination of the actual matching contributions made on behalf of Executive to the Code Section 401(k) program for such calendar year plus the "constructive matching" payments made to Executive pursuant to this provision for such calendar equal the maximum amount of matching contributions that could have been allocated to Executive's account under the terms of the Code Section 401(k) program with respect to such calendar year.</w:t>
      </w:r>
    </w:p>
    <w:p>
      <w:pPr>
        <w:spacing w:after="0" w:line="129" w:lineRule="exact"/>
        <w:rPr>
          <w:rFonts w:ascii="Times New Roman" w:cs="Times New Roman" w:eastAsia="Times New Roman" w:hAnsi="Times New Roman"/>
          <w:sz w:val="18"/>
          <w:szCs w:val="18"/>
          <w:color w:val="auto"/>
        </w:rPr>
      </w:pPr>
    </w:p>
    <w:p>
      <w:pPr>
        <w:ind w:left="1960" w:hanging="656"/>
        <w:spacing w:after="0" w:line="282" w:lineRule="auto"/>
        <w:tabs>
          <w:tab w:leader="none" w:pos="170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contemplated by paragraph 4(e)(vi) below, the "constructive matching" payments will be made at such times as the Company remits the actual matching contributions to the Code Section 401(k) program.</w:t>
      </w:r>
    </w:p>
    <w:p>
      <w:pPr>
        <w:spacing w:after="0" w:line="107" w:lineRule="exact"/>
        <w:rPr>
          <w:rFonts w:ascii="Times New Roman" w:cs="Times New Roman" w:eastAsia="Times New Roman" w:hAnsi="Times New Roman"/>
          <w:sz w:val="18"/>
          <w:szCs w:val="18"/>
          <w:color w:val="auto"/>
        </w:rPr>
      </w:pPr>
    </w:p>
    <w:p>
      <w:pPr>
        <w:ind w:left="1300" w:hanging="644"/>
        <w:spacing w:after="0" w:line="261" w:lineRule="auto"/>
        <w:tabs>
          <w:tab w:leader="none" w:pos="10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per paragraph 4(b), all payments under paragraph this 4(e) shall be made on a periodic basis on the same schedule as such benefits otherwise would have been payable as if the Executive was still employed at the Company. If the Executive’s employment is terminated per paragraph 4(c) or paragraph 4(d), all payments under this paragraph 4(e) shall be paid in a lump-sum payment at the same time the lump sum payment is paid in accordance with paragraph 4(c) or paragraph 4(d).</w:t>
      </w:r>
    </w:p>
    <w:p>
      <w:pPr>
        <w:spacing w:after="0" w:line="125" w:lineRule="exact"/>
        <w:rPr>
          <w:rFonts w:ascii="Times New Roman" w:cs="Times New Roman" w:eastAsia="Times New Roman" w:hAnsi="Times New Roman"/>
          <w:sz w:val="18"/>
          <w:szCs w:val="18"/>
          <w:color w:val="auto"/>
        </w:rPr>
      </w:pPr>
    </w:p>
    <w:p>
      <w:pPr>
        <w:ind w:left="1300" w:hanging="644"/>
        <w:spacing w:after="0" w:line="261" w:lineRule="auto"/>
        <w:tabs>
          <w:tab w:leader="none" w:pos="115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was receiving other benefits as of the Date of Termination that are not listed above, and to the extent such payments or benefits are earned and vested or are required by law to be offered to the Executive for the 12-month period following the Date of Termination, then the cash equivalent or arrangements for continuing coverage will be determined at that time. However, the cash payments shall be no more than the amount that the Company was paying as if the Executive was still employed.</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877" w:right="339" w:bottom="1440" w:gutter="0" w:footer="0" w:header="0"/>
        </w:sectPr>
      </w:pPr>
    </w:p>
    <w:bookmarkStart w:id="86" w:name="page87"/>
    <w:bookmarkEnd w:id="86"/>
    <w:p>
      <w:pPr>
        <w:ind w:left="1300" w:hanging="644"/>
        <w:spacing w:after="0" w:line="254" w:lineRule="auto"/>
        <w:tabs>
          <w:tab w:leader="none" w:pos="123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benefits listed above are no longer available to the Executive as of the Date of Termination, then there will be no such payments made to continue the benefits after the Date of Termination or its cash equivalent. The undertakings of the Company in connection with paragraphs b(i), b(ii) and b(iii), above, are contingent upon Executive’s compliance with the non-compete, confidentiality, and non-solicitation provisions of paragraphs 5, 6 and 7. Should the Company determine that the Executive has committed an infraction of any component of paragraph 5, paragraph 6 or paragraph 7, the Company shall notify the Executive of its determination and provide the Executive with 10 business days to cure the infraction or present convincing evidence that no infraction has occurred. Should the infraction not be subject to cure, or should Executive otherwise fail to cure such infraction within 5 business days of such notice, then the Company may discontinue the payment referenced in paragraph b(i) and the continuation of benefits referenced in paragraph b(iii) and any otherwise unexercised stock option will be forfeited.</w:t>
      </w:r>
    </w:p>
    <w:p>
      <w:pPr>
        <w:spacing w:after="0" w:line="134" w:lineRule="exact"/>
        <w:rPr>
          <w:rFonts w:ascii="Times New Roman" w:cs="Times New Roman" w:eastAsia="Times New Roman" w:hAnsi="Times New Roman"/>
          <w:sz w:val="18"/>
          <w:szCs w:val="18"/>
          <w:color w:val="auto"/>
        </w:rPr>
      </w:pPr>
    </w:p>
    <w:p>
      <w:pPr>
        <w:jc w:val="right"/>
        <w:ind w:left="660" w:hanging="652"/>
        <w:spacing w:after="0" w:line="253" w:lineRule="auto"/>
        <w:tabs>
          <w:tab w:leader="none" w:pos="3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Section 409A of the Code, if the Executive separates from service with the Company for any reason other than death and the Executive constitutes a “specified employee” as defined in Section 409A(2)(B)(i) of the Code at the time of separation from service, then payment to the Executive of any amounts pursuant to paragraph b(i) and payment of any cash amounts pursuant to paragraph b(iii) shall not commence until a date that is six months following the date of the Executive’s separation from service with the Company. Upon the date which is six months following the date of Executive’s separation from service, all previously accrued monthly amounts shall be payable in a lump sum and future amounts will continue to be paid pursuant to the remaining term of the 12-month payment cycle. The above-referenced six month delay in payment shall only apply to the extent required by Section 409A of the Code, such that such delay shall not apply to payments made in connection with an involuntary termination of employment provided such payments fall within the dollar threshold described in Treas. Reg. § 1.409A-1(b)(9)</w:t>
      </w:r>
    </w:p>
    <w:p>
      <w:pPr>
        <w:spacing w:after="0"/>
        <w:tabs>
          <w:tab w:leader="none" w:pos="0" w:val="left"/>
        </w:tabs>
        <w:numPr>
          <w:ilvl w:val="1"/>
          <w:numId w:val="49"/>
        </w:numPr>
        <w:rPr>
          <w:rFonts w:ascii="Times New Roman" w:cs="Times New Roman" w:eastAsia="Times New Roman" w:hAnsi="Times New Roman"/>
          <w:sz w:val="18"/>
          <w:szCs w:val="18"/>
          <w:color w:val="auto"/>
        </w:rPr>
      </w:pPr>
    </w:p>
    <w:p>
      <w:pPr>
        <w:spacing w:after="0" w:line="152" w:lineRule="exact"/>
        <w:rPr>
          <w:rFonts w:ascii="Times New Roman" w:cs="Times New Roman" w:eastAsia="Times New Roman" w:hAnsi="Times New Roman"/>
          <w:sz w:val="18"/>
          <w:szCs w:val="18"/>
          <w:color w:val="auto"/>
        </w:rPr>
      </w:pPr>
    </w:p>
    <w:p>
      <w:pPr>
        <w:ind w:left="660" w:hanging="652"/>
        <w:spacing w:after="0" w:line="254" w:lineRule="auto"/>
        <w:tabs>
          <w:tab w:leader="none" w:pos="4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becomes entitled to any amount in the nature of compensation payable by the Company (including benefits under this Agreement) that is contingent on a change in ownership, effective control, or substantial ownership of a substantial portion of the Company’s assets within the meaning of Section 280G of the Code, and that is subject to the excise tax imposed by Section 4999 of the Code, then the Company shall reduce the compensation payable to the minimum amount necessary to avoid the excise tax, except as follows. No reduction applies if after accounting for the excise tax and all other income and employment taxes due on the compensation payable by the Company, the net amount that the Executive would retain would be greater than the amount the Executive would receive after reduction under this paragraph 4(g). Any reduction applies in the following order: first, cash payments; second, equity awards; and third, noncash benefits, in each case, in reverse chronological order. The extent to which any reduction is necessary is determined by the Company’s independent accountants.</w:t>
      </w:r>
    </w:p>
    <w:p>
      <w:pPr>
        <w:spacing w:after="0" w:line="138" w:lineRule="exact"/>
        <w:rPr>
          <w:sz w:val="20"/>
          <w:szCs w:val="20"/>
          <w:color w:val="auto"/>
        </w:rPr>
      </w:pPr>
    </w:p>
    <w:p>
      <w:pPr>
        <w:ind w:left="660" w:hanging="652"/>
        <w:spacing w:after="0" w:line="254"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Agreement Term and for a period of 12 months subsequent to the Date of Termination, the Executive shall not, without the prior written consent of the Company, directly or indirectly, (i) own or acquire in any manner any interest (other than the ownership solely for investment purposes of not more than five percent of the shares of any corporation, the shares of which are publicly and regularly traded on a national securities exchange or in the over-the-counter market) in any person, firm, partnership, company, association or other entity that competes with the Company in the business of enterprise security solutions and services to customers in the United States government and industry (the “Business”), (ii) be employed by, or serve as an employee, agent, officer, director of, any person, firm, partnership, corporation or provider of services competitive with the Business of the Company, or (iii) provide financial, technical, marketing or other assistance or act as a representative, broker, director, officer, employee, advisor, consultant or agent of any person or entity that is competitive with the Business of the Company.</w:t>
      </w:r>
    </w:p>
    <w:p>
      <w:pPr>
        <w:spacing w:after="0" w:line="134" w:lineRule="exact"/>
        <w:rPr>
          <w:rFonts w:ascii="Times New Roman" w:cs="Times New Roman" w:eastAsia="Times New Roman" w:hAnsi="Times New Roman"/>
          <w:sz w:val="18"/>
          <w:szCs w:val="18"/>
          <w:color w:val="auto"/>
        </w:rPr>
      </w:pPr>
    </w:p>
    <w:p>
      <w:pPr>
        <w:ind w:left="660" w:hanging="652"/>
        <w:spacing w:after="0" w:line="252" w:lineRule="auto"/>
        <w:tabs>
          <w:tab w:leader="none" w:pos="3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Executive promises that he will receive, develop and hold Confidential Information (as defined below) in strict confidence and will not use or disclose Confidential Information, or make copies of any documents containing Confidential Information, except in furtherance of the Business of the Company, unless the Chief Executive Officer provides prior written consent. The Executive further agrees to use reasonable efforts to safeguard the Confidential Information and protect it from disclosure, misuse, loss or theft. The foregoing promises of confidentiality shall not apply if and to the extent that the Executive is ordered by a court or other governmental agency to disclose Confidential Information, provided the Executive has given the Company prompt written notice of the order or subpoena and provides all reasonable cooperation necessary to limit such disclosure and to protect the confidentiality of any Confidential Information so disclosed. “Confidential Information” means all nonpublic information (whether or not specifically labeled or identified as confidential), that has been or is disclosed to, developed or learned by the Executive as a result of employment with the Company and that relates to the business, finances, products, services, customers, research or development of the Company or third parties with whom the Company does business or from whom the Company receives information. The definition of Confidential Information includes, but is not limited to, the following: access codes, security devices and naming conventions used in software and hardware systems; databases of information; other proprietary software; proprietary specifications for hardware and software platforms, the identity and transactions with customers, clients and suppliers; marketing product and service plans, objectives and strategies; tactical objectives, approaches, and competitive advantages; internal financial</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877" w:right="339" w:bottom="1440" w:gutter="0" w:footer="0" w:header="0"/>
        </w:sectPr>
      </w:pPr>
    </w:p>
    <w:bookmarkStart w:id="87" w:name="page88"/>
    <w:bookmarkEnd w:id="87"/>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information; specialized marketing programs related to products and services offered or under development by the Company (or any parent or affiliate of the Company); data and reports related to marketing programs; proprietary systems and operations manuals; proprietary training manuals; proprietary technical and scientific know-how, data and strategies; the Company’s information gathering processes and compilations of information; and information disclosed to the Company by its business partners, licensees, customers and clients in reliance on promises that its confidentiality will be preserved.</w:t>
      </w:r>
    </w:p>
    <w:p>
      <w:pPr>
        <w:spacing w:after="0" w:line="129"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hanging="652"/>
        <w:spacing w:after="0" w:line="255" w:lineRule="auto"/>
        <w:tabs>
          <w:tab w:leader="none" w:pos="4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recognizes that the Company incurs significant expense in training employees to provide services in accordance with the Company’s Business and that the Company will disclose Confidential Information to each such employee. The Executive promises that, during the Agreement Term and for a period of 12 months after expiration of the Agreement Term, the Executive will not, without the prior written consent of the Company, knowingly hire, directly or indirectly, any person then employed by the Company, or knowingly solicit, directly or indirectly, such a person either to terminate or diminish employment with the Company, or to work for any other person or entity, whether or not a competitor, and the Executive shall not approach any such employee for any such purpose or authorize or knowingly cooperate with the taking of any such actions by any other individual or entity.</w:t>
      </w:r>
    </w:p>
    <w:p>
      <w:pPr>
        <w:spacing w:after="0" w:line="134" w:lineRule="exact"/>
        <w:rPr>
          <w:rFonts w:ascii="Times New Roman" w:cs="Times New Roman" w:eastAsia="Times New Roman" w:hAnsi="Times New Roman"/>
          <w:sz w:val="18"/>
          <w:szCs w:val="18"/>
          <w:color w:val="auto"/>
        </w:rPr>
      </w:pPr>
    </w:p>
    <w:p>
      <w:pPr>
        <w:ind w:left="660" w:hanging="652"/>
        <w:spacing w:after="0" w:line="256" w:lineRule="auto"/>
        <w:tabs>
          <w:tab w:leader="none" w:pos="4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also acknowledges that the Company incurs significant expense in developing business partners, licensees, customers and clients. The Executive promises that, during the Agreement Term and for a period of 18 months after the Agreement Term ends, the Executive will not, without the prior written consent of the Company, knowingly directly or indirectly, solicit any customer, business partner, licensee or client of the Company to terminate or diminish its business relationship with the Company or to purchase any product or service that is or may be used as a substitute for any product or service of the Company, and the Executive shall not knowingly approach any such customer, supplier, lessor or lessee for such purpose or authorize or knowingly cooperate with the taking of any such actions by any other individual or entity.</w:t>
      </w:r>
    </w:p>
    <w:p>
      <w:pPr>
        <w:spacing w:after="0" w:line="133" w:lineRule="exact"/>
        <w:rPr>
          <w:sz w:val="20"/>
          <w:szCs w:val="20"/>
          <w:color w:val="auto"/>
        </w:rPr>
      </w:pPr>
    </w:p>
    <w:p>
      <w:pPr>
        <w:ind w:left="660" w:hanging="652"/>
        <w:spacing w:after="0" w:line="253" w:lineRule="auto"/>
        <w:tabs>
          <w:tab w:leader="none" w:pos="4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Reasonable</w:t>
      </w:r>
      <w:r>
        <w:rPr>
          <w:rFonts w:ascii="Times New Roman" w:cs="Times New Roman" w:eastAsia="Times New Roman" w:hAnsi="Times New Roman"/>
          <w:sz w:val="18"/>
          <w:szCs w:val="18"/>
          <w:color w:val="auto"/>
        </w:rPr>
        <w:t>. Executive agrees that the restrictions set forth in paragraphs 5 (Non-Competition), 6 (Confidentiality), and 7 (Non-Solicitation) are reasonable, proper and necessitated by the legitimate business interests of the Company, and do not constitute an unlawful or unreasonable restraint upon Executive’s ability to earn a living. Executive acknowledges that it may be impossible to assess the monetary damages occurred by Executive’s violation of paragraphs 5, 6 or 7 of this Agreement, that violations of those paragraphs will be material breaches of this Agreement and will cause irreparable injury to the Company. Accordingly, Executive agrees that Company will be entitled, in addition to all other rights and remedies which may be available, to an injunction enjoining and restraining Executive and any other involved party from committing a violation of this Agreement, and Executive consents to the issuance and entry of such injunction. In addition, Company will be entitled to such damages as it can demonstrate that it sustained by reason of the violation of this Agreement by the Executive and/or others. The parties agree that in the event of any litigation to enforce or interpret this Agreement, the prevailing party will be entitled to recover all costs, including reasonable attorney’s fees, from the non-prevailing party. In the event Company enforces this paragraph 8 through a Court Order, Executive agrees that the restriction on Executive following Termination of employment set forth in this Agreement shall remain in effect for a period of one year from the date of the final Court Order enforcing this Agreement.</w:t>
      </w:r>
    </w:p>
    <w:p>
      <w:pPr>
        <w:spacing w:after="0" w:line="135" w:lineRule="exact"/>
        <w:rPr>
          <w:rFonts w:ascii="Times New Roman" w:cs="Times New Roman" w:eastAsia="Times New Roman" w:hAnsi="Times New Roman"/>
          <w:sz w:val="18"/>
          <w:szCs w:val="18"/>
          <w:color w:val="auto"/>
        </w:rPr>
      </w:pPr>
    </w:p>
    <w:p>
      <w:pPr>
        <w:ind w:left="660" w:hanging="652"/>
        <w:spacing w:after="0" w:line="253" w:lineRule="auto"/>
        <w:tabs>
          <w:tab w:leader="none" w:pos="4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Materials</w:t>
      </w:r>
      <w:r>
        <w:rPr>
          <w:rFonts w:ascii="Times New Roman" w:cs="Times New Roman" w:eastAsia="Times New Roman" w:hAnsi="Times New Roman"/>
          <w:sz w:val="18"/>
          <w:szCs w:val="18"/>
          <w:color w:val="auto"/>
        </w:rPr>
        <w:t xml:space="preserve">. Upon the Executive’s Date of Termination, or at any time upon the Company’s request, the Executive (or if deceased, the Executive’s personal representative) shall promptly deliver to the Company without retaining copies, all tangible things that are or contain Confidential Information. The Executive or such personal representative shall also promptly deliver to the Company all computer print-outs, books, software manuals and directions, floppy disks and other such media for storing software and information, work papers, files, customer lists, supplier lists, employee lists, telephone and/or address books, Rolodex or equivalent cards, memoranda, appointment books, calendars, employee manuals, sales aides, keys and other tangible things provided to the Executive by the Company, or authored in whole or in part by the Executive within the scope of his employment by the Company, even if they do not contain Confidential Information;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Executive shall not be required to deliver personal files and personal information unrelated to the Company’s business. At the time of such deliveries, the Executive shall disclose to the Company any passwords or other knowledge required to access and use any of the foregoing. The Executive acknowledges that he does not have, and will not acquire, any ownership rights in such materials and things.</w:t>
      </w:r>
    </w:p>
    <w:p>
      <w:pPr>
        <w:spacing w:after="0" w:line="140" w:lineRule="exact"/>
        <w:rPr>
          <w:rFonts w:ascii="Times New Roman" w:cs="Times New Roman" w:eastAsia="Times New Roman" w:hAnsi="Times New Roman"/>
          <w:sz w:val="18"/>
          <w:szCs w:val="18"/>
          <w:color w:val="auto"/>
        </w:rPr>
      </w:pPr>
    </w:p>
    <w:p>
      <w:pPr>
        <w:ind w:left="660" w:hanging="652"/>
        <w:spacing w:after="0" w:line="282" w:lineRule="auto"/>
        <w:tabs>
          <w:tab w:leader="none" w:pos="5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Nonalienation</w:t>
      </w:r>
      <w:r>
        <w:rPr>
          <w:rFonts w:ascii="Times New Roman" w:cs="Times New Roman" w:eastAsia="Times New Roman" w:hAnsi="Times New Roman"/>
          <w:sz w:val="18"/>
          <w:szCs w:val="18"/>
          <w:color w:val="auto"/>
        </w:rPr>
        <w:t>. The interests of the Executive under this Agreement are not subject in any manner to anticipation, alienation, sale, transfer, assignment, pledge, encumbrance, attachment, or garnishment by the Executive’s creditors or beneficiaries.</w:t>
      </w:r>
    </w:p>
    <w:p>
      <w:pPr>
        <w:spacing w:after="0" w:line="107" w:lineRule="exact"/>
        <w:rPr>
          <w:rFonts w:ascii="Times New Roman" w:cs="Times New Roman" w:eastAsia="Times New Roman" w:hAnsi="Times New Roman"/>
          <w:sz w:val="18"/>
          <w:szCs w:val="18"/>
          <w:color w:val="auto"/>
        </w:rPr>
      </w:pPr>
    </w:p>
    <w:p>
      <w:pPr>
        <w:ind w:left="660" w:hanging="652"/>
        <w:spacing w:after="0" w:line="282" w:lineRule="auto"/>
        <w:tabs>
          <w:tab w:leader="none" w:pos="4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shall be binding upon, and inure to the benefit of, the Company and its successors and assigns and upon any person acquiring, whether by merger, consolidation, purchase of assets or otherwise, all or substantially all of the Company’s assets and business.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877" w:right="339" w:bottom="1440" w:gutter="0" w:footer="0" w:header="0"/>
        </w:sectPr>
      </w:pPr>
    </w:p>
    <w:bookmarkStart w:id="88" w:name="page89"/>
    <w:bookmarkEnd w:id="88"/>
    <w:p>
      <w:pPr>
        <w:ind w:left="660" w:hanging="652"/>
        <w:spacing w:after="0" w:line="266" w:lineRule="auto"/>
        <w:tabs>
          <w:tab w:leader="none" w:pos="5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and all other communications provided for in this Agreement shall be in writing and shall be delivered personally or sent by registered or certified mail, return receipt requested, postage prepaid, or sent by facsimile or prepaid overnight courier to the parties at the addresses set forth below (or such other addresses as shall be specified by the parties by like notice):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Telos Corporation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19886 Ashburn Road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Ashburn, VA 20147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Executive: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E. Hutchinson Robbins, Jr.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1929 Pendennis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Annapolis, MD 21409</w:t>
      </w:r>
    </w:p>
    <w:p>
      <w:pPr>
        <w:spacing w:after="0" w:line="99" w:lineRule="exact"/>
        <w:rPr>
          <w:sz w:val="20"/>
          <w:szCs w:val="20"/>
          <w:color w:val="auto"/>
        </w:rPr>
      </w:pPr>
    </w:p>
    <w:p>
      <w:pPr>
        <w:ind w:left="660" w:hanging="652"/>
        <w:spacing w:after="0" w:line="266" w:lineRule="auto"/>
        <w:tabs>
          <w:tab w:leader="none" w:pos="4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will not affect the validity or enforceability of any other provision of this Agreement, and this Agreement will be construed as if such invalid or unenforceable provision were omitted (but only to the extent that such provision cannot be appropriately reformed or modified).</w:t>
      </w:r>
    </w:p>
    <w:p>
      <w:pPr>
        <w:spacing w:after="0" w:line="121" w:lineRule="exact"/>
        <w:rPr>
          <w:rFonts w:ascii="Times New Roman" w:cs="Times New Roman" w:eastAsia="Times New Roman" w:hAnsi="Times New Roman"/>
          <w:sz w:val="18"/>
          <w:szCs w:val="18"/>
          <w:color w:val="auto"/>
        </w:rPr>
      </w:pPr>
    </w:p>
    <w:p>
      <w:pPr>
        <w:ind w:left="660" w:hanging="652"/>
        <w:spacing w:after="0" w:line="266" w:lineRule="auto"/>
        <w:tabs>
          <w:tab w:leader="none" w:pos="4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No waiver of either party hereto of a breach of any provision of this Agreement by the other party will operate or be construed as a waiver of any subsequent breach by such other party. The failure of either party to take any action by reason of such breach will not deprive such party of the right to take action at any time while such breach continues.</w:t>
      </w:r>
    </w:p>
    <w:p>
      <w:pPr>
        <w:spacing w:after="0" w:line="121" w:lineRule="exact"/>
        <w:rPr>
          <w:rFonts w:ascii="Times New Roman" w:cs="Times New Roman" w:eastAsia="Times New Roman" w:hAnsi="Times New Roman"/>
          <w:sz w:val="18"/>
          <w:szCs w:val="18"/>
          <w:color w:val="auto"/>
        </w:rPr>
      </w:pPr>
    </w:p>
    <w:p>
      <w:pPr>
        <w:ind w:left="660" w:hanging="652"/>
        <w:spacing w:after="0" w:line="266" w:lineRule="auto"/>
        <w:tabs>
          <w:tab w:leader="none" w:pos="4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canceled only by mutual agreement of the parties in writing without the consent of any other person. So long as the Executive lives, no person, other than the Executive and the Company, shall have any rights under or interest in this Agreement or the subject matter hereof.</w:t>
      </w:r>
    </w:p>
    <w:p>
      <w:pPr>
        <w:spacing w:after="0" w:line="121" w:lineRule="exact"/>
        <w:rPr>
          <w:rFonts w:ascii="Times New Roman" w:cs="Times New Roman" w:eastAsia="Times New Roman" w:hAnsi="Times New Roman"/>
          <w:sz w:val="18"/>
          <w:szCs w:val="18"/>
          <w:color w:val="auto"/>
        </w:rPr>
      </w:pPr>
    </w:p>
    <w:p>
      <w:pPr>
        <w:ind w:left="660" w:hanging="652"/>
        <w:spacing w:after="0" w:line="266" w:lineRule="auto"/>
        <w:tabs>
          <w:tab w:leader="none" w:pos="4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and Forum Selection</w:t>
      </w:r>
      <w:r>
        <w:rPr>
          <w:rFonts w:ascii="Times New Roman" w:cs="Times New Roman" w:eastAsia="Times New Roman" w:hAnsi="Times New Roman"/>
          <w:sz w:val="18"/>
          <w:szCs w:val="18"/>
          <w:color w:val="auto"/>
        </w:rPr>
        <w:t>. This Agreement shall be governed by the laws of the Commonwealth of Virginia as to its validity, interpretation and enforcement. Should it be necessary for the Company or the Executive to file suit for any matter related to this Agreement or the Executive’s employment with the Company, exclusive jurisdiction will lie in the courts of the Commonwealth of Virginia.</w:t>
      </w:r>
    </w:p>
    <w:p>
      <w:pPr>
        <w:spacing w:after="0" w:line="121"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4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Agreement</w:t>
      </w:r>
      <w:r>
        <w:rPr>
          <w:rFonts w:ascii="Times New Roman" w:cs="Times New Roman" w:eastAsia="Times New Roman" w:hAnsi="Times New Roman"/>
          <w:sz w:val="18"/>
          <w:szCs w:val="18"/>
          <w:color w:val="auto"/>
        </w:rPr>
        <w:t>. Except as otherwise expressly provided in this Agreement, the rights and obligations of the parties to this Agreement shall survive the Termination of the Executive’s employment with the Company.</w:t>
      </w:r>
    </w:p>
    <w:p>
      <w:pPr>
        <w:spacing w:after="0" w:line="10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4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concerning the subject matter hereof and supersedes all prior and contemporaneous agreements, if any, between the parties relating to the subject matter hereof.</w:t>
      </w:r>
    </w:p>
    <w:p>
      <w:pPr>
        <w:spacing w:after="0" w:line="107" w:lineRule="exact"/>
        <w:rPr>
          <w:rFonts w:ascii="Times New Roman" w:cs="Times New Roman" w:eastAsia="Times New Roman" w:hAnsi="Times New Roman"/>
          <w:sz w:val="18"/>
          <w:szCs w:val="18"/>
          <w:color w:val="auto"/>
        </w:rPr>
      </w:pPr>
    </w:p>
    <w:p>
      <w:pPr>
        <w:ind w:left="660" w:right="80" w:hanging="652"/>
        <w:spacing w:after="0" w:line="256" w:lineRule="auto"/>
        <w:tabs>
          <w:tab w:leader="none" w:pos="4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by Executive</w:t>
      </w:r>
      <w:r>
        <w:rPr>
          <w:rFonts w:ascii="Times New Roman" w:cs="Times New Roman" w:eastAsia="Times New Roman" w:hAnsi="Times New Roman"/>
          <w:sz w:val="18"/>
          <w:szCs w:val="18"/>
          <w:color w:val="auto"/>
        </w:rPr>
        <w:t>. The Executive represents to the Company that he is knowledgeable and sophisticated as to business matters, including the subject matter of this Agreement, that he has read this Agreement and that he understands its terms. The Executive acknowledges that, prior to assenting to the terms of this Agreement, he has been given a reasonable time to review it, to consult with counsel of his choice, and to negotiate at arm’s-length with the Company as to the contents. The Executive and the Company agree that the language used in this Agreement is the language chosen by the parties to express their mutual intent, and that no rule of strict construction is to be applied against either party hereto.</w:t>
      </w:r>
    </w:p>
    <w:p>
      <w:pPr>
        <w:spacing w:after="0" w:line="133"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4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Regardless of intent, neither party is required to prevent, minimize, or offset any negative consequences to the other party because a payment or benefit due under this Agreement is subject to Section 409A. To the extent that any payment or benefit is subject to Section 409A, the following terms apply:</w:t>
      </w:r>
    </w:p>
    <w:p>
      <w:pPr>
        <w:spacing w:after="0" w:line="122"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designate that any right to a series of installment payments be treated as the right to a series of separate payments.</w:t>
      </w:r>
    </w:p>
    <w:p>
      <w:pPr>
        <w:spacing w:after="0" w:line="171"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 under this agreement is conditioned on termination of employment, termination of employment (however referred to) means a “separation from service” (as defined under Section 409A).</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benefit due upon separation from service is payable after the Executive’s release of claims becomes irrevocable. If a new calendar year begins during the period when the Executive may sign a release of claims, payment will be made or begin in the new calendar year, regardless of when the release becomes irrevocable.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877" w:right="339" w:bottom="1440" w:gutter="0" w:footer="0" w:header="0"/>
        </w:sectPr>
      </w:pPr>
    </w:p>
    <w:bookmarkStart w:id="89" w:name="page90"/>
    <w:bookmarkEnd w:id="89"/>
    <w:p>
      <w:pPr>
        <w:spacing w:after="0" w:line="282" w:lineRule="auto"/>
        <w:rPr>
          <w:sz w:val="20"/>
          <w:szCs w:val="20"/>
          <w:color w:val="auto"/>
        </w:rPr>
      </w:pPr>
      <w:r>
        <w:rPr>
          <w:rFonts w:ascii="Times New Roman" w:cs="Times New Roman" w:eastAsia="Times New Roman" w:hAnsi="Times New Roman"/>
          <w:sz w:val="18"/>
          <w:szCs w:val="18"/>
          <w:color w:val="auto"/>
        </w:rPr>
        <w:t>IN WITNESS WHEREOF, the Executive has hereunto set his hand, and the Company has caused these presents to be executed in its name and on its behalf, as of the date above first written.</w:t>
      </w:r>
    </w:p>
    <w:p>
      <w:pPr>
        <w:spacing w:after="0" w:line="200" w:lineRule="exact"/>
        <w:rPr>
          <w:sz w:val="20"/>
          <w:szCs w:val="20"/>
          <w:color w:val="auto"/>
        </w:rPr>
      </w:pPr>
    </w:p>
    <w:p>
      <w:pPr>
        <w:spacing w:after="0" w:line="313"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EXECUTIVE</w:t>
      </w:r>
      <w:r>
        <w:rPr>
          <w:sz w:val="20"/>
          <w:szCs w:val="20"/>
          <w:color w:val="auto"/>
        </w:rPr>
        <w:tab/>
      </w:r>
      <w:r>
        <w:rPr>
          <w:rFonts w:ascii="Times New Roman" w:cs="Times New Roman" w:eastAsia="Times New Roman" w:hAnsi="Times New Roman"/>
          <w:sz w:val="18"/>
          <w:szCs w:val="18"/>
          <w:color w:val="auto"/>
        </w:rPr>
        <w:t>TELOS CORPORATION</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E. Hutchinson Robbins, Jr.</w:t>
            </w:r>
          </w:p>
        </w:tc>
        <w:tc>
          <w:tcPr>
            <w:tcW w:w="2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John B. Wood</w:t>
            </w:r>
          </w:p>
        </w:tc>
      </w:tr>
      <w:tr>
        <w:trPr>
          <w:trHeight w:val="20"/>
        </w:trPr>
        <w:tc>
          <w:tcPr>
            <w:tcW w:w="2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38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 Hutchinson Robbins, Jr.</w:t>
            </w:r>
          </w:p>
        </w:tc>
        <w:tc>
          <w:tcPr>
            <w:tcW w:w="2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John B. Wood</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Chairman &amp; CEO</w:t>
            </w: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&amp; General Counsel</w:t>
            </w: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877" w:right="359" w:bottom="1440" w:gutter="0" w:footer="0" w:header="0"/>
        </w:sectPr>
      </w:pPr>
    </w:p>
    <w:bookmarkStart w:id="90" w:name="page91"/>
    <w:bookmarkEnd w:id="90"/>
    <w:p>
      <w:pPr>
        <w:ind w:left="1030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Active Subsidiaries of the Company as of December 31, 2022</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State/Country of Incorporation</w:t>
      </w:r>
    </w:p>
    <w:p>
      <w:pPr>
        <w:spacing w:after="0" w:line="200"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Ubiquity.com, Inc.</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6"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Xacta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6"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Teloworks,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6"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Telos Identity Management Solutions, LLC (DBA Telos 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6"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Teloworks Philippines,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Philippines</w:t>
      </w:r>
    </w:p>
    <w:p>
      <w:pPr>
        <w:spacing w:after="0" w:line="57"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Telos APAC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Singapore</w:t>
      </w:r>
    </w:p>
    <w:p>
      <w:pPr>
        <w:sectPr>
          <w:pgSz w:w="11900" w:h="16838" w:orient="portrait"/>
          <w:cols w:equalWidth="0" w:num="2">
            <w:col w:w="7480" w:space="720"/>
            <w:col w:w="3020"/>
          </w:cols>
          <w:pgMar w:left="340" w:top="887" w:right="339" w:bottom="1440" w:gutter="0" w:footer="0" w:header="0"/>
          <w:type w:val="continuous"/>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Telos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Ashburn, Virginia</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333-252400) of Telos Corporation of our reports dated March 16, 2023 relating to the financial statements and the effectiveness of internal control over financial reporting, which appear in this Form 10-K.</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ectPr>
          <w:pgSz w:w="11900" w:h="16838" w:orient="portrait"/>
          <w:cols w:equalWidth="0" w:num="1">
            <w:col w:w="11240"/>
          </w:cols>
          <w:pgMar w:left="320" w:top="873"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Telos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Ashburn, Virginia</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333-252400) of Telos Corporation of our report dated March 28, 2022, relating to the consolidated financial statements which appear in this Form 10-K.</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ectPr>
          <w:pgSz w:w="11900" w:h="16838" w:orient="portrait"/>
          <w:cols w:equalWidth="0" w:num="1">
            <w:col w:w="11240"/>
          </w:cols>
          <w:pgMar w:left="320" w:top="97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KNOW ALL MEN BY THESE PRESENTS, that the undersigned, a director of Telos Corporation, a Maryland corporation (the “Registrant”), hereby constitutes and appoints John B. Wood, Mark Bendza, and E. Hutchinson Robbins, Jr., and each of them acting individually, with full power of substitution and re-substitution, as attorney-in-fact or agent of the undersigned, place, and stead, in any case and all capacities to:</w:t>
      </w:r>
    </w:p>
    <w:p>
      <w:pPr>
        <w:spacing w:after="0" w:line="122" w:lineRule="exact"/>
        <w:rPr>
          <w:sz w:val="20"/>
          <w:szCs w:val="20"/>
          <w:color w:val="auto"/>
        </w:rPr>
      </w:pPr>
    </w:p>
    <w:p>
      <w:pPr>
        <w:ind w:left="340" w:right="40" w:hanging="332"/>
        <w:spacing w:after="0" w:line="266"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and execute for and on behalf of the undersigned, an Annual Report on Form 10-K for the year ended December 31, 2022, including any and all amendments and additions thereto (collectively, the "Annual Report") in accordance with the Securities Exchange Act of 1934, as amended (the "1934 Act"), and the rules thereafter; and</w:t>
      </w:r>
    </w:p>
    <w:p>
      <w:pPr>
        <w:spacing w:after="0" w:line="121"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for and on behalf of the undersigned which may be necessary or desirable to file, or caused to be filed, the Annual Report with all exhibits thereto (including this Power of Attorney, and other documents in connection therewith, with the United States Securities and Exchange Commission to comply with the 1934 Act and other applicable federal laws.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undersigned hereby grant unto said attorney-in-fact and agent full power and authority to do and perform each and every act and thing requisite and necessary to be done in connection therewith, as fully to all intents and purposes as the undersigned might or could do in person, hereby ratifying and confirming that said attorney-in-fact and agent, or his substitute, may lawfully do or cause to be done by virtue hereof.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the date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David Borland</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40"/>
        </w:trPr>
        <w:tc>
          <w:tcPr>
            <w:tcW w:w="748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Borland</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8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KNOW ALL MEN BY THESE PRESENTS, that the undersigned, a director of Telos Corporation, a Maryland corporation (the “Registrant”), hereby constitutes and appoints John B. Wood, Mark Bendza, and E. Hutchinson Robbins, Jr., and each of them acting individually, with full power of substitution and re-substitution, as attorney-in-fact or agent of the undersigned, place, and stead, in any case and all capacities to:</w:t>
      </w:r>
    </w:p>
    <w:p>
      <w:pPr>
        <w:spacing w:after="0" w:line="122" w:lineRule="exact"/>
        <w:rPr>
          <w:sz w:val="20"/>
          <w:szCs w:val="20"/>
          <w:color w:val="auto"/>
        </w:rPr>
      </w:pPr>
    </w:p>
    <w:p>
      <w:pPr>
        <w:ind w:left="340" w:right="40" w:hanging="332"/>
        <w:spacing w:after="0" w:line="266"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and execute for and on behalf of the undersigned, an Annual Report on Form 10-K for the year ended December 31, 2022, including any and all amendments and additions thereto (collectively, the "Annual Report") in accordance with the Securities Exchange Act of 1934, as amended (the "1934 Act"), and the rules thereafter; and</w:t>
      </w:r>
    </w:p>
    <w:p>
      <w:pPr>
        <w:spacing w:after="0" w:line="121"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for and on behalf of the undersigned which may be necessary or desirable to file, or caused to be filed, the Annual Report with all exhibits thereto (including this Power of Attorney, and other documents in connection therewith, with the United States Securities and Exchange Commission to comply with the 1934 Act and other applicable federal laws.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undersigned hereby grant unto said attorney-in-fact and agent full power and authority to do and perform each and every act and thing requisite and necessary to be done in connection therewith, as fully to all intents and purposes as the undersigned might or could do in person, hereby ratifying and confirming that said attorney-in-fact and agent, or his substitute, may lawfully do or cause to be done by virtue hereof.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the date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Bonnie L. Carroll</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2023</w:t>
            </w:r>
          </w:p>
        </w:tc>
      </w:tr>
      <w:tr>
        <w:trPr>
          <w:trHeight w:val="40"/>
        </w:trPr>
        <w:tc>
          <w:tcPr>
            <w:tcW w:w="748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Bonnie L. Carroll</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8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4"/>
                <w:szCs w:val="24"/>
                <w:color w:val="auto"/>
              </w:rPr>
            </w:pPr>
          </w:p>
        </w:tc>
      </w:tr>
    </w:tbl>
    <w:p>
      <w:pPr>
        <w:sectPr>
          <w:pgSz w:w="11900" w:h="16838" w:orient="portrait"/>
          <w:cols w:equalWidth="0" w:num="1">
            <w:col w:w="11240"/>
          </w:cols>
          <w:pgMar w:left="320" w:top="126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KNOW ALL MEN BY THESE PRESENTS, that the undersigned, a director of Telos Corporation, a Maryland corporation (the “Registrant”), hereby constitutes and appoints John B. Wood, Mark Bendza, and E. Hutchinson Robbins, Jr., and each of them acting individually, with full power of substitution and re-substitution, as attorney-in-fact or agent of the undersigned, place, and stead, in any case and all capacities to:</w:t>
      </w:r>
    </w:p>
    <w:p>
      <w:pPr>
        <w:spacing w:after="0" w:line="122" w:lineRule="exact"/>
        <w:rPr>
          <w:sz w:val="20"/>
          <w:szCs w:val="20"/>
          <w:color w:val="auto"/>
        </w:rPr>
      </w:pPr>
    </w:p>
    <w:p>
      <w:pPr>
        <w:ind w:left="340" w:right="40" w:hanging="332"/>
        <w:spacing w:after="0" w:line="266" w:lineRule="auto"/>
        <w:tabs>
          <w:tab w:leader="none" w:pos="3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and execute for and on behalf of the undersigned, an Annual Report on Form 10-K for the year ended December 31, 2022, including any and all amendments and additions thereto (collectively, the "Annual Report") in accordance with the Securities Exchange Act of 1934, as amended (the "1934 Act"), and the rules thereafter; and</w:t>
      </w:r>
    </w:p>
    <w:p>
      <w:pPr>
        <w:spacing w:after="0" w:line="121"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for and on behalf of the undersigned which may be necessary or desirable to file, or caused to be filed, the Annual Report with all exhibits thereto (including this Power of Attorney, and other documents in connection therewith, with the United States Securities and Exchange Commission to comply with the 1934 Act and other applicable federal laws.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undersigned hereby grant unto said attorney-in-fact and agent full power and authority to do and perform each and every act and thing requisite and necessary to be done in connection therewith, as fully to all intents and purposes as the undersigned might or could do in person, hereby ratifying and confirming that said attorney-in-fact and agent, or his substitute, may lawfully do or cause to be done by virtue hereof.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the date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Frederick D. Shaufeld</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2023</w:t>
            </w:r>
          </w:p>
        </w:tc>
      </w:tr>
      <w:tr>
        <w:trPr>
          <w:trHeight w:val="40"/>
        </w:trPr>
        <w:tc>
          <w:tcPr>
            <w:tcW w:w="748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Frederick D. Shaufeld</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8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KNOW ALL MEN BY THESE PRESENTS, that the undersigned, a director of Telos Corporation, a Maryland corporation (the “Registrant”), hereby constitutes and appoints John B. Wood, Mark Bendza, and E. Hutchinson Robbins, Jr., and each of them acting individually, with full power of substitution and re-substitution, as attorney-in-fact or agent of the undersigned, place, and stead, in any case and all capacities to:</w:t>
      </w:r>
    </w:p>
    <w:p>
      <w:pPr>
        <w:spacing w:after="0" w:line="122" w:lineRule="exact"/>
        <w:rPr>
          <w:sz w:val="20"/>
          <w:szCs w:val="20"/>
          <w:color w:val="auto"/>
        </w:rPr>
      </w:pPr>
    </w:p>
    <w:p>
      <w:pPr>
        <w:ind w:left="340" w:right="40" w:hanging="332"/>
        <w:spacing w:after="0" w:line="266" w:lineRule="auto"/>
        <w:tabs>
          <w:tab w:leader="none" w:pos="3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and execute for and on behalf of the undersigned, an Annual Report on Form 10-K for the year ended December 31, 2022, including any and all amendments and additions thereto (collectively, the "Annual Report") in accordance with the Securities Exchange Act of 1934, as amended (the "1934 Act"), and the rules thereafter; and</w:t>
      </w:r>
    </w:p>
    <w:p>
      <w:pPr>
        <w:spacing w:after="0" w:line="121"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for and on behalf of the undersigned which may be necessary or desirable to file, or caused to be filed, the Annual Report with all exhibits thereto (including this Power of Attorney, and other documents in connection therewith, with the United States Securities and Exchange Commission to comply with the 1934 Act and other applicable federal laws.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undersigned hereby grant unto said attorney-in-fact and agent full power and authority to do and perform each and every act and thing requisite and necessary to be done in connection therewith, as fully to all intents and purposes as the undersigned might or could do in person, hereby ratifying and confirming that said attorney-in-fact and agent, or his substitute, may lawfully do or cause to be done by virtue hereof.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the date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John Maluda</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2023</w:t>
            </w:r>
          </w:p>
        </w:tc>
      </w:tr>
      <w:tr>
        <w:trPr>
          <w:trHeight w:val="40"/>
        </w:trPr>
        <w:tc>
          <w:tcPr>
            <w:tcW w:w="748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W. Maluda</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8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KNOW ALL MEN BY THESE PRESENTS, that the undersigned, a director of Telos Corporation, a Maryland corporation (the “Registrant”), hereby constitutes and appoints John B. Wood, Mark Bendza, and E. Hutchinson Robbins, Jr., and each of them acting individually, with full power of substitution and re-substitution, as attorney-in-fact or agent of the undersigned, place, and stead, in any case and all capacities to:</w:t>
      </w:r>
    </w:p>
    <w:p>
      <w:pPr>
        <w:spacing w:after="0" w:line="122" w:lineRule="exact"/>
        <w:rPr>
          <w:sz w:val="20"/>
          <w:szCs w:val="20"/>
          <w:color w:val="auto"/>
        </w:rPr>
      </w:pPr>
    </w:p>
    <w:p>
      <w:pPr>
        <w:ind w:left="340" w:hanging="332"/>
        <w:spacing w:after="0" w:line="266" w:lineRule="auto"/>
        <w:tabs>
          <w:tab w:leader="none" w:pos="3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and execute for and on behalf of the undersigned, an Annual Report on Form 10-K for the year ended December 31, 2022, including any and all amendments and additions thereto (collectively, the "Annual Report") in accordance with the Securities Exchange Act of 1934, as amended (the "1934 Act"), and the rules thereafter; and</w:t>
      </w:r>
    </w:p>
    <w:p>
      <w:pPr>
        <w:spacing w:after="0" w:line="121"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for and on behalf of the undersigned which may be necessary or desirable to file, or caused to be filed, the Annual Report with all exhibits thereto (including this Power of Attorney, and other documents in connection therewith, with the United States Securities and Exchange Commission to comply with the 1934 Act and other applicable federal laws.</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undersigned hereby grant unto said attorney-in-fact and agent full power and authority to do and perform each and every act and thing requisite and necessary to be done in connection therewith, as fully to all intents and purposes as the undersigned might or could do in person, hereby ratifying and confirming that said attorney-in-fact and agent, or his substitute, may lawfully do or cause to be done by virtue hereof.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the date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Bradley W. Jacobs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41"/>
        </w:trPr>
        <w:tc>
          <w:tcPr>
            <w:tcW w:w="748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W. Jacobs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8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spacing w:after="0"/>
              <w:rPr>
                <w:sz w:val="24"/>
                <w:szCs w:val="24"/>
                <w:color w:val="auto"/>
              </w:rPr>
            </w:pPr>
          </w:p>
        </w:tc>
      </w:tr>
    </w:tbl>
    <w:p>
      <w:pPr>
        <w:sectPr>
          <w:pgSz w:w="11900" w:h="16838" w:orient="portrait"/>
          <w:cols w:equalWidth="0" w:num="1">
            <w:col w:w="11200"/>
          </w:cols>
          <w:pgMar w:left="320" w:top="873" w:right="37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KNOW ALL MEN BY THESE PRESENTS, that the undersigned, a director of Telos Corporation, a Maryland corporation (the “Registrant”), hereby constitutes and appoints John B. Wood, Mark Bendza, and E. Hutchinson Robbins, Jr., and each of them acting individually, with full power of substitution and re-substitution, as attorney-in-fact or agent of the undersigned, place, and stead, in any case and all capacities to:</w:t>
      </w:r>
    </w:p>
    <w:p>
      <w:pPr>
        <w:spacing w:after="0" w:line="122" w:lineRule="exact"/>
        <w:rPr>
          <w:sz w:val="20"/>
          <w:szCs w:val="20"/>
          <w:color w:val="auto"/>
        </w:rPr>
      </w:pPr>
    </w:p>
    <w:p>
      <w:pPr>
        <w:ind w:left="340" w:right="40" w:hanging="332"/>
        <w:spacing w:after="0" w:line="266" w:lineRule="auto"/>
        <w:tabs>
          <w:tab w:leader="none" w:pos="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and execute for and on behalf of the undersigned, an Annual Report on Form 10-K for the year ended December 31, 2022, including any and all amendments and additions thereto (collectively, the "Annual Report") in accordance with the Securities Exchange Act of 1934, as amended (the "1934 Act"), and the rules thereafter; and</w:t>
      </w:r>
    </w:p>
    <w:p>
      <w:pPr>
        <w:spacing w:after="0" w:line="121"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for and on behalf of the undersigned which may be necessary or desirable to file, or caused to be filed, the Annual Report with all exhibits thereto (including this Power of Attorney, and other documents in connection therewith, with the United States Securities and Exchange Commission to comply with the 1934 Act and other applicable federal laws.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undersigned hereby grant unto said attorney-in-fact and agent full power and authority to do and perform each and every act and thing requisite and necessary to be done in connection therewith, as fully to all intents and purposes as the undersigned might or could do in person, hereby ratifying and confirming that said attorney-in-fact and agent, or his substitute, may lawfully do or cause to be done by virtue hereof.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the date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Derrick Dockery</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 2023</w:t>
            </w:r>
          </w:p>
        </w:tc>
      </w:tr>
      <w:tr>
        <w:trPr>
          <w:trHeight w:val="41"/>
        </w:trPr>
        <w:tc>
          <w:tcPr>
            <w:tcW w:w="748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Derrick Dockery</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8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 Wood, certify that:</w:t>
      </w:r>
    </w:p>
    <w:p>
      <w:pPr>
        <w:spacing w:after="0" w:line="171"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Telos Corporation;</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00" w:right="180" w:hanging="244"/>
        <w:spacing w:after="0" w:line="266" w:lineRule="auto"/>
        <w:tabs>
          <w:tab w:leader="none" w:pos="88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00" w:right="40" w:hanging="244"/>
        <w:spacing w:after="0" w:line="282" w:lineRule="auto"/>
        <w:tabs>
          <w:tab w:leader="none" w:pos="8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88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1240"/>
          </w:cols>
          <w:pgMar w:left="320" w:top="765"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Bendza, certify that:</w:t>
      </w:r>
    </w:p>
    <w:p>
      <w:pPr>
        <w:spacing w:after="0" w:line="171"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Telos Corporation;</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85" w:lineRule="exact"/>
        <w:rPr>
          <w:rFonts w:ascii="Times New Roman" w:cs="Times New Roman" w:eastAsia="Times New Roman" w:hAnsi="Times New Roman"/>
          <w:sz w:val="17"/>
          <w:szCs w:val="17"/>
          <w:color w:val="auto"/>
        </w:rPr>
      </w:pPr>
    </w:p>
    <w:p>
      <w:pPr>
        <w:ind w:left="660" w:right="12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00" w:right="180" w:hanging="244"/>
        <w:spacing w:after="0" w:line="266" w:lineRule="auto"/>
        <w:tabs>
          <w:tab w:leader="none" w:pos="88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00" w:right="40" w:hanging="244"/>
        <w:spacing w:after="0" w:line="282" w:lineRule="auto"/>
        <w:tabs>
          <w:tab w:leader="none" w:pos="8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88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ectPr>
          <w:pgSz w:w="11900" w:h="16838" w:orient="portrait"/>
          <w:cols w:equalWidth="0" w:num="1">
            <w:col w:w="11240"/>
          </w:cols>
          <w:pgMar w:left="320" w:top="765"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Telos Corporation (the "Company") on Form 10-K for the period ending December 31, 2022, as filed with the Securities and Exchange Commission on the date hereof (the "Report"), we, John B. Wood, Mark Bendza and Victoria Harding, certify, pursuant to 18 U.S.C. Section 1350, as adopted pursuant to § 906 of the Sarbanes-Oxley Act of 2002, that to our knowledge:</w:t>
      </w:r>
    </w:p>
    <w:p>
      <w:pPr>
        <w:spacing w:after="0" w:line="122" w:lineRule="exact"/>
        <w:rPr>
          <w:sz w:val="20"/>
          <w:szCs w:val="20"/>
          <w:color w:val="auto"/>
        </w:rPr>
      </w:pPr>
    </w:p>
    <w:p>
      <w:pPr>
        <w:ind w:left="640" w:hanging="30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34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lvl w:ilvl="1">
      <w:lvlJc w:val="left"/>
      <w:lvlText w:val="◦"/>
      <w:numFmt w:val="bullet"/>
      <w:start w:val="1"/>
    </w:lvl>
  </w:abstractNum>
  <w:abstractNum w:abstractNumId="3">
    <w:nsid w:val="419AC241"/>
    <w:multiLevelType w:val="hybridMultilevel"/>
    <w:lvl w:ilvl="0">
      <w:lvlJc w:val="left"/>
      <w:lvlText w:val="•"/>
      <w:numFmt w:val="bullet"/>
      <w:start w:val="1"/>
    </w:lvl>
    <w:lvl w:ilvl="1">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2"/>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lowerRoman"/>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1."/>
      <w:numFmt w:val="decimal"/>
      <w:start w:val="2"/>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4"/>
    </w:lvl>
  </w:abstractNum>
  <w:abstractNum w:abstractNumId="40">
    <w:nsid w:val="70C6A529"/>
    <w:multiLevelType w:val="hybridMultilevel"/>
    <w:lvl w:ilvl="0">
      <w:lvlJc w:val="left"/>
      <w:lvlText w:val="%1."/>
      <w:numFmt w:val="decimal"/>
      <w:start w:val="3"/>
    </w:lvl>
  </w:abstractNum>
  <w:abstractNum w:abstractNumId="41">
    <w:nsid w:val="520EEDD1"/>
    <w:multiLevelType w:val="hybridMultilevel"/>
    <w:lvl w:ilvl="0">
      <w:lvlJc w:val="left"/>
      <w:lvlText w:val="(%1)"/>
      <w:numFmt w:val="lowerLetter"/>
      <w:start w:val="2"/>
    </w:lvl>
  </w:abstractNum>
  <w:abstractNum w:abstractNumId="42">
    <w:nsid w:val="374A3FE6"/>
    <w:multiLevelType w:val="hybridMultilevel"/>
    <w:lvl w:ilvl="0">
      <w:lvlJc w:val="left"/>
      <w:lvlText w:val="%1."/>
      <w:numFmt w:val="decimal"/>
      <w:start w:val="4"/>
    </w:lvl>
  </w:abstractNum>
  <w:abstractNum w:abstractNumId="43">
    <w:nsid w:val="4F4EF005"/>
    <w:multiLevelType w:val="hybridMultilevel"/>
    <w:lvl w:ilvl="0">
      <w:lvlJc w:val="left"/>
      <w:lvlText w:val="(%1)"/>
      <w:numFmt w:val="lowerLetter"/>
      <w:start w:val="1"/>
    </w:lvl>
    <w:lvl w:ilvl="1">
      <w:lvlJc w:val="left"/>
      <w:lvlText w:val="(%2)"/>
      <w:numFmt w:val="lowerRoman"/>
      <w:start w:val="1"/>
    </w:lvl>
  </w:abstractNum>
  <w:abstractNum w:abstractNumId="44">
    <w:nsid w:val="23F9C13C"/>
    <w:multiLevelType w:val="hybridMultilevel"/>
    <w:lvl w:ilvl="0">
      <w:lvlJc w:val="left"/>
      <w:lvlText w:val="%1"/>
      <w:numFmt w:val="lowerLetter"/>
      <w:start w:val="1"/>
    </w:lvl>
    <w:lvl w:ilvl="1">
      <w:lvlJc w:val="left"/>
      <w:lvlText w:val="(%2)"/>
      <w:numFmt w:val="lowerLetter"/>
      <w:start w:val="61"/>
    </w:lvl>
  </w:abstractNum>
  <w:abstractNum w:abstractNumId="45">
    <w:nsid w:val="649BB77C"/>
    <w:multiLevelType w:val="hybridMultilevel"/>
    <w:lvl w:ilvl="0">
      <w:lvlJc w:val="left"/>
      <w:lvlText w:val="(%1)"/>
      <w:numFmt w:val="lowerLetter"/>
      <w:start w:val="2"/>
    </w:lvl>
    <w:lvl w:ilvl="1">
      <w:lvlJc w:val="left"/>
      <w:lvlText w:val="(%2)"/>
      <w:numFmt w:val="lowerLetter"/>
      <w:start w:val="61"/>
    </w:lvl>
  </w:abstractNum>
  <w:abstractNum w:abstractNumId="46">
    <w:nsid w:val="275AC794"/>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47">
    <w:nsid w:val="39386575"/>
    <w:multiLevelType w:val="hybridMultilevel"/>
    <w:lvl w:ilvl="0">
      <w:lvlJc w:val="left"/>
      <w:lvlText w:val="%1"/>
      <w:numFmt w:val="lowerLetter"/>
      <w:start w:val="1"/>
    </w:lvl>
    <w:lvl w:ilvl="1">
      <w:lvlJc w:val="left"/>
      <w:lvlText w:val="(%2)"/>
      <w:numFmt w:val="lowerRoman"/>
      <w:start w:val="7"/>
    </w:lvl>
  </w:abstractNum>
  <w:abstractNum w:abstractNumId="48">
    <w:nsid w:val="1CF10FD8"/>
    <w:multiLevelType w:val="hybridMultilevel"/>
    <w:lvl w:ilvl="0">
      <w:lvlJc w:val="left"/>
      <w:lvlText w:val="(%1)"/>
      <w:numFmt w:val="lowerLetter"/>
      <w:start w:val="6"/>
    </w:lvl>
    <w:lvl w:ilvl="1">
      <w:lvlJc w:val="left"/>
      <w:lvlText w:val="(%2)."/>
      <w:numFmt w:val="lowerRoman"/>
      <w:start w:val="3"/>
    </w:lvl>
  </w:abstractNum>
  <w:abstractNum w:abstractNumId="49">
    <w:nsid w:val="180115BE"/>
    <w:multiLevelType w:val="hybridMultilevel"/>
    <w:lvl w:ilvl="0">
      <w:lvlJc w:val="left"/>
      <w:lvlText w:val="%1."/>
      <w:numFmt w:val="decimal"/>
      <w:start w:val="5"/>
    </w:lvl>
  </w:abstractNum>
  <w:abstractNum w:abstractNumId="50">
    <w:nsid w:val="235BA861"/>
    <w:multiLevelType w:val="hybridMultilevel"/>
    <w:lvl w:ilvl="0">
      <w:lvlJc w:val="left"/>
      <w:lvlText w:val="%1."/>
      <w:numFmt w:val="decimal"/>
      <w:start w:val="7"/>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decimal"/>
      <w:start w:val="8"/>
    </w:lvl>
  </w:abstractNum>
  <w:abstractNum w:abstractNumId="53">
    <w:nsid w:val="15B5AF5C"/>
    <w:multiLevelType w:val="hybridMultilevel"/>
    <w:lvl w:ilvl="0">
      <w:lvlJc w:val="left"/>
      <w:lvlText w:val="%1."/>
      <w:numFmt w:val="decimal"/>
      <w:start w:val="12"/>
    </w:lvl>
  </w:abstractNum>
  <w:abstractNum w:abstractNumId="54">
    <w:nsid w:val="741226BB"/>
    <w:multiLevelType w:val="hybridMultilevel"/>
    <w:lvl w:ilvl="0">
      <w:lvlJc w:val="left"/>
      <w:lvlText w:val="%1."/>
      <w:numFmt w:val="decimal"/>
      <w:start w:val="13"/>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04" Type="http://schemas.openxmlformats.org/officeDocument/2006/relationships/hyperlink" Target="https://www.sec.gov/Archives/edgar/data/320121/000114036120025576/nt10015254x5_ex3-2.htm" TargetMode="External"/><Relationship Id="rId105" Type="http://schemas.openxmlformats.org/officeDocument/2006/relationships/hyperlink" Target="https://www.sec.gov/Archives/edgar/data/0000320121/000114036121009988/ex_3-2.htm" TargetMode="External"/><Relationship Id="rId106" Type="http://schemas.openxmlformats.org/officeDocument/2006/relationships/hyperlink" Target="https://www.sec.gov/Archives/edgar/data/320121/000032012122000064/ex_413descriptionofstock.htm" TargetMode="External"/><Relationship Id="rId107" Type="http://schemas.openxmlformats.org/officeDocument/2006/relationships/hyperlink" Target="https://www.sec.gov/Archives/edgar/data/320121/000032012117000003/ex4-1.htm" TargetMode="External"/><Relationship Id="rId108" Type="http://schemas.openxmlformats.org/officeDocument/2006/relationships/hyperlink" Target="https://www.sec.gov/Archives/edgar/data/320121/000032012117000007/ex4_2.htm" TargetMode="External"/><Relationship Id="rId109" Type="http://schemas.openxmlformats.org/officeDocument/2006/relationships/hyperlink" Target="https://www.sec.gov/Archives/edgar/data/320121/000032012117000013/ex4-1.htm" TargetMode="External"/><Relationship Id="rId110" Type="http://schemas.openxmlformats.org/officeDocument/2006/relationships/hyperlink" Target="https://www.sec.gov/Archives/edgar/data/320121/000032012118000011/ex4_10.htm" TargetMode="External"/><Relationship Id="rId111" Type="http://schemas.openxmlformats.org/officeDocument/2006/relationships/hyperlink" Target="https://www.sec.gov/Archives/edgar/data/320121/000032012119000019/ex99_1.htm" TargetMode="External"/><Relationship Id="rId112" Type="http://schemas.openxmlformats.org/officeDocument/2006/relationships/hyperlink" Target="https://www.sec.gov/Archives/edgar/data/320121/000032012120000005/ex99_1.htm" TargetMode="External"/><Relationship Id="rId113" Type="http://schemas.openxmlformats.org/officeDocument/2006/relationships/hyperlink" Target="https://www.sec.gov/Archives/edgar/data/0000320121/000032012121000018/ex10_1-1.htm" TargetMode="External"/><Relationship Id="rId114" Type="http://schemas.openxmlformats.org/officeDocument/2006/relationships/hyperlink" Target="https://www.sec.gov/Archives/edgar/data/320121/000114036112047304/ex10_5.htm" TargetMode="External"/><Relationship Id="rId115" Type="http://schemas.openxmlformats.org/officeDocument/2006/relationships/hyperlink" Target="https://www.sec.gov/Archives/edgar/data/320121/000114036112047304/ex10_1.htm" TargetMode="External"/><Relationship Id="rId116" Type="http://schemas.openxmlformats.org/officeDocument/2006/relationships/hyperlink" Target="https://www.sec.gov/Archives/edgar/data/0000320121/000032012121000039/executiveemploymentageemen.htm" TargetMode="External"/><Relationship Id="rId117" Type="http://schemas.openxmlformats.org/officeDocument/2006/relationships/hyperlink" Target="https://www.sec.gov/Archives/edgar/data/320121/000114036112047304/ex10_4.htm" TargetMode="External"/><Relationship Id="rId118" Type="http://schemas.openxmlformats.org/officeDocument/2006/relationships/hyperlink" Target="https://www.sec.gov/Archives/edgar/data/320121/000032012122000043/telos-annualincentiveplan.htm" TargetMode="External"/><Relationship Id="rId119" Type="http://schemas.openxmlformats.org/officeDocument/2006/relationships/hyperlink" Target="https://www.sec.gov/Archives/edgar/data/320121/000032012116000064/ex10_3.htm" TargetMode="External"/><Relationship Id="rId120" Type="http://schemas.openxmlformats.org/officeDocument/2006/relationships/hyperlink" Target="https://www.sec.gov/Archives/edgar/data/320121/000114036121002039/nt10019277x1_ex4-4.htm" TargetMode="External"/><Relationship Id="rId121" Type="http://schemas.openxmlformats.org/officeDocument/2006/relationships/hyperlink" Target="https://www.sec.gov/Archives/edgar/data/320121/000032012116000064/ex10_4.htm" TargetMode="External"/><Relationship Id="rId122" Type="http://schemas.openxmlformats.org/officeDocument/2006/relationships/hyperlink" Target="https://www.sec.gov/Archives/edgar/data/320121/000032012120000042/ex99-2.htm" TargetMode="External"/><Relationship Id="rId123" Type="http://schemas.openxmlformats.org/officeDocument/2006/relationships/hyperlink" Target="https://www.sec.gov/Archives/edgar/data/320121/000032012121000003/ex99-1.htm" TargetMode="External"/><Relationship Id="rId124" Type="http://schemas.openxmlformats.org/officeDocument/2006/relationships/hyperlink" Target="https://www.sec.gov/Archives/edgar/data/320121/000032012121000003/ex99-2.htm" TargetMode="External"/><Relationship Id="rId125" Type="http://schemas.openxmlformats.org/officeDocument/2006/relationships/hyperlink" Target="https://www.sec.gov/Archives/edgar/data/320121/000032012123000003/exh-telosjpmcreditagreemen.htm" TargetMode="External"/><Relationship Id="rId126" Type="http://schemas.openxmlformats.org/officeDocument/2006/relationships/hyperlink" Target="https://www.sec.gov/Archives/edgar/data/320121/000114036120022536/nt10015254x3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2023-03-16T07:26:34Z</dcterms:created>
  <dcterms:modified xsi:type="dcterms:W3CDTF">2023-03-16T07:26:34Z</dcterms:modified>
</cp:coreProperties>
</file>