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Terreri Donald Joseph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40"/>
        <w:spacing w:after="0" w:line="320" w:lineRule="auto"/>
        <w:rPr>
          <w:sz w:val="20"/>
          <w:szCs w:val="20"/>
          <w:color w:val="auto"/>
        </w:rPr>
      </w:pPr>
      <w:r>
        <w:rPr>
          <w:rFonts w:ascii="Times New Roman" w:cs="Times New Roman" w:eastAsia="Times New Roman" w:hAnsi="Times New Roman"/>
          <w:sz w:val="17"/>
          <w:szCs w:val="17"/>
          <w:color w:val="0000FF"/>
        </w:rPr>
        <w:t>C/O TELOS CORPORATION 19886 ASHBURN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TELOS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45"/>
        <w:spacing w:after="0"/>
        <w:rPr>
          <w:sz w:val="20"/>
          <w:szCs w:val="20"/>
          <w:color w:val="auto"/>
        </w:rPr>
      </w:pPr>
      <w:r>
        <w:rPr>
          <w:rFonts w:ascii="Times New Roman" w:cs="Times New Roman" w:eastAsia="Times New Roman" w:hAnsi="Times New Roman"/>
          <w:sz w:val="17"/>
          <w:szCs w:val="17"/>
          <w:color w:val="0000FF"/>
        </w:rPr>
        <w:t>Controller, Chief Acct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80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tcPr>
          <w:p>
            <w:pPr>
              <w:ind w:left="16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ASHBURN</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89"/>
              </w:rPr>
              <w:t>VA</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20147</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05/26/2026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13,288</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34,865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ind w:left="520"/>
              <w:spacing w:after="0"/>
              <w:rPr>
                <w:sz w:val="20"/>
                <w:szCs w:val="20"/>
                <w:color w:val="auto"/>
              </w:rPr>
            </w:pPr>
            <w:r>
              <w:rPr>
                <w:rFonts w:ascii="Times New Roman" w:cs="Times New Roman" w:eastAsia="Times New Roman" w:hAnsi="Times New Roman"/>
                <w:sz w:val="17"/>
                <w:szCs w:val="17"/>
                <w:color w:val="0000FF"/>
              </w:rPr>
              <w:t>923.96</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in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represent restricted share units granted pursuant to an award agreement between the reporting person and the Issuer and are subject to forfeiture. The restricted share units awarded will vest and be settled in shares of Issuer common stock in installments as follows: (1) one-third will vest on May 26, 2027; (2) one-third will vest on May 26, 2028; and (3) one-third will vest on May 26, 2029.</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Helen M. Oh, attorney-in-</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05/27/2026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75043" TargetMode="External"/><Relationship Id="rId14" Type="http://schemas.openxmlformats.org/officeDocument/2006/relationships/hyperlink" Target="http://www.sec.gov/cgi-bin/browse-edgar?action=getcompany&amp;CIK=00003201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2026-05-27T16:58:22Z</dcterms:created>
  <dcterms:modified xsi:type="dcterms:W3CDTF">2026-05-27T16:58:22Z</dcterms:modified>
</cp:coreProperties>
</file>