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tbl>
      <w:tblPr>
        <w:tblW w:w="4274" w:type="dxa"/>
        <w:jc w:val="left"/>
        <w:tblInd w:w="0" w:type="dxa"/>
        <w:tblLayout w:type="fixed"/>
        <w:tblCellMar>
          <w:top w:w="28" w:type="dxa"/>
          <w:left w:w="28" w:type="dxa"/>
          <w:bottom w:w="28" w:type="dxa"/>
          <w:right w:w="28" w:type="dxa"/>
        </w:tblCellMar>
      </w:tblPr>
      <w:tblGrid>
        <w:gridCol w:w="1367"/>
        <w:gridCol w:w="1200"/>
        <w:gridCol w:w="1707"/>
      </w:tblGrid>
      <w:tr>
        <w:trPr/>
        <w:tc>
          <w:tcPr>
            <w:tcW w:w="136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tc>
      </w:tr>
      <w:tr>
        <w:trPr/>
        <w:tc>
          <w:tcPr>
            <w:tcW w:w="4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c>
      </w:tr>
    </w:tbl>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7631" w:type="dxa"/>
        <w:jc w:val="left"/>
        <w:tblInd w:w="0" w:type="dxa"/>
        <w:tblLayout w:type="fixed"/>
        <w:tblCellMar>
          <w:top w:w="28" w:type="dxa"/>
          <w:left w:w="28" w:type="dxa"/>
          <w:bottom w:w="28" w:type="dxa"/>
          <w:right w:w="28" w:type="dxa"/>
        </w:tblCellMar>
      </w:tblPr>
      <w:tblGrid>
        <w:gridCol w:w="124"/>
        <w:gridCol w:w="109"/>
        <w:gridCol w:w="109"/>
        <w:gridCol w:w="2131"/>
        <w:gridCol w:w="2131"/>
        <w:gridCol w:w="3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4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2023</w:t>
      </w:r>
    </w:p>
    <w:tbl>
      <w:tblPr>
        <w:tblW w:w="7706" w:type="dxa"/>
        <w:jc w:val="left"/>
        <w:tblInd w:w="0" w:type="dxa"/>
        <w:tblLayout w:type="fixed"/>
        <w:tblCellMar>
          <w:top w:w="28" w:type="dxa"/>
          <w:left w:w="28" w:type="dxa"/>
          <w:bottom w:w="28" w:type="dxa"/>
          <w:right w:w="28" w:type="dxa"/>
        </w:tblCellMar>
      </w:tblPr>
      <w:tblGrid>
        <w:gridCol w:w="124"/>
        <w:gridCol w:w="109"/>
        <w:gridCol w:w="109"/>
        <w:gridCol w:w="2155"/>
        <w:gridCol w:w="2155"/>
        <w:gridCol w:w="3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001-08443</w:t>
      </w:r>
    </w:p>
    <w:p>
      <w:pPr>
        <w:pStyle w:val="TextBody"/>
        <w:bidi w:val="0"/>
        <w:spacing w:before="140" w:after="283"/>
        <w:jc w:val="center"/>
        <w:rPr/>
      </w:pPr>
      <w:r>
        <w:rPr/>
        <w:drawing>
          <wp:inline distT="0" distB="0" distL="0" distR="0">
            <wp:extent cx="3114675"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14675" cy="895350"/>
                    </a:xfrm>
                    <a:prstGeom prst="rect">
                      <a:avLst/>
                    </a:prstGeom>
                  </pic:spPr>
                </pic:pic>
              </a:graphicData>
            </a:graphic>
          </wp:inline>
        </w:drawing>
      </w:r>
    </w:p>
    <w:p>
      <w:pPr>
        <w:pStyle w:val="TextBody"/>
        <w:bidi w:val="0"/>
        <w:spacing w:lineRule="auto" w:line="288" w:before="140" w:after="283"/>
        <w:jc w:val="center"/>
        <w:rPr>
          <w:rFonts w:ascii="Times New Roman;sans-serif" w:hAnsi="Times New Roman;sans-serif"/>
          <w:b/>
          <w:color w:val="000000"/>
          <w:sz w:val="24"/>
        </w:rPr>
      </w:pPr>
      <w:r>
        <w:rPr>
          <w:rFonts w:ascii="Times New Roman;sans-serif" w:hAnsi="Times New Roman;sans-serif"/>
          <w:b/>
          <w:color w:val="000000"/>
          <w:sz w:val="24"/>
        </w:rPr>
        <w:t>TELOS CORPORATION</w:t>
      </w:r>
    </w:p>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5"/>
        <w:gridCol w:w="1581"/>
        <w:gridCol w:w="1589"/>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52-0880974</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19886 Ashburn Road, Ashburn, 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20147-2358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(703) 724-3800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33" w:type="dxa"/>
        <w:jc w:val="left"/>
        <w:tblInd w:w="0" w:type="dxa"/>
        <w:tblLayout w:type="fixed"/>
        <w:tblCellMar>
          <w:top w:w="28" w:type="dxa"/>
          <w:left w:w="28" w:type="dxa"/>
          <w:bottom w:w="28" w:type="dxa"/>
          <w:right w:w="28" w:type="dxa"/>
        </w:tblCellMar>
      </w:tblPr>
      <w:tblGrid>
        <w:gridCol w:w="1352"/>
        <w:gridCol w:w="1184"/>
        <w:gridCol w:w="1198"/>
        <w:gridCol w:w="464"/>
        <w:gridCol w:w="464"/>
        <w:gridCol w:w="466"/>
        <w:gridCol w:w="1085"/>
        <w:gridCol w:w="1085"/>
        <w:gridCol w:w="1535"/>
      </w:tblGrid>
      <w:tr>
        <w:trPr/>
        <w:tc>
          <w:tcPr>
            <w:tcW w:w="135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$0.001 par value per share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140" w:after="283"/>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40" w:after="283"/>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240" w:after="283"/>
              <w:jc w:val="left"/>
              <w:rPr>
                <w:color w:val="000000"/>
              </w:rPr>
            </w:pPr>
            <w:r>
              <w:rPr>
                <w:color w:val="000000"/>
              </w:rPr>
              <w:t>☐</w:t>
            </w:r>
          </w:p>
        </w:tc>
      </w:tr>
    </w:tbl>
    <w:p>
      <w:pPr>
        <w:pStyle w:val="TextBody"/>
        <w:bidi w:val="0"/>
        <w:spacing w:lineRule="auto" w:line="288" w:before="140" w:after="283"/>
        <w:ind w:left="0" w:right="0" w:firstLine="72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4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140" w:after="283"/>
        <w:jc w:val="left"/>
        <w:rPr/>
      </w:pPr>
      <w:r>
        <w:rPr>
          <w:rFonts w:ascii="Times New Roman;sans-serif" w:hAnsi="Times New Roman;sans-serif"/>
          <w:b w:val="false"/>
          <w:color w:val="000000"/>
          <w:sz w:val="20"/>
        </w:rPr>
        <w:t>As of</w:t>
      </w:r>
      <w:r>
        <w:rPr>
          <w:color w:val="000000"/>
        </w:rPr>
        <w:t xml:space="preserve"> </w:t>
      </w:r>
      <w:r>
        <w:rPr>
          <w:rFonts w:ascii="Times New Roman;sans-serif" w:hAnsi="Times New Roman;sans-serif"/>
          <w:b w:val="false"/>
          <w:color w:val="000000"/>
          <w:sz w:val="20"/>
        </w:rPr>
        <w:t>August 4, 2023, the registrant had outstanding 69,582,809 shares of common stock</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center"/>
                        <w:rPr/>
                      </w:pPr>
                      <w:r>
                        <w:rPr/>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Table of Contents to Second Quarter 2023 Form 10-Q</w:t>
      </w:r>
    </w:p>
    <w:tbl>
      <w:tblPr>
        <w:tblW w:w="8703" w:type="dxa"/>
        <w:jc w:val="left"/>
        <w:tblInd w:w="0" w:type="dxa"/>
        <w:tblLayout w:type="fixed"/>
        <w:tblCellMar>
          <w:top w:w="28" w:type="dxa"/>
          <w:left w:w="28" w:type="dxa"/>
          <w:bottom w:w="28" w:type="dxa"/>
          <w:right w:w="28" w:type="dxa"/>
        </w:tblCellMar>
      </w:tblPr>
      <w:tblGrid>
        <w:gridCol w:w="615"/>
        <w:gridCol w:w="541"/>
        <w:gridCol w:w="541"/>
        <w:gridCol w:w="2154"/>
        <w:gridCol w:w="2154"/>
        <w:gridCol w:w="2187"/>
        <w:gridCol w:w="149"/>
        <w:gridCol w:w="149"/>
        <w:gridCol w:w="213"/>
      </w:tblGrid>
      <w:tr>
        <w:trPr/>
        <w:tc>
          <w:tcPr>
            <w:tcW w:w="61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Page</w:t>
            </w:r>
          </w:p>
        </w:tc>
      </w:tr>
      <w:tr>
        <w:trPr/>
        <w:tc>
          <w:tcPr>
            <w:tcW w:w="81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0">
              <w:r>
                <w:rPr>
                  <w:rStyle w:val="InternetLink"/>
                  <w:rFonts w:ascii="Times New Roman;sans-serif" w:hAnsi="Times New Roman;sans-serif"/>
                  <w:b/>
                  <w:color w:val="0000FF"/>
                  <w:sz w:val="18"/>
                  <w:u w:val="single"/>
                </w:rPr>
                <w:t>PART I - FINANCIAL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0">
              <w:r>
                <w:rPr>
                  <w:rStyle w:val="InternetLink"/>
                  <w:rFonts w:ascii="Times New Roman;sans-serif" w:hAnsi="Times New Roman;sans-serif"/>
                  <w:b w:val="false"/>
                  <w:color w:val="0000FF"/>
                  <w:sz w:val="18"/>
                  <w:u w:val="single"/>
                </w:rPr>
                <w:t>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3">
              <w:r>
                <w:rPr>
                  <w:rStyle w:val="InternetLink"/>
                  <w:rFonts w:ascii="Times New Roman;sans-serif" w:hAnsi="Times New Roman;sans-serif"/>
                  <w:b w:val="false"/>
                  <w:color w:val="0000FF"/>
                  <w:sz w:val="18"/>
                  <w:u w:val="single"/>
                </w:rPr>
                <w:t>Item 1.</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3">
              <w:r>
                <w:rPr>
                  <w:rStyle w:val="InternetLink"/>
                  <w:rFonts w:ascii="Times New Roman;sans-serif" w:hAnsi="Times New Roman;sans-serif"/>
                  <w:b w:val="false"/>
                  <w:color w:val="0000FF"/>
                  <w:sz w:val="18"/>
                  <w:u w:val="single"/>
                </w:rPr>
                <w:t>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3">
              <w:r>
                <w:rPr>
                  <w:rStyle w:val="InternetLink"/>
                  <w:rFonts w:ascii="Times New Roman;sans-serif" w:hAnsi="Times New Roman;sans-serif"/>
                  <w:b w:val="false"/>
                  <w:color w:val="0000FF"/>
                  <w:sz w:val="18"/>
                  <w:u w:val="single"/>
                </w:rPr>
                <w:t>3</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6">
              <w:r>
                <w:rPr>
                  <w:rStyle w:val="InternetLink"/>
                  <w:rFonts w:ascii="Times New Roman;sans-serif" w:hAnsi="Times New Roman;sans-serif"/>
                  <w:b w:val="false"/>
                  <w:color w:val="0000FF"/>
                  <w:sz w:val="18"/>
                  <w:u w:val="single"/>
                </w:rPr>
                <w:t>Consolidated Statements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6">
              <w:r>
                <w:rPr>
                  <w:rStyle w:val="InternetLink"/>
                  <w:rFonts w:ascii="Times New Roman;sans-serif" w:hAnsi="Times New Roman;sans-serif"/>
                  <w:b w:val="false"/>
                  <w:color w:val="0000FF"/>
                  <w:sz w:val="18"/>
                  <w:u w:val="single"/>
                </w:rPr>
                <w:t>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9">
              <w:r>
                <w:rPr>
                  <w:rStyle w:val="InternetLink"/>
                  <w:rFonts w:ascii="Times New Roman;sans-serif" w:hAnsi="Times New Roman;sans-serif"/>
                  <w:b w:val="false"/>
                  <w:color w:val="0000FF"/>
                  <w:sz w:val="18"/>
                  <w:u w:val="single"/>
                </w:rPr>
                <w:t>Consolidated Statements of Comprehensive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9">
              <w:r>
                <w:rPr>
                  <w:rStyle w:val="InternetLink"/>
                  <w:rFonts w:ascii="Times New Roman;sans-serif" w:hAnsi="Times New Roman;sans-serif"/>
                  <w:b w:val="false"/>
                  <w:color w:val="0000FF"/>
                  <w:sz w:val="18"/>
                  <w:u w:val="single"/>
                </w:rPr>
                <w:t>4</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22">
              <w:r>
                <w:rPr>
                  <w:rStyle w:val="InternetLink"/>
                  <w:rFonts w:ascii="Times New Roman;sans-serif" w:hAnsi="Times New Roman;sans-serif"/>
                  <w:b w:val="false"/>
                  <w:color w:val="0000FF"/>
                  <w:sz w:val="18"/>
                  <w:u w:val="single"/>
                </w:rPr>
                <w:t>Consolidated Balance Sheets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22">
              <w:r>
                <w:rPr>
                  <w:rStyle w:val="InternetLink"/>
                  <w:rFonts w:ascii="Times New Roman;sans-serif" w:hAnsi="Times New Roman;sans-serif"/>
                  <w:b w:val="false"/>
                  <w:color w:val="0000FF"/>
                  <w:sz w:val="18"/>
                  <w:u w:val="single"/>
                </w:rPr>
                <w:t>5</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25">
              <w:r>
                <w:rPr>
                  <w:rStyle w:val="InternetLink"/>
                  <w:rFonts w:ascii="Times New Roman;sans-serif" w:hAnsi="Times New Roman;sans-serif"/>
                  <w:b w:val="false"/>
                  <w:color w:val="0000FF"/>
                  <w:sz w:val="18"/>
                  <w:u w:val="single"/>
                </w:rPr>
                <w:t>Consolidated Statements of Cash Flows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25">
              <w:r>
                <w:rPr>
                  <w:rStyle w:val="InternetLink"/>
                  <w:rFonts w:ascii="Times New Roman;sans-serif" w:hAnsi="Times New Roman;sans-serif"/>
                  <w:b w:val="false"/>
                  <w:color w:val="0000FF"/>
                  <w:sz w:val="18"/>
                  <w:u w:val="single"/>
                </w:rPr>
                <w:t>6</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28">
              <w:r>
                <w:rPr>
                  <w:rStyle w:val="InternetLink"/>
                  <w:rFonts w:ascii="Times New Roman;sans-serif" w:hAnsi="Times New Roman;sans-serif"/>
                  <w:b w:val="false"/>
                  <w:color w:val="0000FF"/>
                  <w:sz w:val="18"/>
                  <w:u w:val="single"/>
                </w:rPr>
                <w:t>Consolidated Statements of Changes in Stockholders’ Equity</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28">
              <w:r>
                <w:rPr>
                  <w:rStyle w:val="InternetLink"/>
                  <w:rFonts w:ascii="Times New Roman;sans-serif" w:hAnsi="Times New Roman;sans-serif"/>
                  <w:b w:val="false"/>
                  <w:color w:val="0000FF"/>
                  <w:sz w:val="18"/>
                  <w:u w:val="single"/>
                </w:rPr>
                <w:t>7</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31">
              <w:r>
                <w:rPr>
                  <w:rStyle w:val="InternetLink"/>
                  <w:rFonts w:ascii="Times New Roman;sans-serif" w:hAnsi="Times New Roman;sans-serif"/>
                  <w:b w:val="false"/>
                  <w:color w:val="0000FF"/>
                  <w:sz w:val="18"/>
                  <w:u w:val="single"/>
                </w:rPr>
                <w:t>Notes to Consolidated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31">
              <w:r>
                <w:rPr>
                  <w:rStyle w:val="InternetLink"/>
                  <w:rFonts w:ascii="Times New Roman;sans-serif" w:hAnsi="Times New Roman;sans-serif"/>
                  <w:b w:val="false"/>
                  <w:color w:val="0000FF"/>
                  <w:sz w:val="18"/>
                  <w:u w:val="single"/>
                </w:rPr>
                <w:t>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34">
              <w:r>
                <w:rPr>
                  <w:rStyle w:val="InternetLink"/>
                  <w:rFonts w:ascii="Times New Roman;sans-serif" w:hAnsi="Times New Roman;sans-serif"/>
                  <w:b w:val="false"/>
                  <w:color w:val="0000FF"/>
                  <w:sz w:val="18"/>
                  <w:u w:val="single"/>
                </w:rPr>
                <w:t>1. Organization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34">
              <w:r>
                <w:rPr>
                  <w:rStyle w:val="InternetLink"/>
                  <w:rFonts w:ascii="Times New Roman;sans-serif" w:hAnsi="Times New Roman;sans-serif"/>
                  <w:b w:val="false"/>
                  <w:color w:val="0000FF"/>
                  <w:sz w:val="18"/>
                  <w:u w:val="single"/>
                </w:rPr>
                <w:t>8</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18f35a270336462393965f1d562b610d_37">
              <w:r>
                <w:rPr>
                  <w:rStyle w:val="InternetLink"/>
                  <w:rFonts w:ascii="Times New Roman;sans-serif" w:hAnsi="Times New Roman;sans-serif"/>
                  <w:b w:val="false"/>
                  <w:color w:val="0000FF"/>
                  <w:sz w:val="18"/>
                  <w:u w:val="single"/>
                </w:rPr>
                <w:t>2. Significant Accounting Policies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37">
              <w:r>
                <w:rPr>
                  <w:rStyle w:val="InternetLink"/>
                  <w:rFonts w:ascii="Times New Roman;sans-serif" w:hAnsi="Times New Roman;sans-serif"/>
                  <w:b w:val="false"/>
                  <w:color w:val="0000FF"/>
                  <w:sz w:val="18"/>
                  <w:u w:val="single"/>
                </w:rPr>
                <w:t>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18f35a270336462393965f1d562b610d_40">
              <w:r>
                <w:rPr>
                  <w:rStyle w:val="InternetLink"/>
                  <w:rFonts w:ascii="Times New Roman;sans-serif" w:hAnsi="Times New Roman;sans-serif"/>
                  <w:b w:val="false"/>
                  <w:color w:val="0000FF"/>
                  <w:sz w:val="18"/>
                  <w:u w:val="single"/>
                </w:rPr>
                <w:t>3. Revenue Recognition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40">
              <w:r>
                <w:rPr>
                  <w:rStyle w:val="InternetLink"/>
                  <w:rFonts w:ascii="Times New Roman;sans-serif" w:hAnsi="Times New Roman;sans-serif"/>
                  <w:b w:val="false"/>
                  <w:color w:val="0000FF"/>
                  <w:sz w:val="18"/>
                  <w:u w:val="single"/>
                </w:rPr>
                <w:t>10</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18f35a270336462393965f1d562b610d_46">
              <w:r>
                <w:rPr>
                  <w:rStyle w:val="InternetLink"/>
                  <w:rFonts w:ascii="Times New Roman;sans-serif" w:hAnsi="Times New Roman;sans-serif"/>
                  <w:b w:val="false"/>
                  <w:color w:val="0000FF"/>
                  <w:sz w:val="18"/>
                  <w:u w:val="single"/>
                </w:rPr>
                <w:t>4. Accounts Receivable,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46">
              <w:r>
                <w:rPr>
                  <w:rStyle w:val="InternetLink"/>
                  <w:rFonts w:ascii="Times New Roman;sans-serif" w:hAnsi="Times New Roman;sans-serif"/>
                  <w:b w:val="false"/>
                  <w:color w:val="0000FF"/>
                  <w:sz w:val="18"/>
                  <w:u w:val="single"/>
                </w:rPr>
                <w:t>11</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18f35a270336462393965f1d562b610d_49">
              <w:r>
                <w:rPr>
                  <w:rStyle w:val="InternetLink"/>
                  <w:rFonts w:ascii="Times New Roman;sans-serif" w:hAnsi="Times New Roman;sans-serif"/>
                  <w:b w:val="false"/>
                  <w:color w:val="0000FF"/>
                  <w:sz w:val="18"/>
                  <w:u w:val="single"/>
                </w:rPr>
                <w:t>5. Inventories, Net</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49">
              <w:r>
                <w:rPr>
                  <w:rStyle w:val="InternetLink"/>
                  <w:rFonts w:ascii="Times New Roman;sans-serif" w:hAnsi="Times New Roman;sans-serif"/>
                  <w:b w:val="false"/>
                  <w:color w:val="0000FF"/>
                  <w:sz w:val="18"/>
                  <w:u w:val="single"/>
                </w:rPr>
                <w:t>12</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18f35a270336462393965f1d562b610d_52">
              <w:r>
                <w:rPr>
                  <w:rStyle w:val="InternetLink"/>
                  <w:rFonts w:ascii="Times New Roman;sans-serif" w:hAnsi="Times New Roman;sans-serif"/>
                  <w:b w:val="false"/>
                  <w:color w:val="0000FF"/>
                  <w:sz w:val="18"/>
                  <w:u w:val="single"/>
                </w:rPr>
                <w:t>6. Property and Equipment,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52">
              <w:r>
                <w:rPr>
                  <w:rStyle w:val="InternetLink"/>
                  <w:rFonts w:ascii="Times New Roman;sans-serif" w:hAnsi="Times New Roman;sans-serif"/>
                  <w:b w:val="false"/>
                  <w:color w:val="0000FF"/>
                  <w:sz w:val="18"/>
                  <w:u w:val="single"/>
                </w:rPr>
                <w:t>12</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18f35a270336462393965f1d562b610d_55">
              <w:r>
                <w:rPr>
                  <w:rStyle w:val="InternetLink"/>
                  <w:rFonts w:ascii="Times New Roman;sans-serif" w:hAnsi="Times New Roman;sans-serif"/>
                  <w:b w:val="false"/>
                  <w:color w:val="0000FF"/>
                  <w:sz w:val="18"/>
                  <w:u w:val="single"/>
                </w:rPr>
                <w:t xml:space="preserve">7. Goodwill </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55">
              <w:r>
                <w:rPr>
                  <w:rStyle w:val="InternetLink"/>
                  <w:rFonts w:ascii="Times New Roman;sans-serif" w:hAnsi="Times New Roman;sans-serif"/>
                  <w:b w:val="false"/>
                  <w:color w:val="0000FF"/>
                  <w:sz w:val="18"/>
                  <w:u w:val="single"/>
                </w:rPr>
                <w:t>12</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18f35a270336462393965f1d562b610d_58">
              <w:r>
                <w:rPr>
                  <w:rStyle w:val="InternetLink"/>
                  <w:rFonts w:ascii="Times New Roman;sans-serif" w:hAnsi="Times New Roman;sans-serif"/>
                  <w:b w:val="false"/>
                  <w:color w:val="0000FF"/>
                  <w:sz w:val="18"/>
                  <w:u w:val="single"/>
                </w:rPr>
                <w:t>8. Intangible Assets, Net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58">
              <w:r>
                <w:rPr>
                  <w:rStyle w:val="InternetLink"/>
                  <w:rFonts w:ascii="Times New Roman;sans-serif" w:hAnsi="Times New Roman;sans-serif"/>
                  <w:b w:val="false"/>
                  <w:color w:val="0000FF"/>
                  <w:sz w:val="18"/>
                  <w:u w:val="single"/>
                </w:rPr>
                <w:t>12</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18f35a270336462393965f1d562b610d_61">
              <w:r>
                <w:rPr>
                  <w:rStyle w:val="InternetLink"/>
                  <w:rFonts w:ascii="Times New Roman;sans-serif" w:hAnsi="Times New Roman;sans-serif"/>
                  <w:b w:val="false"/>
                  <w:color w:val="0000FF"/>
                  <w:sz w:val="18"/>
                  <w:u w:val="single"/>
                </w:rPr>
                <w:t>9. Other Balance Sheet Components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61">
              <w:r>
                <w:rPr>
                  <w:rStyle w:val="InternetLink"/>
                  <w:rFonts w:ascii="Times New Roman;sans-serif" w:hAnsi="Times New Roman;sans-serif"/>
                  <w:b w:val="false"/>
                  <w:color w:val="0000FF"/>
                  <w:sz w:val="18"/>
                  <w:u w:val="single"/>
                </w:rPr>
                <w:t>13</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64">
              <w:r>
                <w:rPr>
                  <w:rStyle w:val="InternetLink"/>
                  <w:rFonts w:ascii="Times New Roman;sans-serif" w:hAnsi="Times New Roman;sans-serif"/>
                  <w:b w:val="false"/>
                  <w:color w:val="0000FF"/>
                  <w:sz w:val="18"/>
                  <w:u w:val="single"/>
                </w:rPr>
                <w:t>10. Debt and Other Obligations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64">
              <w:r>
                <w:rPr>
                  <w:rStyle w:val="InternetLink"/>
                  <w:rFonts w:ascii="Times New Roman;sans-serif" w:hAnsi="Times New Roman;sans-serif"/>
                  <w:b w:val="false"/>
                  <w:color w:val="0000FF"/>
                  <w:sz w:val="18"/>
                  <w:u w:val="single"/>
                </w:rPr>
                <w:t>13</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67">
              <w:r>
                <w:rPr>
                  <w:rStyle w:val="InternetLink"/>
                  <w:rFonts w:ascii="Times New Roman;sans-serif" w:hAnsi="Times New Roman;sans-serif"/>
                  <w:b w:val="false"/>
                  <w:color w:val="0000FF"/>
                  <w:sz w:val="18"/>
                  <w:u w:val="single"/>
                </w:rPr>
                <w:t>11. Acquisition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67">
              <w:r>
                <w:rPr>
                  <w:rStyle w:val="InternetLink"/>
                  <w:rFonts w:ascii="Times New Roman;sans-serif" w:hAnsi="Times New Roman;sans-serif"/>
                  <w:b w:val="false"/>
                  <w:color w:val="0000FF"/>
                  <w:sz w:val="18"/>
                  <w:u w:val="single"/>
                </w:rPr>
                <w:t>14</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70">
              <w:r>
                <w:rPr>
                  <w:rStyle w:val="InternetLink"/>
                  <w:rFonts w:ascii="Times New Roman;sans-serif" w:hAnsi="Times New Roman;sans-serif"/>
                  <w:b w:val="false"/>
                  <w:color w:val="0000FF"/>
                  <w:sz w:val="18"/>
                  <w:u w:val="single"/>
                </w:rPr>
                <w:t>12. Stock-Based Compensation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70">
              <w:r>
                <w:rPr>
                  <w:rStyle w:val="InternetLink"/>
                  <w:rFonts w:ascii="Times New Roman;sans-serif" w:hAnsi="Times New Roman;sans-serif"/>
                  <w:b w:val="false"/>
                  <w:color w:val="0000FF"/>
                  <w:sz w:val="18"/>
                  <w:u w:val="single"/>
                </w:rPr>
                <w:t>14</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76">
              <w:r>
                <w:rPr>
                  <w:rStyle w:val="InternetLink"/>
                  <w:rFonts w:ascii="Times New Roman;sans-serif" w:hAnsi="Times New Roman;sans-serif"/>
                  <w:b w:val="false"/>
                  <w:color w:val="0000FF"/>
                  <w:sz w:val="18"/>
                  <w:u w:val="single"/>
                </w:rPr>
                <w:t>13. Share Repurchases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76">
              <w:r>
                <w:rPr>
                  <w:rStyle w:val="InternetLink"/>
                  <w:rFonts w:ascii="Times New Roman;sans-serif" w:hAnsi="Times New Roman;sans-serif"/>
                  <w:b w:val="false"/>
                  <w:color w:val="0000FF"/>
                  <w:sz w:val="18"/>
                  <w:u w:val="single"/>
                </w:rPr>
                <w:t>16</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79">
              <w:r>
                <w:rPr>
                  <w:rStyle w:val="InternetLink"/>
                  <w:rFonts w:ascii="Times New Roman;sans-serif" w:hAnsi="Times New Roman;sans-serif"/>
                  <w:b w:val="false"/>
                  <w:color w:val="0000FF"/>
                  <w:sz w:val="18"/>
                  <w:u w:val="single"/>
                </w:rPr>
                <w:t>14. Accumulated Other Comprehensive Loss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79">
              <w:r>
                <w:rPr>
                  <w:rStyle w:val="InternetLink"/>
                  <w:rFonts w:ascii="Times New Roman;sans-serif" w:hAnsi="Times New Roman;sans-serif"/>
                  <w:b w:val="false"/>
                  <w:color w:val="0000FF"/>
                  <w:sz w:val="18"/>
                  <w:u w:val="single"/>
                </w:rPr>
                <w:t>16</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82">
              <w:r>
                <w:rPr>
                  <w:rStyle w:val="InternetLink"/>
                  <w:rFonts w:ascii="Times New Roman;sans-serif" w:hAnsi="Times New Roman;sans-serif"/>
                  <w:b w:val="false"/>
                  <w:color w:val="0000FF"/>
                  <w:sz w:val="18"/>
                  <w:u w:val="single"/>
                </w:rPr>
                <w:t>15. Loss per Share</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82">
              <w:r>
                <w:rPr>
                  <w:rStyle w:val="InternetLink"/>
                  <w:rFonts w:ascii="Times New Roman;sans-serif" w:hAnsi="Times New Roman;sans-serif"/>
                  <w:b w:val="false"/>
                  <w:color w:val="0000FF"/>
                  <w:sz w:val="18"/>
                  <w:u w:val="single"/>
                </w:rPr>
                <w:t>16</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85">
              <w:r>
                <w:rPr>
                  <w:rStyle w:val="InternetLink"/>
                  <w:rFonts w:ascii="Times New Roman;sans-serif" w:hAnsi="Times New Roman;sans-serif"/>
                  <w:b w:val="false"/>
                  <w:color w:val="0000FF"/>
                  <w:sz w:val="18"/>
                  <w:u w:val="single"/>
                </w:rPr>
                <w:t>16. Related Party Transactions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85">
              <w:r>
                <w:rPr>
                  <w:rStyle w:val="InternetLink"/>
                  <w:rFonts w:ascii="Times New Roman;sans-serif" w:hAnsi="Times New Roman;sans-serif"/>
                  <w:b w:val="false"/>
                  <w:color w:val="0000FF"/>
                  <w:sz w:val="18"/>
                  <w:u w:val="single"/>
                </w:rPr>
                <w:t>16</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91">
              <w:r>
                <w:rPr>
                  <w:rStyle w:val="InternetLink"/>
                  <w:rFonts w:ascii="Times New Roman;sans-serif" w:hAnsi="Times New Roman;sans-serif"/>
                  <w:b w:val="false"/>
                  <w:color w:val="0000FF"/>
                  <w:sz w:val="18"/>
                  <w:u w:val="single"/>
                </w:rPr>
                <w:t>17. Segment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91">
              <w:r>
                <w:rPr>
                  <w:rStyle w:val="InternetLink"/>
                  <w:rFonts w:ascii="Times New Roman;sans-serif" w:hAnsi="Times New Roman;sans-serif"/>
                  <w:b w:val="false"/>
                  <w:color w:val="0000FF"/>
                  <w:sz w:val="18"/>
                  <w:u w:val="single"/>
                </w:rPr>
                <w:t>17</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94">
              <w:r>
                <w:rPr>
                  <w:rStyle w:val="InternetLink"/>
                  <w:rFonts w:ascii="Times New Roman;sans-serif" w:hAnsi="Times New Roman;sans-serif"/>
                  <w:b w:val="false"/>
                  <w:color w:val="0000FF"/>
                  <w:sz w:val="18"/>
                  <w:u w:val="single"/>
                </w:rPr>
                <w:t>18. Commitments and Contingencies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94">
              <w:r>
                <w:rPr>
                  <w:rStyle w:val="InternetLink"/>
                  <w:rFonts w:ascii="Times New Roman;sans-serif" w:hAnsi="Times New Roman;sans-serif"/>
                  <w:b w:val="false"/>
                  <w:color w:val="0000FF"/>
                  <w:sz w:val="18"/>
                  <w:u w:val="single"/>
                </w:rPr>
                <w:t>18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97">
              <w:r>
                <w:rPr>
                  <w:rStyle w:val="InternetLink"/>
                  <w:rFonts w:ascii="Times New Roman;sans-serif" w:hAnsi="Times New Roman;sans-serif"/>
                  <w:b w:val="false"/>
                  <w:color w:val="0000FF"/>
                  <w:sz w:val="18"/>
                  <w:u w:val="single"/>
                </w:rPr>
                <w:t>19. Supplemental Cash Flow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97">
              <w:r>
                <w:rPr>
                  <w:rStyle w:val="InternetLink"/>
                  <w:rFonts w:ascii="Times New Roman;sans-serif" w:hAnsi="Times New Roman;sans-serif"/>
                  <w:b w:val="false"/>
                  <w:color w:val="0000FF"/>
                  <w:sz w:val="18"/>
                  <w:u w:val="single"/>
                </w:rPr>
                <w:t>18</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00">
              <w:r>
                <w:rPr>
                  <w:rStyle w:val="InternetLink"/>
                  <w:rFonts w:ascii="Times New Roman;sans-serif" w:hAnsi="Times New Roman;sans-serif"/>
                  <w:b w:val="false"/>
                  <w:color w:val="0000FF"/>
                  <w:sz w:val="18"/>
                  <w:u w:val="single"/>
                </w:rPr>
                <w:t>20. Revision of Prior Year Interim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00">
              <w:r>
                <w:rPr>
                  <w:rStyle w:val="InternetLink"/>
                  <w:rFonts w:ascii="Times New Roman;sans-serif" w:hAnsi="Times New Roman;sans-serif"/>
                  <w:b w:val="false"/>
                  <w:color w:val="0000FF"/>
                  <w:sz w:val="18"/>
                  <w:u w:val="single"/>
                </w:rPr>
                <w:t>19</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03">
              <w:r>
                <w:rPr>
                  <w:rStyle w:val="InternetLink"/>
                  <w:rFonts w:ascii="Times New Roman;sans-serif" w:hAnsi="Times New Roman;sans-serif"/>
                  <w:b w:val="false"/>
                  <w:color w:val="0000FF"/>
                  <w:sz w:val="18"/>
                  <w:u w:val="single"/>
                </w:rPr>
                <w:t>Item 2.</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03">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03">
              <w:r>
                <w:rPr>
                  <w:rStyle w:val="InternetLink"/>
                  <w:rFonts w:ascii="Times New Roman;sans-serif" w:hAnsi="Times New Roman;sans-serif"/>
                  <w:b w:val="false"/>
                  <w:color w:val="0000FF"/>
                  <w:sz w:val="18"/>
                  <w:u w:val="single"/>
                </w:rPr>
                <w:t>20</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06">
              <w:r>
                <w:rPr>
                  <w:rStyle w:val="InternetLink"/>
                  <w:rFonts w:ascii="Times New Roman;sans-serif" w:hAnsi="Times New Roman;sans-serif"/>
                  <w:b w:val="false"/>
                  <w:color w:val="0000FF"/>
                  <w:sz w:val="18"/>
                  <w:u w:val="single"/>
                </w:rPr>
                <w:t>Forward-Looking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06">
              <w:r>
                <w:rPr>
                  <w:rStyle w:val="InternetLink"/>
                  <w:rFonts w:ascii="Times New Roman;sans-serif" w:hAnsi="Times New Roman;sans-serif"/>
                  <w:b w:val="false"/>
                  <w:color w:val="0000FF"/>
                  <w:sz w:val="18"/>
                  <w:u w:val="single"/>
                </w:rPr>
                <w:t>20</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09">
              <w:r>
                <w:rPr>
                  <w:rStyle w:val="InternetLink"/>
                  <w:rFonts w:ascii="Times New Roman;sans-serif" w:hAnsi="Times New Roman;sans-serif"/>
                  <w:b w:val="false"/>
                  <w:color w:val="0000FF"/>
                  <w:sz w:val="18"/>
                  <w:u w:val="single"/>
                </w:rPr>
                <w:t>General and Business Overview</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09">
              <w:r>
                <w:rPr>
                  <w:rStyle w:val="InternetLink"/>
                  <w:rFonts w:ascii="Times New Roman;sans-serif" w:hAnsi="Times New Roman;sans-serif"/>
                  <w:b w:val="false"/>
                  <w:color w:val="0000FF"/>
                  <w:sz w:val="18"/>
                  <w:u w:val="single"/>
                </w:rPr>
                <w:t>20</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12">
              <w:r>
                <w:rPr>
                  <w:rStyle w:val="InternetLink"/>
                  <w:rFonts w:ascii="Times New Roman;sans-serif" w:hAnsi="Times New Roman;sans-serif"/>
                  <w:b w:val="false"/>
                  <w:color w:val="0000FF"/>
                  <w:sz w:val="18"/>
                  <w:u w:val="single"/>
                </w:rPr>
                <w:t>Business Environment</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12">
              <w:r>
                <w:rPr>
                  <w:rStyle w:val="InternetLink"/>
                  <w:rFonts w:ascii="Times New Roman;sans-serif" w:hAnsi="Times New Roman;sans-serif"/>
                  <w:b w:val="false"/>
                  <w:color w:val="0000FF"/>
                  <w:sz w:val="18"/>
                  <w:u w:val="single"/>
                </w:rPr>
                <w:t>20</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15">
              <w:r>
                <w:rPr>
                  <w:rStyle w:val="InternetLink"/>
                  <w:rFonts w:ascii="Times New Roman;sans-serif" w:hAnsi="Times New Roman;sans-serif"/>
                  <w:b w:val="false"/>
                  <w:color w:val="0000FF"/>
                  <w:sz w:val="18"/>
                  <w:u w:val="single"/>
                </w:rPr>
                <w:t>Backlog</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15">
              <w:r>
                <w:rPr>
                  <w:rStyle w:val="InternetLink"/>
                  <w:rFonts w:ascii="Times New Roman;sans-serif" w:hAnsi="Times New Roman;sans-serif"/>
                  <w:b w:val="false"/>
                  <w:color w:val="0000FF"/>
                  <w:sz w:val="18"/>
                  <w:u w:val="single"/>
                </w:rPr>
                <w:t>21</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18">
              <w:r>
                <w:rPr>
                  <w:rStyle w:val="InternetLink"/>
                  <w:rFonts w:ascii="Times New Roman;sans-serif" w:hAnsi="Times New Roman;sans-serif"/>
                  <w:b w:val="false"/>
                  <w:color w:val="0000FF"/>
                  <w:sz w:val="18"/>
                  <w:u w:val="single"/>
                </w:rPr>
                <w:t>Financial Overview</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18">
              <w:r>
                <w:rPr>
                  <w:rStyle w:val="InternetLink"/>
                  <w:rFonts w:ascii="Times New Roman;sans-serif" w:hAnsi="Times New Roman;sans-serif"/>
                  <w:b w:val="false"/>
                  <w:color w:val="0000FF"/>
                  <w:sz w:val="18"/>
                  <w:u w:val="single"/>
                </w:rPr>
                <w:t>22</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21">
              <w:r>
                <w:rPr>
                  <w:rStyle w:val="InternetLink"/>
                  <w:rFonts w:ascii="Times New Roman;sans-serif" w:hAnsi="Times New Roman;sans-serif"/>
                  <w:b w:val="false"/>
                  <w:color w:val="0000FF"/>
                  <w:sz w:val="18"/>
                  <w:u w:val="single"/>
                </w:rPr>
                <w:t>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21">
              <w:r>
                <w:rPr>
                  <w:rStyle w:val="InternetLink"/>
                  <w:rFonts w:ascii="Times New Roman;sans-serif" w:hAnsi="Times New Roman;sans-serif"/>
                  <w:b w:val="false"/>
                  <w:color w:val="0000FF"/>
                  <w:sz w:val="18"/>
                  <w:u w:val="single"/>
                </w:rPr>
                <w:t>22</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24">
              <w:r>
                <w:rPr>
                  <w:rStyle w:val="InternetLink"/>
                  <w:rFonts w:ascii="Times New Roman;sans-serif" w:hAnsi="Times New Roman;sans-serif"/>
                  <w:b w:val="false"/>
                  <w:color w:val="0000FF"/>
                  <w:sz w:val="18"/>
                  <w:u w:val="single"/>
                </w:rPr>
                <w:t>Non-GAAP Financial Measures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24">
              <w:r>
                <w:rPr>
                  <w:rStyle w:val="InternetLink"/>
                  <w:rFonts w:ascii="Times New Roman;sans-serif" w:hAnsi="Times New Roman;sans-serif"/>
                  <w:b w:val="false"/>
                  <w:color w:val="0000FF"/>
                  <w:sz w:val="18"/>
                  <w:u w:val="single"/>
                </w:rPr>
                <w:t>24</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27">
              <w:r>
                <w:rPr>
                  <w:rStyle w:val="InternetLink"/>
                  <w:rFonts w:ascii="Times New Roman;sans-serif" w:hAnsi="Times New Roman;sans-serif"/>
                  <w:b w:val="false"/>
                  <w:color w:val="0000FF"/>
                  <w:sz w:val="18"/>
                  <w:u w:val="single"/>
                </w:rPr>
                <w:t>Liquidity and Capital Resources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27">
              <w:r>
                <w:rPr>
                  <w:rStyle w:val="InternetLink"/>
                  <w:rFonts w:ascii="Times New Roman;sans-serif" w:hAnsi="Times New Roman;sans-serif"/>
                  <w:b w:val="false"/>
                  <w:color w:val="0000FF"/>
                  <w:sz w:val="18"/>
                  <w:u w:val="single"/>
                </w:rPr>
                <w:t>26</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30">
              <w:r>
                <w:rPr>
                  <w:rStyle w:val="InternetLink"/>
                  <w:rFonts w:ascii="Times New Roman;sans-serif" w:hAnsi="Times New Roman;sans-serif"/>
                  <w:b w:val="false"/>
                  <w:color w:val="0000FF"/>
                  <w:sz w:val="18"/>
                  <w:u w:val="single"/>
                </w:rPr>
                <w:t>Critical Accounting Policies and Estimates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30">
              <w:r>
                <w:rPr>
                  <w:rStyle w:val="InternetLink"/>
                  <w:rFonts w:ascii="Times New Roman;sans-serif" w:hAnsi="Times New Roman;sans-serif"/>
                  <w:b w:val="false"/>
                  <w:color w:val="0000FF"/>
                  <w:sz w:val="18"/>
                  <w:u w:val="single"/>
                </w:rPr>
                <w:t>26</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33">
              <w:r>
                <w:rPr>
                  <w:rStyle w:val="InternetLink"/>
                  <w:rFonts w:ascii="Times New Roman;sans-serif" w:hAnsi="Times New Roman;sans-serif"/>
                  <w:b w:val="false"/>
                  <w:color w:val="0000FF"/>
                  <w:sz w:val="18"/>
                  <w:u w:val="single"/>
                </w:rPr>
                <w:t>Item 3.</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33">
              <w:r>
                <w:rPr>
                  <w:rStyle w:val="InternetLink"/>
                  <w:rFonts w:ascii="Times New Roman;sans-serif" w:hAnsi="Times New Roman;sans-serif"/>
                  <w:b w:val="false"/>
                  <w:color w:val="0000FF"/>
                  <w:sz w:val="18"/>
                  <w:u w:val="single"/>
                </w:rPr>
                <w:t>Quantitative and Qualitative Disclosures about Market Risk</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33">
              <w:r>
                <w:rPr>
                  <w:rStyle w:val="InternetLink"/>
                  <w:rFonts w:ascii="Times New Roman;sans-serif" w:hAnsi="Times New Roman;sans-serif"/>
                  <w:b w:val="false"/>
                  <w:color w:val="0000FF"/>
                  <w:sz w:val="18"/>
                  <w:u w:val="single"/>
                </w:rPr>
                <w:t>27</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36">
              <w:r>
                <w:rPr>
                  <w:rStyle w:val="InternetLink"/>
                  <w:rFonts w:ascii="Times New Roman;sans-serif" w:hAnsi="Times New Roman;sans-serif"/>
                  <w:b w:val="false"/>
                  <w:color w:val="0000FF"/>
                  <w:sz w:val="18"/>
                  <w:u w:val="single"/>
                </w:rPr>
                <w:t>Item 4.</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36">
              <w:r>
                <w:rPr>
                  <w:rStyle w:val="InternetLink"/>
                  <w:rFonts w:ascii="Times New Roman;sans-serif" w:hAnsi="Times New Roman;sans-serif"/>
                  <w:b w:val="false"/>
                  <w:color w:val="0000FF"/>
                  <w:sz w:val="18"/>
                  <w:u w:val="single"/>
                </w:rPr>
                <w:t>Controls and Procedures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36">
              <w:r>
                <w:rPr>
                  <w:rStyle w:val="InternetLink"/>
                  <w:rFonts w:ascii="Times New Roman;sans-serif" w:hAnsi="Times New Roman;sans-serif"/>
                  <w:b w:val="false"/>
                  <w:color w:val="0000FF"/>
                  <w:sz w:val="18"/>
                  <w:u w:val="single"/>
                </w:rPr>
                <w:t>27</w:t>
              </w:r>
            </w:hyperlink>
          </w:p>
        </w:tc>
      </w:tr>
      <w:tr>
        <w:trPr/>
        <w:tc>
          <w:tcPr>
            <w:tcW w:w="819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39">
              <w:r>
                <w:rPr>
                  <w:rStyle w:val="InternetLink"/>
                  <w:rFonts w:ascii="Times New Roman;sans-serif" w:hAnsi="Times New Roman;sans-serif"/>
                  <w:b/>
                  <w:color w:val="0000FF"/>
                  <w:sz w:val="18"/>
                  <w:u w:val="single"/>
                </w:rPr>
                <w:t>PART II - 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39">
              <w:r>
                <w:rPr>
                  <w:rStyle w:val="InternetLink"/>
                  <w:rFonts w:ascii="Times New Roman;sans-serif" w:hAnsi="Times New Roman;sans-serif"/>
                  <w:b w:val="false"/>
                  <w:color w:val="0000FF"/>
                  <w:sz w:val="18"/>
                  <w:u w:val="single"/>
                </w:rPr>
                <w:t>28</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42">
              <w:r>
                <w:rPr>
                  <w:rStyle w:val="InternetLink"/>
                  <w:rFonts w:ascii="Times New Roman;sans-serif" w:hAnsi="Times New Roman;sans-serif"/>
                  <w:b w:val="false"/>
                  <w:color w:val="0000FF"/>
                  <w:sz w:val="18"/>
                  <w:u w:val="single"/>
                </w:rPr>
                <w:t>Item 1.</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42">
              <w:r>
                <w:rPr>
                  <w:rStyle w:val="InternetLink"/>
                  <w:rFonts w:ascii="Times New Roman;sans-serif" w:hAnsi="Times New Roman;sans-serif"/>
                  <w:b w:val="false"/>
                  <w:color w:val="0000FF"/>
                  <w:sz w:val="18"/>
                  <w:u w:val="single"/>
                </w:rPr>
                <w:t>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42">
              <w:r>
                <w:rPr>
                  <w:rStyle w:val="InternetLink"/>
                  <w:rFonts w:ascii="Times New Roman;sans-serif" w:hAnsi="Times New Roman;sans-serif"/>
                  <w:b w:val="false"/>
                  <w:color w:val="0000FF"/>
                  <w:sz w:val="18"/>
                  <w:u w:val="single"/>
                </w:rPr>
                <w:t>28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45">
              <w:r>
                <w:rPr>
                  <w:rStyle w:val="InternetLink"/>
                  <w:rFonts w:ascii="Times New Roman;sans-serif" w:hAnsi="Times New Roman;sans-serif"/>
                  <w:b w:val="false"/>
                  <w:color w:val="0000FF"/>
                  <w:sz w:val="18"/>
                  <w:u w:val="single"/>
                </w:rPr>
                <w:t>Item 1A.</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45">
              <w:r>
                <w:rPr>
                  <w:rStyle w:val="InternetLink"/>
                  <w:rFonts w:ascii="Times New Roman;sans-serif" w:hAnsi="Times New Roman;sans-serif"/>
                  <w:b w:val="false"/>
                  <w:color w:val="0000FF"/>
                  <w:sz w:val="18"/>
                  <w:u w:val="single"/>
                </w:rPr>
                <w:t>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45">
              <w:r>
                <w:rPr>
                  <w:rStyle w:val="InternetLink"/>
                  <w:rFonts w:ascii="Times New Roman;sans-serif" w:hAnsi="Times New Roman;sans-serif"/>
                  <w:b w:val="false"/>
                  <w:color w:val="0000FF"/>
                  <w:sz w:val="18"/>
                  <w:u w:val="single"/>
                </w:rPr>
                <w:t>28</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48">
              <w:r>
                <w:rPr>
                  <w:rStyle w:val="InternetLink"/>
                  <w:rFonts w:ascii="Times New Roman;sans-serif" w:hAnsi="Times New Roman;sans-serif"/>
                  <w:b w:val="false"/>
                  <w:color w:val="0000FF"/>
                  <w:sz w:val="18"/>
                  <w:u w:val="single"/>
                </w:rPr>
                <w:t>Item 2.</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48">
              <w:r>
                <w:rPr>
                  <w:rStyle w:val="InternetLink"/>
                  <w:rFonts w:ascii="Times New Roman;sans-serif" w:hAnsi="Times New Roman;sans-serif"/>
                  <w:b w:val="false"/>
                  <w:color w:val="0000FF"/>
                  <w:sz w:val="18"/>
                  <w:u w:val="single"/>
                </w:rPr>
                <w:t>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48">
              <w:r>
                <w:rPr>
                  <w:rStyle w:val="InternetLink"/>
                  <w:rFonts w:ascii="Times New Roman;sans-serif" w:hAnsi="Times New Roman;sans-serif"/>
                  <w:b w:val="false"/>
                  <w:color w:val="0000FF"/>
                  <w:sz w:val="18"/>
                  <w:u w:val="single"/>
                </w:rPr>
                <w:t>28</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51">
              <w:r>
                <w:rPr>
                  <w:rStyle w:val="InternetLink"/>
                  <w:rFonts w:ascii="Times New Roman;sans-serif" w:hAnsi="Times New Roman;sans-serif"/>
                  <w:b w:val="false"/>
                  <w:color w:val="0000FF"/>
                  <w:sz w:val="18"/>
                  <w:u w:val="single"/>
                </w:rPr>
                <w:t>Item 3.</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51">
              <w:r>
                <w:rPr>
                  <w:rStyle w:val="InternetLink"/>
                  <w:rFonts w:ascii="Times New Roman;sans-serif" w:hAnsi="Times New Roman;sans-serif"/>
                  <w:b w:val="false"/>
                  <w:color w:val="0000FF"/>
                  <w:sz w:val="18"/>
                  <w:u w:val="single"/>
                </w:rPr>
                <w:t>Defaults upon Senior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51">
              <w:r>
                <w:rPr>
                  <w:rStyle w:val="InternetLink"/>
                  <w:rFonts w:ascii="Times New Roman;sans-serif" w:hAnsi="Times New Roman;sans-serif"/>
                  <w:b w:val="false"/>
                  <w:color w:val="0000FF"/>
                  <w:sz w:val="18"/>
                  <w:u w:val="single"/>
                </w:rPr>
                <w:t>29</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54">
              <w:r>
                <w:rPr>
                  <w:rStyle w:val="InternetLink"/>
                  <w:rFonts w:ascii="Times New Roman;sans-serif" w:hAnsi="Times New Roman;sans-serif"/>
                  <w:b w:val="false"/>
                  <w:color w:val="0000FF"/>
                  <w:sz w:val="18"/>
                  <w:u w:val="single"/>
                </w:rPr>
                <w:t>Item 4.</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54">
              <w:r>
                <w:rPr>
                  <w:rStyle w:val="InternetLink"/>
                  <w:rFonts w:ascii="Times New Roman;sans-serif" w:hAnsi="Times New Roman;sans-serif"/>
                  <w:b w:val="false"/>
                  <w:color w:val="0000FF"/>
                  <w:sz w:val="18"/>
                  <w:u w:val="single"/>
                </w:rPr>
                <w:t>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54">
              <w:r>
                <w:rPr>
                  <w:rStyle w:val="InternetLink"/>
                  <w:rFonts w:ascii="Times New Roman;sans-serif" w:hAnsi="Times New Roman;sans-serif"/>
                  <w:b w:val="false"/>
                  <w:color w:val="0000FF"/>
                  <w:sz w:val="18"/>
                  <w:u w:val="single"/>
                </w:rPr>
                <w:t>29</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57">
              <w:r>
                <w:rPr>
                  <w:rStyle w:val="InternetLink"/>
                  <w:rFonts w:ascii="Times New Roman;sans-serif" w:hAnsi="Times New Roman;sans-serif"/>
                  <w:b w:val="false"/>
                  <w:color w:val="0000FF"/>
                  <w:sz w:val="18"/>
                  <w:u w:val="single"/>
                </w:rPr>
                <w:t>Item 5.</w:t>
              </w:r>
            </w:hyperlink>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57">
              <w:r>
                <w:rPr>
                  <w:rStyle w:val="InternetLink"/>
                  <w:rFonts w:ascii="Times New Roman;sans-serif" w:hAnsi="Times New Roman;sans-serif"/>
                  <w:b w:val="false"/>
                  <w:color w:val="0000FF"/>
                  <w:sz w:val="18"/>
                  <w:u w:val="single"/>
                </w:rPr>
                <w:t>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57">
              <w:r>
                <w:rPr>
                  <w:rStyle w:val="InternetLink"/>
                  <w:rFonts w:ascii="Times New Roman;sans-serif" w:hAnsi="Times New Roman;sans-serif"/>
                  <w:b w:val="false"/>
                  <w:color w:val="0000FF"/>
                  <w:sz w:val="18"/>
                  <w:u w:val="single"/>
                </w:rPr>
                <w:t>29</w:t>
              </w:r>
            </w:hyperlink>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60">
              <w:r>
                <w:rPr>
                  <w:rStyle w:val="InternetLink"/>
                  <w:rFonts w:ascii="Times New Roman;sans-serif" w:hAnsi="Times New Roman;sans-serif"/>
                  <w:b w:val="false"/>
                  <w:color w:val="0000FF"/>
                  <w:sz w:val="18"/>
                  <w:u w:val="single"/>
                </w:rPr>
                <w:t>Item 6.</w:t>
              </w:r>
            </w:hyperlink>
          </w:p>
        </w:tc>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60">
              <w:r>
                <w:rPr>
                  <w:rStyle w:val="InternetLink"/>
                  <w:rFonts w:ascii="Times New Roman;sans-serif" w:hAnsi="Times New Roman;sans-serif"/>
                  <w:b w:val="false"/>
                  <w:color w:val="0000FF"/>
                  <w:sz w:val="18"/>
                  <w:u w:val="single"/>
                </w:rPr>
                <w:t>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60">
              <w:r>
                <w:rPr>
                  <w:rStyle w:val="InternetLink"/>
                  <w:rFonts w:ascii="Times New Roman;sans-serif" w:hAnsi="Times New Roman;sans-serif"/>
                  <w:b w:val="false"/>
                  <w:color w:val="0000FF"/>
                  <w:sz w:val="18"/>
                  <w:u w:val="single"/>
                </w:rPr>
                <w:t>29</w:t>
              </w:r>
            </w:hyperlink>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8f35a270336462393965f1d562b610d_163">
              <w:r>
                <w:rPr>
                  <w:rStyle w:val="InternetLink"/>
                  <w:rFonts w:ascii="Times New Roman;sans-serif" w:hAnsi="Times New Roman;sans-serif"/>
                  <w:b w:val="false"/>
                  <w:color w:val="0000FF"/>
                  <w:sz w:val="18"/>
                  <w:u w:val="single"/>
                </w:rPr>
                <w:t>SIGNATURES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8f35a270336462393965f1d562b610d_163">
              <w:r>
                <w:rPr>
                  <w:rStyle w:val="InternetLink"/>
                  <w:rFonts w:ascii="Times New Roman;sans-serif" w:hAnsi="Times New Roman;sans-serif"/>
                  <w:b w:val="false"/>
                  <w:color w:val="0000FF"/>
                  <w:sz w:val="18"/>
                  <w:u w:val="single"/>
                </w:rPr>
                <w:t>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9080" w:type="dxa"/>
        <w:jc w:val="left"/>
        <w:tblInd w:w="0" w:type="dxa"/>
        <w:tblLayout w:type="fixed"/>
        <w:tblCellMar>
          <w:top w:w="28" w:type="dxa"/>
          <w:left w:w="28" w:type="dxa"/>
          <w:bottom w:w="28" w:type="dxa"/>
          <w:right w:w="28" w:type="dxa"/>
        </w:tblCellMar>
      </w:tblPr>
      <w:tblGrid>
        <w:gridCol w:w="1309"/>
        <w:gridCol w:w="1150"/>
        <w:gridCol w:w="1156"/>
        <w:gridCol w:w="228"/>
        <w:gridCol w:w="754"/>
        <w:gridCol w:w="127"/>
        <w:gridCol w:w="109"/>
        <w:gridCol w:w="109"/>
        <w:gridCol w:w="109"/>
        <w:gridCol w:w="212"/>
        <w:gridCol w:w="780"/>
        <w:gridCol w:w="118"/>
        <w:gridCol w:w="109"/>
        <w:gridCol w:w="109"/>
        <w:gridCol w:w="109"/>
        <w:gridCol w:w="212"/>
        <w:gridCol w:w="780"/>
        <w:gridCol w:w="118"/>
        <w:gridCol w:w="109"/>
        <w:gridCol w:w="109"/>
        <w:gridCol w:w="109"/>
        <w:gridCol w:w="211"/>
        <w:gridCol w:w="778"/>
        <w:gridCol w:w="166"/>
      </w:tblGrid>
      <w:tr>
        <w:trPr/>
        <w:tc>
          <w:tcPr>
            <w:tcW w:w="13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Six Months Ended</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amounts)</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 services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98,378 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 – products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32,911 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55,791 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68,133 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105,951 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Cost of sales – services </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38,276 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61,167 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products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sales</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20,552 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34,862 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42,292 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66,151 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Sales and marketing </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Research and development </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General and administrative </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50,291 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selling, general and administrative expenses</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48,278 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70,203 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(22,437)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(18,725)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(30,650)</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(8,024)</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(30,775)</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8464" w:type="dxa"/>
        <w:jc w:val="left"/>
        <w:tblInd w:w="0" w:type="dxa"/>
        <w:tblLayout w:type="fixed"/>
        <w:tblCellMar>
          <w:top w:w="28" w:type="dxa"/>
          <w:left w:w="28" w:type="dxa"/>
          <w:bottom w:w="28" w:type="dxa"/>
          <w:right w:w="28" w:type="dxa"/>
        </w:tblCellMar>
      </w:tblPr>
      <w:tblGrid>
        <w:gridCol w:w="1085"/>
        <w:gridCol w:w="951"/>
        <w:gridCol w:w="963"/>
        <w:gridCol w:w="232"/>
        <w:gridCol w:w="748"/>
        <w:gridCol w:w="129"/>
        <w:gridCol w:w="109"/>
        <w:gridCol w:w="109"/>
        <w:gridCol w:w="109"/>
        <w:gridCol w:w="212"/>
        <w:gridCol w:w="780"/>
        <w:gridCol w:w="118"/>
        <w:gridCol w:w="109"/>
        <w:gridCol w:w="109"/>
        <w:gridCol w:w="109"/>
        <w:gridCol w:w="212"/>
        <w:gridCol w:w="780"/>
        <w:gridCol w:w="118"/>
        <w:gridCol w:w="109"/>
        <w:gridCol w:w="109"/>
        <w:gridCol w:w="109"/>
        <w:gridCol w:w="211"/>
        <w:gridCol w:w="778"/>
        <w:gridCol w:w="166"/>
      </w:tblGrid>
      <w:tr>
        <w:trPr/>
        <w:tc>
          <w:tcPr>
            <w:tcW w:w="108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Six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(8,035)</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(14,170)</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(18,768)</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(30,757)</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624"/>
        <w:gridCol w:w="2180"/>
        <w:gridCol w:w="2203"/>
        <w:gridCol w:w="236"/>
        <w:gridCol w:w="889"/>
        <w:gridCol w:w="131"/>
        <w:gridCol w:w="126"/>
        <w:gridCol w:w="126"/>
        <w:gridCol w:w="126"/>
        <w:gridCol w:w="281"/>
        <w:gridCol w:w="1056"/>
        <w:gridCol w:w="227"/>
      </w:tblGrid>
      <w:tr>
        <w:trPr/>
        <w:tc>
          <w:tcPr>
            <w:tcW w:w="2624"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7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 and share data)</w:t>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119,305 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40,069 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Inventories, net </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148,675 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167,963 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 net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net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Goodwill </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37,415 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216,860 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237,397 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2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and other accrued liabilities </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Contract liabilities </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 – current portion</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 – current portion</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obligations – current portion</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37,833 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45,502 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 – non-current portion</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 portion</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obligations – non-current portion</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Deferred income taxes </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liabilities </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49,324 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65,043 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Commitments and contingencies </w:t>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250,000,000 shares authorized, 69,466,777 shares and 67,431,632 shares issued and outstanding as of June 30, 2023 and December 31, 2022, respectively</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412,708 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(259,175)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(240,405)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167,536 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172,354 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216,860 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237,397 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8576" w:type="dxa"/>
        <w:jc w:val="left"/>
        <w:tblInd w:w="0" w:type="dxa"/>
        <w:tblLayout w:type="fixed"/>
        <w:tblCellMar>
          <w:top w:w="28" w:type="dxa"/>
          <w:left w:w="28" w:type="dxa"/>
          <w:bottom w:w="28" w:type="dxa"/>
          <w:right w:w="28" w:type="dxa"/>
        </w:tblCellMar>
      </w:tblPr>
      <w:tblGrid>
        <w:gridCol w:w="2168"/>
        <w:gridCol w:w="1901"/>
        <w:gridCol w:w="1916"/>
        <w:gridCol w:w="209"/>
        <w:gridCol w:w="785"/>
        <w:gridCol w:w="116"/>
        <w:gridCol w:w="109"/>
        <w:gridCol w:w="109"/>
        <w:gridCol w:w="109"/>
        <w:gridCol w:w="208"/>
        <w:gridCol w:w="783"/>
        <w:gridCol w:w="163"/>
      </w:tblGrid>
      <w:tr>
        <w:trPr/>
        <w:tc>
          <w:tcPr>
            <w:tcW w:w="2168"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Six Months Ended</w:t>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cash (used in)/provided by operating activities:</w:t>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provision</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discount in acquisition holdback</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fixed assets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early extinguishment of other financing obligations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other operating assets and liabilities:</w:t>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other current assets, other assets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payables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in)/provided by operating activities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under finance lease obligations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tax withholding related to net share settlement of equity awards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DFT holdback amount</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debt issuance costs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cash equivalents, and restricted cash</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103,581 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122,720 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CHANGES IN STOCKHOLDERS' EQUITY</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988"/>
        <w:gridCol w:w="577"/>
        <w:gridCol w:w="579"/>
        <w:gridCol w:w="323"/>
        <w:gridCol w:w="323"/>
        <w:gridCol w:w="186"/>
        <w:gridCol w:w="109"/>
        <w:gridCol w:w="109"/>
        <w:gridCol w:w="109"/>
        <w:gridCol w:w="196"/>
        <w:gridCol w:w="421"/>
        <w:gridCol w:w="109"/>
        <w:gridCol w:w="109"/>
        <w:gridCol w:w="109"/>
        <w:gridCol w:w="109"/>
        <w:gridCol w:w="209"/>
        <w:gridCol w:w="787"/>
        <w:gridCol w:w="116"/>
        <w:gridCol w:w="109"/>
        <w:gridCol w:w="109"/>
        <w:gridCol w:w="109"/>
        <w:gridCol w:w="421"/>
        <w:gridCol w:w="743"/>
        <w:gridCol w:w="234"/>
        <w:gridCol w:w="109"/>
        <w:gridCol w:w="109"/>
        <w:gridCol w:w="109"/>
        <w:gridCol w:w="211"/>
        <w:gridCol w:w="827"/>
        <w:gridCol w:w="117"/>
        <w:gridCol w:w="109"/>
        <w:gridCol w:w="109"/>
        <w:gridCol w:w="109"/>
        <w:gridCol w:w="215"/>
        <w:gridCol w:w="810"/>
        <w:gridCol w:w="178"/>
      </w:tblGrid>
      <w:tr>
        <w:trPr/>
        <w:tc>
          <w:tcPr>
            <w:tcW w:w="98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w:t>
              <w:br/>
              <w:t>Equity</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69,388 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420,980 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(251,151)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169,895 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awards vested, net of shares withheld to cover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69,467 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426,656 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(259,175)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167,536 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2022</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67,867 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378,546 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(203,593)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175,061 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awards vested, net of shares withheld to cover tax withholding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2022</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67,594 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391,967 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(217,752)</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174,312 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03"/>
        <w:gridCol w:w="619"/>
        <w:gridCol w:w="622"/>
        <w:gridCol w:w="323"/>
        <w:gridCol w:w="323"/>
        <w:gridCol w:w="186"/>
        <w:gridCol w:w="109"/>
        <w:gridCol w:w="109"/>
        <w:gridCol w:w="109"/>
        <w:gridCol w:w="196"/>
        <w:gridCol w:w="421"/>
        <w:gridCol w:w="109"/>
        <w:gridCol w:w="109"/>
        <w:gridCol w:w="109"/>
        <w:gridCol w:w="109"/>
        <w:gridCol w:w="209"/>
        <w:gridCol w:w="787"/>
        <w:gridCol w:w="116"/>
        <w:gridCol w:w="109"/>
        <w:gridCol w:w="109"/>
        <w:gridCol w:w="109"/>
        <w:gridCol w:w="421"/>
        <w:gridCol w:w="743"/>
        <w:gridCol w:w="234"/>
        <w:gridCol w:w="109"/>
        <w:gridCol w:w="109"/>
        <w:gridCol w:w="109"/>
        <w:gridCol w:w="211"/>
        <w:gridCol w:w="827"/>
        <w:gridCol w:w="117"/>
        <w:gridCol w:w="109"/>
        <w:gridCol w:w="109"/>
        <w:gridCol w:w="109"/>
        <w:gridCol w:w="215"/>
        <w:gridCol w:w="810"/>
        <w:gridCol w:w="178"/>
      </w:tblGrid>
      <w:tr>
        <w:trPr/>
        <w:tc>
          <w:tcPr>
            <w:tcW w:w="90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w:t>
              <w:br/>
              <w:t>Equity</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(240,405)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172,354 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awards vested, net of shares withheld to cover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401K match</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69,467 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426,656 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(259,175)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167,536 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367,153 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(186,977)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180,254 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 awards vested, net of shares withheld to cover tax withholding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2022</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67,594 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391,967 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(217,752)</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174,312 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283"/>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18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 ORGANIZATION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Telos Corporation, together with its subsidiaries (collectively, the "Company," "we," "our" or "Telos"), a Maryland corporation, is a leading provider of cyber, cloud and enterprise security solutions for the world's most security-conscious organizations. We own all of the issued and outstanding shares of Xacta Corporation, a subsidiary that develops, markets and sells government-validated secure enterprise solutions to government and commercial customers. We own the issued and outstanding share capital of ubIQuity.com, inc., a holding company for Xacta Corporation. We also have a 100% ownership interest in Telos Identity Management Solutions, LLC ("Telos ID"), Teloworks, Inc., and Telos APAC Pte. Ltd.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2. SIGNIFICANT ACCOUNTING POLICIES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and Principle of Consolidation</w:t>
      </w:r>
    </w:p>
    <w:p>
      <w:pPr>
        <w:pStyle w:val="TextBody"/>
        <w:bidi w:val="0"/>
        <w:spacing w:lineRule="auto" w:line="288" w:before="200" w:after="283"/>
        <w:jc w:val="left"/>
        <w:rPr/>
      </w:pPr>
      <w:r>
        <w:rPr>
          <w:rFonts w:ascii="Times New Roman;sans-serif" w:hAnsi="Times New Roman;sans-serif"/>
          <w:b w:val="false"/>
          <w:color w:val="000000"/>
          <w:sz w:val="20"/>
        </w:rPr>
        <w:t xml:space="preserve">The accompanying unaudited consolidated financial statements include the accounts of Telos and its subsidiaries (see </w:t>
      </w:r>
      <w:hyperlink w:anchor="i18f35a270336462393965f1d562b610d_34">
        <w:r>
          <w:rPr>
            <w:rStyle w:val="InternetLink"/>
            <w:rFonts w:ascii="Times New Roman;sans-serif" w:hAnsi="Times New Roman;sans-serif"/>
            <w:b w:val="false"/>
            <w:color w:val="0000FF"/>
            <w:sz w:val="20"/>
            <w:u w:val="single"/>
          </w:rPr>
          <w:t>Note 1 – Organization</w:t>
        </w:r>
      </w:hyperlink>
      <w:r>
        <w:rPr>
          <w:rFonts w:ascii="Times New Roman;sans-serif" w:hAnsi="Times New Roman;sans-serif"/>
          <w:b w:val="false"/>
          <w:color w:val="000000"/>
          <w:sz w:val="20"/>
        </w:rPr>
        <w:t>), all of whose issued and outstanding share capital is wholly owned directly and indirectly by Telos Corporation. All intercompany transactions have been eliminated in consolidation.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for Interim Periods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Certain information and footnote disclosures normally included for the annual financial statements prepared in accordance with accounting principles generally accepted in the United States of America ("U.S. GAAP") have been condensed or omitted for the interim periods presented. We believe that the unaudited interim financial statements include all adjustments (which are normal and recurring) necessary to state fairly our financial position and the results of operations and cash flows for the periods presented.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interim periods presented are not necessarily indicative of results that may be expected for the year or future periods. The financial statements should be read in conjunction with our audited consolidated financial statements and the notes thereto for the year ended December 31, 2022, included in our Annual Report on Form 10-K for the fiscal year then ended. We have continued to follow the accounting policies set forth in those financial statements.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Comparison - Revision of Previously Issued Interim Financial Statements</w:t>
      </w:r>
    </w:p>
    <w:p>
      <w:pPr>
        <w:pStyle w:val="TextBody"/>
        <w:bidi w:val="0"/>
        <w:spacing w:lineRule="auto" w:line="288" w:before="120" w:after="180"/>
        <w:jc w:val="left"/>
        <w:rPr/>
      </w:pPr>
      <w:r>
        <w:rPr>
          <w:rFonts w:ascii="Times New Roman;sans-serif" w:hAnsi="Times New Roman;sans-serif"/>
          <w:b w:val="false"/>
          <w:color w:val="000000"/>
          <w:sz w:val="20"/>
          <w:shd w:fill="FFFFFF" w:val="clear"/>
        </w:rPr>
        <w:t xml:space="preserve">During the course of preparing the Company's consolidated financial statements for the year ended December 31, 2022, we identified that stock-based compensation expense related to performance-based restricted stock unit (“PSU”) awards with market conditions was erroneously reversed when those PSUs were forfeited during the three and six months ended June 30, 2022. Although the Company has determined that the error did not have a material impact on its previously issued interim consolidated financial statements, it revised the previously reported interim financial information in conjunction with the issuance of its quarterly filings on Form 10-Q for the quarter ended June 30, 2023. </w:t>
      </w:r>
      <w:r>
        <w:rPr>
          <w:rFonts w:ascii="Times New Roman;sans-serif" w:hAnsi="Times New Roman;sans-serif"/>
          <w:b w:val="false"/>
          <w:color w:val="000000"/>
          <w:sz w:val="20"/>
        </w:rPr>
        <w:t xml:space="preserve">Further information regarding the misstatements and related revisions are included under </w:t>
      </w:r>
      <w:hyperlink w:anchor="i18f35a270336462393965f1d562b610d_100">
        <w:r>
          <w:rPr>
            <w:rStyle w:val="InternetLink"/>
            <w:rFonts w:ascii="Times New Roman;sans-serif" w:hAnsi="Times New Roman;sans-serif"/>
            <w:b w:val="false"/>
            <w:color w:val="0000FF"/>
            <w:sz w:val="20"/>
            <w:u w:val="single"/>
          </w:rPr>
          <w:t>Note 20 – Revision of Prior Year Interim Financial Statements</w:t>
        </w:r>
      </w:hyperlink>
      <w:r>
        <w:rPr>
          <w:color w:val="000000"/>
        </w:rPr>
        <w:t xml:space="preserve"> </w:t>
      </w:r>
      <w:r>
        <w:rPr>
          <w:rFonts w:ascii="Times New Roman;sans-serif" w:hAnsi="Times New Roman;sans-serif"/>
          <w:b w:val="false"/>
          <w:color w:val="000000"/>
          <w:sz w:val="20"/>
        </w:rPr>
        <w:t>to the unaudited consolidated financial statements.</w:t>
      </w:r>
    </w:p>
    <w:p>
      <w:pPr>
        <w:pStyle w:val="TextBody"/>
        <w:bidi w:val="0"/>
        <w:spacing w:lineRule="auto" w:line="288" w:before="20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Preparing unaudited consolidated financial statements in conformity with U.S. GAAP requires management to make estimates and assumptions that affect the reported amounts of revenue, expenses, assets and liabilities, and disclosure of contingent assets and liabilities. The Company regularly assesses these estimates; however, actual results could differ from those estimates. We base our estimates on historical experience, currently available information, and various other assumptions that we believe are reasonable under the circumstances.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evaluates these estimates and assumptions on an ongoing basis, including those relating to revenue recognition on cost estimation on certain contracts, allowance for credit losses, inventory obsolescence, valuation allowance for deferred tax assets, income taxes, certain assumptions related to stock-based compensation, valuation of intangible assets and goodwill, restructuring expenses accruals, and contingencies. Actual results could differ from those estimates. The impact of changes in estimates is recorded in the period in which they become known.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grants stock-based compensation awards under the 2016 Omnibus Long-Term Incentive Plan, as amended (the "2016 LTIP"). Our 2016 LTIP provides for the grant of stock options, stock appreciation rights, restricted stock, restricted stock units, and dividend equivalent rights to our senior executives, directors, employees, and other eligible service providers. The stock options granted under the 2016 LTIP expire no more than 10 years after the date of grant.</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service-based restricted stock units ("RSUs") granted generally vest in installments over a period of up to three years from the date of grant. The PSUs vest upon the achievement of a defined performance target or at the end of the defined performance period from the date of grant, whichever initially occurs. The fair value of each RSU award is based on the closing stock price on the date of grant, while the fair value of the PSU awards with market condition is based on using a Monte Carlo simulation.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 fair value of stock options on the date of the grant using an option pricing model. The option pricing model takes into consideration the current share price of the underlying common stock, exercise price of the option, expected term, risk-free interest rate and the volatility of share price. These considerations directly affect the amount of compensation expense that will ultimately be recognized.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these stock-based payment transactions when services from the employees, directors and other eligible service providers are received and recognized a corresponding increase in additional paid-in capital in our unaudited consolidated balances sheets. The measurement objective for these equity awards is the estimated fair value at the date of grant of the equity instruments that we are obligated to issue when the employees, directors and other eligible service providers have rendered the requisite service and satisfied any other conditions necessary to earn the right to benefit from the instruments. The stock-based compensation expense for an award is recognized ratably over the requisite service period, which is generally the vesting period or if it is probable that the performance condition will be satisfied. For the comparative periods, the stock-based payment transactions are recognized in accordance with ASC 718, "Compensation - Stock Compensation" and ASU 2018-07, "Compensation - Stock Compensation (Topic 718): Improvements to Non-employee Share-Based Payment Accounting". </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Restructuring Expenses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the Company committed to a restructuring plan to streamline its workforce and spending to better align its cost structure with its volume of business. The restructuring plan reduced the Company's workforce, with a majority of the affected employees separating from the business in early 2023. In connection with this restructuring plan, we incurred restructuring-related costs, including employee severance and related benefit costs. Employee severance and related benefit costs include cash payments, outplacement services and continuing health insurance coverage. Severance costs pursuant to ongoing-benefit arrangements are recognized when probable and reasonably estimated. Other related costs include external consulting and advisory fees related to implementing the restructuring plan. These costs are recognized at fair value in the period in which the costs are incurred.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the Company's Annual Report on Form 10-K for the year ended December 31, 2022, the Company estimated that the expected restructuring expenses were $2.8 million as of December 31, 2022. As of June 30, 2023, the Company has updated its total expected restructuring plan costs to $4.0 million, based on the Company's review of the restructuring plan for the remainder of 2023. The restructuring expenses are recorded under "Selling, general and administrative expenses" in the Company's unaudited consolidated statements of operations.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 each reporting date, the Company evaluates its restructuring expense accrual to determine if the liabilities reported are still appropriate. Any changes in the estimated costs of executing the approved restructuring plan are reflected in the Company's unaudited consolidated statement of operations.</w:t>
      </w:r>
    </w:p>
    <w:tbl>
      <w:tblPr>
        <w:tblW w:w="9184" w:type="dxa"/>
        <w:jc w:val="left"/>
        <w:tblInd w:w="0" w:type="dxa"/>
        <w:tblLayout w:type="fixed"/>
        <w:tblCellMar>
          <w:top w:w="28" w:type="dxa"/>
          <w:left w:w="28" w:type="dxa"/>
          <w:bottom w:w="28" w:type="dxa"/>
          <w:right w:w="28" w:type="dxa"/>
        </w:tblCellMar>
      </w:tblPr>
      <w:tblGrid>
        <w:gridCol w:w="827"/>
        <w:gridCol w:w="726"/>
        <w:gridCol w:w="726"/>
        <w:gridCol w:w="848"/>
        <w:gridCol w:w="2406"/>
        <w:gridCol w:w="471"/>
        <w:gridCol w:w="109"/>
        <w:gridCol w:w="109"/>
        <w:gridCol w:w="109"/>
        <w:gridCol w:w="369"/>
        <w:gridCol w:w="1046"/>
        <w:gridCol w:w="205"/>
        <w:gridCol w:w="109"/>
        <w:gridCol w:w="109"/>
        <w:gridCol w:w="109"/>
        <w:gridCol w:w="196"/>
        <w:gridCol w:w="556"/>
        <w:gridCol w:w="154"/>
      </w:tblGrid>
      <w:tr>
        <w:trPr/>
        <w:tc>
          <w:tcPr>
            <w:tcW w:w="82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2: Summary of Changes in Restructuring Expenses 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 xml:space="preserve">Severance and related benefit costs </w:t>
            </w:r>
            <w:r>
              <w:rPr>
                <w:rFonts w:ascii="Times New Roman;sans-serif" w:hAnsi="Times New Roman;sans-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 xml:space="preserve">Other related costs </w:t>
            </w:r>
            <w:r>
              <w:rPr>
                <w:rFonts w:ascii="Times New Roman;sans-serif" w:hAnsi="Times New Roman;sans-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(Adjustments)/charges</w:t>
            </w:r>
          </w:p>
        </w:tc>
        <w:tc>
          <w:tcPr>
            <w:tcW w:w="3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w:t>
            </w:r>
          </w:p>
        </w:tc>
        <w:tc>
          <w:tcPr>
            <w:tcW w:w="3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2023</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Restructuring-related liabilities are reported as part of "Other current liabilities" in the Company's unaudited consolidated balance sheets, see </w:t>
      </w:r>
      <w:hyperlink w:anchor="i18f35a270336462393965f1d562b610d_61">
        <w:r>
          <w:rPr>
            <w:rStyle w:val="InternetLink"/>
            <w:rFonts w:ascii="Times New Roman;sans-serif" w:hAnsi="Times New Roman;sans-serif"/>
            <w:b w:val="false"/>
            <w:color w:val="0000FF"/>
            <w:sz w:val="16"/>
            <w:u w:val="single"/>
          </w:rPr>
          <w:t>Note 9 - Other Balance Sheet Components</w:t>
        </w:r>
      </w:hyperlink>
      <w:r>
        <w:rPr>
          <w:color w:val="000000"/>
        </w:rPr>
        <w:t xml:space="preserve"> </w:t>
      </w:r>
      <w:r>
        <w:rPr>
          <w:rFonts w:ascii="Times New Roman;sans-serif" w:hAnsi="Times New Roman;sans-serif"/>
          <w:b w:val="false"/>
          <w:color w:val="000000"/>
          <w:sz w:val="16"/>
        </w:rPr>
        <w:t>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20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w:t>
      </w:r>
    </w:p>
    <w:p>
      <w:pPr>
        <w:pStyle w:val="TextBody"/>
        <w:bidi w:val="0"/>
        <w:spacing w:lineRule="auto" w:line="288" w:before="20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standards are issued by the Financial Accounting Standards Board or other standard-setting bodies and are adopted by the Company as of the specified accounting date. Unless otherwise discussed, the Company believes that issued standards not yet effective will not have a material effect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3. REVENUE RECOGNITION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revenue in accordance with ASC Topic 606, "Revenue from Contracts with Customers." The unit of account in ASC 606 is a performance obligation, which is a promise in a contract with a customer to transfer a good or service to the customer.</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revenue is recognized over time, as control is transferred continuously to our customers who receive and consume benefits as we perform. Revenue transferred to customers over time accounted for 88% and 89% of our revenue for the three and six months ended June 30, 2023, respectively, and 90% and 93% of our revenue for the three and six months ended June 30, 2022, respectively. All of our business groups earn services revenue under a variety of contract types, including time and materials, firm-fixed price, firm-fixed price level of effort, and cost-plus fixed fee contract types, which may include variable consideration.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performance obligations in which control does not continuously transfer to the customer, we recognize revenue at the point in time in which each performance obligation is fully satisfied. This coincides with the point in time the customer obtains control of the product or service, which typically occurs upon customer acceptance or receipt of the product or service, given that we maintain control of the product or service until that point. Revenue transferred to customers at a point in time accounted for 12% and 11% of our revenue for the three and six months ended June 30, 2023, respectively, and 10% and 7% of our revenue for the three and six months ended June 30, 2022, respectively.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Orders for the sale of software licenses may contain multiple performance obligations, such as maintenance, training, or consulting services, which are typically delivered over time, consistent with the transfer of control disclosed above for the provision of services. When an order contains multiple performance obligations, we allocate the transaction price to the performance obligations based on the standalone selling price of the product or service underlying each performance obligation. The standalone selling price represents the amount we would sell the product or service to a customer on a standalone basis.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certain performance obligations where we are not primarily responsible for fulfilling the promise to provide the goods or services to the customer, do not have inventory risk and have limited discretion in establishing the price for the goods or services, we recognize revenue on a net basis.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for anticipated losses on contracts during the period when the loss is determined by recording an expense for the total expected costs that exceed the total estimated revenue for a performance obligation. No contract losses were recorded during the three and six months ended June 30, 2023 and 2022.</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Revenues</w:t>
      </w:r>
    </w:p>
    <w:p>
      <w:pPr>
        <w:pStyle w:val="TextBody"/>
        <w:bidi w:val="0"/>
        <w:spacing w:lineRule="auto" w:line="288" w:before="120" w:after="180"/>
        <w:jc w:val="left"/>
        <w:rPr/>
      </w:pPr>
      <w:r>
        <w:rPr>
          <w:rFonts w:ascii="Times New Roman;sans-serif" w:hAnsi="Times New Roman;sans-serif"/>
          <w:b w:val="false"/>
          <w:color w:val="000000"/>
          <w:sz w:val="20"/>
        </w:rPr>
        <w:t xml:space="preserve">In addition to our segment reporting, as further discussed in </w:t>
      </w:r>
      <w:hyperlink w:anchor="i18f35a270336462393965f1d562b610d_91">
        <w:r>
          <w:rPr>
            <w:rStyle w:val="InternetLink"/>
            <w:rFonts w:ascii="Times New Roman;sans-serif" w:hAnsi="Times New Roman;sans-serif"/>
            <w:b w:val="false"/>
            <w:color w:val="0000FF"/>
            <w:sz w:val="20"/>
            <w:u w:val="single"/>
          </w:rPr>
          <w:t>Note 17 – Segment Information</w:t>
        </w:r>
      </w:hyperlink>
      <w:r>
        <w:rPr>
          <w:rFonts w:ascii="Times New Roman;sans-serif" w:hAnsi="Times New Roman;sans-serif"/>
          <w:b w:val="false"/>
          <w:color w:val="000000"/>
          <w:sz w:val="20"/>
        </w:rPr>
        <w:t>, we disaggregate our revenues by customer and contract types. We treat sales to U.S. customers as sales within the U.S. regardless of where the services are performed. Substantially most of our revenues are generated from U.S. customers, while international customers are de minimis; as such, the financial information by geographic location is not presented.</w:t>
      </w:r>
    </w:p>
    <w:tbl>
      <w:tblPr>
        <w:tblW w:w="10205" w:type="dxa"/>
        <w:jc w:val="left"/>
        <w:tblInd w:w="0" w:type="dxa"/>
        <w:tblLayout w:type="fixed"/>
        <w:tblCellMar>
          <w:top w:w="28" w:type="dxa"/>
          <w:left w:w="28" w:type="dxa"/>
          <w:bottom w:w="28" w:type="dxa"/>
          <w:right w:w="28" w:type="dxa"/>
        </w:tblCellMar>
      </w:tblPr>
      <w:tblGrid>
        <w:gridCol w:w="612"/>
        <w:gridCol w:w="536"/>
        <w:gridCol w:w="543"/>
        <w:gridCol w:w="196"/>
        <w:gridCol w:w="646"/>
        <w:gridCol w:w="109"/>
        <w:gridCol w:w="109"/>
        <w:gridCol w:w="109"/>
        <w:gridCol w:w="109"/>
        <w:gridCol w:w="189"/>
        <w:gridCol w:w="189"/>
        <w:gridCol w:w="193"/>
        <w:gridCol w:w="109"/>
        <w:gridCol w:w="109"/>
        <w:gridCol w:w="109"/>
        <w:gridCol w:w="196"/>
        <w:gridCol w:w="646"/>
        <w:gridCol w:w="109"/>
        <w:gridCol w:w="109"/>
        <w:gridCol w:w="109"/>
        <w:gridCol w:w="109"/>
        <w:gridCol w:w="189"/>
        <w:gridCol w:w="189"/>
        <w:gridCol w:w="193"/>
        <w:gridCol w:w="109"/>
        <w:gridCol w:w="109"/>
        <w:gridCol w:w="109"/>
        <w:gridCol w:w="196"/>
        <w:gridCol w:w="646"/>
        <w:gridCol w:w="109"/>
        <w:gridCol w:w="109"/>
        <w:gridCol w:w="109"/>
        <w:gridCol w:w="109"/>
        <w:gridCol w:w="189"/>
        <w:gridCol w:w="189"/>
        <w:gridCol w:w="193"/>
        <w:gridCol w:w="109"/>
        <w:gridCol w:w="109"/>
        <w:gridCol w:w="109"/>
        <w:gridCol w:w="196"/>
        <w:gridCol w:w="736"/>
        <w:gridCol w:w="109"/>
        <w:gridCol w:w="109"/>
        <w:gridCol w:w="109"/>
        <w:gridCol w:w="109"/>
        <w:gridCol w:w="180"/>
        <w:gridCol w:w="180"/>
        <w:gridCol w:w="258"/>
      </w:tblGrid>
      <w:tr>
        <w:trPr/>
        <w:tc>
          <w:tcPr>
            <w:tcW w:w="61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0205"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3.1: Revenue by Customer Type</w:t>
            </w:r>
          </w:p>
        </w:tc>
      </w:tr>
      <w:tr>
        <w:trPr/>
        <w:tc>
          <w:tcPr>
            <w:tcW w:w="1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2"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Six Months Ended</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r>
      <w:tr>
        <w:trPr/>
        <w:tc>
          <w:tcPr>
            <w:tcW w:w="1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&amp; local, and commercial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r>
      <w:tr>
        <w:trPr/>
        <w:tc>
          <w:tcPr>
            <w:tcW w:w="1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tbl>
      <w:tblPr>
        <w:tblW w:w="9998" w:type="dxa"/>
        <w:jc w:val="left"/>
        <w:tblInd w:w="0" w:type="dxa"/>
        <w:tblLayout w:type="fixed"/>
        <w:tblCellMar>
          <w:top w:w="28" w:type="dxa"/>
          <w:left w:w="28" w:type="dxa"/>
          <w:bottom w:w="28" w:type="dxa"/>
          <w:right w:w="28" w:type="dxa"/>
        </w:tblCellMar>
      </w:tblPr>
      <w:tblGrid>
        <w:gridCol w:w="538"/>
        <w:gridCol w:w="472"/>
        <w:gridCol w:w="476"/>
        <w:gridCol w:w="196"/>
        <w:gridCol w:w="646"/>
        <w:gridCol w:w="109"/>
        <w:gridCol w:w="109"/>
        <w:gridCol w:w="109"/>
        <w:gridCol w:w="109"/>
        <w:gridCol w:w="189"/>
        <w:gridCol w:w="189"/>
        <w:gridCol w:w="193"/>
        <w:gridCol w:w="109"/>
        <w:gridCol w:w="109"/>
        <w:gridCol w:w="109"/>
        <w:gridCol w:w="196"/>
        <w:gridCol w:w="646"/>
        <w:gridCol w:w="109"/>
        <w:gridCol w:w="109"/>
        <w:gridCol w:w="109"/>
        <w:gridCol w:w="109"/>
        <w:gridCol w:w="189"/>
        <w:gridCol w:w="189"/>
        <w:gridCol w:w="193"/>
        <w:gridCol w:w="109"/>
        <w:gridCol w:w="109"/>
        <w:gridCol w:w="109"/>
        <w:gridCol w:w="196"/>
        <w:gridCol w:w="646"/>
        <w:gridCol w:w="109"/>
        <w:gridCol w:w="109"/>
        <w:gridCol w:w="109"/>
        <w:gridCol w:w="109"/>
        <w:gridCol w:w="189"/>
        <w:gridCol w:w="189"/>
        <w:gridCol w:w="193"/>
        <w:gridCol w:w="109"/>
        <w:gridCol w:w="109"/>
        <w:gridCol w:w="109"/>
        <w:gridCol w:w="196"/>
        <w:gridCol w:w="736"/>
        <w:gridCol w:w="109"/>
        <w:gridCol w:w="109"/>
        <w:gridCol w:w="109"/>
        <w:gridCol w:w="109"/>
        <w:gridCol w:w="180"/>
        <w:gridCol w:w="180"/>
        <w:gridCol w:w="25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9998"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3.2: Revenue by Contract Type</w:t>
            </w:r>
          </w:p>
        </w:tc>
      </w:tr>
      <w:tr>
        <w:trPr/>
        <w:tc>
          <w:tcPr>
            <w:tcW w:w="1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Six Months Ended</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Firm fixed-price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Time-and-materials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plus fixed fee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r>
    </w:tbl>
    <w:tbl>
      <w:tblPr>
        <w:tblW w:w="9385" w:type="dxa"/>
        <w:jc w:val="left"/>
        <w:tblInd w:w="0" w:type="dxa"/>
        <w:tblLayout w:type="fixed"/>
        <w:tblCellMar>
          <w:top w:w="28" w:type="dxa"/>
          <w:left w:w="28" w:type="dxa"/>
          <w:bottom w:w="28" w:type="dxa"/>
          <w:right w:w="28" w:type="dxa"/>
        </w:tblCellMar>
      </w:tblPr>
      <w:tblGrid>
        <w:gridCol w:w="1019"/>
        <w:gridCol w:w="897"/>
        <w:gridCol w:w="903"/>
        <w:gridCol w:w="370"/>
        <w:gridCol w:w="370"/>
        <w:gridCol w:w="370"/>
        <w:gridCol w:w="240"/>
        <w:gridCol w:w="240"/>
        <w:gridCol w:w="240"/>
        <w:gridCol w:w="370"/>
        <w:gridCol w:w="370"/>
        <w:gridCol w:w="370"/>
        <w:gridCol w:w="227"/>
        <w:gridCol w:w="227"/>
        <w:gridCol w:w="227"/>
        <w:gridCol w:w="370"/>
        <w:gridCol w:w="370"/>
        <w:gridCol w:w="370"/>
        <w:gridCol w:w="227"/>
        <w:gridCol w:w="227"/>
        <w:gridCol w:w="227"/>
        <w:gridCol w:w="338"/>
        <w:gridCol w:w="338"/>
        <w:gridCol w:w="478"/>
      </w:tblGrid>
      <w:tr>
        <w:trPr/>
        <w:tc>
          <w:tcPr>
            <w:tcW w:w="101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938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3.3: Revenue Concentration Greater than 10% of Total Revenue</w:t>
            </w:r>
          </w:p>
        </w:tc>
      </w:tr>
      <w:tr>
        <w:trPr/>
        <w:tc>
          <w:tcPr>
            <w:tcW w:w="2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Six Months Ended</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Department of Defense ("DoD")</w:t>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71 %</w:t>
            </w:r>
          </w:p>
        </w:tc>
      </w:tr>
    </w:tbl>
    <w:tbl>
      <w:tblPr>
        <w:tblW w:w="7536" w:type="dxa"/>
        <w:jc w:val="left"/>
        <w:tblInd w:w="0" w:type="dxa"/>
        <w:tblLayout w:type="fixed"/>
        <w:tblCellMar>
          <w:top w:w="28" w:type="dxa"/>
          <w:left w:w="28" w:type="dxa"/>
          <w:bottom w:w="28" w:type="dxa"/>
          <w:right w:w="28" w:type="dxa"/>
        </w:tblCellMar>
      </w:tblPr>
      <w:tblGrid>
        <w:gridCol w:w="803"/>
        <w:gridCol w:w="707"/>
        <w:gridCol w:w="709"/>
        <w:gridCol w:w="669"/>
        <w:gridCol w:w="669"/>
        <w:gridCol w:w="671"/>
        <w:gridCol w:w="109"/>
        <w:gridCol w:w="109"/>
        <w:gridCol w:w="109"/>
        <w:gridCol w:w="228"/>
        <w:gridCol w:w="754"/>
        <w:gridCol w:w="127"/>
        <w:gridCol w:w="109"/>
        <w:gridCol w:w="109"/>
        <w:gridCol w:w="109"/>
        <w:gridCol w:w="304"/>
        <w:gridCol w:w="1002"/>
        <w:gridCol w:w="239"/>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53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3.4: Contract Balances</w:t>
            </w:r>
          </w:p>
        </w:tc>
      </w:tr>
      <w:tr>
        <w:trPr/>
        <w:tc>
          <w:tcPr>
            <w:tcW w:w="22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Balance Sheet Presentation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Billed accounts receivables </w:t>
            </w:r>
            <w:r>
              <w:rPr>
                <w:rFonts w:ascii="Times New Roman;sans-serif" w:hAnsi="Times New Roman;sans-serif"/>
                <w:b w:val="false"/>
                <w:color w:val="000000"/>
                <w:sz w:val="12"/>
              </w:rPr>
              <w:t>(1)</w:t>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accounts receivable</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Net of allowance for credit losses.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the Company's contract assets and contract liabilities during the current period was primarily the result of the timing differences between the Company's performance, invoicing and customer payments. Revenue recognized for the three and six months ended June 30, 2023, that was included in the contract liabilities balance at the beginning of each reporting period was $1.6 million and $4.1 million, respectively. Revenue recognized for the three and six months ended June 30, 2022, that was included in the contract liabilities balance at the beginning of each reporting period was and $1.6 million and $4.1 million, respectively.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approximately $66.5 million of remaining performance obligations, which we also refer to as funded backlog. We expect to recognize approximately 80% of our remaining performance obligations over the next 12 months, and the balance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4. ACCOUNTS RECEIVABLE, NET</w:t>
      </w:r>
    </w:p>
    <w:tbl>
      <w:tblPr>
        <w:tblW w:w="5522" w:type="dxa"/>
        <w:jc w:val="left"/>
        <w:tblInd w:w="0" w:type="dxa"/>
        <w:tblLayout w:type="fixed"/>
        <w:tblCellMar>
          <w:top w:w="28" w:type="dxa"/>
          <w:left w:w="28" w:type="dxa"/>
          <w:bottom w:w="28" w:type="dxa"/>
          <w:right w:w="28" w:type="dxa"/>
        </w:tblCellMar>
      </w:tblPr>
      <w:tblGrid>
        <w:gridCol w:w="814"/>
        <w:gridCol w:w="717"/>
        <w:gridCol w:w="719"/>
        <w:gridCol w:w="265"/>
        <w:gridCol w:w="874"/>
        <w:gridCol w:w="147"/>
        <w:gridCol w:w="147"/>
        <w:gridCol w:w="147"/>
        <w:gridCol w:w="147"/>
        <w:gridCol w:w="304"/>
        <w:gridCol w:w="1003"/>
        <w:gridCol w:w="238"/>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552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4: Details of Accounts Receivable, Net</w:t>
            </w:r>
          </w:p>
        </w:tc>
      </w:tr>
      <w:tr>
        <w:trPr/>
        <w:tc>
          <w:tcPr>
            <w:tcW w:w="2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Billed accounts receivable</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13,655 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accounts receivable</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Allowance for credit losses </w:t>
            </w:r>
            <w:r>
              <w:rPr>
                <w:rFonts w:ascii="Times New Roman;sans-serif" w:hAnsi="Times New Roman;sans-serif"/>
                <w:b w:val="false"/>
                <w:color w:val="000000"/>
                <w:sz w:val="12"/>
              </w:rPr>
              <w:t>(1)</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34,290 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40,069 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Includes provision for credit losses, net of recoveries.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our primary customer base includes agencies of the U.S. government, we have a concentration of credit risk associated with our accounts receivable, as 91% of our billed and unbilled accounts receivable as of June 30, 2023, were directly with U.S. government customers. While we acknowledge the potential material and adverse risk of such a significant concentration of credit risk, our past experience collecting substantially all of such receivables provides us with an informed basis that such risk, if any, is manageable. We perform ongoing credit evaluations of all of our customers and generally do not require collateral or other guarantee from our customers. We maintain allowances for potential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5. INVENTORIES, NET</w:t>
      </w:r>
    </w:p>
    <w:tbl>
      <w:tblPr>
        <w:tblW w:w="5814" w:type="dxa"/>
        <w:jc w:val="left"/>
        <w:tblInd w:w="0" w:type="dxa"/>
        <w:tblLayout w:type="fixed"/>
        <w:tblCellMar>
          <w:top w:w="28" w:type="dxa"/>
          <w:left w:w="28" w:type="dxa"/>
          <w:bottom w:w="28" w:type="dxa"/>
          <w:right w:w="28" w:type="dxa"/>
        </w:tblCellMar>
      </w:tblPr>
      <w:tblGrid>
        <w:gridCol w:w="1026"/>
        <w:gridCol w:w="903"/>
        <w:gridCol w:w="905"/>
        <w:gridCol w:w="252"/>
        <w:gridCol w:w="717"/>
        <w:gridCol w:w="140"/>
        <w:gridCol w:w="109"/>
        <w:gridCol w:w="109"/>
        <w:gridCol w:w="109"/>
        <w:gridCol w:w="334"/>
        <w:gridCol w:w="948"/>
        <w:gridCol w:w="262"/>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5: Details of Inventories, Net</w:t>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inventory</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Allowance for inventory obsolescence</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6. PROPERTY AND EQUIPMENT, NET</w:t>
      </w:r>
    </w:p>
    <w:tbl>
      <w:tblPr>
        <w:tblW w:w="6679" w:type="dxa"/>
        <w:jc w:val="left"/>
        <w:tblInd w:w="0" w:type="dxa"/>
        <w:tblLayout w:type="fixed"/>
        <w:tblCellMar>
          <w:top w:w="28" w:type="dxa"/>
          <w:left w:w="28" w:type="dxa"/>
          <w:bottom w:w="28" w:type="dxa"/>
          <w:right w:w="28" w:type="dxa"/>
        </w:tblCellMar>
      </w:tblPr>
      <w:tblGrid>
        <w:gridCol w:w="1145"/>
        <w:gridCol w:w="1006"/>
        <w:gridCol w:w="1013"/>
        <w:gridCol w:w="302"/>
        <w:gridCol w:w="996"/>
        <w:gridCol w:w="168"/>
        <w:gridCol w:w="168"/>
        <w:gridCol w:w="168"/>
        <w:gridCol w:w="168"/>
        <w:gridCol w:w="304"/>
        <w:gridCol w:w="1003"/>
        <w:gridCol w:w="238"/>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667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6.1: Details of Property and Equipment, Net</w:t>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equipment</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16,033 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at cost</w:t>
            </w:r>
          </w:p>
        </w:tc>
        <w:tc>
          <w:tcPr>
            <w:tcW w:w="12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19,178 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 and amortization</w:t>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(14,391)</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4,787 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63" w:type="dxa"/>
        <w:jc w:val="left"/>
        <w:tblInd w:w="0" w:type="dxa"/>
        <w:tblLayout w:type="fixed"/>
        <w:tblCellMar>
          <w:top w:w="28" w:type="dxa"/>
          <w:left w:w="28" w:type="dxa"/>
          <w:bottom w:w="28" w:type="dxa"/>
          <w:right w:w="28" w:type="dxa"/>
        </w:tblCellMar>
      </w:tblPr>
      <w:tblGrid>
        <w:gridCol w:w="988"/>
        <w:gridCol w:w="869"/>
        <w:gridCol w:w="872"/>
        <w:gridCol w:w="300"/>
        <w:gridCol w:w="644"/>
        <w:gridCol w:w="166"/>
        <w:gridCol w:w="132"/>
        <w:gridCol w:w="132"/>
        <w:gridCol w:w="132"/>
        <w:gridCol w:w="300"/>
        <w:gridCol w:w="644"/>
        <w:gridCol w:w="166"/>
        <w:gridCol w:w="109"/>
        <w:gridCol w:w="109"/>
        <w:gridCol w:w="109"/>
        <w:gridCol w:w="252"/>
        <w:gridCol w:w="717"/>
        <w:gridCol w:w="140"/>
        <w:gridCol w:w="109"/>
        <w:gridCol w:w="109"/>
        <w:gridCol w:w="109"/>
        <w:gridCol w:w="250"/>
        <w:gridCol w:w="709"/>
        <w:gridCol w:w="196"/>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8263"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6.2: Depreciation and Amortization Expense</w:t>
            </w:r>
          </w:p>
        </w:tc>
      </w:tr>
      <w:tr>
        <w:trPr/>
        <w:tc>
          <w:tcPr>
            <w:tcW w:w="2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Six Months Ended</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&amp; amortization expense</w:t>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7. GOODWILL</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goodwill balance was $17.9 million as of June 30, 2023, and December 31, 2022, of which $3.0 million is allocated to the Security Solutions segment and $14.9 million is allocated to the Secure Networks segment. Goodwill is subject to annual impairment tests and if triggering events are present in the interim before the annual tests, we will assess impairment. No impairment charges were recorded for the three and six months ended June 30, 2023 and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8. INTANGIBLE ASSETS, NET</w:t>
      </w:r>
    </w:p>
    <w:tbl>
      <w:tblPr>
        <w:tblW w:w="10205" w:type="dxa"/>
        <w:jc w:val="left"/>
        <w:tblInd w:w="0" w:type="dxa"/>
        <w:tblLayout w:type="fixed"/>
        <w:tblCellMar>
          <w:top w:w="28" w:type="dxa"/>
          <w:left w:w="28" w:type="dxa"/>
          <w:bottom w:w="28" w:type="dxa"/>
          <w:right w:w="28" w:type="dxa"/>
        </w:tblCellMar>
      </w:tblPr>
      <w:tblGrid>
        <w:gridCol w:w="489"/>
        <w:gridCol w:w="339"/>
        <w:gridCol w:w="340"/>
        <w:gridCol w:w="297"/>
        <w:gridCol w:w="297"/>
        <w:gridCol w:w="298"/>
        <w:gridCol w:w="218"/>
        <w:gridCol w:w="721"/>
        <w:gridCol w:w="121"/>
        <w:gridCol w:w="109"/>
        <w:gridCol w:w="109"/>
        <w:gridCol w:w="109"/>
        <w:gridCol w:w="256"/>
        <w:gridCol w:w="749"/>
        <w:gridCol w:w="144"/>
        <w:gridCol w:w="109"/>
        <w:gridCol w:w="109"/>
        <w:gridCol w:w="109"/>
        <w:gridCol w:w="210"/>
        <w:gridCol w:w="692"/>
        <w:gridCol w:w="116"/>
        <w:gridCol w:w="109"/>
        <w:gridCol w:w="109"/>
        <w:gridCol w:w="109"/>
        <w:gridCol w:w="218"/>
        <w:gridCol w:w="721"/>
        <w:gridCol w:w="121"/>
        <w:gridCol w:w="109"/>
        <w:gridCol w:w="109"/>
        <w:gridCol w:w="109"/>
        <w:gridCol w:w="256"/>
        <w:gridCol w:w="749"/>
        <w:gridCol w:w="144"/>
        <w:gridCol w:w="109"/>
        <w:gridCol w:w="109"/>
        <w:gridCol w:w="109"/>
        <w:gridCol w:w="209"/>
        <w:gridCol w:w="690"/>
        <w:gridCol w:w="175"/>
      </w:tblGrid>
      <w:tr>
        <w:trPr/>
        <w:tc>
          <w:tcPr>
            <w:tcW w:w="48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8: Details of Intangible Assets, Net</w:t>
            </w:r>
          </w:p>
        </w:tc>
      </w:tr>
      <w:tr>
        <w:trPr/>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Estimated Useful Life</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Carrying Value</w:t>
            </w:r>
          </w:p>
        </w:tc>
      </w:tr>
      <w:tr>
        <w:trPr/>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years)</w:t>
            </w:r>
          </w:p>
        </w:tc>
        <w:tc>
          <w:tcPr>
            <w:tcW w:w="814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technology</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w:t>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 development costs</w:t>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2 - 5</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47,364 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(9,550)</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37,814 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(8,455)</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Software held for resale </w:t>
            </w:r>
            <w:r>
              <w:rPr>
                <w:rFonts w:ascii="Times New Roman;sans-serif" w:hAnsi="Times New Roman;sans-serif"/>
                <w:b w:val="false"/>
                <w:color w:val="000000"/>
                <w:sz w:val="12"/>
              </w:rPr>
              <w:t>(1)</w:t>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47,364 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(9,550)</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37,814 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45,870 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(8,455)</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37,415 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This amount is net of $0.6 million charged into cost for sales for the period ended December 31, 2022. See </w:t>
      </w:r>
      <w:hyperlink w:anchor="i18f35a270336462393965f1d562b610d_64">
        <w:r>
          <w:rPr>
            <w:rStyle w:val="InternetLink"/>
            <w:rFonts w:ascii="Times New Roman;sans-serif" w:hAnsi="Times New Roman;sans-serif"/>
            <w:b w:val="false"/>
            <w:color w:val="0000FF"/>
            <w:sz w:val="16"/>
            <w:u w:val="single"/>
          </w:rPr>
          <w:t>Note 10 – Debt and Other Obligations</w:t>
        </w:r>
      </w:hyperlink>
      <w:r>
        <w:rPr>
          <w:color w:val="000000"/>
        </w:rPr>
        <w:t xml:space="preserve"> </w:t>
      </w:r>
      <w:r>
        <w:rPr>
          <w:rFonts w:ascii="Times New Roman;sans-serif" w:hAnsi="Times New Roman;sans-serif"/>
          <w:b w:val="false"/>
          <w:color w:val="000000"/>
          <w:sz w:val="16"/>
        </w:rPr>
        <w:t xml:space="preserve">for related details.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capitalized software development costs was $0.6 million and $0.9 million for the three and six months ended June 30, 2023, respectively, and $0.3 million and $0.7 million for the three and six months ended June 30, 2022, respectively.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other intangible assets was $0.1 million and $0.2 million for the three and six months ended June 30, 2023, respectively, and $0.1 million and $0.2 million for the three and six months ended June 30,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9. OTHER BALANCE SHEET COMPONENTS</w:t>
      </w:r>
    </w:p>
    <w:tbl>
      <w:tblPr>
        <w:tblW w:w="8061" w:type="dxa"/>
        <w:jc w:val="left"/>
        <w:tblInd w:w="0" w:type="dxa"/>
        <w:tblLayout w:type="fixed"/>
        <w:tblCellMar>
          <w:top w:w="28" w:type="dxa"/>
          <w:left w:w="28" w:type="dxa"/>
          <w:bottom w:w="28" w:type="dxa"/>
          <w:right w:w="28" w:type="dxa"/>
        </w:tblCellMar>
      </w:tblPr>
      <w:tblGrid>
        <w:gridCol w:w="1210"/>
        <w:gridCol w:w="1062"/>
        <w:gridCol w:w="1072"/>
        <w:gridCol w:w="406"/>
        <w:gridCol w:w="1341"/>
        <w:gridCol w:w="226"/>
        <w:gridCol w:w="226"/>
        <w:gridCol w:w="226"/>
        <w:gridCol w:w="226"/>
        <w:gridCol w:w="406"/>
        <w:gridCol w:w="1341"/>
        <w:gridCol w:w="319"/>
      </w:tblGrid>
      <w:tr>
        <w:trPr/>
        <w:tc>
          <w:tcPr>
            <w:tcW w:w="121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806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9.1: Details of Accounts Payable and Other Accrued Liabilities</w:t>
            </w:r>
          </w:p>
        </w:tc>
      </w:tr>
      <w:tr>
        <w:trPr/>
        <w:tc>
          <w:tcPr>
            <w:tcW w:w="3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payables</w:t>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16,506 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22,551 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35" w:type="dxa"/>
        <w:jc w:val="left"/>
        <w:tblInd w:w="0" w:type="dxa"/>
        <w:tblLayout w:type="fixed"/>
        <w:tblCellMar>
          <w:top w:w="28" w:type="dxa"/>
          <w:left w:w="28" w:type="dxa"/>
          <w:bottom w:w="28" w:type="dxa"/>
          <w:right w:w="28" w:type="dxa"/>
        </w:tblCellMar>
      </w:tblPr>
      <w:tblGrid>
        <w:gridCol w:w="835"/>
        <w:gridCol w:w="735"/>
        <w:gridCol w:w="739"/>
        <w:gridCol w:w="294"/>
        <w:gridCol w:w="835"/>
        <w:gridCol w:w="163"/>
        <w:gridCol w:w="163"/>
        <w:gridCol w:w="163"/>
        <w:gridCol w:w="163"/>
        <w:gridCol w:w="334"/>
        <w:gridCol w:w="949"/>
        <w:gridCol w:w="262"/>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63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9.2: Details of Other Current Liabilities</w:t>
            </w:r>
          </w:p>
        </w:tc>
      </w:tr>
      <w:tr>
        <w:trPr/>
        <w:tc>
          <w:tcPr>
            <w:tcW w:w="2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expenses</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 accrual</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4,919 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10. DEBT AND OTHER OBLIGATIONS</w:t>
      </w:r>
    </w:p>
    <w:p>
      <w:pPr>
        <w:pStyle w:val="TextBody"/>
        <w:bidi w:val="0"/>
        <w:spacing w:lineRule="auto" w:line="288" w:before="12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Revolving Credit Facility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30, 2022 (the "Closing Date"), we entered into a Credit Agreement (the "Credit Agreement"), by and among the Company, as borrower, Xacta Corporation, ubIQuity.com, inc, Teloworks, Inc., and Telos Identity Management Solutions, LLC, as guarantors, the lenders party thereto (the "Lenders"), and JPMorgan Chase Bank N.A., as administrative agent for the Lenders (in such capacity, the "Agent"). The Credit Agreement provides for a $30.0 million senior secured revolving credit facility with a maturity date of December 30, 2025, with the option of issuing letters of credit thereunder with a sub-limit of $5.0 million, and with an uncommitted expansion feature of up to $30.0 million of additional revolver capacity (the "Loan"). The Loan is subject to acceleration in the event of customary events of default. The Company has not drawn any amount under the Loan.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Credit Agreement will accrue interest, at our option, at one of three variable rates, plus a specified margin. We can elect to borrow at (i) the Alternative Base Rate, plus 0.9%; (ii) Adjusted Daily Simple Secured Overnight Financing Rate ("SOFR"), plus 1.9%; and (iii) Adjusted Term SOFR, plus 1.9%, as such capitalized terms are defined and calculated in the Credit Agreement. The Company may elect to convert borrowings from one type of borrowing to another type per the terms of the Credit Agreement. After the occurrence and during the continuance of any event of default, the interest rate may increase by an additional 2.0%. We are obligated to pay accrued interest (i) with respect to amounts accruing interest based on the Alternative Base Rate, each calendar quarter and on the maturity date, (ii) with respect to amounts accruing interest based on Adjusted Daily Simple SOFR, on each one-month anniversary of the borrowing and on the maturity date, and (iii) with respect to amounts accruing interest based on Adjusted Term SOFR, at the end of the period specified per the Credit Agreement and on the maturity date. Upon five, three, or one day's prior notice, as applicable, we may prepay any portion or the entire amount of the Loan. We also paid costs and customary fees, including a closing fee, commitment fees and letter of credit participation fee, if any, payable to the Agent and Lenders, as applicable, in connection with the Loan.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Loan under the Credit Agreement is collateralized by substantially all of the Company's assets, including the Company's pledge of its domestic and material foreign subsidiary equity interests.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Loan has various covenants that may, among other things, affect our ability to create, incur, assume or suffer any indebtedness, merge into or consolidate with another entity, acquire entity interests, sell or transfer certain assets, enter into certain arrangements (such as sale and leaseback and swap agreements) or restrictive agreements, pay dividends and make certain restricted payments, and amend material documents related to any subordinated indebtedness and corporate agreements. The Credit Agreement also requires certain financial covenants to maintain a Senior Leverage Ratio on the last day of any fiscal quarter, no greater than 3 to 1. We were in compliance with all covenants as of June 30, 2023.</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 event of default under the Credit Agreement could result in the Loan and other obligations becoming immediately due and payable and allow the Lenders to exercise all rights and remedies available to them under the Credit Agreement.</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April 12, 2023, the Credit Agreement was amended to exclude from collateral the (i) amount collectible from a third party related to an Accounts Receivable Purchase Agreement and (ii) receivables generated by the Company from the sale of goods supplied to this third party in an amount not to exceed $25.0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Financing Obligations</w:t>
      </w:r>
    </w:p>
    <w:p>
      <w:pPr>
        <w:pStyle w:val="TextBody"/>
        <w:bidi w:val="0"/>
        <w:spacing w:lineRule="auto" w:line="288" w:before="120" w:after="180"/>
        <w:jc w:val="left"/>
        <w:rPr/>
      </w:pPr>
      <w:r>
        <w:rPr>
          <w:rFonts w:ascii="Times New Roman;sans-serif" w:hAnsi="Times New Roman;sans-serif"/>
          <w:b w:val="false"/>
          <w:color w:val="000000"/>
          <w:sz w:val="20"/>
        </w:rPr>
        <w:t xml:space="preserve">We entered into a Master Purchase Agreement ("MPA") with a third-party buyer ("Buyer") for $9.1 million relating to software licenses under a specific delivery order ("DO") with our customer resulting in proceeds from other financing obligations of $9.1 million in November 2022. Under the MPA, we sold, assigned and transferred all of our rights, title and interest in (i) the DO payments from the customer and (ii) the underlying licenses. The DO covers a base period with an option for the customer to exercise three (3) additional 12-month periods through January 2026. The DO payments assigned to the Buyer are billable to the customer at the beginning of the base period and for each option year exercised. The underlying licenses were acquired for resale, see </w:t>
      </w:r>
      <w:hyperlink w:anchor="i18f35a270336462393965f1d562b610d_58">
        <w:r>
          <w:rPr>
            <w:rStyle w:val="InternetLink"/>
            <w:rFonts w:ascii="Times New Roman;sans-serif" w:hAnsi="Times New Roman;sans-serif"/>
            <w:b w:val="false"/>
            <w:color w:val="0000FF"/>
            <w:sz w:val="20"/>
            <w:u w:val="single"/>
          </w:rPr>
          <w:t>Note 8 – Intangible Assets, net</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9, 2023, the customer notified us that it would not exercise the first option period under the DO. The MPA provides that, if the customer terminates the DO for non-renewal and the Buyer reasonably concludes that the customer's actions constitute grounds for filing a claim with the customer's contracting officer, Buyer and Telos will cooperate in preparing such a claim, which would be filed in Telos' name. Buyer has notified Telos of its intent to pursue a claim against the customer.</w:t>
      </w:r>
    </w:p>
    <w:p>
      <w:pPr>
        <w:pStyle w:val="TextBody"/>
        <w:bidi w:val="0"/>
        <w:spacing w:lineRule="auto" w:line="288" w:before="120" w:after="180"/>
        <w:jc w:val="left"/>
        <w:rPr/>
      </w:pPr>
      <w:r>
        <w:rPr>
          <w:rFonts w:ascii="Times New Roman;sans-serif" w:hAnsi="Times New Roman;sans-serif"/>
          <w:b w:val="false"/>
          <w:color w:val="000000"/>
          <w:sz w:val="20"/>
        </w:rPr>
        <w:t xml:space="preserve">Concurrently, the Company transferred all the rights, title and interest in the underlying licenses in exchange for the extinguishment of the outstanding financing obligations. The Company evaluated the transfer of the underlying licenses as consideration paid for the outstanding financing obligations under ASC 470-10, </w:t>
      </w:r>
      <w:r>
        <w:rPr>
          <w:rFonts w:ascii="Times New Roman;sans-serif" w:hAnsi="Times New Roman;sans-serif"/>
          <w:b w:val="false"/>
          <w:i/>
          <w:color w:val="000000"/>
          <w:sz w:val="20"/>
        </w:rPr>
        <w:t>Debt</w:t>
      </w:r>
      <w:r>
        <w:rPr>
          <w:rFonts w:ascii="Times New Roman;sans-serif" w:hAnsi="Times New Roman;sans-serif"/>
          <w:b w:val="false"/>
          <w:color w:val="000000"/>
          <w:sz w:val="20"/>
        </w:rPr>
        <w:t>, and the provisions of the MPA, and concluded that the transaction resulted in an extinguishment of debt. The Company recorded the difference between the carrying value of the Company's debt instrument and the underlying licenses as a gain on early extinguishment of other financing obligations. No gain was reported for the three months ended June 30, 2023. For the six months ended June 30, 2023, the Company reported a gain of $1.4 million, which was recorded as "Other income" in the unaudited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11. ACQUISITION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July 30, 2021, the Company acquired the assets of Diamond Fortress Technologies ("DFT") and wholly-owned subsidiaries for a total purchase consideration of $6.7 million, inclusive of $0.3 million related to a pre-existing contractual arrangement with DFT. Upon closing, $5.9 million of cash was paid with an additional $0.6 million payable to DFT 18 months after the close date (the "holdback"). The holdback amount has been discounted to its present value of $0.5 million using a discount rate relevant to the acquisition. On February 2, 2023, the Company paid DFT the holdback amount of $0.6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12. STOCK-BASED COMPENSATION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recognized for restricted stock units and stock options granted to employees and non-employees is included in the consolidated statement of operations. There were no income tax benefits recognized on the stock-based compensation expense for both periods.</w:t>
      </w:r>
    </w:p>
    <w:p>
      <w:pPr>
        <w:pStyle w:val="TextBody"/>
        <w:bidi w:val="0"/>
        <w:spacing w:lineRule="auto" w:line="288" w:before="120" w:after="180"/>
        <w:jc w:val="left"/>
        <w:rPr/>
      </w:pPr>
      <w:r>
        <w:rPr>
          <w:rFonts w:ascii="Times New Roman;sans-serif" w:hAnsi="Times New Roman;sans-serif"/>
          <w:b w:val="false"/>
          <w:i/>
          <w:color w:val="000000"/>
          <w:sz w:val="20"/>
        </w:rPr>
        <w:t>Restricted Stock</w:t>
      </w:r>
      <w:r>
        <w:rPr>
          <w:color w:val="000000"/>
        </w:rPr>
        <w:t xml:space="preserve"> </w:t>
      </w:r>
    </w:p>
    <w:tbl>
      <w:tblPr>
        <w:tblW w:w="7520" w:type="dxa"/>
        <w:jc w:val="left"/>
        <w:tblInd w:w="0" w:type="dxa"/>
        <w:tblLayout w:type="fixed"/>
        <w:tblCellMar>
          <w:top w:w="28" w:type="dxa"/>
          <w:left w:w="28" w:type="dxa"/>
          <w:bottom w:w="28" w:type="dxa"/>
          <w:right w:w="28" w:type="dxa"/>
        </w:tblCellMar>
      </w:tblPr>
      <w:tblGrid>
        <w:gridCol w:w="728"/>
        <w:gridCol w:w="640"/>
        <w:gridCol w:w="642"/>
        <w:gridCol w:w="252"/>
        <w:gridCol w:w="718"/>
        <w:gridCol w:w="140"/>
        <w:gridCol w:w="114"/>
        <w:gridCol w:w="114"/>
        <w:gridCol w:w="114"/>
        <w:gridCol w:w="228"/>
        <w:gridCol w:w="755"/>
        <w:gridCol w:w="127"/>
        <w:gridCol w:w="114"/>
        <w:gridCol w:w="114"/>
        <w:gridCol w:w="114"/>
        <w:gridCol w:w="228"/>
        <w:gridCol w:w="755"/>
        <w:gridCol w:w="127"/>
        <w:gridCol w:w="114"/>
        <w:gridCol w:w="114"/>
        <w:gridCol w:w="114"/>
        <w:gridCol w:w="226"/>
        <w:gridCol w:w="750"/>
        <w:gridCol w:w="178"/>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520"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12.1: Details of Stock Compensation Expense by Department</w:t>
            </w:r>
          </w:p>
        </w:tc>
      </w:tr>
      <w:tr>
        <w:trPr/>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Six Months Ended</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services</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7,745 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6"/>
        <w:gridCol w:w="868"/>
        <w:gridCol w:w="874"/>
        <w:gridCol w:w="459"/>
        <w:gridCol w:w="462"/>
        <w:gridCol w:w="376"/>
        <w:gridCol w:w="112"/>
        <w:gridCol w:w="112"/>
        <w:gridCol w:w="112"/>
        <w:gridCol w:w="500"/>
        <w:gridCol w:w="500"/>
        <w:gridCol w:w="501"/>
        <w:gridCol w:w="112"/>
        <w:gridCol w:w="112"/>
        <w:gridCol w:w="112"/>
        <w:gridCol w:w="459"/>
        <w:gridCol w:w="462"/>
        <w:gridCol w:w="277"/>
        <w:gridCol w:w="112"/>
        <w:gridCol w:w="112"/>
        <w:gridCol w:w="112"/>
        <w:gridCol w:w="532"/>
        <w:gridCol w:w="1513"/>
        <w:gridCol w:w="428"/>
      </w:tblGrid>
      <w:tr>
        <w:trPr/>
        <w:tc>
          <w:tcPr>
            <w:tcW w:w="98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12.2: Restricted Stock Unit Activity</w:t>
            </w:r>
          </w:p>
        </w:tc>
      </w:tr>
      <w:tr>
        <w:trPr/>
        <w:tc>
          <w:tcPr>
            <w:tcW w:w="2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Service-Based</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Performance-Based</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 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Weighted-Average Grant Date Fair Value</w:t>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outstanding units as of December 31, 2022</w:t>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3,570,082 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336,785 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3,906,867 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19.53 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1,604,843 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1,604,843 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(1,613,809)</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(1,613,809)</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26.38 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(386,694)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(71,177)</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(457,871)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outstanding units as of June 30, 2023</w:t>
            </w:r>
          </w:p>
        </w:tc>
        <w:tc>
          <w:tcPr>
            <w:tcW w:w="9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3,174,422 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265,608 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3,440,030 </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the intrinsic value of the RSUs and PSUs outstanding and vested or expected to vest was $8.8 million. There was approximately $12.1 million of total compensation costs related to stock-based awards not yet recognized as of June 30, 2023, which is expected to be recognized on a straight-line basis over a weighted-average remaining vesting period of 0.7 years.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the Black-Scholes option pricing model to calculate the estimated fair value of stock options on the date of grant. Option awards are generally granted with an exercise price equal to the market price of the Company's stock at the date of grant. The following weighted-average assumptions are used in the Black-Scholes valuation model to estimate the fair value of stock option awards, as granted.</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Expected term of the option</w:t>
      </w:r>
      <w:r>
        <w:rPr>
          <w:color w:val="000000"/>
        </w:rPr>
        <w:t xml:space="preserve"> – </w:t>
      </w:r>
      <w:r>
        <w:rPr>
          <w:rFonts w:ascii="Times New Roman;sans-serif" w:hAnsi="Times New Roman;sans-serif"/>
          <w:b w:val="false"/>
          <w:color w:val="000000"/>
          <w:sz w:val="20"/>
        </w:rPr>
        <w:t xml:space="preserve">For options granted to employees and directors, the Company estimates the term over which option holders are expected to hold their stock option by using the "simplified method" in accordance with Staff Accounting Bulletin ("SAB") No. 107, </w:t>
      </w:r>
      <w:r>
        <w:rPr>
          <w:rFonts w:ascii="Times New Roman;sans-serif" w:hAnsi="Times New Roman;sans-serif"/>
          <w:b w:val="false"/>
          <w:i/>
          <w:color w:val="000000"/>
          <w:sz w:val="20"/>
        </w:rPr>
        <w:t>Share-Based Payments</w:t>
      </w:r>
      <w:r>
        <w:rPr>
          <w:rFonts w:ascii="Times New Roman;sans-serif" w:hAnsi="Times New Roman;sans-serif"/>
          <w:b w:val="false"/>
          <w:color w:val="000000"/>
          <w:sz w:val="20"/>
        </w:rPr>
        <w:t xml:space="preserve">, and SAB No. 110, </w:t>
      </w:r>
      <w:r>
        <w:rPr>
          <w:rFonts w:ascii="Times New Roman;sans-serif" w:hAnsi="Times New Roman;sans-serif"/>
          <w:b w:val="false"/>
          <w:i/>
          <w:color w:val="000000"/>
          <w:sz w:val="20"/>
        </w:rPr>
        <w:t>Simplified Method for Plain Vanilla Share Options</w:t>
      </w:r>
      <w:r>
        <w:rPr>
          <w:rFonts w:ascii="Times New Roman;sans-serif" w:hAnsi="Times New Roman;sans-serif"/>
          <w:b w:val="false"/>
          <w:color w:val="000000"/>
          <w:sz w:val="20"/>
        </w:rPr>
        <w:t>, to calculate the expected term of stock options determined to be "plain vanilla." The Company's stock option exercise history does not provide a reasonable basis to compute the expected term for stock options. Under this approach, the expected term is presumed to be a midpoint between the vesting date and the contractual end of the stock option grant. For options granted to non-employees, the Company elected to use the contractual term as the expected term.</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Risk-free interest rate</w:t>
      </w:r>
      <w:r>
        <w:rPr>
          <w:color w:val="000000"/>
        </w:rPr>
        <w:t xml:space="preserve"> – </w:t>
      </w:r>
      <w:r>
        <w:rPr>
          <w:rFonts w:ascii="Times New Roman;sans-serif" w:hAnsi="Times New Roman;sans-serif"/>
          <w:b w:val="false"/>
          <w:color w:val="000000"/>
          <w:sz w:val="20"/>
        </w:rPr>
        <w:t xml:space="preserve">Based on the daily yield curve rates for U.S. Treasury obligations with terms that approximate the expected term of the stock options. </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Expected volatility</w:t>
      </w:r>
      <w:r>
        <w:rPr>
          <w:color w:val="000000"/>
        </w:rPr>
        <w:t xml:space="preserve"> – </w:t>
      </w:r>
      <w:r>
        <w:rPr>
          <w:rFonts w:ascii="Times New Roman;sans-serif" w:hAnsi="Times New Roman;sans-serif"/>
          <w:b w:val="false"/>
          <w:color w:val="000000"/>
          <w:sz w:val="20"/>
        </w:rPr>
        <w:t>Due to the absence of the Company's historical price volatility for the expected contractual term of the stock options, the Company utilized the historical price volatility of a peer group.</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i/>
          <w:color w:val="000000"/>
          <w:sz w:val="20"/>
        </w:rPr>
        <w:t>Expected dividend yield</w:t>
      </w:r>
      <w:r>
        <w:rPr>
          <w:color w:val="000000"/>
        </w:rPr>
        <w:t xml:space="preserve"> – </w:t>
      </w:r>
      <w:r>
        <w:rPr>
          <w:rFonts w:ascii="Times New Roman;sans-serif" w:hAnsi="Times New Roman;sans-serif"/>
          <w:b w:val="false"/>
          <w:color w:val="000000"/>
          <w:sz w:val="20"/>
        </w:rPr>
        <w:t>The Company has not declared dividends, nor does it expect to in the foreseeable future. Therefore, a zero value was assumed for the expected dividend yield.</w:t>
      </w:r>
    </w:p>
    <w:tbl>
      <w:tblPr>
        <w:tblW w:w="8514" w:type="dxa"/>
        <w:jc w:val="left"/>
        <w:tblInd w:w="0" w:type="dxa"/>
        <w:tblLayout w:type="fixed"/>
        <w:tblCellMar>
          <w:top w:w="28" w:type="dxa"/>
          <w:left w:w="28" w:type="dxa"/>
          <w:bottom w:w="28" w:type="dxa"/>
          <w:right w:w="28" w:type="dxa"/>
        </w:tblCellMar>
      </w:tblPr>
      <w:tblGrid>
        <w:gridCol w:w="1490"/>
        <w:gridCol w:w="1302"/>
        <w:gridCol w:w="1302"/>
        <w:gridCol w:w="466"/>
        <w:gridCol w:w="466"/>
        <w:gridCol w:w="466"/>
        <w:gridCol w:w="466"/>
        <w:gridCol w:w="466"/>
        <w:gridCol w:w="466"/>
        <w:gridCol w:w="466"/>
        <w:gridCol w:w="466"/>
        <w:gridCol w:w="692"/>
      </w:tblGrid>
      <w:tr>
        <w:trPr/>
        <w:tc>
          <w:tcPr>
            <w:tcW w:w="149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8514"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12.3: Stock Options Fair Value and Weighted-Average Assumptions</w:t>
            </w:r>
          </w:p>
        </w:tc>
      </w:tr>
      <w:tr>
        <w:trPr/>
        <w:tc>
          <w:tcPr>
            <w:tcW w:w="4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8"/>
              </w:rPr>
              <w:t>For the Six Months Ended</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13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fair value of underlying stock options</w:t>
            </w:r>
          </w:p>
        </w:tc>
        <w:tc>
          <w:tcPr>
            <w:tcW w:w="13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5.5 - 10.0</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1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30.7% - 35.1%</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dividend yield</w:t>
            </w:r>
          </w:p>
        </w:tc>
        <w:tc>
          <w:tcPr>
            <w:tcW w:w="1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803"/>
        <w:gridCol w:w="705"/>
        <w:gridCol w:w="709"/>
        <w:gridCol w:w="516"/>
        <w:gridCol w:w="464"/>
        <w:gridCol w:w="466"/>
        <w:gridCol w:w="109"/>
        <w:gridCol w:w="109"/>
        <w:gridCol w:w="109"/>
        <w:gridCol w:w="471"/>
        <w:gridCol w:w="1120"/>
        <w:gridCol w:w="263"/>
        <w:gridCol w:w="109"/>
        <w:gridCol w:w="109"/>
        <w:gridCol w:w="109"/>
        <w:gridCol w:w="754"/>
        <w:gridCol w:w="754"/>
        <w:gridCol w:w="755"/>
        <w:gridCol w:w="109"/>
        <w:gridCol w:w="109"/>
        <w:gridCol w:w="109"/>
        <w:gridCol w:w="259"/>
        <w:gridCol w:w="975"/>
        <w:gridCol w:w="21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12.4: Stock Option Activity</w:t>
            </w:r>
          </w:p>
        </w:tc>
      </w:tr>
      <w:tr>
        <w:trPr/>
        <w:tc>
          <w:tcPr>
            <w:tcW w:w="2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Stock Options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Contractual Term</w:t>
            </w:r>
          </w:p>
          <w:p>
            <w:pPr>
              <w:pStyle w:val="TableContents"/>
              <w:bidi w:val="0"/>
              <w:spacing w:lineRule="auto" w:line="240"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Aggregate Intrinsic Value</w:t>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option balance as of December 31, 2022</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 cancelled, or expired</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option balance as of June 30, 2023</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304,000 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exercisable stock option as of June 30, 2023</w:t>
            </w:r>
          </w:p>
        </w:tc>
        <w:tc>
          <w:tcPr>
            <w:tcW w:w="98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is calculated as the difference between the exercise price of the underlying stock option awards and the quoted closing price of the Company's common stock as of June 30, 2023.</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stock options is expensed on a straight-line basis over the vesting period of one year, including the stock options granted to directors, as the next annual stockholders meeting is expected to occur at the same approximate time each year.</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2023, the stock-based compensation expense on stock options recorded as part of general and administrative expenses was immaterial, with no similar expense in 2022. As of June 30, 2023, there were approximately $0.4 million of unrecognized compensation costs related to non-vested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13. SHARE REPURCHASES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May 24, 2022, the Company announced that the Board of Directors approved a new share repurchase program ("SRP") authorizing the Company to repurchase up to $50.0 million of its common stock. Pursuant to this authorization, the Company may repurchase shares of its common stock on a discretionary basis from time to time through open market purchases. The repurchase program has no expiration date and may be modified, suspended, or terminated at any time. As of June 30, 2023, there was approximately $38.7 million of the authorization remaining for future common stock repurchases under the SRP.</w:t>
      </w:r>
    </w:p>
    <w:tbl>
      <w:tblPr>
        <w:tblW w:w="8420" w:type="dxa"/>
        <w:jc w:val="left"/>
        <w:tblInd w:w="0" w:type="dxa"/>
        <w:tblLayout w:type="fixed"/>
        <w:tblCellMar>
          <w:top w:w="28" w:type="dxa"/>
          <w:left w:w="28" w:type="dxa"/>
          <w:bottom w:w="28" w:type="dxa"/>
          <w:right w:w="28" w:type="dxa"/>
        </w:tblCellMar>
      </w:tblPr>
      <w:tblGrid>
        <w:gridCol w:w="1047"/>
        <w:gridCol w:w="922"/>
        <w:gridCol w:w="925"/>
        <w:gridCol w:w="306"/>
        <w:gridCol w:w="634"/>
        <w:gridCol w:w="170"/>
        <w:gridCol w:w="124"/>
        <w:gridCol w:w="124"/>
        <w:gridCol w:w="124"/>
        <w:gridCol w:w="253"/>
        <w:gridCol w:w="717"/>
        <w:gridCol w:w="140"/>
        <w:gridCol w:w="109"/>
        <w:gridCol w:w="109"/>
        <w:gridCol w:w="109"/>
        <w:gridCol w:w="305"/>
        <w:gridCol w:w="635"/>
        <w:gridCol w:w="170"/>
        <w:gridCol w:w="114"/>
        <w:gridCol w:w="114"/>
        <w:gridCol w:w="114"/>
        <w:gridCol w:w="249"/>
        <w:gridCol w:w="710"/>
        <w:gridCol w:w="196"/>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8420"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13: Share Repurchase Program Activity</w:t>
            </w:r>
          </w:p>
        </w:tc>
      </w:tr>
      <w:tr>
        <w:trPr/>
        <w:tc>
          <w:tcPr>
            <w:tcW w:w="2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Six Months Ended</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and share data)</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Amount paid for shares repurchased </w:t>
            </w:r>
            <w:r>
              <w:rPr>
                <w:rFonts w:ascii="Times New Roman;sans-serif" w:hAnsi="Times New Roman;sans-serif"/>
                <w:b w:val="false"/>
                <w:color w:val="000000"/>
                <w:sz w:val="12"/>
              </w:rPr>
              <w:t>(1)</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shares repurchased</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360,439 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Average per share price paid </w:t>
            </w:r>
            <w:r>
              <w:rPr>
                <w:rFonts w:ascii="Times New Roman;sans-serif" w:hAnsi="Times New Roman;sans-serif"/>
                <w:b w:val="false"/>
                <w:color w:val="000000"/>
                <w:sz w:val="12"/>
              </w:rPr>
              <w:t>(1)</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14. ACCUMULATED OTHER COMPREHENSIVE LOSS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functional currency is the U.S. Dollar. For one of our wholly-owned subsidiaries, the functional currency is the local currency. For this subsidiary, the translation of its foreign currency into U.S. Dollars is performed for assets and liabilities using current foreign currency exchange rates in effect at the balance sheet date and for revenue and expense accounts using average foreign currency exchange rates during the periods presented. Translation gains and losses are included in stockholders’ equity as a component of accumulated other comprehensive losses.</w:t>
      </w:r>
    </w:p>
    <w:tbl>
      <w:tblPr>
        <w:tblW w:w="8249" w:type="dxa"/>
        <w:jc w:val="left"/>
        <w:tblInd w:w="0" w:type="dxa"/>
        <w:tblLayout w:type="fixed"/>
        <w:tblCellMar>
          <w:top w:w="28" w:type="dxa"/>
          <w:left w:w="28" w:type="dxa"/>
          <w:bottom w:w="28" w:type="dxa"/>
          <w:right w:w="28" w:type="dxa"/>
        </w:tblCellMar>
      </w:tblPr>
      <w:tblGrid>
        <w:gridCol w:w="1487"/>
        <w:gridCol w:w="1307"/>
        <w:gridCol w:w="1316"/>
        <w:gridCol w:w="411"/>
        <w:gridCol w:w="1041"/>
        <w:gridCol w:w="228"/>
        <w:gridCol w:w="228"/>
        <w:gridCol w:w="228"/>
        <w:gridCol w:w="228"/>
        <w:gridCol w:w="411"/>
        <w:gridCol w:w="1041"/>
        <w:gridCol w:w="323"/>
      </w:tblGrid>
      <w:tr>
        <w:trP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24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14: Details of Accumulated Other Comprehensive Loss</w:t>
            </w:r>
          </w:p>
        </w:tc>
      </w:tr>
      <w:tr>
        <w:trPr/>
        <w:tc>
          <w:tcPr>
            <w:tcW w:w="4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foreign currency translation loss</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actuarial gain on pension liability adjustment</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15. LOSS PER SHARE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 of net loss, potentially dilutive securities are not included in the calculation of diluted net earnings (loss) per share, because to do so would be anti-dilutive.</w:t>
      </w:r>
    </w:p>
    <w:tbl>
      <w:tblPr>
        <w:tblW w:w="9941" w:type="dxa"/>
        <w:jc w:val="left"/>
        <w:tblInd w:w="0" w:type="dxa"/>
        <w:tblLayout w:type="fixed"/>
        <w:tblCellMar>
          <w:top w:w="28" w:type="dxa"/>
          <w:left w:w="28" w:type="dxa"/>
          <w:bottom w:w="28" w:type="dxa"/>
          <w:right w:w="28" w:type="dxa"/>
        </w:tblCellMar>
      </w:tblPr>
      <w:tblGrid>
        <w:gridCol w:w="1340"/>
        <w:gridCol w:w="1177"/>
        <w:gridCol w:w="1187"/>
        <w:gridCol w:w="370"/>
        <w:gridCol w:w="370"/>
        <w:gridCol w:w="370"/>
        <w:gridCol w:w="240"/>
        <w:gridCol w:w="240"/>
        <w:gridCol w:w="240"/>
        <w:gridCol w:w="370"/>
        <w:gridCol w:w="370"/>
        <w:gridCol w:w="370"/>
        <w:gridCol w:w="128"/>
        <w:gridCol w:w="128"/>
        <w:gridCol w:w="128"/>
        <w:gridCol w:w="370"/>
        <w:gridCol w:w="370"/>
        <w:gridCol w:w="370"/>
        <w:gridCol w:w="216"/>
        <w:gridCol w:w="216"/>
        <w:gridCol w:w="216"/>
        <w:gridCol w:w="337"/>
        <w:gridCol w:w="337"/>
        <w:gridCol w:w="481"/>
      </w:tblGrid>
      <w:tr>
        <w:trPr/>
        <w:tc>
          <w:tcPr>
            <w:tcW w:w="134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9941"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15: Potentially Dilutive Securities</w:t>
            </w:r>
          </w:p>
        </w:tc>
      </w:tr>
      <w:tr>
        <w:trPr/>
        <w:tc>
          <w:tcPr>
            <w:tcW w:w="3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Six Months Ended</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stock and restricted stock units</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7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and 2022, the outstanding PSUs aggregating to 265,608 and 379,161, respectively, have been excluded from the calculation of potentially dilutive securities above because the issuance of shares is contingent upon the satisfaction of certain conditions which were not satisfied by the end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16. RELATED PARTY TRANSACTIONS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Emmett J. Wood, the brother of our Chairman and CEO, had been an employee of the Company since 1996. In January 2023, he tendered his resignation as an employee effective February 7, 2023. The amount paid to him as compensation for his remaining tenure in 2023 was $249,000. For the three and six months ended June 30, 2022, the Company paid him $93,000 and $605,000, respectively. Additionally, Mr. Wood directly owned 199,785 and 178,041 shares of the Company’s common stock as of June 30, 2023 and December 31,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One of the Company’s directors serves as a consultant to the Company. On January 1, 2023, the director and the Company amended the consulting agreement under which he provides services ("2023 consulting agreement"), extending his services through June 30, 2023, with the option to further extend for another six months by mutual agreement of the parties. The Company, at its election, would pay the director's 2023 consultancy fees in a fixed amount, in the form of restricted stock units. Consequently, on January 3, 2023, the Company granted the director 16,859 RSUs, one-half of which vested on March 3, 2023, and the other half vested on May 18, 2023, as compensation for the first half of his 2023 consulting services. No cash payments were made for his consulting services for the three and six months ended June 30, 2023. In July 2023, the director and the Company amended the 2023 consulting agreement, further extending his services through December 31, 2023. The amended 2023 consulting agreement stipulates a firm-fixed monthly retainer fee, plus additional fees and contingent bonus payments upon achievement of certain contract goals, payable in cash. On February 1, 2022, the Company granted him 26,091 RSUs for his consulting services in 2022, which RSUs vested quarterly in four equal amounts through the end of the year. No cash payments were made for the three months ended June 30, 2022, while the amounts paid in cash for his consulting services were $25,000 for the six months ended June 30,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17. SEGMENT INFORMATION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our business in two reportable and operating segments: Security Solutions and Secure Networks. These segments enable the alignment of our strategies and objectives and provide a framework for the timely and rational allocation of resources within the business lines.</w:t>
      </w:r>
    </w:p>
    <w:p>
      <w:pPr>
        <w:pStyle w:val="TextBody"/>
        <w:bidi w:val="0"/>
        <w:spacing w:lineRule="auto" w:line="268" w:before="0" w:after="0"/>
        <w:jc w:val="left"/>
        <w:rPr/>
      </w:pPr>
      <w:r>
        <w:rPr>
          <w:rFonts w:ascii="Times New Roman;sans-serif" w:hAnsi="Times New Roman;sans-serif"/>
          <w:b w:val="false"/>
          <w:color w:val="000000"/>
          <w:sz w:val="20"/>
        </w:rPr>
        <w:t>Our Security Solutions segment is primarily focused on cybersecurity, cloud and identity solutions, and secure messaging through Xacta</w:t>
      </w:r>
      <w:r>
        <w:rPr>
          <w:rFonts w:ascii="Times New Roman;sans-serif" w:hAnsi="Times New Roman;sans-serif"/>
          <w:b w:val="false"/>
          <w:color w:val="000000"/>
          <w:sz w:val="13"/>
        </w:rPr>
        <w:t>®</w:t>
      </w:r>
      <w:r>
        <w:rPr>
          <w:rFonts w:ascii="Times New Roman;sans-serif" w:hAnsi="Times New Roman;sans-serif"/>
          <w:b w:val="false"/>
          <w:color w:val="000000"/>
          <w:sz w:val="20"/>
        </w:rPr>
        <w:t>, Telos Ghost</w:t>
      </w:r>
      <w:r>
        <w:rPr>
          <w:rFonts w:ascii="Times New Roman;sans-serif" w:hAnsi="Times New Roman;sans-serif"/>
          <w:b w:val="false"/>
          <w:color w:val="000000"/>
          <w:sz w:val="13"/>
        </w:rPr>
        <w:t>®</w:t>
      </w:r>
      <w:r>
        <w:rPr>
          <w:rFonts w:ascii="Times New Roman;sans-serif" w:hAnsi="Times New Roman;sans-serif"/>
          <w:b w:val="false"/>
          <w:color w:val="000000"/>
          <w:sz w:val="20"/>
        </w:rPr>
        <w:t>, Telos Advanced Cyber Analytics ("Telos ACA"), Telos AMHS and Telos ID offerings. We recognize revenue on contracts from providing various system platforms in the cloud, on-premises, and in hybrid cloud environments, as well as software sales or software-as-a-service. Revenue associated with the segment's custom solutions is recognized as work progresses or upon delivery of services and products. Fluctuation in revenue from period to period is the result of the volume of software sales, and the progress or completion of cloud or cybersecurity solutions during the period. The majority of the operating costs relate to labor, material, and overhead costs. Software sales have immaterial operating costs associated with them, thus yielding higher margins. Gross profit and margin are a function of operational efficiency on security solutions and changes in the volume of software sales.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Secure Networks segment provides secure networking architectures and solutions to our customers through secure mobility solutions, and network management and defense services. Revenue is recognized over time as the work progresses on contracts related to managing network services and information delivery. Contract costs include labor, material, and overhead costs. Variances in costs recognized from period to period primarily reflect increases and decreases in activity levels on individual contracts.</w:t>
      </w:r>
    </w:p>
    <w:tbl>
      <w:tblPr>
        <w:tblW w:w="8705" w:type="dxa"/>
        <w:jc w:val="left"/>
        <w:tblInd w:w="0" w:type="dxa"/>
        <w:tblLayout w:type="fixed"/>
        <w:tblCellMar>
          <w:top w:w="28" w:type="dxa"/>
          <w:left w:w="28" w:type="dxa"/>
          <w:bottom w:w="28" w:type="dxa"/>
          <w:right w:w="28" w:type="dxa"/>
        </w:tblCellMar>
      </w:tblPr>
      <w:tblGrid>
        <w:gridCol w:w="1169"/>
        <w:gridCol w:w="1030"/>
        <w:gridCol w:w="1041"/>
        <w:gridCol w:w="228"/>
        <w:gridCol w:w="754"/>
        <w:gridCol w:w="127"/>
        <w:gridCol w:w="109"/>
        <w:gridCol w:w="109"/>
        <w:gridCol w:w="109"/>
        <w:gridCol w:w="212"/>
        <w:gridCol w:w="780"/>
        <w:gridCol w:w="118"/>
        <w:gridCol w:w="109"/>
        <w:gridCol w:w="109"/>
        <w:gridCol w:w="109"/>
        <w:gridCol w:w="212"/>
        <w:gridCol w:w="780"/>
        <w:gridCol w:w="118"/>
        <w:gridCol w:w="109"/>
        <w:gridCol w:w="109"/>
        <w:gridCol w:w="109"/>
        <w:gridCol w:w="211"/>
        <w:gridCol w:w="778"/>
        <w:gridCol w:w="166"/>
      </w:tblGrid>
      <w:tr>
        <w:trPr/>
        <w:tc>
          <w:tcPr>
            <w:tcW w:w="116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0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17: Results of Operations by Business Segment</w:t>
            </w:r>
          </w:p>
        </w:tc>
      </w:tr>
      <w:tr>
        <w:trPr/>
        <w:tc>
          <w:tcPr>
            <w:tcW w:w="3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Six Months Ended</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Solutions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 Networks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32,911 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55,791 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68,133 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105,951 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Security Solutions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Secure Networks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profit</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39,800 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(9,467)</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(22,437)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(30,403)</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(18,725)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(8,024)</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(14,159)</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(18,770)</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(30,775)</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measure each segment's profitability based on gross profit. We account for inter-segment sales and transfers as if the sales or transfers were to third parties, that is, at current market prices. Interest income, interest expense, other income and expense items, and income taxes, as reported in the consolidated financial statements, are not part of the segment profitability measure and are primarily recorded at the corporate level.</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does not utilize total assets by segment to evaluate segment performance or allocate resources. As a result, assets are not tracked by segment, and therefore, total assets by segment are not disclosed.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COMMITMENTS AND CONTINGENCIES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7, 2022, Telos and certain of its current and former officers were named as defendants in a lawsuit filed in the United States District Court for the Eastern District of Virginia ("Court"). In the complaint, the Plaintiffs, who purport to represent a class of purchasers of Telos common stock between November 19, 2020, and March 16, 2022, allege that the defendants violated securities laws by failing to disclose delays relating to the launch of certain contracts between Telos and the Transportation Security Administration ("TSA") and the Centers for Medicare and Medicaid Services and to take into account those delays when providing a financial forecast for the Company's 2021 performance. On June 15, 2022, the Plaintiffs filed a consolidated complaint which added claims (i) concerning Telos' disclosure of revenue projections for these contracts, (ii) against the directors of Telos at the time of its initial public offering, and (iii) pursuant to Sections 11 and 15 of the Securities Act of 1933. On February 1, 2023, the Court dismissed the lawsuit in its entirety for failure to state a claim. The Court's order of dismissal provided the Plaintiffs the opportunity to file a motion for leave to file an amended complaint, should they have a good faith basis to do so. On March 13, 2023, the Court granted the parties' consent motion permitting the filing of a consolidated amended class action complaint and establishing a briefing schedule for Telos' motion to dismiss that amended complaint. On April 14, 2023, Telos moved to dismiss the consolidated amended class action complaint. At the conclusion of a hearing held on June 21, 2023, the Court dismissed the consolidated amended class action complaint with prejudice. No appeal from the order of dismissal was taken, and it is final.</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believe that there are claims or proceedings that would have a material adverse effect on the business, or the unaudited consolidated financial statements of the Company as of June 30, 2023.</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 Government Contracts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a U.S. government contractor, we are subject to various audits and investigations by the U.S. government to determine whether our operations are being conducted in accordance with applicable regulatory requirements. U.S. government investigations of our operations,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United States, which are subject to U.S. and foreign laws and regulations and foreign procurement policies and practices. Our compliance with local regulations or applicable U.S. government regulations also may be audited or investigated.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19. SUPPLEMENTAL CASH FLOW INFORMATION</w:t>
      </w:r>
    </w:p>
    <w:tbl>
      <w:tblPr>
        <w:tblW w:w="7814" w:type="dxa"/>
        <w:jc w:val="left"/>
        <w:tblInd w:w="0" w:type="dxa"/>
        <w:tblLayout w:type="fixed"/>
        <w:tblCellMar>
          <w:top w:w="28" w:type="dxa"/>
          <w:left w:w="28" w:type="dxa"/>
          <w:bottom w:w="28" w:type="dxa"/>
          <w:right w:w="28" w:type="dxa"/>
        </w:tblCellMar>
      </w:tblPr>
      <w:tblGrid>
        <w:gridCol w:w="1131"/>
        <w:gridCol w:w="991"/>
        <w:gridCol w:w="997"/>
        <w:gridCol w:w="375"/>
        <w:gridCol w:w="1409"/>
        <w:gridCol w:w="208"/>
        <w:gridCol w:w="208"/>
        <w:gridCol w:w="208"/>
        <w:gridCol w:w="208"/>
        <w:gridCol w:w="375"/>
        <w:gridCol w:w="1409"/>
        <w:gridCol w:w="295"/>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781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19.1: Details of Cash, Cash Equivalents, and Restricted Cash</w:t>
            </w:r>
          </w:p>
        </w:tc>
      </w:tr>
      <w:tr>
        <w:trPr/>
        <w:tc>
          <w:tcPr>
            <w:tcW w:w="3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103,447 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119,305 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Restricted cash </w:t>
            </w:r>
            <w:r>
              <w:rPr>
                <w:rFonts w:ascii="Times New Roman;sans-serif" w:hAnsi="Times New Roman;sans-serif"/>
                <w:b w:val="false"/>
                <w:color w:val="000000"/>
                <w:sz w:val="12"/>
              </w:rPr>
              <w:t>(1)</w:t>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103,581 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119,438 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Restricted cash consists of a commercial money market account held as a deposit on the Ashburn lease and is recorded under "Other assets" on the unaudited consolidated balance sheets.</w:t>
      </w:r>
    </w:p>
    <w:tbl>
      <w:tblPr>
        <w:tblW w:w="9024" w:type="dxa"/>
        <w:jc w:val="left"/>
        <w:tblInd w:w="0" w:type="dxa"/>
        <w:tblLayout w:type="fixed"/>
        <w:tblCellMar>
          <w:top w:w="28" w:type="dxa"/>
          <w:left w:w="28" w:type="dxa"/>
          <w:bottom w:w="28" w:type="dxa"/>
          <w:right w:w="28" w:type="dxa"/>
        </w:tblCellMar>
      </w:tblPr>
      <w:tblGrid>
        <w:gridCol w:w="2059"/>
        <w:gridCol w:w="1805"/>
        <w:gridCol w:w="1805"/>
        <w:gridCol w:w="361"/>
        <w:gridCol w:w="775"/>
        <w:gridCol w:w="200"/>
        <w:gridCol w:w="200"/>
        <w:gridCol w:w="200"/>
        <w:gridCol w:w="200"/>
        <w:gridCol w:w="361"/>
        <w:gridCol w:w="775"/>
        <w:gridCol w:w="283"/>
      </w:tblGrid>
      <w:tr>
        <w:trPr/>
        <w:tc>
          <w:tcPr>
            <w:tcW w:w="2059"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9024"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19.2: Supplemental Cash Flow Information</w:t>
            </w:r>
          </w:p>
        </w:tc>
      </w:tr>
      <w:tr>
        <w:trPr/>
        <w:tc>
          <w:tcPr>
            <w:tcW w:w="5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Six Months Ended</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during the period for:</w:t>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ROU assets obtained in exchange for operating lease liabilities</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 activity in accounts payable and other accrued liabilities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401K match</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transferred to extinguish other financing obligations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repurchases under SRP</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20. REVISION OF PRIOR YEAR INTERIM FINANCIAL STATEMENTS</w:t>
      </w:r>
    </w:p>
    <w:p>
      <w:pPr>
        <w:pStyle w:val="TextBody"/>
        <w:bidi w:val="0"/>
        <w:spacing w:lineRule="auto" w:line="288" w:before="120" w:after="180"/>
        <w:jc w:val="left"/>
        <w:rPr/>
      </w:pPr>
      <w:r>
        <w:rPr>
          <w:rFonts w:ascii="Times New Roman;sans-serif" w:hAnsi="Times New Roman;sans-serif"/>
          <w:b w:val="false"/>
          <w:color w:val="000000"/>
          <w:sz w:val="20"/>
          <w:shd w:fill="FFFFFF" w:val="clear"/>
        </w:rPr>
        <w:t xml:space="preserve">During the course of preparing the Company's consolidated financial statements for the year ended December 31, 2022, we identified that stock-based compensation expense related to the PSU awards with market conditions was erroneously reversed when those PSUs were forfeited. </w:t>
      </w:r>
      <w:r>
        <w:rPr>
          <w:rFonts w:ascii="Times New Roman;sans-serif" w:hAnsi="Times New Roman;sans-serif"/>
          <w:b w:val="false"/>
          <w:color w:val="000000"/>
          <w:sz w:val="20"/>
        </w:rPr>
        <w:t xml:space="preserve">Due to the error, general and administrative expense was understated by $1.9 million and $3.5 million for the three and six months ended June 30, 2022. Although the Company has determined that </w:t>
      </w:r>
      <w:r>
        <w:rPr>
          <w:rFonts w:ascii="Times New Roman;sans-serif" w:hAnsi="Times New Roman;sans-serif"/>
          <w:b w:val="false"/>
          <w:color w:val="000000"/>
          <w:sz w:val="20"/>
          <w:shd w:fill="FFFFFF" w:val="clear"/>
        </w:rPr>
        <w:t xml:space="preserve">the error did not have a material impact on its previously issued interim consolidated financial statements, it revised the previously reported interim financial information in conjunction with the issuance of its quarterly filings on Form 10-Q for the quarter ended June 30, 2023. The errors had no net impact on cash flows from operating, investing or financing activities in the consolidated statement of cash flows. </w:t>
      </w:r>
    </w:p>
    <w:p>
      <w:pPr>
        <w:pStyle w:val="TextBody"/>
        <w:bidi w:val="0"/>
        <w:spacing w:lineRule="auto" w:line="288" w:before="120" w:after="180"/>
        <w:jc w:val="left"/>
        <w:rPr/>
      </w:pPr>
      <w:r>
        <w:rPr>
          <w:rFonts w:ascii="Times New Roman;sans-serif" w:hAnsi="Times New Roman;sans-serif"/>
          <w:b w:val="false"/>
          <w:color w:val="000000"/>
          <w:sz w:val="20"/>
          <w:shd w:fill="FFFFFF" w:val="clear"/>
        </w:rPr>
        <w:t>The following tables set forth the effects of the revisions of previously issued unaudited quarterly consolidated financial statements to correct for prior period errors.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776"/>
        <w:gridCol w:w="683"/>
        <w:gridCol w:w="685"/>
        <w:gridCol w:w="269"/>
        <w:gridCol w:w="888"/>
        <w:gridCol w:w="149"/>
        <w:gridCol w:w="109"/>
        <w:gridCol w:w="109"/>
        <w:gridCol w:w="109"/>
        <w:gridCol w:w="211"/>
        <w:gridCol w:w="601"/>
        <w:gridCol w:w="119"/>
        <w:gridCol w:w="109"/>
        <w:gridCol w:w="109"/>
        <w:gridCol w:w="109"/>
        <w:gridCol w:w="196"/>
        <w:gridCol w:w="646"/>
        <w:gridCol w:w="109"/>
        <w:gridCol w:w="109"/>
        <w:gridCol w:w="109"/>
        <w:gridCol w:w="109"/>
        <w:gridCol w:w="269"/>
        <w:gridCol w:w="888"/>
        <w:gridCol w:w="149"/>
        <w:gridCol w:w="109"/>
        <w:gridCol w:w="109"/>
        <w:gridCol w:w="109"/>
        <w:gridCol w:w="211"/>
        <w:gridCol w:w="601"/>
        <w:gridCol w:w="119"/>
        <w:gridCol w:w="109"/>
        <w:gridCol w:w="109"/>
        <w:gridCol w:w="109"/>
        <w:gridCol w:w="196"/>
        <w:gridCol w:w="646"/>
        <w:gridCol w:w="159"/>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20.1: Impact of the Correction to the Unaudited Consolidated Statement of Operations</w:t>
            </w:r>
          </w:p>
        </w:tc>
      </w:tr>
      <w:tr>
        <w:trPr/>
        <w:tc>
          <w:tcPr>
            <w:tcW w:w="2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 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Six Months Ended June 30, 2022</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Revised</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46,788 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selling, general and administrative expenses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66,700 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(26,900)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(12,235)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(27,147)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(27,272)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basic</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diluted</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30"/>
        <w:gridCol w:w="465"/>
        <w:gridCol w:w="470"/>
        <w:gridCol w:w="304"/>
        <w:gridCol w:w="1104"/>
        <w:gridCol w:w="168"/>
        <w:gridCol w:w="109"/>
        <w:gridCol w:w="109"/>
        <w:gridCol w:w="109"/>
        <w:gridCol w:w="197"/>
        <w:gridCol w:w="632"/>
        <w:gridCol w:w="109"/>
        <w:gridCol w:w="109"/>
        <w:gridCol w:w="109"/>
        <w:gridCol w:w="109"/>
        <w:gridCol w:w="196"/>
        <w:gridCol w:w="707"/>
        <w:gridCol w:w="109"/>
        <w:gridCol w:w="109"/>
        <w:gridCol w:w="109"/>
        <w:gridCol w:w="109"/>
        <w:gridCol w:w="304"/>
        <w:gridCol w:w="1104"/>
        <w:gridCol w:w="168"/>
        <w:gridCol w:w="109"/>
        <w:gridCol w:w="109"/>
        <w:gridCol w:w="109"/>
        <w:gridCol w:w="197"/>
        <w:gridCol w:w="632"/>
        <w:gridCol w:w="109"/>
        <w:gridCol w:w="109"/>
        <w:gridCol w:w="109"/>
        <w:gridCol w:w="109"/>
        <w:gridCol w:w="196"/>
        <w:gridCol w:w="707"/>
        <w:gridCol w:w="162"/>
      </w:tblGrid>
      <w:tr>
        <w:trPr/>
        <w:tc>
          <w:tcPr>
            <w:tcW w:w="53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20.2: Impact of the Correction to the Unaudited Consolidated Statement of Comprehensive Loss</w:t>
            </w:r>
          </w:p>
        </w:tc>
      </w:tr>
      <w:tr>
        <w:trPr/>
        <w:tc>
          <w:tcPr>
            <w:tcW w:w="1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 June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Six Months Ended June 30, 2022</w:t>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Revised</w:t>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1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(27,272)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6"/>
        <w:gridCol w:w="485"/>
        <w:gridCol w:w="489"/>
        <w:gridCol w:w="239"/>
        <w:gridCol w:w="955"/>
        <w:gridCol w:w="133"/>
        <w:gridCol w:w="112"/>
        <w:gridCol w:w="112"/>
        <w:gridCol w:w="112"/>
        <w:gridCol w:w="216"/>
        <w:gridCol w:w="638"/>
        <w:gridCol w:w="112"/>
        <w:gridCol w:w="112"/>
        <w:gridCol w:w="112"/>
        <w:gridCol w:w="112"/>
        <w:gridCol w:w="203"/>
        <w:gridCol w:w="803"/>
        <w:gridCol w:w="112"/>
        <w:gridCol w:w="112"/>
        <w:gridCol w:w="112"/>
        <w:gridCol w:w="112"/>
        <w:gridCol w:w="239"/>
        <w:gridCol w:w="955"/>
        <w:gridCol w:w="133"/>
        <w:gridCol w:w="112"/>
        <w:gridCol w:w="112"/>
        <w:gridCol w:w="112"/>
        <w:gridCol w:w="256"/>
        <w:gridCol w:w="531"/>
        <w:gridCol w:w="144"/>
        <w:gridCol w:w="112"/>
        <w:gridCol w:w="112"/>
        <w:gridCol w:w="112"/>
        <w:gridCol w:w="203"/>
        <w:gridCol w:w="803"/>
        <w:gridCol w:w="180"/>
      </w:tblGrid>
      <w:tr>
        <w:trPr/>
        <w:tc>
          <w:tcPr>
            <w:tcW w:w="69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20.3: Impact of the Correction to the Unaudited Consolidated Statement of Changes in Stockholders' Equity</w:t>
            </w:r>
          </w:p>
        </w:tc>
      </w:tr>
      <w:tr>
        <w:trPr/>
        <w:tc>
          <w:tcPr>
            <w:tcW w:w="1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 June 30, 2022</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Six Months Ended June 30, 2022</w:t>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Previously Reported</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Adjustment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Revised</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Previously Reported</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Adjustment</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As Revised</w:t>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 beginning</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376,913 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378,546 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367,153 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367,153 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 end</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388,464 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391,967 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388,464 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391,967 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 beginning</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(201,960)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(203,593)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(186,977)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(186,977)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(27,272)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 end</w:t>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(214,249)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(217,752)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(214,249)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(217,752)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Any statements contained herein that are not statements of historical fact may be deemed to be forward-looking statements. Without limiting the foregoing, the words "believes," "anticipates," "plans," "expects," and similar expressions are intended to identify forward-looking statements. Several important factors could cause the Company's actual results to differ materially from those indicated by such forward-looking statements. These factors include, without limitation, those set forth in the risk factors section included in the Company's Form 10-K for the year ended December 31, 2022, as filed with the Securities and Exchange Commission ("SEC") on March 16,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General and Business Overview</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offer technologically advanced, software-based security solutions that empower and protect the world's most security-conscious organizations against rapidly evolving, sophisticated and pervasive threats. Our portfolio of security products, services and expertise empowers our customers with capabilities to reach new markets, serve their stakeholders more effectively, and successfully defend the nation or their enterprise. We protect our customers' people, information, and digital assets so they can pursue their corporate goals and conduct their global missions with confidence in their security and privacy. Our primary customers include the U.S. federal government, large commercial businesses, state and local governments, and international customers. Our consolidated revenue is largely attributable to prime contracts or to subcontracts with our contractors engaged in work for the U.S. government, with the remaining attributable to state, local and commercial markets.</w:t>
      </w:r>
    </w:p>
    <w:p>
      <w:pPr>
        <w:pStyle w:val="TextBody"/>
        <w:bidi w:val="0"/>
        <w:spacing w:lineRule="auto" w:line="288" w:before="120" w:after="180"/>
        <w:jc w:val="left"/>
        <w:rPr/>
      </w:pPr>
      <w:r>
        <w:rPr>
          <w:rFonts w:ascii="Times New Roman;sans-serif" w:hAnsi="Times New Roman;sans-serif"/>
          <w:b w:val="false"/>
          <w:color w:val="000000"/>
          <w:sz w:val="20"/>
        </w:rPr>
        <w:t xml:space="preserve">Information regarding our two reportable segments – Security Solutions and Secure Networks – is presented in </w:t>
      </w:r>
      <w:hyperlink w:anchor="i18f35a270336462393965f1d562b610d_91">
        <w:r>
          <w:rPr>
            <w:rStyle w:val="InternetLink"/>
            <w:rFonts w:ascii="Times New Roman;sans-serif" w:hAnsi="Times New Roman;sans-serif"/>
            <w:b w:val="false"/>
            <w:color w:val="0000FF"/>
            <w:sz w:val="20"/>
            <w:u w:val="single"/>
          </w:rPr>
          <w:t>Note 17 - Segment Information</w:t>
        </w:r>
      </w:hyperlink>
      <w:r>
        <w:rPr>
          <w:color w:val="000000"/>
        </w:rPr>
        <w:t xml:space="preserve"> </w:t>
      </w:r>
      <w:r>
        <w:rPr>
          <w:rFonts w:ascii="Times New Roman;sans-serif" w:hAnsi="Times New Roman;sans-serif"/>
          <w:b w:val="false"/>
          <w:color w:val="000000"/>
          <w:sz w:val="20"/>
        </w:rPr>
        <w:t>to the unaudited consolidated financial statements at Item 1 of this Form 10-Q.</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Fiscal year 2023 will continue to be a transition year for Telos, focusing on streamlining our operations and rebuilding and growing the revenue base by generating new business wins. Our 2023 business development priorities are to:</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Reorganize internally to consolidate and centralize business development resources;</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Add new talent to drive execution of solution development and new business generation;</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 xml:space="preserve">Maximize existing strategic partnerships for market expansion; and </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Increase our opportunity portfolio and quality of contract vehicles.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Business Environment</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U.S. Budget</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White House released its proposed FY2024 budget, which called for a $26 billion increase for the Department of Defense ("DOD") next year, a little more than 3% above the FY2023 enacted level. The debt ceiling legislation (the "Fiscal Responsibility Act") subsequently approved by Congress contains spending caps, which reflect that level of defense spending, as do the defense authorization and appropriations bills currently under consideration in the House and Senate. There are also many in Congress who want to boost this increase further via a subsequent supplemental appropriations bill to offset current and expected inflationary trends and the threats posed by foreign adversaries. Final decisions on defense spending will not be made until this fall, at the earliest.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President's FY2024 budget also proposed increased investments for cybersecurity within numerous federal civilian departments and agencies, including $3.1 billion in funding for the Cybersecurity and Infrastructure Security Agency, a 5% increase, of which $98 million is intended to implement the Cyber Incident Reporting for Critical Infrastructure Act. In general, the President's budget also reflects the prioritization of accelerated cloud adoption, IT modernization, further private sector collaboration for sector risk management responsibilities, ensuring adequate cyber threat information sharing, and supply chain risk management. These priorities align with the solutions Telos has been developing and bringing to market for the past several years.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such increased spending by civilian agencies on cybersecurity could be difficult to achieve, given the cap on non-defense discretionary spending included in the Fiscal Responsibility Act and subsequent efforts by the House majority to seek even further reductions in all non-defense discretionary spending. This would impact future cybersecurity investments by potential civilian federal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both defense and non-defense spending, it is also doubtful that a divided Congress and the White House can reconcile their differences over fiscal policy before the start of FY2024 on October 1, 2023. Failing to do so would mean the federal government could face a shutdown this fall or, at best, will begin another fiscal year under the constraints of a continuing resolution, with funding frozen at FY2023 levels and restrictions likely on new contracts and acceleration of current programs. Finally, under the terms of the Fiscal Responsibility Act, if all appropriations legislation is not enacted by January 1, appropriations government-wide will revert to the FY2023 level minus an additional one percent. This uncertainty could also impact federal customers' ability to move forward on their planned expenditures in FY2024. </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Cybersecurity Landscape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recent years, we have seen cybersecurity threats become more complex, with threat actors leveraging a wide variety of tactics to exploit their victims. With this growing threat, below are some trends to consider when looking at the cybersecurity landscape:</w:t>
      </w:r>
    </w:p>
    <w:p>
      <w:pPr>
        <w:pStyle w:val="TextBody"/>
        <w:bidi w:val="0"/>
        <w:spacing w:lineRule="auto" w:line="288" w:before="120" w:after="180"/>
        <w:jc w:val="left"/>
        <w:rPr/>
      </w:pPr>
      <w:r>
        <w:rPr>
          <w:rFonts w:ascii="Times New Roman;sans-serif" w:hAnsi="Times New Roman;sans-serif"/>
          <w:b w:val="false"/>
          <w:i/>
          <w:color w:val="000000"/>
          <w:sz w:val="20"/>
          <w:u w:val="single"/>
        </w:rPr>
        <w:t>Rising Threats, Rising Liability</w:t>
      </w:r>
      <w:r>
        <w:rPr>
          <w:rFonts w:ascii="Times New Roman;sans-serif" w:hAnsi="Times New Roman;sans-serif"/>
          <w:b w:val="false"/>
          <w:color w:val="000000"/>
          <w:sz w:val="20"/>
        </w:rPr>
        <w:t>: Ransomware remains arguably the most severe cyber threat to enterprises in the commercial, state, and local government and education sectors. One reason for the rise of ransomware attacks is that it is exceedingly profitable for cybercriminals, and ransomware victims generally settle the ransom than restoring the system from backups or dealing with the fallout from a data breach. Aside from the financial costs of paying the ransom and restoring the system, the consequence of a successful ransomware attack can include damage to the organization's reputation, stolen sensitive data being used for malicious purposes, and loss of business.</w:t>
      </w:r>
    </w:p>
    <w:p>
      <w:pPr>
        <w:pStyle w:val="TextBody"/>
        <w:bidi w:val="0"/>
        <w:spacing w:lineRule="auto" w:line="288" w:before="120" w:after="180"/>
        <w:jc w:val="left"/>
        <w:rPr/>
      </w:pPr>
      <w:r>
        <w:rPr>
          <w:rFonts w:ascii="Times New Roman;sans-serif" w:hAnsi="Times New Roman;sans-serif"/>
          <w:b w:val="false"/>
          <w:i/>
          <w:color w:val="000000"/>
          <w:sz w:val="20"/>
          <w:u w:val="single"/>
        </w:rPr>
        <w:t>The Nation's Critical Systems Are Still at Risk</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Critical infrastructure and industrial Internet of Things ("IoT") are among the categories at greatest risk of cyberattacks.</w:t>
      </w:r>
    </w:p>
    <w:p>
      <w:pPr>
        <w:pStyle w:val="TextBody"/>
        <w:bidi w:val="0"/>
        <w:spacing w:lineRule="auto" w:line="288" w:before="120" w:after="180"/>
        <w:jc w:val="left"/>
        <w:rPr/>
      </w:pPr>
      <w:r>
        <w:rPr>
          <w:rFonts w:ascii="Times New Roman;sans-serif" w:hAnsi="Times New Roman;sans-serif"/>
          <w:b w:val="false"/>
          <w:i/>
          <w:color w:val="000000"/>
          <w:sz w:val="20"/>
          <w:u w:val="single"/>
        </w:rPr>
        <w:t>The Challenging Complexity of Regulatory Compliance</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Government mandates stronger security in highly regulated industries. These government initiatives and audit fatigue continue to burden highly regulated organizations, with automation solutions being recognized as the most effective remedy for the many repetitive and redundant tasks that security compliance requires.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Securities and Exchange Commission ("SEC") has finalized and adopted new cybersecurity rules for publicly traded companies, which will require registrants to disclose additional cyber-related information in their regulatory filings. Specifically, they will have to: (1) regularly disclose their governance methods, risk analysis and management processes; (2) meet specific disclosure requirements and deadlines for cybersecurity reporting and describing material cyber incidents; and (3) describe the board's oversight of risks from cybersecurity threats, and management's expertise and role in assessing and managing material risks from cybersecurity threats. The required reporting of this information will lead many companies to proactively establish policies that will improve their cyber risk management posture and enable them to better withstand heightened public and regulatory scrutiny. </w:t>
      </w:r>
    </w:p>
    <w:p>
      <w:pPr>
        <w:pStyle w:val="TextBody"/>
        <w:bidi w:val="0"/>
        <w:spacing w:lineRule="auto" w:line="288" w:before="120" w:after="180"/>
        <w:jc w:val="left"/>
        <w:rPr/>
      </w:pPr>
      <w:r>
        <w:rPr>
          <w:rFonts w:ascii="Times New Roman;sans-serif" w:hAnsi="Times New Roman;sans-serif"/>
          <w:b w:val="false"/>
          <w:i/>
          <w:color w:val="000000"/>
          <w:sz w:val="20"/>
          <w:u w:val="single"/>
        </w:rPr>
        <w:t>Identity Assurance and Privacy Protection are Essential for Today's Enterprises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Identity and access management continues to be a major cybersecurity concern for organizations and individuals that need to ensure their security and protect their privacy. Trusted identities are essential to confidence in IT and physical security strategies and to the success of Zero Trust security models and architectures.</w:t>
      </w:r>
    </w:p>
    <w:p>
      <w:pPr>
        <w:pStyle w:val="TextBody"/>
        <w:bidi w:val="0"/>
        <w:spacing w:lineRule="auto" w:line="288" w:before="120" w:after="180"/>
        <w:jc w:val="left"/>
        <w:rPr/>
      </w:pPr>
      <w:r>
        <w:rPr>
          <w:rFonts w:ascii="Times New Roman;sans-serif" w:hAnsi="Times New Roman;sans-serif"/>
          <w:b w:val="false"/>
          <w:i/>
          <w:color w:val="000000"/>
          <w:sz w:val="20"/>
          <w:u w:val="single"/>
        </w:rPr>
        <w:t>Artificial Intelligence</w:t>
      </w:r>
      <w:r>
        <w:rPr>
          <w:rFonts w:ascii="Times New Roman;sans-serif" w:hAnsi="Times New Roman;sans-serif"/>
          <w:b w:val="false"/>
          <w:color w:val="000000"/>
          <w:sz w:val="20"/>
        </w:rPr>
        <w:t xml:space="preserve">: Cybercriminals are using Artificial Intelligence ("AI") to launch more sophisticated attacks that can quickly adapt to changing environments, making detection harder. To protect against AI-powered cyberattacks, organizations must stay vigilant and adopt advanced cybersecurity tools and techniques that can detect and respond to these threats timely before they can cause damage. </w:t>
      </w:r>
    </w:p>
    <w:p>
      <w:pPr>
        <w:pStyle w:val="TextBody"/>
        <w:bidi w:val="0"/>
        <w:spacing w:lineRule="auto" w:line="288" w:before="120" w:after="180"/>
        <w:jc w:val="left"/>
        <w:rPr/>
      </w:pPr>
      <w:r>
        <w:rPr>
          <w:rFonts w:ascii="Times New Roman;sans-serif" w:hAnsi="Times New Roman;sans-serif"/>
          <w:b w:val="false"/>
          <w:i/>
          <w:color w:val="000000"/>
          <w:sz w:val="20"/>
          <w:u w:val="single"/>
        </w:rPr>
        <w:t>Global Networks and Worldwide Communications Need Baked-in Security</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Enterprises also need resilient cyber and information security capabilities to protect and defend critical infrastructure to ensure mission success.</w:t>
      </w:r>
    </w:p>
    <w:p>
      <w:pPr>
        <w:pStyle w:val="TextBody"/>
        <w:bidi w:val="0"/>
        <w:spacing w:lineRule="auto" w:line="276" w:before="120" w:after="180"/>
        <w:jc w:val="left"/>
        <w:rPr/>
      </w:pPr>
      <w:r>
        <w:rPr>
          <w:rFonts w:ascii="Times New Roman;sans-serif" w:hAnsi="Times New Roman;sans-serif"/>
          <w:b w:val="false"/>
          <w:color w:val="000000"/>
          <w:sz w:val="20"/>
        </w:rPr>
        <w:t>Telos has several available solutions (Xacta, Telos Ghost, Telos ACA and IDTrust 360</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to help our customers protect and secure their on-premise, cyber, and cloud-based networks, and mitigate risk to critical infrastructure. Further, Secure Networks offers secure mobility solutions and management expertise to defend against cyber threats and vulnerabilities.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Backlog</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Backlog is a useful measure in developing our annual budgeted revenue by estimating for the upcoming year our continuing business from existing customers and active contracts. We consider backlog, both funded and unfunded (as explained below), other expected annual renewals, and expansion planned by our current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Total backlog consists of the aggregate contract revenues remaining to be earned by us at a given time over the life of our contracts, whether funded or unfunded. Funded backlog consists of the aggregate contract revenues remaining to be earned at a given time, which, in the case of U.S. government contracts, means that they have been funded by the procuring agency. Unfunded backlog is the difference between total backlog and funded backlog and includes potential revenues that may be earned if customers exercise delivery orders and/or renewal options to continue these contracts. Based on historical experience, we generally assume option year renewals to be exercised. Most of our customers fund contracts on the basis of one year or less, and, as a result, funded backlog is generally expected to be earned within one year from any point in time, whereas unfunded backlog is expected to be earned over a longer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Financial Overview</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number of factors have contributed to the results of our second quarter of fiscal year 2023, the most noteworthy or significant of which are described below. More details on these changes are presented below within our "Results of Operations" section.</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The winding down of certain projects and lower revenue on existing major programs resulted in a decline in the current quarter's revenue.</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Actions to cushion the impact of lower revenue on profitability, maintain gross margin level, and improve net loss position.</w:t>
      </w:r>
    </w:p>
    <w:p>
      <w:pPr>
        <w:pStyle w:val="TextBody"/>
        <w:bidi w:val="0"/>
        <w:spacing w:lineRule="auto" w:line="288" w:before="120" w:after="180"/>
        <w:ind w:left="0" w:right="0" w:hanging="360"/>
        <w:jc w:val="left"/>
        <w:rPr/>
      </w:pPr>
      <w:r>
        <w:rPr>
          <w:color w:val="000000"/>
        </w:rPr>
        <w:t>•</w:t>
      </w:r>
      <w:r>
        <w:rPr>
          <w:rFonts w:ascii="Times New Roman;sans-serif" w:hAnsi="Times New Roman;sans-serif"/>
          <w:b w:val="false"/>
          <w:color w:val="000000"/>
          <w:sz w:val="20"/>
        </w:rPr>
        <w:t>Lower operating costs through a combination of lower stock-based compensation, aggressive cost management and the results of the restructuring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tbl>
      <w:tblPr>
        <w:tblW w:w="10205" w:type="dxa"/>
        <w:jc w:val="left"/>
        <w:tblInd w:w="0" w:type="dxa"/>
        <w:tblLayout w:type="fixed"/>
        <w:tblCellMar>
          <w:top w:w="28" w:type="dxa"/>
          <w:left w:w="28" w:type="dxa"/>
          <w:bottom w:w="28" w:type="dxa"/>
          <w:right w:w="28" w:type="dxa"/>
        </w:tblCellMar>
      </w:tblPr>
      <w:tblGrid>
        <w:gridCol w:w="1416"/>
        <w:gridCol w:w="1232"/>
        <w:gridCol w:w="1228"/>
        <w:gridCol w:w="249"/>
        <w:gridCol w:w="822"/>
        <w:gridCol w:w="325"/>
        <w:gridCol w:w="138"/>
        <w:gridCol w:w="138"/>
        <w:gridCol w:w="138"/>
        <w:gridCol w:w="249"/>
        <w:gridCol w:w="898"/>
        <w:gridCol w:w="325"/>
        <w:gridCol w:w="109"/>
        <w:gridCol w:w="109"/>
        <w:gridCol w:w="109"/>
        <w:gridCol w:w="196"/>
        <w:gridCol w:w="700"/>
        <w:gridCol w:w="256"/>
        <w:gridCol w:w="109"/>
        <w:gridCol w:w="109"/>
        <w:gridCol w:w="109"/>
        <w:gridCol w:w="196"/>
        <w:gridCol w:w="736"/>
        <w:gridCol w:w="309"/>
      </w:tblGrid>
      <w:tr>
        <w:trPr/>
        <w:tc>
          <w:tcPr>
            <w:tcW w:w="141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715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1: Consolidated Results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Six Months Ended</w:t>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32,911 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55,791 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105,951 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20,552 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34,862 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66,151 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12,359 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20,929 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39,800 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Gross margin</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37.6 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37.5 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37.6 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34,965 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70,203 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Selling, general and administrative expenses as percentage of revenue</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66.3 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62.7 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70.9 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66.3 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(9,467)</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(14,036)</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(22,437)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(30,403)</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(8,002)</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(14,105)</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(18,725)</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(30,650)</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(8,024)</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(14,159)</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(18,770)</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(30,775)</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Consolidated Results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segments have different factors driving revenue fluctuations and profitability. The discussion of the changes in our revenue and profitability is covered in greater detail under the section that follows "Segment Results." We generate revenue from the delivery of products and services to our customers. Cost of sales, for both products and services, consists of labor, materials, subcontracting costs and an allocation of indirect costs.</w:t>
      </w:r>
    </w:p>
    <w:p>
      <w:pPr>
        <w:pStyle w:val="TextBody"/>
        <w:bidi w:val="0"/>
        <w:spacing w:lineRule="auto" w:line="288" w:before="120" w:after="180"/>
        <w:jc w:val="left"/>
        <w:rPr/>
      </w:pPr>
      <w:r>
        <w:rPr>
          <w:rFonts w:ascii="Times New Roman;sans-serif" w:hAnsi="Times New Roman;sans-serif"/>
          <w:b w:val="false"/>
          <w:i/>
          <w:color w:val="000000"/>
          <w:sz w:val="20"/>
        </w:rPr>
        <w:t xml:space="preserve">Selling, general, and administrative expenses (SG&amp;A). </w:t>
      </w:r>
      <w:r>
        <w:rPr>
          <w:rFonts w:ascii="Times New Roman;sans-serif" w:hAnsi="Times New Roman;sans-serif"/>
          <w:b w:val="false"/>
          <w:color w:val="000000"/>
          <w:sz w:val="20"/>
        </w:rPr>
        <w:t>SG&amp;A decreased by $13.1 million, or 37.6%, for the three months ended June 30, 2023, compared to the same period in 2022. This decrease is primarily due to lower stock-based compensation costs of $8.7 million, reduced labor costs of $2.6 million as a result of a decrease in personnel, and change in capitalized research and development costs of $2.1 million driven by the timing in software projects.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SG&amp;A decreased by $21.9 million, or 31.2%, for the six months ended June 30, 2023, as compared to the same period in the prior year primarily due to lower stock-based compensation costs of $14.4 million, reduced labor costs of $5.3 million as a result of a decrease in personnel, and change in capitalized research and development costs of $3.2 million driven by the timing in software projects, partially offset by $1.2 million in restructuring charges. </w:t>
      </w:r>
    </w:p>
    <w:p>
      <w:pPr>
        <w:pStyle w:val="TextBody"/>
        <w:bidi w:val="0"/>
        <w:spacing w:lineRule="auto" w:line="288" w:before="120" w:after="180"/>
        <w:jc w:val="left"/>
        <w:rPr/>
      </w:pPr>
      <w:r>
        <w:rPr>
          <w:rFonts w:ascii="Times New Roman;sans-serif" w:hAnsi="Times New Roman;sans-serif"/>
          <w:b w:val="false"/>
          <w:i/>
          <w:color w:val="000000"/>
          <w:sz w:val="20"/>
        </w:rPr>
        <w:t xml:space="preserve">Other income. </w:t>
      </w:r>
      <w:r>
        <w:rPr>
          <w:rFonts w:ascii="Times New Roman;sans-serif" w:hAnsi="Times New Roman;sans-serif"/>
          <w:b w:val="false"/>
          <w:color w:val="000000"/>
          <w:sz w:val="20"/>
        </w:rPr>
        <w:t xml:space="preserve">Other income increased by $1.5 million for the three months ended June 30, 2023, due to increases in dividend income from money market placements as a result of increasing interest rates, compared to the same period in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increased by $4.0 million for the six months ended June 30, 2023, as compared to the same period in the prior year primarily due to an increase in dividend income from money market placement of $2.7 million, and a gain on early extinguishment of other financing obligations of $1.4 million in 2023 without a similar gain in the same period in 2022.</w:t>
      </w:r>
    </w:p>
    <w:p>
      <w:pPr>
        <w:pStyle w:val="TextBody"/>
        <w:bidi w:val="0"/>
        <w:spacing w:lineRule="auto" w:line="288" w:before="120" w:after="180"/>
        <w:jc w:val="left"/>
        <w:rPr/>
      </w:pPr>
      <w:r>
        <w:rPr>
          <w:rFonts w:ascii="Times New Roman;sans-serif" w:hAnsi="Times New Roman;sans-serif"/>
          <w:b w:val="false"/>
          <w:i/>
          <w:color w:val="000000"/>
          <w:sz w:val="20"/>
        </w:rPr>
        <w:t>Interest expenses</w:t>
      </w:r>
      <w:r>
        <w:rPr>
          <w:rFonts w:ascii="Times New Roman;sans-serif" w:hAnsi="Times New Roman;sans-serif"/>
          <w:b w:val="false"/>
          <w:color w:val="000000"/>
          <w:sz w:val="20"/>
        </w:rPr>
        <w:t>. There was no significant change in interest expense between comparable periods.</w:t>
      </w:r>
    </w:p>
    <w:p>
      <w:pPr>
        <w:pStyle w:val="TextBody"/>
        <w:bidi w:val="0"/>
        <w:spacing w:lineRule="auto" w:line="288" w:before="120" w:after="180"/>
        <w:jc w:val="left"/>
        <w:rPr/>
      </w:pPr>
      <w:r>
        <w:rPr>
          <w:rFonts w:ascii="Times New Roman;sans-serif" w:hAnsi="Times New Roman;sans-serif"/>
          <w:b w:val="false"/>
          <w:i/>
          <w:color w:val="000000"/>
          <w:sz w:val="20"/>
        </w:rPr>
        <w:t>Provision for income taxes</w:t>
      </w:r>
      <w:r>
        <w:rPr>
          <w:rFonts w:ascii="Times New Roman;sans-serif" w:hAnsi="Times New Roman;sans-serif"/>
          <w:b w:val="false"/>
          <w:color w:val="000000"/>
          <w:sz w:val="20"/>
        </w:rPr>
        <w:t>. The change in the income tax provision for the three and six months ended June 30, 2023, compared to the same period in 2022, is based on the estimated annual effective tax rate applied to the pretax loss incurred for the quarter plus discrete tax items, based on our expectation of pretax loss for the fiscal year.</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Segment Results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of each business segment are the same as those followed by the Company as a whole. Management evaluates business segment performance based on gross profit.</w:t>
      </w:r>
    </w:p>
    <w:tbl>
      <w:tblPr>
        <w:tblW w:w="6606" w:type="dxa"/>
        <w:jc w:val="left"/>
        <w:tblInd w:w="0" w:type="dxa"/>
        <w:tblLayout w:type="fixed"/>
        <w:tblCellMar>
          <w:top w:w="28" w:type="dxa"/>
          <w:left w:w="28" w:type="dxa"/>
          <w:bottom w:w="28" w:type="dxa"/>
          <w:right w:w="28" w:type="dxa"/>
        </w:tblCellMar>
      </w:tblPr>
      <w:tblGrid>
        <w:gridCol w:w="412"/>
        <w:gridCol w:w="363"/>
        <w:gridCol w:w="365"/>
        <w:gridCol w:w="198"/>
        <w:gridCol w:w="653"/>
        <w:gridCol w:w="259"/>
        <w:gridCol w:w="109"/>
        <w:gridCol w:w="109"/>
        <w:gridCol w:w="109"/>
        <w:gridCol w:w="198"/>
        <w:gridCol w:w="653"/>
        <w:gridCol w:w="259"/>
        <w:gridCol w:w="109"/>
        <w:gridCol w:w="109"/>
        <w:gridCol w:w="109"/>
        <w:gridCol w:w="198"/>
        <w:gridCol w:w="653"/>
        <w:gridCol w:w="259"/>
        <w:gridCol w:w="109"/>
        <w:gridCol w:w="109"/>
        <w:gridCol w:w="109"/>
        <w:gridCol w:w="198"/>
        <w:gridCol w:w="653"/>
        <w:gridCol w:w="30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6606"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2: Security Solutions Segment - Financial Results</w:t>
            </w:r>
          </w:p>
        </w:tc>
      </w:tr>
      <w:tr>
        <w:trPr/>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Six Months Ended</w:t>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30,819 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36,969 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57,738 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31,485 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Gross margin</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55.5 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53.3 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53.6 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54.5 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Security Solutions segment revenue decreased by $13.6 million, or 44.2%, compared to the same period in 2022, primarily due to lower volume on certain major programs.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Security Solutions segment revenue for the six months ended June 30, 2023, decreased by $20.8 million, or 36.0%, compared to the same period in 2022, primarily due to lower revenues on major programs.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for Security Solutions decreased by $6.9 million, or 41.9%, for the second quarter of 2023 compared with the same period in 2022, primarily due to the decrease in revenue, partially offset by lower indirect expenses due to restructuring and other cost actions. Segment gross margin increased to 55.5% for the second quarter of 2023 from 53.3% for the same period in 2022, primarily due to revenue mix.</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2023, Security Solutions segment gross profit decreased by $11.7 million, or 37.0%, compared to the same period in 2022, primarily due to the decrease in revenue but partially offset by significantly lower indirect expenses. Segment gross margin decreased from 54.5% to 53.6% as a result of a lower revenue base for indirect expenses. </w:t>
      </w:r>
    </w:p>
    <w:tbl>
      <w:tblPr>
        <w:tblW w:w="6606" w:type="dxa"/>
        <w:jc w:val="left"/>
        <w:tblInd w:w="0" w:type="dxa"/>
        <w:tblLayout w:type="fixed"/>
        <w:tblCellMar>
          <w:top w:w="28" w:type="dxa"/>
          <w:left w:w="28" w:type="dxa"/>
          <w:bottom w:w="28" w:type="dxa"/>
          <w:right w:w="28" w:type="dxa"/>
        </w:tblCellMar>
      </w:tblPr>
      <w:tblGrid>
        <w:gridCol w:w="412"/>
        <w:gridCol w:w="363"/>
        <w:gridCol w:w="365"/>
        <w:gridCol w:w="198"/>
        <w:gridCol w:w="653"/>
        <w:gridCol w:w="259"/>
        <w:gridCol w:w="109"/>
        <w:gridCol w:w="109"/>
        <w:gridCol w:w="109"/>
        <w:gridCol w:w="198"/>
        <w:gridCol w:w="653"/>
        <w:gridCol w:w="259"/>
        <w:gridCol w:w="109"/>
        <w:gridCol w:w="109"/>
        <w:gridCol w:w="109"/>
        <w:gridCol w:w="198"/>
        <w:gridCol w:w="653"/>
        <w:gridCol w:w="259"/>
        <w:gridCol w:w="109"/>
        <w:gridCol w:w="109"/>
        <w:gridCol w:w="109"/>
        <w:gridCol w:w="198"/>
        <w:gridCol w:w="653"/>
        <w:gridCol w:w="30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6606"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3: Secure Networks Segment - Financial Results</w:t>
            </w:r>
          </w:p>
        </w:tc>
      </w:tr>
      <w:tr>
        <w:trPr/>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Six Months Ended</w:t>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31,164 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48,213 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Gross margin</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17.9 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18.0 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19.3 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17.2 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Secure Networks segment revenue for the three months ended June 30, 2023, decreased by $9.3 million, or 37.1%, compared to the same period in 2022, primarily due to the successful wind-down of large programs as expected.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Secure Networks segment revenue decreased by $17.0 million, or 35.4%, compared to the same period in 2022, primarily due to the successful wind-down of large programs as expected.</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for Secure Networks decreased by $1.7 million, or 37.5%, for the second quarter of 2023, compared with the same period in 2022, primarily due to lower revenue, partially offset by lower indirect expenses. Segment gross margin slightly decreased to 17.9% for the second quarter of 2023 from 18.0% for the same period in 2022.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2023, Secure Networks segment gross profit decreased by $2.3 million, or 27.6% compared to the same period in 2022, primarily due to lower revenue, partially offset by lower indirect expenses. Segment gross margin increased from 17.2% in 2022 to 19.3% in 2023 due to improved performance on several programs and a shift in the mix across the portfolio driven by the wind-down of lower-margin programs.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U.S. GAAP, we believe the non-GAAP financial measures of EBITDA, Adjusted EBITDA, EBITDA Margin, Adjusted EBITDA Margin, Adjusted Net Income/(Loss), Adjusted Earnings Per Share ("EPS") and Free Cash Flow are useful in evaluating our operating performance. We believe that this non-GAAP financial information, when taken collectively with our GAAP results, may be helpful to readers of our financial statements because it provides consistency and comparability with past financial performance and assists in comparisons with other companies, some of which use similar non-GAAP financial information to supplement their GAAP results. The non-GAAP financial information is presented for supplemental informational purposes only, should not be considered a substitute for financial information presented in accordance with GAAP, and may be different from similarly-titled non-GAAP measures used by other companies. A reconciliation is provided below for each of these non-GAAP financial measures to the most directly comparable financial measure stated in accordance with GAAP.</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use these non-GAAP financial measures to understand and evaluate our core operating performance and trends, to prepare and approve our annual budget, to develop short-term and long-term operating plans, and to evaluate the performance of certain management personnel when determining incentive compensation. We believe these non-GAAP financial measures facilitate comparison of our operating performance on a consistent basis between periods by excluding certain items that may, or could, have a disproportionately positive or negative impact on our results of operations in any particular period. When viewed in combination with our results prepared in accordance with GAAP, these non-GAAP financial measures help provide a broader picture of factors and trends affecting our results of operations.</w:t>
      </w:r>
    </w:p>
    <w:p>
      <w:pPr>
        <w:pStyle w:val="TextBody"/>
        <w:bidi w:val="0"/>
        <w:spacing w:lineRule="auto" w:line="288" w:before="120" w:after="180"/>
        <w:jc w:val="left"/>
        <w:rPr/>
      </w:pPr>
      <w:r>
        <w:rPr>
          <w:rFonts w:ascii="Times New Roman;sans-serif" w:hAnsi="Times New Roman;sans-serif"/>
          <w:b/>
          <w:i/>
          <w:color w:val="000000"/>
          <w:sz w:val="20"/>
        </w:rPr>
        <w:t>EBITDA, Adjusted EBITDA, EBITDA Margin and Adjusted EBITDA Margin</w:t>
      </w:r>
      <w:r>
        <w:rPr>
          <w:color w:val="000000"/>
        </w:rPr>
        <w:t xml:space="preserve">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EBITDA, Adjusted EBITDA, EBITDA Margin and Adjusted EBITDA Margin are supplemental measures of operating performance that are not made under GAAP and do not represent, and should not be considered as, an alternative to net loss as determined by GAAP. We define EBITDA as net (loss)/income, adjusted for non-operating (income)/expense, interest expense, (benefit from)/provision for income taxes, and depreciation and amortization. We define Adjusted EBITDA as EBITDA, adjusted for stock-based compensation expense and restructuring expenses/(adjustments). We define EBITDA Margin as EBITDA as a percentage of total revenue. We define Adjusted EBITDA Margin as Adjusted EBITDA as a percentage of total revenue.</w:t>
      </w:r>
    </w:p>
    <w:tbl>
      <w:tblPr>
        <w:tblW w:w="10205" w:type="dxa"/>
        <w:jc w:val="left"/>
        <w:tblInd w:w="0" w:type="dxa"/>
        <w:tblLayout w:type="fixed"/>
        <w:tblCellMar>
          <w:top w:w="28" w:type="dxa"/>
          <w:left w:w="28" w:type="dxa"/>
          <w:bottom w:w="28" w:type="dxa"/>
          <w:right w:w="28" w:type="dxa"/>
        </w:tblCellMar>
      </w:tblPr>
      <w:tblGrid>
        <w:gridCol w:w="715"/>
        <w:gridCol w:w="260"/>
        <w:gridCol w:w="233"/>
        <w:gridCol w:w="197"/>
        <w:gridCol w:w="580"/>
        <w:gridCol w:w="109"/>
        <w:gridCol w:w="109"/>
        <w:gridCol w:w="109"/>
        <w:gridCol w:w="109"/>
        <w:gridCol w:w="239"/>
        <w:gridCol w:w="239"/>
        <w:gridCol w:w="243"/>
        <w:gridCol w:w="109"/>
        <w:gridCol w:w="109"/>
        <w:gridCol w:w="109"/>
        <w:gridCol w:w="197"/>
        <w:gridCol w:w="670"/>
        <w:gridCol w:w="109"/>
        <w:gridCol w:w="109"/>
        <w:gridCol w:w="109"/>
        <w:gridCol w:w="109"/>
        <w:gridCol w:w="239"/>
        <w:gridCol w:w="239"/>
        <w:gridCol w:w="243"/>
        <w:gridCol w:w="109"/>
        <w:gridCol w:w="109"/>
        <w:gridCol w:w="109"/>
        <w:gridCol w:w="197"/>
        <w:gridCol w:w="670"/>
        <w:gridCol w:w="109"/>
        <w:gridCol w:w="109"/>
        <w:gridCol w:w="109"/>
        <w:gridCol w:w="109"/>
        <w:gridCol w:w="221"/>
        <w:gridCol w:w="207"/>
        <w:gridCol w:w="208"/>
        <w:gridCol w:w="109"/>
        <w:gridCol w:w="109"/>
        <w:gridCol w:w="109"/>
        <w:gridCol w:w="197"/>
        <w:gridCol w:w="670"/>
        <w:gridCol w:w="109"/>
        <w:gridCol w:w="109"/>
        <w:gridCol w:w="109"/>
        <w:gridCol w:w="109"/>
        <w:gridCol w:w="188"/>
        <w:gridCol w:w="188"/>
        <w:gridCol w:w="440"/>
      </w:tblGrid>
      <w:tr>
        <w:trPr/>
        <w:tc>
          <w:tcPr>
            <w:tcW w:w="71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10205"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Table MD&amp;A 4: Reconciliation of Net Loss to EBITDA, Adjusted EBITDA, EBITDA Margin and Adjusted EBITDA Margin</w:t>
            </w:r>
          </w:p>
        </w:tc>
      </w:tr>
      <w:tr>
        <w:trPr/>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 the Six Months Ended</w:t>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2022</w:t>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Margin</w:t>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r>
      <w:tr>
        <w:trPr/>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r>
      <w:tr>
        <w:trPr/>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r>
      <w:tr>
        <w:trPr/>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0.4 %</w:t>
            </w:r>
          </w:p>
        </w:tc>
      </w:tr>
      <w:tr>
        <w:trPr/>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income taxes</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r>
      <w:tr>
        <w:trPr/>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r>
      <w:tr>
        <w:trPr/>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EBITDA (Non-GAAP)</w:t>
            </w:r>
          </w:p>
        </w:tc>
        <w:tc>
          <w:tcPr>
            <w:tcW w:w="7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 %</w:t>
            </w:r>
          </w:p>
        </w:tc>
      </w:tr>
      <w:tr>
        <w:trPr/>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Stock-based compensation expense </w:t>
            </w:r>
            <w:r>
              <w:rPr>
                <w:rFonts w:ascii="Times New Roman;sans-serif" w:hAnsi="Times New Roman;sans-serif"/>
                <w:b w:val="false"/>
                <w:color w:val="000000"/>
                <w:sz w:val="10"/>
              </w:rPr>
              <w:t>(1)</w:t>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31.1 %</w:t>
            </w:r>
          </w:p>
        </w:tc>
      </w:tr>
      <w:tr>
        <w:trPr/>
        <w:tc>
          <w:tcPr>
            <w:tcW w:w="1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Restructuring expenses/(adjustments) </w:t>
            </w:r>
            <w:r>
              <w:rPr>
                <w:rFonts w:ascii="Times New Roman;sans-serif" w:hAnsi="Times New Roman;sans-serif"/>
                <w:b w:val="false"/>
                <w:color w:val="000000"/>
                <w:sz w:val="10"/>
              </w:rPr>
              <w:t>(2)</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w:t>
            </w:r>
          </w:p>
        </w:tc>
      </w:tr>
      <w:tr>
        <w:trPr/>
        <w:tc>
          <w:tcPr>
            <w:tcW w:w="1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 (Non-GAAP)</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16"/>
              </w:rPr>
              <w:t>%</w:t>
            </w:r>
          </w:p>
        </w:tc>
      </w:tr>
    </w:tbl>
    <w:p>
      <w:pPr>
        <w:pStyle w:val="TextBody"/>
        <w:bidi w:val="0"/>
        <w:spacing w:lineRule="auto" w:line="288" w:before="120" w:after="180"/>
        <w:ind w:left="0" w:right="0" w:hanging="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stock-based compensation adjustment to EBITDA is made up of stock-based compensation expense for the awarded RSUs, PSUs and stock options, and of other sources. Stock-based compensation expense for the awarded RSUs, PSUs and stock options was $5.7 million and $13.6 million for the three and six months ended June 30, 2023, respectively, and $16.4 million and $30.7 million for the three and six months ended June 30, 2022, respectively. Stock-based compensation from other sources was $2.1 million and $3.7 million for the three and six months ended June 30, 2023, respectively, and $0.7 million and $2.3 million for the three and six months ended June 30, 2022, respectively. The other sources of stock-based compensation consist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out-of-quarter adjustments to this add back to Adjusted EBITDA.</w:t>
      </w:r>
    </w:p>
    <w:p>
      <w:pPr>
        <w:pStyle w:val="TextBody"/>
        <w:bidi w:val="0"/>
        <w:spacing w:lineRule="auto" w:line="288" w:before="120" w:after="180"/>
        <w:ind w:left="0" w:right="0" w:hanging="18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xml:space="preserve">The restructuring expenses/(adjustments) to EBITDA include severance and other related benefit costs (including outplacement services and continuing health insurance coverage), external consulting and advisory fees related to implementing the restructuring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Adjusted Net (Loss)/Income and Adjusted EPS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(Loss)/Income and Adjusted EPS are supplemental measures of operating performance that are not made under GAAP and do not represent, and should not be considered as, alternatives to net income/(loss) as determined by GAAP. We define Adjusted Net (Loss)/Income as net loss, adjusted for non-operating (income)/expense, stock-based compensation expense and restructuring expense/(adjustments). We define Adjusted EPS as Adjusted Net Loss divided by the weighted-average number of common shares outstanding for the period.</w:t>
      </w:r>
    </w:p>
    <w:tbl>
      <w:tblPr>
        <w:tblW w:w="10633" w:type="dxa"/>
        <w:jc w:val="left"/>
        <w:tblInd w:w="0" w:type="dxa"/>
        <w:tblLayout w:type="fixed"/>
        <w:tblCellMar>
          <w:top w:w="28" w:type="dxa"/>
          <w:left w:w="28" w:type="dxa"/>
          <w:bottom w:w="28" w:type="dxa"/>
          <w:right w:w="28" w:type="dxa"/>
        </w:tblCellMar>
      </w:tblPr>
      <w:tblGrid>
        <w:gridCol w:w="690"/>
        <w:gridCol w:w="341"/>
        <w:gridCol w:w="350"/>
        <w:gridCol w:w="196"/>
        <w:gridCol w:w="571"/>
        <w:gridCol w:w="109"/>
        <w:gridCol w:w="109"/>
        <w:gridCol w:w="109"/>
        <w:gridCol w:w="109"/>
        <w:gridCol w:w="196"/>
        <w:gridCol w:w="481"/>
        <w:gridCol w:w="109"/>
        <w:gridCol w:w="109"/>
        <w:gridCol w:w="109"/>
        <w:gridCol w:w="109"/>
        <w:gridCol w:w="196"/>
        <w:gridCol w:w="661"/>
        <w:gridCol w:w="109"/>
        <w:gridCol w:w="109"/>
        <w:gridCol w:w="109"/>
        <w:gridCol w:w="109"/>
        <w:gridCol w:w="196"/>
        <w:gridCol w:w="481"/>
        <w:gridCol w:w="109"/>
        <w:gridCol w:w="109"/>
        <w:gridCol w:w="109"/>
        <w:gridCol w:w="109"/>
        <w:gridCol w:w="196"/>
        <w:gridCol w:w="661"/>
        <w:gridCol w:w="109"/>
        <w:gridCol w:w="109"/>
        <w:gridCol w:w="109"/>
        <w:gridCol w:w="109"/>
        <w:gridCol w:w="196"/>
        <w:gridCol w:w="481"/>
        <w:gridCol w:w="109"/>
        <w:gridCol w:w="109"/>
        <w:gridCol w:w="109"/>
        <w:gridCol w:w="109"/>
        <w:gridCol w:w="196"/>
        <w:gridCol w:w="661"/>
        <w:gridCol w:w="109"/>
        <w:gridCol w:w="109"/>
        <w:gridCol w:w="109"/>
        <w:gridCol w:w="109"/>
        <w:gridCol w:w="196"/>
        <w:gridCol w:w="48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33" w:type="dxa"/>
            <w:gridSpan w:val="4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Table MD&amp;A 5: Reconciliation of Net Loss to Non-GAAP Adjusted Net (Loss)/Income and Adjusted EPS</w:t>
            </w:r>
          </w:p>
        </w:tc>
      </w:tr>
      <w:tr>
        <w:trPr/>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 the Six Months Ended</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2022</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Adjusted</w:t>
              <w:br/>
              <w:t>Net (Loss)/Income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Adjusted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Adjusted</w:t>
              <w:br/>
              <w:t>Net (Loss)/Income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Adjusted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Adjusted</w:t>
              <w:br/>
              <w:t>Net (Loss)/Income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Adjusted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Adjusted</w:t>
              <w:br/>
              <w:t>Net (Loss)/Income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Adjusted Earnings Per Share</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data)</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Stock-based compensation expense </w:t>
            </w:r>
            <w:r>
              <w:rPr>
                <w:rFonts w:ascii="Times New Roman;sans-serif" w:hAnsi="Times New Roman;sans-serif"/>
                <w:b w:val="false"/>
                <w:color w:val="000000"/>
                <w:sz w:val="10"/>
              </w:rPr>
              <w:t>(1)</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Restructuring expenses/(adjustments) </w:t>
            </w:r>
            <w:r>
              <w:rPr>
                <w:rFonts w:ascii="Times New Roman;sans-serif" w:hAnsi="Times New Roman;sans-serif"/>
                <w:b w:val="false"/>
                <w:color w:val="000000"/>
                <w:sz w:val="10"/>
              </w:rPr>
              <w:t>(2)</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net (loss)/income (Non-GAAP)</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shares of common stock outstanding, basic</w:t>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69,424 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hanging="18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stock-based compensation adjustment to Net (Loss)/Income is made up of stock-based compensation expense for the awarded RSUs, PSUs and stock options, and of other sources. Stock-based compensation expense for the awarded RSUs, PSUs and stock options was $5.7 million and $13.6 million for the three and six months ended June 30, 2023, respectively, and $16.4 million and $30.7 million for the three and six months ended June 30, 2022, respectively. Stock-based compensation from other sources was $2.1 million and $3.7 million for the three and six months ended June 30, 2023, respectively, and $0.7 million and $2.3 million for the three and six months ended June 30, 2022, respectively. The other sources of stock-based compensation consist of accrued compensation, which the Company intends to settle in shares of the Company's common stock. However, it is the Company’s discretion whether this compensation will ultimately be paid in stock or cash. The Company has the right to dictate the form of these payments up until the date at which they are paid. Any change to the expected payment form would result in out-of-quarter adjustments to this add back to Adjusted Net (Loss)/Income.</w:t>
      </w:r>
    </w:p>
    <w:p>
      <w:pPr>
        <w:pStyle w:val="TextBody"/>
        <w:bidi w:val="0"/>
        <w:spacing w:lineRule="auto" w:line="288" w:before="120" w:after="180"/>
        <w:ind w:left="0" w:right="0" w:hanging="18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restructuring expenses/(adjustments) to net loss include severance and other related benefit costs (including outplacement services and continuing health insurance coverage), external consulting and advisory fees related to implementing the restructuring plan.</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 as reconciled in the table below, is a non-GAAP financial measure defined as net cash provided by/(used in) operating activities, less purchases of property and equipment, and capitalized software development costs. This non-GAAP financial measure may be a useful measure for investors and other users of our financial statements as a supplemental measure of our cash performance and to assess the quality of our earnings as a key performance measure in evaluating management.</w:t>
      </w:r>
    </w:p>
    <w:tbl>
      <w:tblPr>
        <w:tblW w:w="9728" w:type="dxa"/>
        <w:jc w:val="left"/>
        <w:tblInd w:w="0" w:type="dxa"/>
        <w:tblLayout w:type="fixed"/>
        <w:tblCellMar>
          <w:top w:w="28" w:type="dxa"/>
          <w:left w:w="28" w:type="dxa"/>
          <w:bottom w:w="28" w:type="dxa"/>
          <w:right w:w="28" w:type="dxa"/>
        </w:tblCellMar>
      </w:tblPr>
      <w:tblGrid>
        <w:gridCol w:w="1330"/>
        <w:gridCol w:w="1168"/>
        <w:gridCol w:w="1177"/>
        <w:gridCol w:w="260"/>
        <w:gridCol w:w="840"/>
        <w:gridCol w:w="144"/>
        <w:gridCol w:w="124"/>
        <w:gridCol w:w="124"/>
        <w:gridCol w:w="124"/>
        <w:gridCol w:w="283"/>
        <w:gridCol w:w="805"/>
        <w:gridCol w:w="157"/>
        <w:gridCol w:w="109"/>
        <w:gridCol w:w="109"/>
        <w:gridCol w:w="109"/>
        <w:gridCol w:w="237"/>
        <w:gridCol w:w="876"/>
        <w:gridCol w:w="132"/>
        <w:gridCol w:w="110"/>
        <w:gridCol w:w="110"/>
        <w:gridCol w:w="110"/>
        <w:gridCol w:w="278"/>
        <w:gridCol w:w="793"/>
        <w:gridCol w:w="219"/>
      </w:tblGrid>
      <w:tr>
        <w:trPr/>
        <w:tc>
          <w:tcPr>
            <w:tcW w:w="133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9728"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6: Free Cash Flow</w:t>
            </w:r>
          </w:p>
        </w:tc>
      </w:tr>
      <w:tr>
        <w:trPr/>
        <w:tc>
          <w:tcPr>
            <w:tcW w:w="3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Six Months Ended</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2022</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in)/provided by operating activities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 (Non-GAAP)</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(8,558)</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(12,681)</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Each of EBITDA, Adjusted EBITDA, EBITDA Margin, Adjusted EBITDA Margin, Adjusted Net Income/(Loss), Adjusted EPS and Free Cash Flow has limitations as an analytical tool, and you should not consider any of them in isolation, or as a substitute for analysis of our results as reported under GAAP. Among other limitations, each of EBITDA, Adjusted EBITDA, EBITDA Margin, Adjusted EBITDA Margin, Adjusted Net Income/(Loss), Adjusted EPS and Free Cash Flow does not reflect our cash expenditures, or future requirements, for capital expenditures or contractual commitments, does not reflect the impact of certain cash charges resulting from matters we consider not to be indicative of our ongoing operations, and does not reflect income tax expense or benefit. Other companies in our industry may calculate Adjusted EBITDA, Adjusted EBITDA Margin, Adjusted Net Income/(Loss), Adjusted EPS and Free Cash Flow differently than we do, which limits their usefulness as comparative measures. Because of these limitations, neither EBITDA, Adjusted EBITDA, EBITDA Margin, Adjusted EBITDA Margin, Adjusted Net Income/(Loss), Adjusted EPS nor Free Cash Flow should be considered as a replacement for net (loss)/income, earnings per share or net cash flows provided by/(used in) operating activities, as determined by GAAP, or as a measure of our profitability. We compensate for these limitations by relying primarily on our GAAP results and using non-GAAP measures only for supplemental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sources of liquidity are cash on hand, future operating cash flows, and, if needed, borrowings under our $30.0 million revolving credit facility, with an available expansion feature of up to $30.0 million of additional revolver facility. While a variety of factors related to sources and uses of cash, such as timeliness of accounts receivable collections, vendor credit terms, or significant collateral requirements, ultimately impact our liquidity, such factors may or may not have a direct impact on our liquidity.</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we had cash and cash equivalents of $103.4 million and our working capital was $110.8 million.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place a strong emphasis on liquidity management. This focus gives us the flexibility for capital deployment while preserving a strong balance sheet to position us for future opportunities. We believe we have adequate funds on hand to execute our financial and operating strategy. Our overall financial position and liquidity are strong. Although no assurances can be given, we believe the available cash balances and access to our revolving credit facility are sufficient to maintain the liquidity we require to meet our operating, investing and financing needs for the next 12 months.</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Cash Flow</w:t>
      </w:r>
    </w:p>
    <w:tbl>
      <w:tblPr>
        <w:tblW w:w="9454" w:type="dxa"/>
        <w:jc w:val="left"/>
        <w:tblInd w:w="0" w:type="dxa"/>
        <w:tblLayout w:type="fixed"/>
        <w:tblCellMar>
          <w:top w:w="28" w:type="dxa"/>
          <w:left w:w="28" w:type="dxa"/>
          <w:bottom w:w="28" w:type="dxa"/>
          <w:right w:w="28" w:type="dxa"/>
        </w:tblCellMar>
      </w:tblPr>
      <w:tblGrid>
        <w:gridCol w:w="1482"/>
        <w:gridCol w:w="1301"/>
        <w:gridCol w:w="1311"/>
        <w:gridCol w:w="450"/>
        <w:gridCol w:w="1657"/>
        <w:gridCol w:w="250"/>
        <w:gridCol w:w="250"/>
        <w:gridCol w:w="250"/>
        <w:gridCol w:w="250"/>
        <w:gridCol w:w="450"/>
        <w:gridCol w:w="1450"/>
        <w:gridCol w:w="353"/>
      </w:tblGrid>
      <w:tr>
        <w:trPr/>
        <w:tc>
          <w:tcPr>
            <w:tcW w:w="148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9454"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Table MD&amp;A 7: Net Change in Cash, Cash Equivalents, and Restricted Cash</w:t>
            </w:r>
          </w:p>
        </w:tc>
      </w:tr>
      <w:tr>
        <w:trPr/>
        <w:tc>
          <w:tcPr>
            <w:tcW w:w="4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 the Six Months Ended</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2023</w:t>
            </w:r>
          </w:p>
        </w:tc>
        <w:tc>
          <w:tcPr>
            <w:tcW w:w="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in)/provided by operating activities</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8,132 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2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(8,468)</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(5,775)</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2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(6,199)</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cash equivalents, and restricted cash</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(15,857)</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for the six months ended June 30, 2023, was $4.2 million, an increase of $12.3 million in cash outflow, compared to the same period in 2022. The change is primarily driven by the Company's operating losses, the timing of receipts of customer payments, the timing of payments to vendors and employees, and the timing of inventory turnover, adjusted for certain non-cash items that do not impact cash flows from operating activities.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six months ended June 30, 2023, increased by $2.7 million compared to the same period of the prior year, primarily due to the higher investment in software development costs of $8.2 million and $5.1 million for the six months ended June 30, 2023 and 2022, respectively, partially offset by the slight decrease in purchases of property and equipment.</w:t>
      </w:r>
    </w:p>
    <w:p>
      <w:pPr>
        <w:pStyle w:val="TextBody"/>
        <w:bidi w:val="0"/>
        <w:spacing w:lineRule="auto" w:line="288" w:before="120" w:after="180"/>
        <w:jc w:val="left"/>
        <w:rPr/>
      </w:pPr>
      <w:r>
        <w:rPr>
          <w:rFonts w:ascii="Times New Roman;sans-serif" w:hAnsi="Times New Roman;sans-serif"/>
          <w:b w:val="false"/>
          <w:color w:val="000000"/>
          <w:sz w:val="20"/>
        </w:rPr>
        <w:t xml:space="preserve">Net cash used in financing activities for the six months ended June 30, 2023, decreased by $3.0 million compared to the same period in 2022. This is primarily attributable to the decrease in payment of tax withholding related to net share settlement of equity awards of $1.6 million for the six months ended June 30, 2023, compared with $2.9 million in the same period of 2022, and the cash outflow on repurchases of common stock of $2.6 million in 2022 compared with $0.1 million in 2023 under the share repurchase program (see </w:t>
      </w:r>
      <w:hyperlink w:anchor="i18f35a270336462393965f1d562b610d_76">
        <w:r>
          <w:rPr>
            <w:rStyle w:val="InternetLink"/>
            <w:rFonts w:ascii="Times New Roman;sans-serif" w:hAnsi="Times New Roman;sans-serif"/>
            <w:b w:val="false"/>
            <w:color w:val="0000FF"/>
            <w:sz w:val="20"/>
            <w:u w:val="single"/>
          </w:rPr>
          <w:t>Note 13 – Share Repurchases</w:t>
        </w:r>
      </w:hyperlink>
      <w:r>
        <w:rPr>
          <w:rFonts w:ascii="Times New Roman;sans-serif" w:hAnsi="Times New Roman;sans-serif"/>
          <w:b w:val="false"/>
          <w:color w:val="000000"/>
          <w:sz w:val="20"/>
        </w:rPr>
        <w:t>). This is partially offset by the payment of the DFT holdback amount of $0.6 million in February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accounting principles generally accepted in the U.S. requires us to make estimates, judgments, and assumptions that affect the amounts reported. Actual results could differ from those estimates. The 2022 Form 10-K, as filed with the SEC on March 16, 2023, includes a summary of critical accounting policies we believe are the most important to aid in understanding our financial results. There have been no changes to those critical accounting policies that have had a material impact on our reported amounts of assets, liabilities, revenues, or expenses during the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(as defined in Rules 13a-15(e) and 15d-15(e) under the Securities Exchange Act of 1934, as amended (the "Exchange Act")), which are designed to ensure that information required to be disclosed by the Company in reports that it files or submits under the Exchange Act, including this Report, are recorded, processed, summarized and reported within the time periods specified in the SEC's rules and forms. These disclosure controls and procedures include controls and procedures designed to ensure that information required to be disclosed by the Company under the Exchange Act is accumulated and communicated to the Company's management, including its principal executive officer ("CEO") and principal financial officer ("CFO") as appropriate to allow timely decisions regarding required disclosure.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including the Company's CEO and CFO, conducted an evaluation of the effectiveness of the Company's disclosure controls and procedures as of the end of the period covered by this Report and, based on that evaluation, the CEO and CFO concluded that the Company’s disclosure controls and procedures were effective at the reasonable assurance level as of June 30, 2023.</w:t>
      </w:r>
    </w:p>
    <w:p>
      <w:pPr>
        <w:pStyle w:val="TextBody"/>
        <w:bidi w:val="0"/>
        <w:spacing w:lineRule="auto" w:line="288" w:before="12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change in the Company's internal control over financial reporting during the quarter ended June 30, 2023, identified in connection with management’s evaluation required by paragraph (d) of Rules 13a-15 and 15d-15 under the Exchange Act, that have materially affected, or are reasonably likely to materially affect, the Company’s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180"/>
        <w:jc w:val="left"/>
        <w:rPr/>
      </w:pPr>
      <w:r>
        <w:rPr>
          <w:rFonts w:ascii="Times New Roman;sans-serif" w:hAnsi="Times New Roman;sans-serif"/>
          <w:b w:val="false"/>
          <w:color w:val="000000"/>
          <w:sz w:val="20"/>
        </w:rPr>
        <w:t xml:space="preserve">Information regarding legal proceedings is included under </w:t>
      </w:r>
      <w:hyperlink w:anchor="i18f35a270336462393965f1d562b610d_94">
        <w:r>
          <w:rPr>
            <w:rStyle w:val="InternetLink"/>
            <w:rFonts w:ascii="Times New Roman;sans-serif" w:hAnsi="Times New Roman;sans-serif"/>
            <w:b w:val="false"/>
            <w:color w:val="0000FF"/>
            <w:sz w:val="20"/>
            <w:u w:val="single"/>
          </w:rPr>
          <w:t>Note 18 – Commitments and Contingencies</w:t>
        </w:r>
      </w:hyperlink>
      <w:r>
        <w:rPr>
          <w:color w:val="000000"/>
        </w:rPr>
        <w:t xml:space="preserve"> </w:t>
      </w:r>
      <w:r>
        <w:rPr>
          <w:rFonts w:ascii="Times New Roman;sans-serif" w:hAnsi="Times New Roman;sans-serif"/>
          <w:b w:val="false"/>
          <w:color w:val="000000"/>
          <w:sz w:val="20"/>
        </w:rPr>
        <w:t>to the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disclosed under "Item 1A – Risk Factors" in our Annual Report on Form 10-K for the year ended December 31, 2022, the risk factors which may materially affect our business, financial conditions or results of operations. Except as set forth below, there have been no material changes from the risk factors previously disclosed. You should carefully consider the risk factors set forth below and in the Annual Report on Form 10-K, and other information set forth elsewhere in this Quarterly Report on Form 10-Q. You should be aware that these risk factors and other information may not describe every risk facing the Company. In addition, risks and uncertainties not currently known to us or that we currently do not believe are material could also materially and adversely affect our business, financial condition or results of operations.</w:t>
      </w:r>
    </w:p>
    <w:p>
      <w:pPr>
        <w:pStyle w:val="TextBody"/>
        <w:bidi w:val="0"/>
        <w:spacing w:lineRule="auto" w:line="288" w:before="120" w:after="180"/>
        <w:jc w:val="left"/>
        <w:rPr>
          <w:rFonts w:ascii="Times New Roman;sans-serif" w:hAnsi="Times New Roman;sans-serif"/>
          <w:b/>
          <w:i/>
          <w:color w:val="000000"/>
          <w:sz w:val="20"/>
        </w:rPr>
      </w:pPr>
      <w:r>
        <w:rPr>
          <w:rFonts w:ascii="Times New Roman;sans-serif" w:hAnsi="Times New Roman;sans-serif"/>
          <w:b/>
          <w:i/>
          <w:color w:val="000000"/>
          <w:sz w:val="20"/>
        </w:rPr>
        <w:t>An impairment charge of goodwill or other intangibles could have a material adverse impact on our results of operations.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was $17.9 million as of June 30, 2023, and December 31, 2022, of which $3.0 million is allocated to the Security Solutions segment and $14.9 million is allocated to the Secure Networks segment. Intangible assets were $37.8 million and $37.4 million as of June 30, 2023, and December 31, 2022, respectively. Under generally accepted accounting principles ("GAAP"), we are required to test the carrying value of goodwill and intangible assets at least annually or sooner if events occur that indicate impairment could exist. These events or circumstances could include a significant change in the business climate, including a sustained decline in a reporting unit’s fair value, legal and regulatory factors, operating performance indicators, competition and other factors. GAAP requires us to assign and then test goodwill at the reporting unit level.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over a sustained period of time we experience a decrease in our stock price and market capitalization, which may serve as an estimate of the fair value of our reporting unit, an indication of impairment may have occurred. If the fair value of our reporting unit is less than its net book value, we may be required to record goodwill impairment charges in the future. In addition, if the revenue and cash flows generated from any of our other intangible assets is not sufficient to support its net book value, we may be required to record an impairment charge.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half of 2023, the price per share of our common stock as traded on the NASDAQ Global Market declined below net book value per share. If our stock price remains below net book value per share or other negative business factors described above exist, we may be required to perform a goodwill impairment analysis before the end of the year. That analysis or the annual analysis may result in an impairment charge that could be significant and could have a material adverse impact on our results of operations for the period in which the charge is taken. </w:t>
      </w:r>
    </w:p>
    <w:p>
      <w:pPr>
        <w:pStyle w:val="TextBody"/>
        <w:bidi w:val="0"/>
        <w:spacing w:lineRule="auto" w:line="288" w:before="120" w:after="180"/>
        <w:jc w:val="left"/>
        <w:rPr/>
      </w:pPr>
      <w:r>
        <w:rPr>
          <w:rFonts w:ascii="Times New Roman;sans-serif" w:hAnsi="Times New Roman;sans-serif"/>
          <w:b/>
          <w:i/>
          <w:color w:val="000000"/>
          <w:sz w:val="20"/>
        </w:rPr>
        <w:t>A decline in the federal budget, changes in spending or budgetary priorities of the U.S. government, a prolonged U.S. government shutdown or delays in contract awards may significantly and adversely affect our future revenues, cash flow and financial results.</w:t>
      </w:r>
      <w:r>
        <w:rPr>
          <w:color w:val="000000"/>
        </w:rPr>
        <w:t xml:space="preserve"> </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recent years, U.S. government appropriations have been affected by larger U.S. government budgetary issues and related legislation. As a result, DoD funding levels have fluctuated and have been difficult to predict. Future spending levels are subject to a wide range of factors, including Congressional action. In addition, in recent years, the U.S. government has been unable to complete its budget process before the end of its fiscal year, resulting in both a government shutdown and continuing resolutions to extend sufficient funds only for U.S. government agencies to continue operating. Most recently, the federal government was shut down due to a lack of funding for over one month between late 2018 and early 2019. Additionally, the national debt has recently threatened to reach the statutory debt ceiling in 2023, and such an event in future years could result in the U.S. government defaulting on its debts.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government spending levels are difficult to predict beyond the near term due to numerous factors, including the external threat environment, future government priorities and the state of government finances. Significant changes in government spending or changes in U.S. government priorities, policies and requirements could have a material adverse effect on our results of operations, financial condition or liquidity.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 None.</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 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4"/>
        <w:gridCol w:w="250"/>
        <w:gridCol w:w="251"/>
        <w:gridCol w:w="113"/>
        <w:gridCol w:w="113"/>
        <w:gridCol w:w="113"/>
        <w:gridCol w:w="2702"/>
        <w:gridCol w:w="2634"/>
        <w:gridCol w:w="3745"/>
      </w:tblGrid>
      <w:tr>
        <w:trPr/>
        <w:tc>
          <w:tcPr>
            <w:tcW w:w="28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Exhibit</w:t>
              <w:br/>
              <w:t>Number</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Description</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formoftelosnoticeofgrantof.htm">
              <w:r>
                <w:rPr>
                  <w:rStyle w:val="InternetLink"/>
                  <w:rFonts w:ascii="Times New Roman;sans-serif" w:hAnsi="Times New Roman;sans-serif"/>
                  <w:b w:val="false"/>
                  <w:color w:val="0000FF"/>
                  <w:sz w:val="18"/>
                  <w:u w:val="single"/>
                </w:rPr>
                <w:t>10.1</w:t>
              </w:r>
            </w:hyperlink>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9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ormoftelosnoticeofgrantof.htm">
              <w:r>
                <w:rPr>
                  <w:rStyle w:val="InternetLink"/>
                  <w:rFonts w:ascii="Times New Roman;sans-serif" w:hAnsi="Times New Roman;sans-serif"/>
                  <w:b w:val="false"/>
                  <w:color w:val="0000FF"/>
                  <w:sz w:val="18"/>
                  <w:u w:val="single"/>
                </w:rPr>
                <w:t>Form of Telos Corporation Notice of Grant of Option</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foroftelosnoticeofgrantofr.htm">
              <w:r>
                <w:rPr>
                  <w:rStyle w:val="InternetLink"/>
                  <w:rFonts w:ascii="Times New Roman;sans-serif" w:hAnsi="Times New Roman;sans-serif"/>
                  <w:b w:val="false"/>
                  <w:color w:val="0000FF"/>
                  <w:sz w:val="18"/>
                  <w:u w:val="single"/>
                </w:rPr>
                <w:t>10.2</w:t>
              </w:r>
            </w:hyperlink>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w:t>
            </w:r>
          </w:p>
        </w:tc>
        <w:tc>
          <w:tcPr>
            <w:tcW w:w="9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oroftelosnoticeofgrantofr.htm">
              <w:r>
                <w:rPr>
                  <w:rStyle w:val="InternetLink"/>
                  <w:rFonts w:ascii="Times New Roman;sans-serif" w:hAnsi="Times New Roman;sans-serif"/>
                  <w:b w:val="false"/>
                  <w:color w:val="0000FF"/>
                  <w:sz w:val="18"/>
                  <w:u w:val="single"/>
                </w:rPr>
                <w:t>Form of Telos Corporation Notice of Grant of Restricted Shares and/or Restricted Share Units (Time-Based)</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tls-20230630xexhibit311q223.htm">
              <w:r>
                <w:rPr>
                  <w:rStyle w:val="InternetLink"/>
                  <w:rFonts w:ascii="Times New Roman;sans-serif" w:hAnsi="Times New Roman;sans-serif"/>
                  <w:b w:val="false"/>
                  <w:color w:val="0000FF"/>
                  <w:sz w:val="18"/>
                  <w:u w:val="single"/>
                </w:rPr>
                <w:t>31.1</w:t>
              </w:r>
            </w:hyperlink>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ls-20230630xexhibit311q223.htm">
              <w:r>
                <w:rPr>
                  <w:rStyle w:val="InternetLink"/>
                  <w:rFonts w:ascii="Times New Roman;sans-serif" w:hAnsi="Times New Roman;sans-serif"/>
                  <w:b w:val="false"/>
                  <w:color w:val="0000FF"/>
                  <w:sz w:val="18"/>
                  <w:u w:val="single"/>
                </w:rPr>
                <w:t>Certification of Chief Executive Officer pursuant to Section 302 of the Sarbanes-Oxley Act of 2002</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tls-20230630xexhibit312q223.htm">
              <w:r>
                <w:rPr>
                  <w:rStyle w:val="InternetLink"/>
                  <w:rFonts w:ascii="Times New Roman;sans-serif" w:hAnsi="Times New Roman;sans-serif"/>
                  <w:b w:val="false"/>
                  <w:color w:val="0000FF"/>
                  <w:sz w:val="18"/>
                  <w:u w:val="single"/>
                </w:rPr>
                <w:t>31.2</w:t>
              </w:r>
            </w:hyperlink>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tls-20230630xexhibit312q223.htm">
              <w:r>
                <w:rPr>
                  <w:rStyle w:val="InternetLink"/>
                  <w:rFonts w:ascii="Times New Roman;sans-serif" w:hAnsi="Times New Roman;sans-serif"/>
                  <w:b w:val="false"/>
                  <w:color w:val="0000FF"/>
                  <w:sz w:val="18"/>
                  <w:u w:val="single"/>
                </w:rPr>
                <w:t>Certification of Chief Financial Officer pursuant to Section 302 of the Sarbanes-Oxley Act of 2002</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tls-20230630xexhibit32q223.htm">
              <w:r>
                <w:rPr>
                  <w:rStyle w:val="InternetLink"/>
                  <w:rFonts w:ascii="Times New Roman;sans-serif" w:hAnsi="Times New Roman;sans-serif"/>
                  <w:b w:val="false"/>
                  <w:color w:val="0000FF"/>
                  <w:sz w:val="18"/>
                  <w:u w:val="single"/>
                </w:rPr>
                <w:t>32</w:t>
              </w:r>
            </w:hyperlink>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tls-20230630xexhibit32q223.htm">
              <w:r>
                <w:rPr>
                  <w:rStyle w:val="InternetLink"/>
                  <w:rFonts w:ascii="Times New Roman;sans-serif" w:hAnsi="Times New Roman;sans-serif"/>
                  <w:b w:val="false"/>
                  <w:color w:val="0000FF"/>
                  <w:sz w:val="18"/>
                  <w:u w:val="single"/>
                </w:rPr>
                <w:t>Certification pursuant to 18 U.S.C. Section 1350, as Adopted pursuant to Section 906 of the Sarbanes-Oxley Act of 2002</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Instance Document - the instance document does not appear in the Interactive Data File because its XBRL tags are embedded within the Inline XBRL document</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 Document</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Linkbase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 Linkbase Document</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 Document</w:t>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 the cover page iXBRL tags are embedded within the Inline XBRL document contained in Exhibit 101</w:t>
            </w:r>
          </w:p>
        </w:tc>
      </w:tr>
    </w:tbl>
    <w:tbl>
      <w:tblPr>
        <w:tblW w:w="5576" w:type="dxa"/>
        <w:jc w:val="left"/>
        <w:tblInd w:w="0" w:type="dxa"/>
        <w:tblLayout w:type="fixed"/>
        <w:tblCellMar>
          <w:top w:w="28" w:type="dxa"/>
          <w:left w:w="28" w:type="dxa"/>
          <w:bottom w:w="28" w:type="dxa"/>
          <w:right w:w="28" w:type="dxa"/>
        </w:tblCellMar>
      </w:tblPr>
      <w:tblGrid>
        <w:gridCol w:w="124"/>
        <w:gridCol w:w="109"/>
        <w:gridCol w:w="109"/>
        <w:gridCol w:w="1532"/>
        <w:gridCol w:w="1532"/>
        <w:gridCol w:w="21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constitutes a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furnished herewith</w:t>
            </w:r>
          </w:p>
        </w:tc>
      </w:tr>
    </w:tbl>
    <w:p>
      <w:pPr>
        <w:pStyle w:val="TextBody"/>
        <w:bidi w:val="0"/>
        <w:spacing w:before="12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8f35a270336462393965f1d562b610d_7">
        <w:r>
          <w:rPr>
            <w:rStyle w:val="InternetLink"/>
            <w:rFonts w:ascii="Times New Roman;sans-serif" w:hAnsi="Times New Roman;sans-serif"/>
            <w:b w:val="false"/>
            <w:i/>
            <w:color w:val="000000"/>
            <w:sz w:val="20"/>
            <w:u w:val="single"/>
          </w:rPr>
          <w:t>Table of Contents</w:t>
        </w:r>
      </w:hyperlink>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630" w:type="dxa"/>
        <w:jc w:val="left"/>
        <w:tblInd w:w="0" w:type="dxa"/>
        <w:tblLayout w:type="fixed"/>
        <w:tblCellMar>
          <w:top w:w="28" w:type="dxa"/>
          <w:left w:w="28" w:type="dxa"/>
          <w:bottom w:w="28" w:type="dxa"/>
          <w:right w:w="28" w:type="dxa"/>
        </w:tblCellMar>
      </w:tblPr>
      <w:tblGrid>
        <w:gridCol w:w="2141"/>
        <w:gridCol w:w="1881"/>
        <w:gridCol w:w="1887"/>
        <w:gridCol w:w="109"/>
        <w:gridCol w:w="109"/>
        <w:gridCol w:w="109"/>
        <w:gridCol w:w="407"/>
        <w:gridCol w:w="407"/>
        <w:gridCol w:w="580"/>
      </w:tblGrid>
      <w:tr>
        <w:trPr/>
        <w:tc>
          <w:tcPr>
            <w:tcW w:w="2141"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TELOS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B.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John B. Wood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Bendza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Mark Bendza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Victoria Harding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9, 2023</w:t>
            </w:r>
          </w:p>
        </w:tc>
      </w:tr>
      <w:tr>
        <w:trPr/>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Victoria Harding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Controller and 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180"/>
        <w:jc w:val="right"/>
        <w:rPr>
          <w:rFonts w:ascii="Times New Roman;sans-serif" w:hAnsi="Times New Roman;sans-serif"/>
          <w:b/>
          <w:color w:val="000000"/>
          <w:sz w:val="20"/>
        </w:rPr>
      </w:pPr>
      <w:r>
        <w:rPr>
          <w:rFonts w:ascii="Times New Roman;sans-serif" w:hAnsi="Times New Roman;sans-serif"/>
          <w:b/>
          <w:color w:val="000000"/>
          <w:sz w:val="20"/>
        </w:rPr>
        <w:t>Exhibit 10.1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NOTICE OF GRANT OF OPTION</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Notice of Grant (“Grant Notice”) is hereby given of the following grant of an Option (the “Award”) to purchase Shares of Common Stock of Telos Corporation (the “Company” or “Telos”):</w:t>
      </w:r>
    </w:p>
    <w:p>
      <w:pPr>
        <w:pStyle w:val="TextBody"/>
        <w:bidi w:val="0"/>
        <w:spacing w:lineRule="auto" w:line="288" w:before="120" w:after="180"/>
        <w:jc w:val="both"/>
        <w:rPr/>
      </w:pPr>
      <w:r>
        <w:rPr>
          <w:rFonts w:ascii="Times New Roman;sans-serif" w:hAnsi="Times New Roman;sans-serif"/>
          <w:b/>
          <w:color w:val="000000"/>
          <w:sz w:val="20"/>
          <w:u w:val="single"/>
        </w:rPr>
        <w:t>Award Recipient</w:t>
      </w:r>
      <w:r>
        <w:rPr>
          <w:rFonts w:ascii="Times New Roman;sans-serif" w:hAnsi="Times New Roman;sans-serif"/>
          <w:b/>
          <w:color w:val="000000"/>
          <w:sz w:val="20"/>
        </w:rPr>
        <w:t>:        </w:t>
      </w:r>
      <w:r>
        <w:rPr>
          <w:rFonts w:ascii="Times New Roman;sans-serif" w:hAnsi="Times New Roman;sans-serif"/>
          <w:b w:val="false"/>
          <w:color w:val="000000"/>
          <w:sz w:val="20"/>
        </w:rPr>
        <w:t>[NAME]</w:t>
      </w:r>
    </w:p>
    <w:p>
      <w:pPr>
        <w:pStyle w:val="TextBody"/>
        <w:bidi w:val="0"/>
        <w:spacing w:lineRule="auto" w:line="288" w:before="120" w:after="180"/>
        <w:jc w:val="both"/>
        <w:rPr/>
      </w:pPr>
      <w:r>
        <w:rPr>
          <w:rFonts w:ascii="Times New Roman;sans-serif" w:hAnsi="Times New Roman;sans-serif"/>
          <w:b/>
          <w:color w:val="000000"/>
          <w:sz w:val="20"/>
          <w:u w:val="single"/>
        </w:rPr>
        <w:t>Grant Date</w:t>
      </w:r>
      <w:r>
        <w:rPr>
          <w:rFonts w:ascii="Times New Roman;sans-serif" w:hAnsi="Times New Roman;sans-serif"/>
          <w:b/>
          <w:color w:val="000000"/>
          <w:sz w:val="20"/>
        </w:rPr>
        <w:t>:            </w:t>
      </w:r>
      <w:r>
        <w:rPr>
          <w:rFonts w:ascii="Times New Roman;sans-serif" w:hAnsi="Times New Roman;sans-serif"/>
          <w:b w:val="false"/>
          <w:color w:val="000000"/>
          <w:sz w:val="20"/>
        </w:rPr>
        <w:t>[DATE]</w:t>
      </w:r>
    </w:p>
    <w:p>
      <w:pPr>
        <w:pStyle w:val="TextBody"/>
        <w:bidi w:val="0"/>
        <w:spacing w:lineRule="auto" w:line="288" w:before="120" w:after="180"/>
        <w:jc w:val="both"/>
        <w:rPr/>
      </w:pPr>
      <w:r>
        <w:rPr>
          <w:rFonts w:ascii="Times New Roman;sans-serif" w:hAnsi="Times New Roman;sans-serif"/>
          <w:b/>
          <w:color w:val="000000"/>
          <w:sz w:val="20"/>
          <w:u w:val="single"/>
        </w:rPr>
        <w:t>Number of Shares</w:t>
      </w:r>
      <w:r>
        <w:rPr>
          <w:rFonts w:ascii="Times New Roman;sans-serif" w:hAnsi="Times New Roman;sans-serif"/>
          <w:b/>
          <w:color w:val="000000"/>
          <w:sz w:val="20"/>
        </w:rPr>
        <w:t>:</w:t>
      </w:r>
      <w:r>
        <w:rPr>
          <w:color w:val="000000"/>
        </w:rPr>
        <w:t>        </w:t>
      </w:r>
      <w:r>
        <w:rPr>
          <w:rFonts w:ascii="Times New Roman;sans-serif" w:hAnsi="Times New Roman;sans-serif"/>
          <w:b w:val="false"/>
          <w:color w:val="000000"/>
          <w:sz w:val="20"/>
        </w:rPr>
        <w:t>[NUMBER] Shares</w:t>
      </w:r>
    </w:p>
    <w:p>
      <w:pPr>
        <w:pStyle w:val="TextBody"/>
        <w:bidi w:val="0"/>
        <w:spacing w:lineRule="auto" w:line="288" w:before="120" w:after="180"/>
        <w:jc w:val="both"/>
        <w:rPr/>
      </w:pPr>
      <w:r>
        <w:rPr>
          <w:rFonts w:ascii="Times New Roman;sans-serif" w:hAnsi="Times New Roman;sans-serif"/>
          <w:b/>
          <w:color w:val="000000"/>
          <w:sz w:val="20"/>
          <w:u w:val="single"/>
        </w:rPr>
        <w:t>Option Price</w:t>
      </w:r>
      <w:r>
        <w:rPr>
          <w:rFonts w:ascii="Times New Roman;sans-serif" w:hAnsi="Times New Roman;sans-serif"/>
          <w:b/>
          <w:color w:val="000000"/>
          <w:sz w:val="20"/>
        </w:rPr>
        <w:t>:</w:t>
      </w:r>
      <w:r>
        <w:rPr>
          <w:color w:val="000000"/>
        </w:rPr>
        <w:t>            </w:t>
      </w:r>
      <w:r>
        <w:rPr>
          <w:rFonts w:ascii="Times New Roman;sans-serif" w:hAnsi="Times New Roman;sans-serif"/>
          <w:b w:val="false"/>
          <w:color w:val="000000"/>
          <w:sz w:val="20"/>
        </w:rPr>
        <w:t>[PRICE] per Share</w:t>
      </w:r>
    </w:p>
    <w:p>
      <w:pPr>
        <w:pStyle w:val="TextBody"/>
        <w:bidi w:val="0"/>
        <w:spacing w:lineRule="auto" w:line="288" w:before="120" w:after="180"/>
        <w:ind w:left="0" w:right="0" w:hanging="2880"/>
        <w:jc w:val="both"/>
        <w:rPr/>
      </w:pPr>
      <w:r>
        <w:rPr>
          <w:rFonts w:ascii="Times New Roman;sans-serif" w:hAnsi="Times New Roman;sans-serif"/>
          <w:b/>
          <w:color w:val="000000"/>
          <w:sz w:val="20"/>
          <w:u w:val="single"/>
        </w:rPr>
        <w:t>Vesting Schedule</w:t>
      </w:r>
      <w:r>
        <w:rPr>
          <w:rFonts w:ascii="Times New Roman;sans-serif" w:hAnsi="Times New Roman;sans-serif"/>
          <w:b/>
          <w:color w:val="000000"/>
          <w:sz w:val="20"/>
        </w:rPr>
        <w:t>:</w:t>
      </w:r>
      <w:r>
        <w:rPr>
          <w:color w:val="000000"/>
        </w:rPr>
        <w:t>    </w:t>
      </w:r>
      <w:r>
        <w:rPr>
          <w:rFonts w:ascii="Times New Roman;sans-serif" w:hAnsi="Times New Roman;sans-serif"/>
          <w:b w:val="false"/>
          <w:color w:val="000000"/>
          <w:sz w:val="20"/>
        </w:rPr>
        <w:t>[VESTING SCHEDULE]</w:t>
      </w:r>
    </w:p>
    <w:p>
      <w:pPr>
        <w:pStyle w:val="TextBody"/>
        <w:bidi w:val="0"/>
        <w:spacing w:lineRule="auto" w:line="288" w:before="120" w:after="180"/>
        <w:ind w:left="0" w:right="0" w:hanging="2880"/>
        <w:jc w:val="both"/>
        <w:rPr/>
      </w:pPr>
      <w:r>
        <w:rPr>
          <w:rFonts w:ascii="Times New Roman;sans-serif" w:hAnsi="Times New Roman;sans-serif"/>
          <w:b/>
          <w:color w:val="000000"/>
          <w:sz w:val="20"/>
          <w:u w:val="single"/>
        </w:rPr>
        <w:t>Type of Option</w:t>
      </w:r>
      <w:r>
        <w:rPr>
          <w:rFonts w:ascii="Times New Roman;sans-serif" w:hAnsi="Times New Roman;sans-serif"/>
          <w:b/>
          <w:color w:val="000000"/>
          <w:sz w:val="20"/>
        </w:rPr>
        <w:t>:</w:t>
      </w:r>
      <w:r>
        <w:rPr>
          <w:color w:val="000000"/>
        </w:rPr>
        <w:t>    </w:t>
      </w:r>
      <w:r>
        <w:rPr>
          <w:rFonts w:ascii="Times New Roman;sans-serif" w:hAnsi="Times New Roman;sans-serif"/>
          <w:b w:val="false"/>
          <w:color w:val="000000"/>
          <w:sz w:val="20"/>
        </w:rPr>
        <w:t>[Non-Qualified Option/Incentive Stock Option]</w:t>
      </w:r>
    </w:p>
    <w:p>
      <w:pPr>
        <w:pStyle w:val="TextBody"/>
        <w:bidi w:val="0"/>
        <w:spacing w:lineRule="auto" w:line="288" w:before="120" w:after="180"/>
        <w:jc w:val="both"/>
        <w:rPr/>
      </w:pPr>
      <w:r>
        <w:rPr>
          <w:rFonts w:ascii="Times New Roman;sans-serif" w:hAnsi="Times New Roman;sans-serif"/>
          <w:b w:val="false"/>
          <w:color w:val="000000"/>
          <w:sz w:val="20"/>
        </w:rPr>
        <w:t>The Award Recipient understands and agrees that the Award in all respects is granted subject to and in accordance with: (i) the Option Agreement (“Agreement”), </w:t>
      </w:r>
      <w:r>
        <w:rPr>
          <w:rFonts w:ascii="Times New Roman;sans-serif" w:hAnsi="Times New Roman;sans-serif"/>
          <w:b w:val="false"/>
          <w:color w:val="000000"/>
          <w:sz w:val="20"/>
          <w:u w:val="single"/>
        </w:rPr>
        <w:t>Exhibit A</w:t>
      </w:r>
      <w:r>
        <w:rPr>
          <w:rFonts w:ascii="Times New Roman;sans-serif" w:hAnsi="Times New Roman;sans-serif"/>
          <w:b w:val="false"/>
          <w:color w:val="000000"/>
          <w:sz w:val="20"/>
        </w:rPr>
        <w:t>; and (ii) the 2016 Omnibus Long-Term Incentive Plan, as amended (the “Plan”), </w:t>
      </w:r>
      <w:r>
        <w:rPr>
          <w:rFonts w:ascii="Times New Roman;sans-serif" w:hAnsi="Times New Roman;sans-serif"/>
          <w:b w:val="false"/>
          <w:color w:val="000000"/>
          <w:sz w:val="20"/>
          <w:u w:val="single"/>
        </w:rPr>
        <w:t>Exhibit B</w:t>
      </w:r>
      <w:r>
        <w:rPr>
          <w:rFonts w:ascii="Times New Roman;sans-serif" w:hAnsi="Times New Roman;sans-serif"/>
          <w:b w:val="false"/>
          <w:color w:val="000000"/>
          <w:sz w:val="20"/>
        </w:rPr>
        <w:t>, and, by accepting the Award through the signature below, the Award Recipient acknowledges receipt of and agrees to be bound by the terms of this Grant Notice and its Exhibits. All capitalized terms in this Grant Notice shall have the meaning assigned to them in this Grant Notice or the Award Agreement.</w:t>
      </w:r>
    </w:p>
    <w:p>
      <w:pPr>
        <w:pStyle w:val="TextBody"/>
        <w:bidi w:val="0"/>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Nothing in the Award Agreement: (i) modifies the Award Recipient’s status as an at-will employee of the Company or the terms of any employment, consulting, or advisory agreement between the Award Recipient and the Company (if applicable), or (ii) guarantees the Award Recipient’s continued Service for any specified period of time. This means that either the Award Recipient or the Company may terminate the Award Recipient’s Service at any time for any reason, or no reason, as permitted by law, subject to the terms of any employment, consulting, or advisory agreement between the Award Recipient and the Company (if applicable). The Award Recipient recognizes that, for instance, the Award Recipient may terminate the Award Recipient’s Service or the Company may terminate the Award Recipient’s Service prior to the date or dates on which the Option under the Award Agreement vests.</w:t>
      </w:r>
    </w:p>
    <w:p>
      <w:pPr>
        <w:pStyle w:val="TextBody"/>
        <w:bidi w:val="0"/>
        <w:spacing w:lineRule="auto" w:line="288" w:before="120" w:after="180"/>
        <w:jc w:val="left"/>
        <w:rPr>
          <w:rFonts w:ascii="Times New Roman;sans-serif" w:hAnsi="Times New Roman;sans-serif"/>
          <w:b/>
          <w:color w:val="000000"/>
          <w:sz w:val="20"/>
        </w:rPr>
      </w:pPr>
      <w:r>
        <w:rPr>
          <w:rFonts w:ascii="Times New Roman;sans-serif" w:hAnsi="Times New Roman;sans-serif"/>
          <w:b/>
          <w:color w:val="000000"/>
          <w:sz w:val="20"/>
        </w:rPr>
        <w:t>TELOS CORPORATION                AWARD RECIPIENT</w:t>
      </w:r>
    </w:p>
    <w:p>
      <w:pPr>
        <w:pStyle w:val="TextBody"/>
        <w:bidi w:val="0"/>
        <w:spacing w:before="120" w:after="180"/>
        <w:jc w:val="left"/>
        <w:rPr/>
      </w:pPr>
      <w:r>
        <w:rPr/>
      </w:r>
    </w:p>
    <w:p>
      <w:pPr>
        <w:pStyle w:val="TextBody"/>
        <w:bidi w:val="0"/>
        <w:spacing w:lineRule="auto" w:line="288" w:before="120" w:after="283"/>
        <w:jc w:val="left"/>
        <w:rPr/>
      </w:pPr>
      <w:r>
        <w:rPr>
          <w:color w:val="000000"/>
          <w:u w:val="single"/>
        </w:rPr>
        <w:t>                    </w:t>
      </w:r>
      <w:r>
        <w:rPr>
          <w:color w:val="000000"/>
        </w:rPr>
        <w:t>        </w:t>
      </w:r>
      <w:r>
        <w:rPr>
          <w:color w:val="000000"/>
          <w:u w:val="single"/>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John B. Wood                        [NAME]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Chairman &amp; CEO            </w:t>
      </w:r>
    </w:p>
    <w:p>
      <w:pPr>
        <w:pStyle w:val="TextBody"/>
        <w:bidi w:val="0"/>
        <w:spacing w:lineRule="auto" w:line="288" w:before="120" w:after="180"/>
        <w:jc w:val="left"/>
        <w:rPr>
          <w:color w:val="000000"/>
        </w:rPr>
      </w:pPr>
      <w:r>
        <w:rPr>
          <w:color w:val="000000"/>
        </w:rPr>
        <w:t>                            </w:t>
      </w:r>
      <w:r>
        <w:rPr>
          <w:rFonts w:ascii="Times New Roman;sans-serif" w:hAnsi="Times New Roman;sans-serif"/>
          <w:b w:val="false"/>
          <w:color w:val="000000"/>
          <w:sz w:val="20"/>
        </w:rPr>
        <w:t>______________________________</w:t>
      </w:r>
    </w:p>
    <w:p>
      <w:pPr>
        <w:pStyle w:val="TextBody"/>
        <w:bidi w:val="0"/>
        <w:spacing w:lineRule="auto" w:line="288" w:before="120" w:after="180"/>
        <w:jc w:val="left"/>
        <w:rPr>
          <w:color w:val="000000"/>
        </w:rPr>
      </w:pPr>
      <w:r>
        <w:rPr>
          <w:color w:val="000000"/>
        </w:rPr>
        <w:t>                            </w:t>
      </w:r>
      <w:r>
        <w:rPr>
          <w:rFonts w:ascii="Times New Roman;sans-serif" w:hAnsi="Times New Roman;sans-serif"/>
          <w:b w:val="false"/>
          <w:color w:val="000000"/>
          <w:sz w:val="20"/>
        </w:rPr>
        <w:t>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EXHIBIT A</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OPTION AGREEMENT</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RECITALS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The Telos Board of Directors has adopted and approved the Telos Corporation 2016 Omnibus Long-Term Incentive Plan, as amended (the “Plan”). The purpose of the Plan is to enhance the Company’s and its subsidiaries’ ability to attract and retain highly qualified directors, officers, key employees, and other persons and to motivate such persons to serve the Company and its subsidiaries and to improve the business results and earnings of the Company, by providing to such persons an opportunity to acquire or increase a direct proprietary interest in the operations and future success of the Company.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The Award Recipient specified in the Grant Notice (the “Award Recipient”) is to render valuable services to the Company (or a Subsidiary Affiliate of the Company), and this Agreement is intended to carry out the purposes of the Plan in connection with the Company’s grant of the Option to the Award Recipient.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    All capitalized terms in this Option Agreement (this “Agreement”) shall have the meaning assigned to them in the Plan.</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color w:val="000000"/>
          <w:sz w:val="20"/>
        </w:rPr>
        <w:t>NOW, THEREFORE</w:t>
      </w:r>
      <w:r>
        <w:rPr>
          <w:rFonts w:ascii="Times New Roman;sans-serif" w:hAnsi="Times New Roman;sans-serif"/>
          <w:b w:val="false"/>
          <w:color w:val="000000"/>
          <w:sz w:val="20"/>
        </w:rPr>
        <w:t xml:space="preserve">, it is hereby agreed as follows: </w: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color w:val="000000"/>
          <w:sz w:val="20"/>
        </w:rPr>
        <w:t>1.</w:t>
      </w:r>
      <w:r>
        <w:rPr>
          <w:rFonts w:ascii="Times New Roman;sans-serif" w:hAnsi="Times New Roman;sans-serif"/>
          <w:b/>
          <w:color w:val="000000"/>
          <w:sz w:val="20"/>
          <w:u w:val="single"/>
        </w:rPr>
        <w:t>GRANT OF OPTION</w:t>
      </w:r>
      <w:r>
        <w:rPr>
          <w:rFonts w:ascii="Times New Roman;sans-serif" w:hAnsi="Times New Roman;sans-serif"/>
          <w:b w:val="false"/>
          <w:color w:val="000000"/>
          <w:sz w:val="20"/>
        </w:rPr>
        <w:t xml:space="preserve">. The Company hereby grants to the Award Recipient, effective as of the Grant Date specified in the Grant Notice, the Option to purchase the number of Shares specified in the Grant Notice to which this Agreement is attached as Exhibit A (the “Grant Notice”). </w:t>
      </w:r>
    </w:p>
    <w:p>
      <w:pPr>
        <w:pStyle w:val="TextBody"/>
        <w:bidi w:val="0"/>
        <w:spacing w:lineRule="auto" w:line="240" w:before="0" w:after="240"/>
        <w:jc w:val="both"/>
        <w:rPr/>
      </w:pPr>
      <w:r>
        <w:rPr>
          <w:rFonts w:ascii="Times New Roman;sans-serif" w:hAnsi="Times New Roman;sans-serif"/>
          <w:b/>
          <w:color w:val="000000"/>
          <w:sz w:val="20"/>
        </w:rPr>
        <w:t>2.</w:t>
      </w:r>
      <w:r>
        <w:rPr>
          <w:rFonts w:ascii="Times New Roman;sans-serif" w:hAnsi="Times New Roman;sans-serif"/>
          <w:b/>
          <w:color w:val="000000"/>
          <w:sz w:val="20"/>
          <w:u w:val="single"/>
        </w:rPr>
        <w:t>VESTING; TERMINATION OF SERVICE</w:t>
      </w:r>
      <w:r>
        <w:rPr>
          <w:rFonts w:ascii="Times New Roman;sans-serif" w:hAnsi="Times New Roman;sans-serif"/>
          <w:b w:val="false"/>
          <w:color w:val="000000"/>
          <w:sz w:val="20"/>
        </w:rPr>
        <w:t>. The Option, subject to the other terms and conditions set forth herein, shall become vested and exercisable if the Award Recipient remains in continuous Service through each vesting date specified in the Grant Notice. Upon termination of the Award Recipient’s Service, the portion of the Option that has not yet vested shall be forfeited on the date of termination, unless otherwise specified by the terms of this Agreement, any employment, consulting, or advisory agreement or any severance agreement in place or negotiated and finalized between the Award Recipient and the Company. Except as otherwise provided in the Grant Notice or this Agreement, Service for only a portion of the vesting period, even if a substantial portion, will not entitle the Award Recipient to any proportionate vesting of any outstanding and otherwise unvested portion of the Award, or avoid or mitigate a termination of rights and benefits upon or following a termination of Service.</w:t>
      </w:r>
    </w:p>
    <w:p>
      <w:pPr>
        <w:pStyle w:val="TextBody"/>
        <w:bidi w:val="0"/>
        <w:spacing w:lineRule="auto" w:line="240" w:before="0" w:after="240"/>
        <w:jc w:val="both"/>
        <w:rPr/>
      </w:pPr>
      <w:r>
        <w:rPr>
          <w:rFonts w:ascii="Times New Roman;sans-serif" w:hAnsi="Times New Roman;sans-serif"/>
          <w:b/>
          <w:color w:val="000000"/>
          <w:sz w:val="20"/>
        </w:rPr>
        <w:t>3.</w:t>
      </w:r>
      <w:r>
        <w:rPr>
          <w:rFonts w:ascii="Times New Roman;sans-serif" w:hAnsi="Times New Roman;sans-serif"/>
          <w:b/>
          <w:color w:val="000000"/>
          <w:sz w:val="20"/>
          <w:u w:val="single"/>
        </w:rPr>
        <w:t>LIMITATION ON EXERCISE OF OPTION</w:t>
      </w:r>
      <w:r>
        <w:rPr>
          <w:rFonts w:ascii="Times New Roman;sans-serif" w:hAnsi="Times New Roman;sans-serif"/>
          <w:b w:val="false"/>
          <w:color w:val="000000"/>
          <w:sz w:val="20"/>
        </w:rPr>
        <w:t>. The Option, to the extent exercisable, may be exercised at any time on or before 5:00 p.m. Eastern Time on the tenth anniversary of the Grant Date (the “Termination Date”) or the earlier termination of the Option. The Option may not be exercised if the issuance of Shares upon such exercise would constitute a violation of any applicable federal or state securities or other law or valid regulation. The Option may be exercised only in multiples of whole Shares; no fractional Shares shall be issued upon exercise of the Option.</w:t>
      </w:r>
    </w:p>
    <w:p>
      <w:pPr>
        <w:pStyle w:val="TextBody"/>
        <w:bidi w:val="0"/>
        <w:spacing w:lineRule="auto" w:line="240" w:before="0" w:after="240"/>
        <w:jc w:val="both"/>
        <w:rPr/>
      </w:pPr>
      <w:r>
        <w:rPr>
          <w:rFonts w:ascii="Times New Roman;sans-serif" w:hAnsi="Times New Roman;sans-serif"/>
          <w:b/>
          <w:color w:val="000000"/>
          <w:sz w:val="20"/>
        </w:rPr>
        <w:t>4.</w:t>
      </w:r>
      <w:r>
        <w:rPr>
          <w:rFonts w:ascii="Times New Roman;sans-serif" w:hAnsi="Times New Roman;sans-serif"/>
          <w:b/>
          <w:color w:val="000000"/>
          <w:sz w:val="20"/>
          <w:u w:val="single"/>
        </w:rPr>
        <w:t>METHOD OF EXERCISE</w:t>
      </w:r>
      <w:r>
        <w:rPr>
          <w:rFonts w:ascii="Times New Roman;sans-serif" w:hAnsi="Times New Roman;sans-serif"/>
          <w:b w:val="false"/>
          <w:color w:val="000000"/>
          <w:sz w:val="20"/>
        </w:rPr>
        <w:t>. The Option, to the extent exercisable, may be exercised by the Award Recipient’s delivery to the Company of written notice of exercise on any business day, at the Company’s principal office, on the form specified by the Board or the Committee, as the case may be. Such notice shall specify the number of Shares with respect to which the Option is being exercised and shall be accompanied by payment in full of the Option Price of the Shares for which the Option is being exercised plus the amount (if any) of federal and/or other taxes which the Company may, in its judgment, be required to withhold with respect to an Award, unless the Award Recipient’s tax withholding obligations are satisfied in accordance with Section 12. To pay the Option Price, the Award Recipient may elect whether the Award Recipient will (i) deliver a personal check to the Company no later than three (3) days following exercise of the Option; (ii) authorize the Company to deduct from the Award Recipient’s immediately subsequent paycheck following exercise of the Option; (iii) authorize the Company to withhold Shares otherwise issuable to the Award Recipient; (iv) deliver to the Company Shares already owned by the Award Recipient; (v) authorize a broker-assisted cashless exercise in accordance with Regulation T of the Board of Governors of the Federal Reserve System through the Company’s designated stock plan administrator or other broker-dealer; or any combination of the above.</w:t>
      </w:r>
    </w:p>
    <w:p>
      <w:pPr>
        <w:pStyle w:val="TextBody"/>
        <w:bidi w:val="0"/>
        <w:spacing w:lineRule="auto" w:line="240" w:before="0" w:after="240"/>
        <w:jc w:val="both"/>
        <w:rPr/>
      </w:pPr>
      <w:r>
        <w:rPr>
          <w:rFonts w:ascii="Times New Roman;sans-serif" w:hAnsi="Times New Roman;sans-serif"/>
          <w:b/>
          <w:color w:val="000000"/>
          <w:sz w:val="20"/>
        </w:rPr>
        <w:t>5.</w:t>
      </w:r>
      <w:r>
        <w:rPr>
          <w:rFonts w:ascii="Times New Roman;sans-serif" w:hAnsi="Times New Roman;sans-serif"/>
          <w:b/>
          <w:color w:val="000000"/>
          <w:sz w:val="20"/>
          <w:u w:val="single"/>
        </w:rPr>
        <w:t>DELIVERY OF SHARES</w:t>
      </w:r>
      <w:r>
        <w:rPr>
          <w:rFonts w:ascii="Times New Roman;sans-serif" w:hAnsi="Times New Roman;sans-serif"/>
          <w:b w:val="false"/>
          <w:color w:val="000000"/>
          <w:sz w:val="20"/>
        </w:rPr>
        <w:t>. Promptly after the exercise of the Option by the Award Recipient and the payment in full of the Option Price, the Company shall issue the Award Recipient (or the Company’s designated stock plan administrator with the Award Recipient named as beneficial holder) the Shares purchased upon such exercise. Upon issuance of the Shares, the Company may deliver the Shares electronically to the Company’s designated stock plan administrator or other broker-dealer or may retain the Shares in uncertificated book-entry form. The Award Recipient or any other person entitled under the Plan to receive a payment of Shares shall deliver to the Company any representations or other documents or assurances required by the Plan or otherwise reasonably requested by the Company.</w:t>
      </w:r>
    </w:p>
    <w:p>
      <w:pPr>
        <w:pStyle w:val="TextBody"/>
        <w:bidi w:val="0"/>
        <w:spacing w:lineRule="auto" w:line="240" w:before="0" w:after="240"/>
        <w:jc w:val="both"/>
        <w:rPr/>
      </w:pPr>
      <w:r>
        <w:rPr>
          <w:rFonts w:ascii="Times New Roman;sans-serif" w:hAnsi="Times New Roman;sans-serif"/>
          <w:b/>
          <w:color w:val="000000"/>
          <w:sz w:val="20"/>
        </w:rPr>
        <w:t>6.</w:t>
      </w:r>
      <w:r>
        <w:rPr>
          <w:rFonts w:ascii="Times New Roman;sans-serif" w:hAnsi="Times New Roman;sans-serif"/>
          <w:b/>
          <w:color w:val="000000"/>
          <w:sz w:val="20"/>
          <w:u w:val="single"/>
          <w:shd w:fill="FFFFFF" w:val="clear"/>
        </w:rPr>
        <w:t>RIGHTS OF OPTION HOLDER</w:t>
      </w:r>
      <w:r>
        <w:rPr>
          <w:rFonts w:ascii="Times New Roman;sans-serif" w:hAnsi="Times New Roman;sans-serif"/>
          <w:b w:val="false"/>
          <w:color w:val="000000"/>
          <w:sz w:val="20"/>
          <w:shd w:fill="FFFFFF" w:val="clear"/>
        </w:rPr>
        <w:t>. The Award Recipient shall have none of the rights of a shareholder (for example, the right to receive cash or dividend payments or distributions attributable to the subject Shares or to direct the voting of the subject Shares) until the Shares covered by the Option are fully paid and issued to the Award Recipient. Except as provided in Section 17 of the Plan, no adjustment shall be made for dividends, distributions or other rights for which the record date is prior to the date of such issuance.</w:t>
      </w:r>
    </w:p>
    <w:p>
      <w:pPr>
        <w:pStyle w:val="TextBody"/>
        <w:bidi w:val="0"/>
        <w:spacing w:lineRule="auto" w:line="240" w:before="0" w:after="240"/>
        <w:jc w:val="both"/>
        <w:rPr/>
      </w:pPr>
      <w:r>
        <w:rPr>
          <w:rFonts w:ascii="Times New Roman;sans-serif" w:hAnsi="Times New Roman;sans-serif"/>
          <w:b/>
          <w:color w:val="000000"/>
          <w:sz w:val="20"/>
        </w:rPr>
        <w:t>7.</w:t>
      </w:r>
      <w:r>
        <w:rPr>
          <w:rFonts w:ascii="Times New Roman;sans-serif" w:hAnsi="Times New Roman;sans-serif"/>
          <w:b/>
          <w:color w:val="000000"/>
          <w:sz w:val="20"/>
          <w:u w:val="single"/>
        </w:rPr>
        <w:t>TERM</w:t>
      </w:r>
      <w:r>
        <w:rPr>
          <w:rFonts w:ascii="Times New Roman;sans-serif" w:hAnsi="Times New Roman;sans-serif"/>
          <w:b w:val="false"/>
          <w:color w:val="000000"/>
          <w:sz w:val="20"/>
        </w:rPr>
        <w:t>. Except as otherwise specified in Section 8.12 of the Plan, the Option granted under this Agreement shall terminate, and all rights to purchase Shares hereunder shall cease, at 5:01 p.m. Eastern Time on the Termination Date or the earlier termination of the Option.</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color w:val="000000"/>
          <w:sz w:val="20"/>
        </w:rPr>
        <w:t>8.</w:t>
      </w:r>
      <w:r>
        <w:rPr>
          <w:rFonts w:ascii="Times New Roman;sans-serif" w:hAnsi="Times New Roman;sans-serif"/>
          <w:b/>
          <w:color w:val="000000"/>
          <w:sz w:val="20"/>
          <w:u w:val="single"/>
        </w:rPr>
        <w:t>INCENTIVE STOCK OPTIONS</w:t>
      </w:r>
      <w:r>
        <w:rPr>
          <w:rFonts w:ascii="Times New Roman;sans-serif" w:hAnsi="Times New Roman;sans-serif"/>
          <w:b w:val="false"/>
          <w:color w:val="000000"/>
          <w:sz w:val="20"/>
        </w:rPr>
        <w:t>. The following terms apply if the Option is intended to be an Incentive Stock Option as specified in the Grant Notice.</w:t>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The Option is intended to qualify as an “incentive stock option” under Section 422 of the Code, to the fullest extent permitted by Section 422 of the Code, and this Agreement is to be construed accordingly. The Company does not, however, warrant any particular tax consequences of the Option. Section 422 of the Code provides limitations, not set forth in this Agreement, respecting the treatment of the Option as an Incentive Stock Option. The Award Recipient should consult with a personal tax advisor in this regard.</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Pursuant to Section 422(d) of the Code, the aggregate Fair Market Value (determined as of the Grant Date) of Shares with respect to which all Incentive Stock Options first become exercisable by the Award Recipient in any calendar year under the Plan or any other plan of the Company (and its parent and subsidiary corporations, within the meaning of Sections 424(e) and (f) of the Code) may not exceed $100,000 or such other amount as may be permitted from time to time under Section 422 of the Code. To the extent that the aggregate Fair Market Value exceeds $100,000 or other applicable amount in any calendar year, the excess will be treated as a Non-Qualified Option with respect to the amount of aggregate Fair Market Value that exceeds the limit under Section 422(d) of the Code. For this purpose, the Shares subject to the Incentive Stock Option will be taken into account in the order in which they were granted. In this case, the Company may designate the Shares that are to be treated as Shares acquired pursuant to the exercise of an Incentive Stock Option and the Shares that are to be treated as Shares acquired pursuant to a Non-Qualified Option by issuing separate certificates for the Shares and identifying the certificates in the stock transfer records of the Company.</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Notwithstanding anything in this Agreement or the Grant Notice to the contrary, if the Award Recipient owns, directly or indirectly through attribution, Shares possessing more than 10% of the total combined voting power of all classes of stock of the Company or of any of its subsidiaries (within the meaning of Section 424(f) of the Code) on the Grant Date, then the Option Price is the greater of (i) the Option Price specified in the Grant Notice or (i) 110% of the Fair Market Value of the Shares on the Grant Date, and the Termination Date is the fifth anniversary of the Grant Date.</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If the Award Recipient makes a disposition (as that term is defined in Section 424(c) of the Code) of any Shares acquired upon exercise of the Incentive Stock Option within two years after the Grant Date or within one year after the Shares are transferred to the Award Recipient, the Award Recipient shall notify the Company of the disposition in writing within 30 days of the disposition. The Board and/or Committee may, in its discretion, take reasonable steps to ensure notification of dispositions, including but not limited to requiring that Shares acquired upon exercise of the Option be held in an account with a broker-dealer designated by the Company until they are sold.</w:t>
      </w:r>
    </w:p>
    <w:p>
      <w:pPr>
        <w:pStyle w:val="TextBody"/>
        <w:bidi w:val="0"/>
        <w:spacing w:before="0" w:after="0"/>
        <w:ind w:left="0" w:right="0" w:firstLine="720"/>
        <w:jc w:val="both"/>
        <w:rPr/>
      </w:pPr>
      <w:r>
        <w:rPr/>
      </w:r>
    </w:p>
    <w:p>
      <w:pPr>
        <w:pStyle w:val="TextBody"/>
        <w:bidi w:val="0"/>
        <w:spacing w:lineRule="auto" w:line="240" w:before="0" w:after="240"/>
        <w:jc w:val="both"/>
        <w:rPr/>
      </w:pPr>
      <w:r>
        <w:rPr>
          <w:rFonts w:ascii="Times New Roman;sans-serif" w:hAnsi="Times New Roman;sans-serif"/>
          <w:b/>
          <w:color w:val="000000"/>
          <w:sz w:val="20"/>
        </w:rPr>
        <w:t>9.</w:t>
      </w:r>
      <w:r>
        <w:rPr>
          <w:rFonts w:ascii="Times New Roman;sans-serif" w:hAnsi="Times New Roman;sans-serif"/>
          <w:b/>
          <w:color w:val="000000"/>
          <w:sz w:val="20"/>
          <w:u w:val="single"/>
        </w:rPr>
        <w:t>RESTRICTIONS ON TRANSFERABILITY</w:t>
      </w:r>
      <w:r>
        <w:rPr>
          <w:rFonts w:ascii="Times New Roman;sans-serif" w:hAnsi="Times New Roman;sans-serif"/>
          <w:b w:val="false"/>
          <w:color w:val="000000"/>
          <w:sz w:val="20"/>
        </w:rPr>
        <w:t>. Except as provided in Section 8.11 of the Plan, no Option granted hereunder may be assignable or transferable by the Participant to whom it is granted, other than by will or the laws of descent and distribution.</w:t>
      </w:r>
    </w:p>
    <w:p>
      <w:pPr>
        <w:pStyle w:val="TextBody"/>
        <w:bidi w:val="0"/>
        <w:spacing w:lineRule="auto" w:line="240" w:before="0" w:after="240"/>
        <w:jc w:val="both"/>
        <w:rPr/>
      </w:pPr>
      <w:r>
        <w:rPr>
          <w:rFonts w:ascii="Times New Roman;sans-serif" w:hAnsi="Times New Roman;sans-serif"/>
          <w:b/>
          <w:color w:val="000000"/>
          <w:sz w:val="20"/>
        </w:rPr>
        <w:t>10.</w:t>
      </w:r>
      <w:r>
        <w:rPr>
          <w:rFonts w:ascii="Times New Roman;sans-serif" w:hAnsi="Times New Roman;sans-serif"/>
          <w:b/>
          <w:color w:val="000000"/>
          <w:sz w:val="20"/>
          <w:u w:val="single"/>
        </w:rPr>
        <w:t>CORPORATE TRANSACTION</w:t>
      </w:r>
      <w:r>
        <w:rPr>
          <w:rFonts w:ascii="Times New Roman;sans-serif" w:hAnsi="Times New Roman;sans-serif"/>
          <w:b w:val="false"/>
          <w:color w:val="000000"/>
          <w:sz w:val="20"/>
        </w:rPr>
        <w:t xml:space="preserve">. </w:t>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In the event of any Corporate Transaction or Change in Control, the Option, to the extent not otherwise vested, shall automatically vest in full.</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This Agreement shall not in any way affect the right of the Company to adjust, reclassify, reorganize or otherwise change its capital or business structure or to merge, consolidate, dissolve, liquidate or sell or transfer all or any part of its business or assets. </w: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color w:val="000000"/>
          <w:sz w:val="20"/>
        </w:rPr>
        <w:t>11.</w:t>
      </w:r>
      <w:r>
        <w:rPr>
          <w:rFonts w:ascii="Times New Roman;sans-serif" w:hAnsi="Times New Roman;sans-serif"/>
          <w:b/>
          <w:color w:val="000000"/>
          <w:sz w:val="20"/>
          <w:u w:val="single"/>
        </w:rPr>
        <w:t>ADJUSTMENT IN SHARES</w:t>
      </w:r>
      <w:r>
        <w:rPr>
          <w:rFonts w:ascii="Times New Roman;sans-serif" w:hAnsi="Times New Roman;sans-serif"/>
          <w:b w:val="false"/>
          <w:color w:val="000000"/>
          <w:sz w:val="20"/>
        </w:rPr>
        <w:t xml:space="preserve">. Should any change be made to the Shares by reason of any stock split, stock dividend, recapitalization, combination of shares, exchange of shares or other change affecting the outstanding Shares as a class without the Company’s receipt of consideration, appropriate adjustments shall be made to the number and/or class of securities subject to this Award in order to reflect such change and thereby preclude a dilution or enlargement of benefits hereunder. </w:t>
      </w:r>
    </w:p>
    <w:p>
      <w:pPr>
        <w:pStyle w:val="TextBody"/>
        <w:bidi w:val="0"/>
        <w:spacing w:lineRule="auto" w:line="240" w:before="0" w:after="240"/>
        <w:jc w:val="both"/>
        <w:rPr/>
      </w:pPr>
      <w:r>
        <w:rPr>
          <w:rFonts w:ascii="Times New Roman;sans-serif" w:hAnsi="Times New Roman;sans-serif"/>
          <w:b/>
          <w:color w:val="000000"/>
          <w:sz w:val="20"/>
        </w:rPr>
        <w:t>12.</w:t>
      </w:r>
      <w:r>
        <w:rPr>
          <w:rFonts w:ascii="Times New Roman;sans-serif" w:hAnsi="Times New Roman;sans-serif"/>
          <w:b/>
          <w:color w:val="000000"/>
          <w:sz w:val="20"/>
          <w:u w:val="single"/>
        </w:rPr>
        <w:t>COMPLIANCE WITH LAWS; TAX WITHHOLDING</w:t>
      </w:r>
      <w:r>
        <w:rPr>
          <w:rFonts w:ascii="Times New Roman;sans-serif" w:hAnsi="Times New Roman;sans-serif"/>
          <w:b w:val="false"/>
          <w:color w:val="000000"/>
          <w:sz w:val="20"/>
        </w:rPr>
        <w:t xml:space="preserve">. </w:t>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The Award Recipient agrees that the Award Recipient is acquiring the Shares issued upon exercise of the Option for investment purposes and not with a view to the resale or distribution thereof, that the Company may withhold from the Award Recipient any tax which it believes is required to be withheld with respect to any benefit under the Plan or this Agreement, and that the Award Recipient will make appropriate arrangements with the Company for satisfaction of any applicable federal, state or local income tax withholding requirements or like requirements. The Company may permit the Award Recipient to elect, on a tax withholding election form provided by the Company, whether the Award Recipient will (i) deliver a personal check to the Company no later than three (3) days following exercise of the Option; (ii) authorize the Company to deduct from the Award Recipient’s immediately subsequent paycheck following exercise of the Option; (iii) authorize the Company to withhold Shares otherwise issuable to the Award Recipient; (iv) deliver to the Company Shares already owned by the Award Recipient; or (v) authorize a broker-assisted cashless exercise in accordance with Regulation T of the Board of Governors of the Federal Reserve System through the Company’s designated stock plan administrator or other broker-dealer, in all cases in an amount to satisfy the minimum amount of income and employment tax withholding required (if applicable) upon the exercise date. Shares so delivered or withheld may have an aggregate Fair Market Value up to the maximum amount allowed for equity instruments for financial accounting purposes. The grant of the Option shall be subject to compliance by the Company and the Award Recipient with all applicable requirements of law relating thereto.</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Except for such withholding obligations of the Company (if applicable), the Award Recipient shall be solely responsible for any and all tax liability arising with respect to the Award or any payment in respect thereof.</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The Award Recipient is hereby advised to consult with his or her own tax, legal and/or investment advisors with respect to any advice the Award Recipient may determine is needed or appropriate with respect to the Award (including, without limitation, to determine the foreign, state, local, estate and/or gift tax consequences with respect to the Award and any shares that may be acquired upon payment of the Award). Neither the Company nor any of its officers, directors, affiliates or advisors makes any representation (except for the terms and conditions expressly set forth in this Award Agreement) or recommendation with respect to the Award.</w:t>
      </w:r>
    </w:p>
    <w:p>
      <w:pPr>
        <w:pStyle w:val="TextBody"/>
        <w:bidi w:val="0"/>
        <w:spacing w:before="0" w:after="0"/>
        <w:jc w:val="both"/>
        <w:rPr/>
      </w:pPr>
      <w:r>
        <w:rPr/>
      </w:r>
    </w:p>
    <w:p>
      <w:pPr>
        <w:pStyle w:val="TextBody"/>
        <w:bidi w:val="0"/>
        <w:spacing w:lineRule="auto" w:line="240" w:before="0" w:after="240"/>
        <w:jc w:val="both"/>
        <w:rPr/>
      </w:pPr>
      <w:r>
        <w:rPr>
          <w:rFonts w:ascii="Times New Roman;sans-serif" w:hAnsi="Times New Roman;sans-serif"/>
          <w:b/>
          <w:color w:val="000000"/>
          <w:sz w:val="20"/>
        </w:rPr>
        <w:t>13.</w:t>
      </w:r>
      <w:r>
        <w:rPr>
          <w:rFonts w:ascii="Times New Roman;sans-serif" w:hAnsi="Times New Roman;sans-serif"/>
          <w:b/>
          <w:color w:val="000000"/>
          <w:sz w:val="20"/>
          <w:u w:val="single"/>
        </w:rPr>
        <w:t>SUCCESSORS AND ASSIGNS</w:t>
      </w:r>
      <w:r>
        <w:rPr>
          <w:rFonts w:ascii="Times New Roman;sans-serif" w:hAnsi="Times New Roman;sans-serif"/>
          <w:b w:val="false"/>
          <w:color w:val="000000"/>
          <w:sz w:val="20"/>
        </w:rPr>
        <w:t xml:space="preserve">. The provisions of this Agreement shall inure to the benefit of, and be binding upon, the Company and its successors and assigns and the Award Recipient, and the legal representatives, heirs and legatees of the Award Recipient’s estate. </w:t>
      </w:r>
    </w:p>
    <w:p>
      <w:pPr>
        <w:pStyle w:val="TextBody"/>
        <w:bidi w:val="0"/>
        <w:spacing w:lineRule="auto" w:line="240" w:before="0" w:after="240"/>
        <w:jc w:val="both"/>
        <w:rPr/>
      </w:pPr>
      <w:r>
        <w:rPr>
          <w:rFonts w:ascii="Times New Roman;sans-serif" w:hAnsi="Times New Roman;sans-serif"/>
          <w:b/>
          <w:color w:val="000000"/>
          <w:sz w:val="20"/>
        </w:rPr>
        <w:t>14.</w:t>
      </w:r>
      <w:r>
        <w:rPr>
          <w:rFonts w:ascii="Times New Roman;sans-serif" w:hAnsi="Times New Roman;sans-serif"/>
          <w:b/>
          <w:color w:val="000000"/>
          <w:sz w:val="20"/>
          <w:u w:val="single"/>
        </w:rPr>
        <w:t>NOTICES</w:t>
      </w:r>
      <w:r>
        <w:rPr>
          <w:rFonts w:ascii="Times New Roman;sans-serif" w:hAnsi="Times New Roman;sans-serif"/>
          <w:b w:val="false"/>
          <w:color w:val="000000"/>
          <w:sz w:val="20"/>
        </w:rPr>
        <w:t xml:space="preserve">. Any notice required to be given or delivered to the Company under the terms of this Agreement shall be in writing and addressed to the Company at its principal corporate offices and to the attention of the General Counsel. Any notice required to be given or delivered to the Award Recipient shall be in writing and addressed to the Award Recipient at the address indicated on the Company’s books and records. All notices shall be deemed effective upon personal delivery or upon deposit in the U.S. mail, postage prepaid and properly addressed to the party to be notified. </w:t>
      </w:r>
    </w:p>
    <w:p>
      <w:pPr>
        <w:pStyle w:val="TextBody"/>
        <w:bidi w:val="0"/>
        <w:spacing w:lineRule="auto" w:line="240" w:before="0" w:after="240"/>
        <w:jc w:val="both"/>
        <w:rPr/>
      </w:pPr>
      <w:r>
        <w:rPr>
          <w:rFonts w:ascii="Times New Roman;sans-serif" w:hAnsi="Times New Roman;sans-serif"/>
          <w:b/>
          <w:color w:val="000000"/>
          <w:sz w:val="20"/>
        </w:rPr>
        <w:t>15.</w:t>
      </w:r>
      <w:r>
        <w:rPr>
          <w:rFonts w:ascii="Times New Roman;sans-serif" w:hAnsi="Times New Roman;sans-serif"/>
          <w:b/>
          <w:color w:val="000000"/>
          <w:sz w:val="20"/>
          <w:u w:val="single"/>
        </w:rPr>
        <w:t>CONSTRUCTION</w:t>
      </w:r>
      <w:r>
        <w:rPr>
          <w:rFonts w:ascii="Times New Roman;sans-serif" w:hAnsi="Times New Roman;sans-serif"/>
          <w:b w:val="false"/>
          <w:color w:val="000000"/>
          <w:sz w:val="20"/>
        </w:rPr>
        <w:t xml:space="preserve">. This Agreement and the Award are made and granted pursuant to the Plan and are in all respects limited by and subject to the terms of the Plan. All decisions of the Committee and/or the Board with respect to any question or issue arising under the Plan or this Agreement shall be conclusive and binding on all persons having an interest in the Award. </w:t>
      </w:r>
    </w:p>
    <w:p>
      <w:pPr>
        <w:pStyle w:val="TextBody"/>
        <w:bidi w:val="0"/>
        <w:spacing w:lineRule="auto" w:line="240" w:before="0" w:after="240"/>
        <w:jc w:val="both"/>
        <w:rPr/>
      </w:pPr>
      <w:r>
        <w:rPr>
          <w:rFonts w:ascii="Times New Roman;sans-serif" w:hAnsi="Times New Roman;sans-serif"/>
          <w:b/>
          <w:color w:val="000000"/>
          <w:sz w:val="20"/>
        </w:rPr>
        <w:t>16.</w:t>
      </w:r>
      <w:r>
        <w:rPr>
          <w:rFonts w:ascii="Times New Roman;sans-serif" w:hAnsi="Times New Roman;sans-serif"/>
          <w:b/>
          <w:color w:val="000000"/>
          <w:sz w:val="20"/>
          <w:u w:val="single"/>
        </w:rPr>
        <w:t>THE PLAN</w:t>
      </w:r>
      <w:r>
        <w:rPr>
          <w:rFonts w:ascii="Times New Roman;sans-serif" w:hAnsi="Times New Roman;sans-serif"/>
          <w:b w:val="false"/>
          <w:color w:val="000000"/>
          <w:sz w:val="20"/>
        </w:rPr>
        <w:t xml:space="preserve">. The Award and the rights of the Award Recipient under this Agreement are subject to the terms and conditions of the provisions of the Plan, which are incorporated into this Agreement by this reference. The Award Recipient agrees to be bound by the terms of the Plan and this Agreement. The Award Recipient acknowledges having read and understood the Plan and this Agreement. Unless otherwise expressly provided in other sections of this Agreement, provisions of the Plan that confer discretionary authority to the Board and/or the Committee do not and shall not be deemed to create any rights in the Award Recipient unless such rights are expressly set forth herein or are otherwise in the sole discretion of the Board and/or the Committee so conferred by appropriate Board and/or Committee action under the Plan after the date hereof. </w:t>
      </w:r>
    </w:p>
    <w:p>
      <w:pPr>
        <w:pStyle w:val="TextBody"/>
        <w:bidi w:val="0"/>
        <w:spacing w:lineRule="auto" w:line="240" w:before="0" w:after="240"/>
        <w:jc w:val="both"/>
        <w:rPr/>
      </w:pPr>
      <w:r>
        <w:rPr>
          <w:rFonts w:ascii="Times New Roman;sans-serif" w:hAnsi="Times New Roman;sans-serif"/>
          <w:b/>
          <w:color w:val="000000"/>
          <w:sz w:val="20"/>
        </w:rPr>
        <w:t>17.</w:t>
      </w:r>
      <w:r>
        <w:rPr>
          <w:rFonts w:ascii="Times New Roman;sans-serif" w:hAnsi="Times New Roman;sans-serif"/>
          <w:b/>
          <w:color w:val="000000"/>
          <w:sz w:val="20"/>
          <w:u w:val="single"/>
        </w:rPr>
        <w:t>ENTIRE AGREEMENT</w:t>
      </w:r>
      <w:r>
        <w:rPr>
          <w:rFonts w:ascii="Times New Roman;sans-serif" w:hAnsi="Times New Roman;sans-serif"/>
          <w:b w:val="false"/>
          <w:color w:val="000000"/>
          <w:sz w:val="20"/>
        </w:rPr>
        <w:t>. This Agreement, the Grant Notice, and the Plan, together, constitute the entire agreement and supersede in their entirety all prior understandings and agreements, written or oral, of the parties hereto with respect to the subject matter hereof. The Plan may be amended pursuant to Section 5.3 of the Plan. This Agreement may be amended by the Board from time to time. Any such amendment must be in writing and signed by the Company. Any such amendment that materially and adversely affects the Award Recipient’s rights under this Agreement requires the consent of the Award Recipient in order to be effective with respect to the Award. The Company may, however, unilaterally waive any provision hereof in writing to the extent such waiver does not adversely affect the interests of the Award Recipient hereunder, but no such waiver shall operate as or be construed to be a subsequent waiver of the same provision or a waiver of any other provision hereof.</w:t>
      </w:r>
    </w:p>
    <w:p>
      <w:pPr>
        <w:pStyle w:val="TextBody"/>
        <w:bidi w:val="0"/>
        <w:spacing w:lineRule="auto" w:line="240" w:before="0" w:after="240"/>
        <w:jc w:val="both"/>
        <w:rPr/>
      </w:pPr>
      <w:r>
        <w:rPr>
          <w:rFonts w:ascii="Times New Roman;sans-serif" w:hAnsi="Times New Roman;sans-serif"/>
          <w:b/>
          <w:color w:val="000000"/>
          <w:sz w:val="20"/>
        </w:rPr>
        <w:t>18.</w:t>
      </w:r>
      <w:r>
        <w:rPr>
          <w:rFonts w:ascii="Times New Roman;sans-serif" w:hAnsi="Times New Roman;sans-serif"/>
          <w:b/>
          <w:color w:val="000000"/>
          <w:sz w:val="20"/>
          <w:u w:val="single"/>
        </w:rPr>
        <w:t>GOVERNING LAW</w:t>
      </w:r>
      <w:r>
        <w:rPr>
          <w:rFonts w:ascii="Times New Roman;sans-serif" w:hAnsi="Times New Roman;sans-serif"/>
          <w:b w:val="false"/>
          <w:color w:val="000000"/>
          <w:sz w:val="20"/>
        </w:rPr>
        <w:t xml:space="preserve">. The interpretation, performance and enforcement of this Agreement shall be governed by the laws of the State of Maryland without resort to that state’s conflict-of-laws rules or principles. </w:t>
      </w:r>
    </w:p>
    <w:p>
      <w:pPr>
        <w:pStyle w:val="TextBody"/>
        <w:bidi w:val="0"/>
        <w:spacing w:lineRule="auto" w:line="240" w:before="0" w:after="240"/>
        <w:jc w:val="both"/>
        <w:rPr/>
      </w:pPr>
      <w:r>
        <w:rPr>
          <w:rFonts w:ascii="Times New Roman;sans-serif" w:hAnsi="Times New Roman;sans-serif"/>
          <w:b/>
          <w:color w:val="000000"/>
          <w:sz w:val="20"/>
        </w:rPr>
        <w:t>19.</w:t>
      </w:r>
      <w:r>
        <w:rPr>
          <w:rFonts w:ascii="Times New Roman;sans-serif" w:hAnsi="Times New Roman;sans-serif"/>
          <w:b/>
          <w:color w:val="000000"/>
          <w:sz w:val="20"/>
          <w:u w:val="single"/>
        </w:rPr>
        <w:t>BOARD APPROVAL</w:t>
      </w:r>
      <w:r>
        <w:rPr>
          <w:rFonts w:ascii="Times New Roman;sans-serif" w:hAnsi="Times New Roman;sans-serif"/>
          <w:b w:val="false"/>
          <w:color w:val="000000"/>
          <w:sz w:val="20"/>
        </w:rPr>
        <w:t>. If the Shares covered by this Agreement exceed, as of the Grant Date, the number of Shares which may be issued under the Plan as last approved by the Board and, as applicable, the stockholders of the Company, then this Award shall be void with respect to such excess shares, unless Board and, as applicable, stockholder approval of an amendment sufficiently increasing the number of Shares issuable under the Plan is obtained in accordance with the provisions of the Plan. If Shares covered by this Agreement are granted prior to any required approval of the Plan by the Board and, as applicable, the stockholders of the Company, any such grant shall be subject to the condition subsequent of such Board and/or stockholder approval but shall be deemed effective as of the Grant Date as listed in the Grant Notice.</w:t>
      </w:r>
    </w:p>
    <w:p>
      <w:pPr>
        <w:pStyle w:val="TextBody"/>
        <w:bidi w:val="0"/>
        <w:spacing w:lineRule="auto" w:line="240" w:before="0" w:after="240"/>
        <w:jc w:val="both"/>
        <w:rPr/>
      </w:pPr>
      <w:r>
        <w:rPr>
          <w:rFonts w:ascii="Times New Roman;sans-serif" w:hAnsi="Times New Roman;sans-serif"/>
          <w:b/>
          <w:color w:val="000000"/>
          <w:sz w:val="20"/>
        </w:rPr>
        <w:t>20.</w:t>
      </w:r>
      <w:r>
        <w:rPr>
          <w:rFonts w:ascii="Times New Roman;sans-serif" w:hAnsi="Times New Roman;sans-serif"/>
          <w:b/>
          <w:color w:val="000000"/>
          <w:sz w:val="20"/>
          <w:u w:val="single"/>
        </w:rPr>
        <w:t>CLAWBACK POLICY</w:t>
      </w:r>
      <w:r>
        <w:rPr>
          <w:rFonts w:ascii="Times New Roman;sans-serif" w:hAnsi="Times New Roman;sans-serif"/>
          <w:b w:val="false"/>
          <w:color w:val="000000"/>
          <w:sz w:val="20"/>
        </w:rPr>
        <w:t>. The Option subject to this Agreement is subject to the terms of the Company’s recoupment, clawback or similar policy as it may be in effect from time to time, as well as any similar provisions of applicable law, any of which could in certain circumstances require repayment or forfeiture of the Option or any Shares other cash or property received with respect to the Option (including any value received from a disposition of the Shares acquired upon exercise of the Option).</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EXHIBIT B</w:t>
      </w:r>
    </w:p>
    <w:p>
      <w:pPr>
        <w:pStyle w:val="TextBody"/>
        <w:bidi w:val="0"/>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THE PLAN (INCLUDING AMENDMENTS)</w:t>
      </w:r>
    </w:p>
    <w:p>
      <w:pPr>
        <w:pStyle w:val="TextBody"/>
        <w:bidi w:val="0"/>
        <w:spacing w:before="0" w:after="0"/>
        <w:jc w:val="both"/>
        <w:rPr/>
      </w:pPr>
      <w:r>
        <w:rPr/>
      </w:r>
    </w:p>
    <w:p>
      <w:pPr>
        <w:pStyle w:val="TextBody"/>
        <w:bidi w:val="0"/>
        <w:spacing w:before="12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right"/>
        <w:rPr>
          <w:rFonts w:ascii="Times New Roman;sans-serif" w:hAnsi="Times New Roman;sans-serif"/>
          <w:b/>
          <w:color w:val="000000"/>
          <w:sz w:val="20"/>
        </w:rPr>
      </w:pPr>
      <w:r>
        <w:rPr>
          <w:rFonts w:ascii="Times New Roman;sans-serif" w:hAnsi="Times New Roman;sans-serif"/>
          <w:b/>
          <w:color w:val="000000"/>
          <w:sz w:val="20"/>
        </w:rPr>
        <w:t>Exhibit 10.2</w:t>
      </w:r>
    </w:p>
    <w:p>
      <w:pPr>
        <w:pStyle w:val="TextBody"/>
        <w:bidi w:val="0"/>
        <w:spacing w:before="120" w:after="283"/>
        <w:jc w:val="center"/>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TELOS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NOTICE OF GRANT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RESTRICTED SHARES AND/OR RESTRICTED SHARE UNITS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TIME-BASED</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Notice of Grant (“Grant Notice”) is hereby given of the following grant of Restricted Shares and/or Restricted Share Units (the “Award”) of Common Stock of Telos Corporation (the “Company” or “Telos”): </w:t>
      </w:r>
    </w:p>
    <w:p>
      <w:pPr>
        <w:pStyle w:val="TextBody"/>
        <w:bidi w:val="0"/>
        <w:spacing w:lineRule="auto" w:line="288" w:before="120" w:after="180"/>
        <w:jc w:val="both"/>
        <w:rPr/>
      </w:pPr>
      <w:r>
        <w:rPr>
          <w:rFonts w:ascii="Times New Roman;sans-serif" w:hAnsi="Times New Roman;sans-serif"/>
          <w:b/>
          <w:color w:val="000000"/>
          <w:sz w:val="20"/>
          <w:u w:val="single"/>
        </w:rPr>
        <w:t>Award Recipient</w:t>
      </w:r>
      <w:r>
        <w:rPr>
          <w:rFonts w:ascii="Times New Roman;sans-serif" w:hAnsi="Times New Roman;sans-serif"/>
          <w:b/>
          <w:color w:val="000000"/>
          <w:sz w:val="20"/>
        </w:rPr>
        <w:t>:    [</w:t>
      </w:r>
      <w:r>
        <w:rPr>
          <w:rFonts w:ascii="Times New Roman;sans-serif" w:hAnsi="Times New Roman;sans-serif"/>
          <w:b w:val="false"/>
          <w:color w:val="000000"/>
          <w:sz w:val="20"/>
        </w:rPr>
        <w:t>NAME]</w:t>
      </w:r>
    </w:p>
    <w:p>
      <w:pPr>
        <w:pStyle w:val="TextBody"/>
        <w:bidi w:val="0"/>
        <w:spacing w:lineRule="auto" w:line="288" w:before="120" w:after="180"/>
        <w:jc w:val="both"/>
        <w:rPr/>
      </w:pPr>
      <w:r>
        <w:rPr>
          <w:rFonts w:ascii="Times New Roman;sans-serif" w:hAnsi="Times New Roman;sans-serif"/>
          <w:b/>
          <w:color w:val="000000"/>
          <w:sz w:val="20"/>
          <w:u w:val="single"/>
        </w:rPr>
        <w:t>Grant Date</w:t>
      </w:r>
      <w:r>
        <w:rPr>
          <w:rFonts w:ascii="Times New Roman;sans-serif" w:hAnsi="Times New Roman;sans-serif"/>
          <w:b/>
          <w:color w:val="000000"/>
          <w:sz w:val="20"/>
        </w:rPr>
        <w:t>:            [</w:t>
      </w:r>
      <w:r>
        <w:rPr>
          <w:rFonts w:ascii="Times New Roman;sans-serif" w:hAnsi="Times New Roman;sans-serif"/>
          <w:b w:val="false"/>
          <w:color w:val="000000"/>
          <w:sz w:val="20"/>
        </w:rPr>
        <w:t>DATE]</w:t>
      </w:r>
    </w:p>
    <w:p>
      <w:pPr>
        <w:pStyle w:val="TextBody"/>
        <w:bidi w:val="0"/>
        <w:spacing w:lineRule="auto" w:line="288" w:before="120" w:after="180"/>
        <w:jc w:val="both"/>
        <w:rPr/>
      </w:pPr>
      <w:r>
        <w:rPr>
          <w:rFonts w:ascii="Times New Roman;sans-serif" w:hAnsi="Times New Roman;sans-serif"/>
          <w:b/>
          <w:color w:val="000000"/>
          <w:sz w:val="20"/>
          <w:u w:val="single"/>
        </w:rPr>
        <w:t>Number of Shares</w:t>
      </w:r>
      <w:r>
        <w:rPr>
          <w:rFonts w:ascii="Times New Roman;sans-serif" w:hAnsi="Times New Roman;sans-serif"/>
          <w:b/>
          <w:color w:val="000000"/>
          <w:sz w:val="20"/>
        </w:rPr>
        <w:t>:</w:t>
      </w:r>
      <w:r>
        <w:rPr>
          <w:color w:val="000000"/>
        </w:rPr>
        <w:t>        </w:t>
      </w:r>
      <w:r>
        <w:rPr>
          <w:rFonts w:ascii="Times New Roman;sans-serif" w:hAnsi="Times New Roman;sans-serif"/>
          <w:b w:val="false"/>
          <w:color w:val="000000"/>
          <w:sz w:val="20"/>
        </w:rPr>
        <w:t>[NUMBER] shares of Restricted Share Units (RSUs)</w:t>
      </w:r>
    </w:p>
    <w:p>
      <w:pPr>
        <w:pStyle w:val="TextBody"/>
        <w:bidi w:val="0"/>
        <w:spacing w:lineRule="auto" w:line="288" w:before="120" w:after="180"/>
        <w:ind w:left="0" w:right="0" w:hanging="2880"/>
        <w:jc w:val="both"/>
        <w:rPr/>
      </w:pPr>
      <w:r>
        <w:rPr>
          <w:rFonts w:ascii="Times New Roman;sans-serif" w:hAnsi="Times New Roman;sans-serif"/>
          <w:b/>
          <w:color w:val="000000"/>
          <w:sz w:val="20"/>
          <w:u w:val="single"/>
        </w:rPr>
        <w:t>Vesting Schedule</w:t>
      </w:r>
      <w:r>
        <w:rPr>
          <w:rFonts w:ascii="Times New Roman;sans-serif" w:hAnsi="Times New Roman;sans-serif"/>
          <w:b/>
          <w:color w:val="000000"/>
          <w:sz w:val="20"/>
        </w:rPr>
        <w:t>:</w:t>
      </w:r>
      <w:r>
        <w:rPr>
          <w:color w:val="000000"/>
        </w:rPr>
        <w:t>    </w:t>
      </w:r>
      <w:r>
        <w:rPr>
          <w:rFonts w:ascii="Times New Roman;sans-serif" w:hAnsi="Times New Roman;sans-serif"/>
          <w:b w:val="false"/>
          <w:color w:val="000000"/>
          <w:sz w:val="20"/>
        </w:rPr>
        <w:t>[VESTING SCHEDULE]</w:t>
      </w:r>
    </w:p>
    <w:p>
      <w:pPr>
        <w:pStyle w:val="TextBody"/>
        <w:bidi w:val="0"/>
        <w:spacing w:lineRule="auto" w:line="288" w:before="120" w:after="180"/>
        <w:jc w:val="both"/>
        <w:rPr/>
      </w:pPr>
      <w:r>
        <w:rPr>
          <w:rFonts w:ascii="Times New Roman;sans-serif" w:hAnsi="Times New Roman;sans-serif"/>
          <w:b w:val="false"/>
          <w:color w:val="000000"/>
          <w:sz w:val="20"/>
        </w:rPr>
        <w:t xml:space="preserve">The Award Recipient understands and agrees that the Award in all respects is granted subject to and in accordance with: (i) the Restricted Share or Restricted Share Unit Agreement (“Agreement”), </w:t>
      </w:r>
      <w:r>
        <w:rPr>
          <w:rFonts w:ascii="Times New Roman;sans-serif" w:hAnsi="Times New Roman;sans-serif"/>
          <w:b w:val="false"/>
          <w:color w:val="000000"/>
          <w:sz w:val="20"/>
          <w:u w:val="single"/>
        </w:rPr>
        <w:t>Exhibit A</w:t>
      </w:r>
      <w:r>
        <w:rPr>
          <w:rFonts w:ascii="Times New Roman;sans-serif" w:hAnsi="Times New Roman;sans-serif"/>
          <w:b w:val="false"/>
          <w:color w:val="000000"/>
          <w:sz w:val="20"/>
        </w:rPr>
        <w:t xml:space="preserve">; and (ii) the 2016 Omnibus Long-Term Incentive Plan, as amended (the “Plan”), </w:t>
      </w:r>
      <w:r>
        <w:rPr>
          <w:rFonts w:ascii="Times New Roman;sans-serif" w:hAnsi="Times New Roman;sans-serif"/>
          <w:b w:val="false"/>
          <w:color w:val="000000"/>
          <w:sz w:val="20"/>
          <w:u w:val="single"/>
        </w:rPr>
        <w:t>Exhibit B</w:t>
      </w:r>
      <w:r>
        <w:rPr>
          <w:rFonts w:ascii="Times New Roman;sans-serif" w:hAnsi="Times New Roman;sans-serif"/>
          <w:b w:val="false"/>
          <w:color w:val="000000"/>
          <w:sz w:val="20"/>
        </w:rPr>
        <w:t xml:space="preserve">, and, by accepting the Award through the signature below, the Award Recipient acknowledges receipt of and agrees to be bound by the terms of this Grant Notice and its Exhibits. All capitalized terms in this Grant Notice shall have the meaning assigned to them in this Grant Notice or the Award Agreement. </w:t>
      </w:r>
    </w:p>
    <w:p>
      <w:pPr>
        <w:pStyle w:val="TextBody"/>
        <w:bidi w:val="0"/>
        <w:spacing w:lineRule="auto" w:line="288" w:before="120" w:after="180"/>
        <w:jc w:val="both"/>
        <w:rPr>
          <w:rFonts w:ascii="Times New Roman;sans-serif" w:hAnsi="Times New Roman;sans-serif"/>
          <w:b/>
          <w:color w:val="000000"/>
          <w:sz w:val="20"/>
        </w:rPr>
      </w:pPr>
      <w:r>
        <w:rPr>
          <w:rFonts w:ascii="Times New Roman;sans-serif" w:hAnsi="Times New Roman;sans-serif"/>
          <w:b/>
          <w:color w:val="000000"/>
          <w:sz w:val="20"/>
        </w:rPr>
        <w:t>Nothing in the Award Agreement: (i) modifies your status as an at-will employee of the Company or the terms of any employment agreement between you and the Company (if applicable), or (ii) guarantees you employment for any specified period of time. This means that either you or the Company may terminate your employment at any time for any reason, or no reason, as permitted by law, subject to the terms of any employment agreement between you and the Company (if applicable). You recognize that, for instance, you may terminate your employment or the Company may terminate your employment prior to the date or dates on which the Restricted Shares or RSUs under the Award Agreement vest.</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TELOS CORPORATION                AWARD RECIPIENT</w:t>
      </w:r>
    </w:p>
    <w:p>
      <w:pPr>
        <w:pStyle w:val="TextBody"/>
        <w:bidi w:val="0"/>
        <w:spacing w:before="1" w:after="1"/>
        <w:jc w:val="left"/>
        <w:rPr/>
      </w:pPr>
      <w:r>
        <w:rPr/>
      </w:r>
    </w:p>
    <w:p>
      <w:pPr>
        <w:pStyle w:val="TextBody"/>
        <w:bidi w:val="0"/>
        <w:spacing w:lineRule="auto" w:line="288" w:before="120" w:after="283"/>
        <w:jc w:val="left"/>
        <w:rPr/>
      </w:pPr>
      <w:r>
        <w:rPr>
          <w:color w:val="000000"/>
          <w:u w:val="single"/>
        </w:rPr>
        <w:t>                    </w:t>
      </w:r>
      <w:r>
        <w:rPr>
          <w:color w:val="000000"/>
        </w:rPr>
        <w:t>        </w:t>
      </w:r>
      <w:r>
        <w:rPr>
          <w:color w:val="000000"/>
          <w:u w:val="single"/>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John B. Wood                        NAME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Chairman &amp; CEO            </w:t>
      </w:r>
    </w:p>
    <w:p>
      <w:pPr>
        <w:pStyle w:val="TextBody"/>
        <w:bidi w:val="0"/>
        <w:spacing w:before="120" w:after="180"/>
        <w:jc w:val="left"/>
        <w:rPr/>
      </w:pPr>
      <w:r>
        <w:rPr/>
      </w:r>
    </w:p>
    <w:p>
      <w:pPr>
        <w:pStyle w:val="TextBody"/>
        <w:bidi w:val="0"/>
        <w:spacing w:lineRule="auto" w:line="288" w:before="120" w:after="180"/>
        <w:jc w:val="left"/>
        <w:rPr>
          <w:color w:val="000000"/>
        </w:rPr>
      </w:pPr>
      <w:r>
        <w:rPr>
          <w:color w:val="000000"/>
        </w:rPr>
        <w:t>                            </w:t>
      </w:r>
      <w:r>
        <w:rPr>
          <w:rFonts w:ascii="Times New Roman;sans-serif" w:hAnsi="Times New Roman;sans-serif"/>
          <w:b w:val="false"/>
          <w:color w:val="000000"/>
          <w:sz w:val="20"/>
        </w:rPr>
        <w:t>______________________________</w:t>
      </w:r>
    </w:p>
    <w:p>
      <w:pPr>
        <w:pStyle w:val="TextBody"/>
        <w:bidi w:val="0"/>
        <w:spacing w:lineRule="auto" w:line="288" w:before="120" w:after="180"/>
        <w:jc w:val="left"/>
        <w:rPr>
          <w:color w:val="000000"/>
        </w:rPr>
      </w:pPr>
      <w:r>
        <w:rPr>
          <w:color w:val="000000"/>
        </w:rPr>
        <w:t>                            </w:t>
      </w:r>
      <w:r>
        <w:rPr>
          <w:rFonts w:ascii="Times New Roman;sans-serif" w:hAnsi="Times New Roman;sans-serif"/>
          <w:b w:val="false"/>
          <w:color w:val="000000"/>
          <w:sz w:val="20"/>
        </w:rPr>
        <w:t>DATE</w:t>
      </w:r>
    </w:p>
    <w:p>
      <w:pPr>
        <w:pStyle w:val="TextBody"/>
        <w:bidi w:val="0"/>
        <w:spacing w:before="120" w:after="180"/>
        <w:jc w:val="left"/>
        <w:rPr/>
      </w:pPr>
      <w:r>
        <w:rPr/>
      </w:r>
    </w:p>
    <w:p>
      <w:pPr>
        <w:pStyle w:val="TextBody"/>
        <w:bidi w:val="0"/>
        <w:spacing w:before="120" w:after="180"/>
        <w:jc w:val="center"/>
        <w:rPr/>
      </w:pPr>
      <w:r>
        <w:rPr/>
      </w:r>
    </w:p>
    <w:p>
      <w:pPr>
        <w:pStyle w:val="TextBody"/>
        <w:bidi w:val="0"/>
        <w:spacing w:before="120" w:after="18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EXHIBIT 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RESTRICTED SHARE OR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RESTRICTED SHARE UNIT AGREEMENT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TIME-BASED</w:t>
      </w:r>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RECITALS</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The Telos Board of Directors has adopted and approved the Telos Corporation 2016 Omnibus Long-Term Incentive Plan, as amended (the “Plan”). The purpose of the Plan is to enhance the Company’s and its subsidiaries’ ability to attract and retain highly qualified directors, officers, key employees, and other persons and to motivate such persons to serve the Company and its subsidiaries and to improve the business results and earnings of the Company, by providing to such persons an opportunity to acquire or increase a direct proprietary interest in the operations and future success of the Company.</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The Award Recipient specified in the Grant Notice (the “Award Recipient”) is to render valuable services to the Company (or a Subsidiary Affiliate of the Company), and this Agreement is intended to carry out the purposes of the Plan in connection with the Company’s grant of Restricted Shares and/or Restricted Share Units to the Award Recipient. </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All capitalized terms in this Restricted Share or Restricted Share Unit Agreement (this “Agreement”) shall have the meaning assigned to them in the Plan. </w:t>
      </w:r>
    </w:p>
    <w:p>
      <w:pPr>
        <w:pStyle w:val="TextBody"/>
        <w:bidi w:val="0"/>
        <w:spacing w:lineRule="auto" w:line="288" w:before="120" w:after="180"/>
        <w:jc w:val="both"/>
        <w:rPr/>
      </w:pPr>
      <w:r>
        <w:rPr>
          <w:rFonts w:ascii="Times New Roman;sans-serif" w:hAnsi="Times New Roman;sans-serif"/>
          <w:b/>
          <w:color w:val="000000"/>
          <w:sz w:val="20"/>
        </w:rPr>
        <w:t>NOW, THEREFORE</w:t>
      </w:r>
      <w:r>
        <w:rPr>
          <w:rFonts w:ascii="Times New Roman;sans-serif" w:hAnsi="Times New Roman;sans-serif"/>
          <w:b w:val="false"/>
          <w:color w:val="000000"/>
          <w:sz w:val="20"/>
        </w:rPr>
        <w:t xml:space="preserve">, it is hereby agreed as follows: </w:t>
      </w:r>
    </w:p>
    <w:p>
      <w:pPr>
        <w:pStyle w:val="TextBody"/>
        <w:bidi w:val="0"/>
        <w:spacing w:lineRule="auto" w:line="288" w:before="120" w:after="180"/>
        <w:jc w:val="both"/>
        <w:rPr/>
      </w:pPr>
      <w:r>
        <w:rPr>
          <w:rFonts w:ascii="Times New Roman;sans-serif" w:hAnsi="Times New Roman;sans-serif"/>
          <w:b/>
          <w:color w:val="000000"/>
          <w:sz w:val="20"/>
        </w:rPr>
        <w:t>1.</w:t>
      </w:r>
      <w:r>
        <w:rPr>
          <w:rFonts w:ascii="Times New Roman;sans-serif" w:hAnsi="Times New Roman;sans-serif"/>
          <w:b/>
          <w:color w:val="000000"/>
          <w:sz w:val="20"/>
          <w:u w:val="single"/>
        </w:rPr>
        <w:t>GRANT OF RESTRICTED SHARES AND/OR RESTRICTED SHARE UNITS</w:t>
      </w:r>
      <w:r>
        <w:rPr>
          <w:rFonts w:ascii="Times New Roman;sans-serif" w:hAnsi="Times New Roman;sans-serif"/>
          <w:b w:val="false"/>
          <w:color w:val="000000"/>
          <w:sz w:val="20"/>
        </w:rPr>
        <w:t xml:space="preserve">. The Company hereby grants to the Award Recipient, effective as of the Grant Date specified in the Grant Notice, the number of Restricted Shares and/or Restricted Share Units specified in the Grant Notice to which this Agreement is attached as Exhibit A (the “Grant Notice”). </w:t>
      </w:r>
    </w:p>
    <w:p>
      <w:pPr>
        <w:pStyle w:val="TextBody"/>
        <w:bidi w:val="0"/>
        <w:spacing w:lineRule="auto" w:line="288" w:before="120" w:after="180"/>
        <w:jc w:val="both"/>
        <w:rPr/>
      </w:pPr>
      <w:r>
        <w:rPr>
          <w:rFonts w:ascii="Times New Roman;sans-serif" w:hAnsi="Times New Roman;sans-serif"/>
          <w:b/>
          <w:color w:val="000000"/>
          <w:sz w:val="20"/>
        </w:rPr>
        <w:t>2.</w:t>
      </w:r>
      <w:r>
        <w:rPr>
          <w:color w:val="000000"/>
        </w:rPr>
        <w:t>    </w:t>
      </w:r>
      <w:r>
        <w:rPr>
          <w:rFonts w:ascii="Times New Roman;sans-serif" w:hAnsi="Times New Roman;sans-serif"/>
          <w:b/>
          <w:color w:val="000000"/>
          <w:sz w:val="20"/>
          <w:u w:val="single"/>
        </w:rPr>
        <w:t>TIMING AND MANNER OF PAYMENT OF RESTICTED SHARE UNITS</w:t>
      </w:r>
      <w:r>
        <w:rPr>
          <w:rFonts w:ascii="Times New Roman;sans-serif" w:hAnsi="Times New Roman;sans-serif"/>
          <w:b w:val="false"/>
          <w:color w:val="000000"/>
          <w:sz w:val="20"/>
        </w:rPr>
        <w:t xml:space="preserve">. The Restricted Share Units subject to this Agreement that become vested in accordance with the schedule in the Grant Notice shall be paid in an equivalent number of whole Shares promptly after the applicable vesting date, in accordance with the terms hereof. Each such payment of Shares shall be subject to the tax withholding provisions of this Agreement and the Plan and shall be in complete satisfaction of such vested Restricted Share Units. The Award Recipient or any other person entitled under the Plan to receive a payment of Shares shall deliver to the Company any representations or other documents or assurances required by the Plan or otherwise reasonably requested by the Company. Any Restricted Share Units corresponding to a particular vesting date shall be rounded down to the nearest whole Restricted Share Unit; provided that fractional Restricted Share Units subject to the Award shall be cumulated until sufficient to produce a whole Restricted Share Unit, in all cases remaining fractional Restricted Share Units shall terminate in the event the remaining Restricted Share Units subject to the Award terminate, and any remaining fractional Restricted Share Units shall terminate on the final vesting date applicable to the Award. </w:t>
      </w:r>
    </w:p>
    <w:p>
      <w:pPr>
        <w:pStyle w:val="TextBody"/>
        <w:bidi w:val="0"/>
        <w:spacing w:lineRule="auto" w:line="288" w:before="120" w:after="180"/>
        <w:jc w:val="both"/>
        <w:rPr/>
      </w:pPr>
      <w:r>
        <w:rPr>
          <w:rFonts w:ascii="Times New Roman;sans-serif" w:hAnsi="Times New Roman;sans-serif"/>
          <w:b/>
          <w:color w:val="000000"/>
          <w:sz w:val="20"/>
        </w:rPr>
        <w:t>3.    </w:t>
      </w:r>
      <w:r>
        <w:rPr>
          <w:rFonts w:ascii="Times New Roman;sans-serif" w:hAnsi="Times New Roman;sans-serif"/>
          <w:b/>
          <w:color w:val="000000"/>
          <w:sz w:val="20"/>
          <w:u w:val="single"/>
        </w:rPr>
        <w:t>RESTRICTIONS ON TRANSFERABILITY</w:t>
      </w:r>
      <w:r>
        <w:rPr>
          <w:rFonts w:ascii="Times New Roman;sans-serif" w:hAnsi="Times New Roman;sans-serif"/>
          <w:b w:val="false"/>
          <w:color w:val="000000"/>
          <w:sz w:val="20"/>
        </w:rPr>
        <w:t xml:space="preserve">. Notwithstanding any provisions of the Plan to the contrary, no Restricted Shares or Restricted Share Units granted hereunder may be sold, assigned, transferred, pledged or otherwise encumbered unless and until the Restricted Shares or Restricted Share Units proposed to be sold or transferred are vested. </w:t>
      </w:r>
    </w:p>
    <w:p>
      <w:pPr>
        <w:pStyle w:val="TextBody"/>
        <w:bidi w:val="0"/>
        <w:spacing w:lineRule="auto" w:line="288" w:before="120" w:after="180"/>
        <w:jc w:val="both"/>
        <w:rPr/>
      </w:pPr>
      <w:r>
        <w:rPr>
          <w:rFonts w:ascii="Times New Roman;sans-serif" w:hAnsi="Times New Roman;sans-serif"/>
          <w:b/>
          <w:color w:val="000000"/>
          <w:sz w:val="20"/>
        </w:rPr>
        <w:t>4.    </w:t>
      </w:r>
      <w:r>
        <w:rPr>
          <w:rFonts w:ascii="Times New Roman;sans-serif" w:hAnsi="Times New Roman;sans-serif"/>
          <w:b/>
          <w:color w:val="000000"/>
          <w:sz w:val="20"/>
          <w:u w:val="single"/>
        </w:rPr>
        <w:t>VESTING; TERMINATION OF EMPLOYMENT</w:t>
      </w:r>
      <w:r>
        <w:rPr>
          <w:rFonts w:ascii="Times New Roman;sans-serif" w:hAnsi="Times New Roman;sans-serif"/>
          <w:b w:val="false"/>
          <w:color w:val="000000"/>
          <w:sz w:val="20"/>
        </w:rPr>
        <w:t xml:space="preserve">. Restricted Shares or Restricted Share Units, subject to the other terms and conditions set forth herein, shall become vested if the Award Recipient remains continuously employed through each vesting date specified in the Grant Notice. Upon termination of the Award Recipient’s Service, any Restricted Shares and/or Restricted Share Units that have not yet vested shall be forfeited on the date of termination, unless otherwise specified by the terms of this Agreement, any employment agreement or any severance agreement in place or negotiated and finalized between the Award Recipient and the Company. To the extent that any employment agreement references accelerated vesting of restricted shares upon a particular type of event, restricted share units shall be considered as included within the meaning of the term restricted shares as used in such employment agreement and shall be subject to accelerated vesting in the same manner and the same extent as applicable to restricted shares in accordance with the terms of such employment agreement. Except as otherwise provided in the Grant Notice or this Agreement, Service for only a portion of the vesting period, even if a substantial portion, will not entitle the Award Recipient to any proportionate vesting of any outstanding and otherwise unvested portion of the Award, or avoid or mitigate a termination of rights and benefits upon or following a termination of Service. </w:t>
      </w:r>
    </w:p>
    <w:p>
      <w:pPr>
        <w:pStyle w:val="TextBody"/>
        <w:bidi w:val="0"/>
        <w:spacing w:lineRule="auto" w:line="288" w:before="120" w:after="180"/>
        <w:jc w:val="left"/>
        <w:rPr/>
      </w:pPr>
      <w:r>
        <w:rPr>
          <w:rFonts w:ascii="Times New Roman;sans-serif" w:hAnsi="Times New Roman;sans-serif"/>
          <w:b/>
          <w:color w:val="000000"/>
          <w:sz w:val="20"/>
        </w:rPr>
        <w:t>5.    </w:t>
      </w:r>
      <w:r>
        <w:rPr>
          <w:rFonts w:ascii="Times New Roman;sans-serif" w:hAnsi="Times New Roman;sans-serif"/>
          <w:b/>
          <w:color w:val="000000"/>
          <w:sz w:val="20"/>
          <w:u w:val="single"/>
        </w:rPr>
        <w:t>CORPORATE TRANSACTION</w:t>
      </w:r>
      <w:r>
        <w:rPr>
          <w:rFonts w:ascii="Times New Roman;sans-serif" w:hAnsi="Times New Roman;sans-serif"/>
          <w:b w:val="false"/>
          <w:color w:val="000000"/>
          <w:sz w:val="20"/>
        </w:rPr>
        <w:t xml:space="preserve">. </w:t>
      </w:r>
    </w:p>
    <w:p>
      <w:pPr>
        <w:pStyle w:val="TextBody"/>
        <w:bidi w:val="0"/>
        <w:spacing w:lineRule="auto" w:line="288" w:before="12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In the event of any Corporate Transaction, the Restricted Shares and/or Restricted Share Units not otherwise vested shall automatically vest in full. </w:t>
      </w:r>
    </w:p>
    <w:p>
      <w:pPr>
        <w:pStyle w:val="TextBody"/>
        <w:bidi w:val="0"/>
        <w:spacing w:lineRule="auto" w:line="288" w:before="12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This Agreement shall not in any way affect the right of the Company to adjust, reclassify, reorganize or otherwise change its capital or business structure or to merge, consolidate, dissolve, liquidate or sell or transfer all or any part of its business or assets.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both"/>
        <w:rPr/>
      </w:pPr>
      <w:r>
        <w:rPr>
          <w:rFonts w:ascii="Times New Roman;sans-serif" w:hAnsi="Times New Roman;sans-serif"/>
          <w:b/>
          <w:color w:val="000000"/>
          <w:sz w:val="20"/>
        </w:rPr>
        <w:t>6.    </w:t>
      </w:r>
      <w:r>
        <w:rPr>
          <w:rFonts w:ascii="Times New Roman;sans-serif" w:hAnsi="Times New Roman;sans-serif"/>
          <w:b/>
          <w:color w:val="000000"/>
          <w:sz w:val="20"/>
          <w:u w:val="single"/>
        </w:rPr>
        <w:t>ADJUSTMENT IN SHARES</w:t>
      </w:r>
      <w:r>
        <w:rPr>
          <w:rFonts w:ascii="Times New Roman;sans-serif" w:hAnsi="Times New Roman;sans-serif"/>
          <w:b w:val="false"/>
          <w:color w:val="000000"/>
          <w:sz w:val="20"/>
        </w:rPr>
        <w:t xml:space="preserve">. Should any change be made to the Shares by reason of any stock split, stock dividend, recapitalization, combination of shares, exchange of shares or other change affecting the outstanding Shares as a class without the Company’s receipt of consideration, appropriate adjustments shall be made to the number and/or class of securities subject to this Award in order to reflect such change and thereby preclude a dilution or enlargement of benefits hereunder. </w:t>
      </w:r>
    </w:p>
    <w:p>
      <w:pPr>
        <w:pStyle w:val="TextBody"/>
        <w:bidi w:val="0"/>
        <w:spacing w:lineRule="auto" w:line="288" w:before="120" w:after="180"/>
        <w:jc w:val="both"/>
        <w:rPr/>
      </w:pPr>
      <w:r>
        <w:rPr>
          <w:rFonts w:ascii="Times New Roman;sans-serif" w:hAnsi="Times New Roman;sans-serif"/>
          <w:b/>
          <w:color w:val="000000"/>
          <w:sz w:val="20"/>
        </w:rPr>
        <w:t>7.    </w:t>
      </w:r>
      <w:r>
        <w:rPr>
          <w:rFonts w:ascii="Times New Roman;sans-serif" w:hAnsi="Times New Roman;sans-serif"/>
          <w:b/>
          <w:color w:val="000000"/>
          <w:sz w:val="20"/>
          <w:u w:val="single"/>
        </w:rPr>
        <w:t>STOCK CERTIFICATES</w:t>
      </w:r>
      <w:r>
        <w:rPr>
          <w:rFonts w:ascii="Times New Roman;sans-serif" w:hAnsi="Times New Roman;sans-serif"/>
          <w:b w:val="false"/>
          <w:color w:val="000000"/>
          <w:sz w:val="20"/>
        </w:rPr>
        <w:t>. Any stock certificate(s) representing the Restricted Shares granted hereby will be stamped or otherwise imprinted with a legend with respect to any applicable restrictions contained herein or in the Plan and otherwise with respect to the sale or transfer of such shares. At the election of the Company, any stock certificates evidencing Restricted Shares shall be held by the Company on your behalf until such time as the transfer of such Restricted Shares is no longer subject to the restrictions set out in the Plan and this Agreement. The Company may elect to satisfy any requirement for the delivery of the Restricted Shares through the use of appropriate book-entries.</w:t>
      </w:r>
    </w:p>
    <w:p>
      <w:pPr>
        <w:pStyle w:val="TextBody"/>
        <w:bidi w:val="0"/>
        <w:spacing w:lineRule="auto" w:line="288" w:before="120" w:after="180"/>
        <w:jc w:val="both"/>
        <w:rPr/>
      </w:pPr>
      <w:r>
        <w:rPr>
          <w:rFonts w:ascii="Times New Roman;sans-serif" w:hAnsi="Times New Roman;sans-serif"/>
          <w:b/>
          <w:color w:val="000000"/>
          <w:sz w:val="20"/>
        </w:rPr>
        <w:t>8.    </w:t>
      </w:r>
      <w:r>
        <w:rPr>
          <w:rFonts w:ascii="Times New Roman;sans-serif" w:hAnsi="Times New Roman;sans-serif"/>
          <w:b/>
          <w:color w:val="000000"/>
          <w:sz w:val="20"/>
          <w:u w:val="single"/>
        </w:rPr>
        <w:t>COMPLIANCE WITH LAWS; TAX WITHHOLDING</w:t>
      </w:r>
      <w:r>
        <w:rPr>
          <w:rFonts w:ascii="Times New Roman;sans-serif" w:hAnsi="Times New Roman;sans-serif"/>
          <w:b w:val="false"/>
          <w:color w:val="000000"/>
          <w:sz w:val="20"/>
        </w:rPr>
        <w:t xml:space="preserve">. </w:t>
      </w:r>
    </w:p>
    <w:p>
      <w:pPr>
        <w:pStyle w:val="TextBody"/>
        <w:bidi w:val="0"/>
        <w:spacing w:lineRule="auto" w:line="288" w:before="12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The Award Recipient represents and warrants that they are acquiring the Restricted Shares and/or Restricted Share Units for investment purposes and not with a view to the resale or distribution thereof. The Award Recipient agrees that the Company may withhold from them any tax which it believes is required to be withheld with respect to any benefit under the Plan or this Agreement, and that the Award Recipient will make appropriate arrangements with the Company for satisfaction of any applicable federal, state or local income tax withholding requirements or like requirements. At the Company’s election, the Award Recipient will (i) deliver a personal check to the Company no later than three (3) days following each vesting date; (ii) authorize the Company to deduct from their immediately subsequent paycheck following your vesting; (iii) authorize the Company to withhold Shares otherwise issuable to them; or (iv) deliver to the Company Shares already owned by them, in all cases in an amount to satisfy the minimum amount of income and employment tax withholding required upon the vesting date. Shares so delivered or withheld may have an aggregate Fair Market Value up to the maximum amount allowed for equity instruments for financial accounting purposes. The issuance of the Restricted Shares and/or Restricted Share Units shall be subject to compliance by the Company and the Award Recipient with all applicable requirements of law relating thereto. </w:t>
      </w:r>
    </w:p>
    <w:p>
      <w:pPr>
        <w:pStyle w:val="TextBody"/>
        <w:bidi w:val="0"/>
        <w:spacing w:lineRule="auto" w:line="288" w:before="12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Except for such withholding obligations of the Company, the Award Recipient shall be solely responsible for any and all tax liability arising with respect to the Award or any payment in respect thereof.</w:t>
      </w:r>
    </w:p>
    <w:p>
      <w:pPr>
        <w:pStyle w:val="TextBody"/>
        <w:bidi w:val="0"/>
        <w:spacing w:lineRule="auto" w:line="288" w:before="12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The Award Recipient is hereby advised to consult with their own tax, legal and/or investment advisors with respect to any advice the Award Recipient may determine is needed or appropriate with respect to the Award (including, without limitation, to determine the foreign, state, local, estate and/or gift tax consequences with respect to the Award and any shares that may be acquired upon payment of the Award). Neither the Company nor any of its officers, directors, affiliates or advisors makes any representation (except for the terms and conditions expressly set forth in this Award Agreement) or recommendation with respect to the Award.</w:t>
      </w:r>
    </w:p>
    <w:p>
      <w:pPr>
        <w:pStyle w:val="TextBody"/>
        <w:bidi w:val="0"/>
        <w:spacing w:lineRule="auto" w:line="288" w:before="120" w:after="180"/>
        <w:jc w:val="both"/>
        <w:rPr/>
      </w:pPr>
      <w:r>
        <w:rPr>
          <w:rFonts w:ascii="Times New Roman;sans-serif" w:hAnsi="Times New Roman;sans-serif"/>
          <w:b/>
          <w:color w:val="000000"/>
          <w:sz w:val="20"/>
        </w:rPr>
        <w:t>9.    </w:t>
      </w:r>
      <w:r>
        <w:rPr>
          <w:rFonts w:ascii="Times New Roman;sans-serif" w:hAnsi="Times New Roman;sans-serif"/>
          <w:b/>
          <w:color w:val="000000"/>
          <w:sz w:val="20"/>
          <w:u w:val="single"/>
        </w:rPr>
        <w:t>SUCCESSORS AND ASSIGNS</w:t>
      </w:r>
      <w:r>
        <w:rPr>
          <w:rFonts w:ascii="Times New Roman;sans-serif" w:hAnsi="Times New Roman;sans-serif"/>
          <w:b w:val="false"/>
          <w:color w:val="000000"/>
          <w:sz w:val="20"/>
        </w:rPr>
        <w:t xml:space="preserve">. The provisions of this Agreement shall inure to the benefit of, and be binding upon, the Company and its successors and assigns and the Award Recipient, and the legal representatives, heirs and legatees of the Award Recipient’s estate. </w:t>
      </w:r>
    </w:p>
    <w:p>
      <w:pPr>
        <w:pStyle w:val="TextBody"/>
        <w:bidi w:val="0"/>
        <w:spacing w:lineRule="auto" w:line="288" w:before="120" w:after="180"/>
        <w:jc w:val="both"/>
        <w:rPr/>
      </w:pPr>
      <w:r>
        <w:rPr>
          <w:rFonts w:ascii="Times New Roman;sans-serif" w:hAnsi="Times New Roman;sans-serif"/>
          <w:b/>
          <w:color w:val="000000"/>
          <w:sz w:val="20"/>
        </w:rPr>
        <w:t>10.     </w:t>
      </w:r>
      <w:r>
        <w:rPr>
          <w:rFonts w:ascii="Times New Roman;sans-serif" w:hAnsi="Times New Roman;sans-serif"/>
          <w:b/>
          <w:color w:val="000000"/>
          <w:sz w:val="20"/>
          <w:u w:val="single"/>
        </w:rPr>
        <w:t>NOTICES</w:t>
      </w:r>
      <w:r>
        <w:rPr>
          <w:rFonts w:ascii="Times New Roman;sans-serif" w:hAnsi="Times New Roman;sans-serif"/>
          <w:b w:val="false"/>
          <w:color w:val="000000"/>
          <w:sz w:val="20"/>
        </w:rPr>
        <w:t xml:space="preserve">. Any notice required to be given or delivered to the Company under the terms of this Agreement shall be in writing and addressed to the Company at its principal corporate offices and to the attention of the General Counsel. Any notice required to be given or delivered to the Award Recipient shall be in writing and addressed to the Award Recipient at the address indicated on the Company’s books and records. All notices shall be deemed effective upon personal delivery or upon deposit in the U.S. mail, postage prepaid and properly addressed to the party to be notified. </w:t>
      </w:r>
    </w:p>
    <w:p>
      <w:pPr>
        <w:pStyle w:val="TextBody"/>
        <w:bidi w:val="0"/>
        <w:spacing w:lineRule="auto" w:line="288" w:before="120" w:after="180"/>
        <w:jc w:val="both"/>
        <w:rPr/>
      </w:pPr>
      <w:r>
        <w:rPr>
          <w:rFonts w:ascii="Times New Roman;sans-serif" w:hAnsi="Times New Roman;sans-serif"/>
          <w:b/>
          <w:color w:val="000000"/>
          <w:sz w:val="20"/>
        </w:rPr>
        <w:t>11</w:t>
      </w:r>
      <w:r>
        <w:rPr>
          <w:rFonts w:ascii="Times New Roman;sans-serif" w:hAnsi="Times New Roman;sans-serif"/>
          <w:b/>
          <w:i/>
          <w:color w:val="000000"/>
          <w:sz w:val="20"/>
        </w:rPr>
        <w:t>.     </w:t>
      </w:r>
      <w:r>
        <w:rPr>
          <w:rFonts w:ascii="Times New Roman;sans-serif" w:hAnsi="Times New Roman;sans-serif"/>
          <w:b/>
          <w:color w:val="000000"/>
          <w:sz w:val="20"/>
          <w:u w:val="single"/>
        </w:rPr>
        <w:t>CONSTRUCTION</w:t>
      </w:r>
      <w:r>
        <w:rPr>
          <w:rFonts w:ascii="Times New Roman;sans-serif" w:hAnsi="Times New Roman;sans-serif"/>
          <w:b w:val="false"/>
          <w:color w:val="000000"/>
          <w:sz w:val="20"/>
        </w:rPr>
        <w:t xml:space="preserve">. This Agreement and the Award are made and granted pursuant to the Plan and are in all respects limited by and subject to the terms of the Plan. All decisions of the Committee and/or the Board with respect to any question or issue arising under the Plan or this Agreement shall be conclusive and binding on all persons having an interest in the Award. </w:t>
      </w:r>
    </w:p>
    <w:p>
      <w:pPr>
        <w:pStyle w:val="TextBody"/>
        <w:bidi w:val="0"/>
        <w:spacing w:lineRule="auto" w:line="288" w:before="120" w:after="180"/>
        <w:jc w:val="both"/>
        <w:rPr/>
      </w:pPr>
      <w:r>
        <w:rPr>
          <w:rFonts w:ascii="Times New Roman;sans-serif" w:hAnsi="Times New Roman;sans-serif"/>
          <w:b/>
          <w:color w:val="000000"/>
          <w:sz w:val="20"/>
        </w:rPr>
        <w:t>12.    </w:t>
      </w:r>
      <w:r>
        <w:rPr>
          <w:rFonts w:ascii="Times New Roman;sans-serif" w:hAnsi="Times New Roman;sans-serif"/>
          <w:b/>
          <w:color w:val="000000"/>
          <w:sz w:val="20"/>
          <w:u w:val="single"/>
        </w:rPr>
        <w:t>THE PLAN</w:t>
      </w:r>
      <w:r>
        <w:rPr>
          <w:rFonts w:ascii="Times New Roman;sans-serif" w:hAnsi="Times New Roman;sans-serif"/>
          <w:b w:val="false"/>
          <w:color w:val="000000"/>
          <w:sz w:val="20"/>
        </w:rPr>
        <w:t xml:space="preserve">. The Award and the rights of the Award Recipient under this Agreement are subject to the terms and conditions of the provisions of the Plan, which are incorporated into this Agreement by this reference. The Award Recipient agrees to be bound by the terms of the Plan and this Agreement. The Award Recipient acknowledges having read and understood the Plan and this Agreement. Unless otherwise expressly provided in other sections of this Agreement, provisions of the Plan that confer discretionary authority to the Board and/or the Committee do not and shall not be deemed to create any rights in the Award Recipient unless such rights are expressly set forth herein or are otherwise in the sole discretion of the Board and/or the Committee so conferred by appropriate Board and/or Committee action under the Plan after the date hereof.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both"/>
        <w:rPr/>
      </w:pPr>
      <w:r>
        <w:rPr>
          <w:rFonts w:ascii="Times New Roman;sans-serif" w:hAnsi="Times New Roman;sans-serif"/>
          <w:b/>
          <w:color w:val="000000"/>
          <w:sz w:val="20"/>
        </w:rPr>
        <w:t>13.     </w:t>
      </w:r>
      <w:r>
        <w:rPr>
          <w:rFonts w:ascii="Times New Roman;sans-serif" w:hAnsi="Times New Roman;sans-serif"/>
          <w:b/>
          <w:color w:val="000000"/>
          <w:sz w:val="20"/>
          <w:u w:val="single"/>
        </w:rPr>
        <w:t>ENTIRE AGREEMENT</w:t>
      </w:r>
      <w:r>
        <w:rPr>
          <w:rFonts w:ascii="Times New Roman;sans-serif" w:hAnsi="Times New Roman;sans-serif"/>
          <w:b w:val="false"/>
          <w:color w:val="000000"/>
          <w:sz w:val="20"/>
        </w:rPr>
        <w:t>. This Agreement, the Grant Notice, and the Plan, together, constitute the entire agreement and supersede in their entirety all prior understandings and agreements, written or oral, of the parties hereto with respect to the subject matter hereof. The Plan may be amended pursuant to Section 5.3 of the Plan. This Agreement may be amended by the Board from time to time. Any such amendment must be in writing and signed by the Company. Any such amendment that materially and adversely affects the Award Recipient’s rights under this Agreement requires the consent of the Award Recipient in order to be effective with respect to the Award. The Company may, however, unilaterally waive any provision hereof in writing to the extent such waiver does not adversely affect the interests of the Award Recipient hereunder, but no such waiver shall operate as or be construed to be a subsequent waiver of the same provision or a waiver of any other provision hereof.</w:t>
      </w:r>
    </w:p>
    <w:p>
      <w:pPr>
        <w:pStyle w:val="TextBody"/>
        <w:bidi w:val="0"/>
        <w:spacing w:lineRule="auto" w:line="288" w:before="120" w:after="180"/>
        <w:jc w:val="both"/>
        <w:rPr/>
      </w:pPr>
      <w:r>
        <w:rPr>
          <w:rFonts w:ascii="Times New Roman;sans-serif" w:hAnsi="Times New Roman;sans-serif"/>
          <w:b/>
          <w:color w:val="000000"/>
          <w:sz w:val="20"/>
        </w:rPr>
        <w:t>14.     </w:t>
      </w:r>
      <w:r>
        <w:rPr>
          <w:rFonts w:ascii="Times New Roman;sans-serif" w:hAnsi="Times New Roman;sans-serif"/>
          <w:b/>
          <w:color w:val="000000"/>
          <w:sz w:val="20"/>
          <w:u w:val="single"/>
        </w:rPr>
        <w:t>GOVERNING LAW</w:t>
      </w:r>
      <w:r>
        <w:rPr>
          <w:rFonts w:ascii="Times New Roman;sans-serif" w:hAnsi="Times New Roman;sans-serif"/>
          <w:b w:val="false"/>
          <w:color w:val="000000"/>
          <w:sz w:val="20"/>
        </w:rPr>
        <w:t xml:space="preserve">. The interpretation, performance and enforcement of this Agreement shall be governed by the laws of the State of Maryland without resort to that state’s conflict-of-laws rules or principles. </w:t>
      </w:r>
    </w:p>
    <w:p>
      <w:pPr>
        <w:pStyle w:val="TextBody"/>
        <w:bidi w:val="0"/>
        <w:spacing w:lineRule="auto" w:line="288" w:before="120" w:after="180"/>
        <w:jc w:val="both"/>
        <w:rPr/>
      </w:pPr>
      <w:r>
        <w:rPr>
          <w:rFonts w:ascii="Times New Roman;sans-serif" w:hAnsi="Times New Roman;sans-serif"/>
          <w:b/>
          <w:color w:val="000000"/>
          <w:sz w:val="20"/>
        </w:rPr>
        <w:t>15.     </w:t>
      </w:r>
      <w:r>
        <w:rPr>
          <w:rFonts w:ascii="Times New Roman;sans-serif" w:hAnsi="Times New Roman;sans-serif"/>
          <w:b/>
          <w:color w:val="000000"/>
          <w:sz w:val="20"/>
          <w:u w:val="single"/>
        </w:rPr>
        <w:t>BOARD APPROVAL</w:t>
      </w:r>
      <w:r>
        <w:rPr>
          <w:rFonts w:ascii="Times New Roman;sans-serif" w:hAnsi="Times New Roman;sans-serif"/>
          <w:b w:val="false"/>
          <w:color w:val="000000"/>
          <w:sz w:val="20"/>
        </w:rPr>
        <w:t>. If the Shares covered by this Agreement exceed, as of the Grant Date, the number of Shares which may be issued under the Plan as last approved by the Board and, as applicable, the stockholders of the Company, then this Award shall be void with respect to such excess shares, unless Board and, as applicable, stockholder approval of an amendment sufficiently increasing the number of Shares issuable under the Plan is obtained in accordance with the provisions of the Plan. If Shares covered by this Agreement are granted prior to any required approval of the Plan by the Board and, as applicable, the stockholders of the Company, any such grant shall be subject to the condition subsequent of such Board and/or stockholder approval but shall be deemed effective as of the Grant Date as listed in the Grant Notice.</w:t>
      </w:r>
    </w:p>
    <w:p>
      <w:pPr>
        <w:pStyle w:val="TextBody"/>
        <w:bidi w:val="0"/>
        <w:spacing w:lineRule="auto" w:line="288" w:before="120" w:after="180"/>
        <w:jc w:val="both"/>
        <w:rPr/>
      </w:pPr>
      <w:r>
        <w:rPr>
          <w:rFonts w:ascii="Times New Roman;sans-serif" w:hAnsi="Times New Roman;sans-serif"/>
          <w:b/>
          <w:color w:val="000000"/>
          <w:sz w:val="20"/>
        </w:rPr>
        <w:t>16.     </w:t>
      </w:r>
      <w:r>
        <w:rPr>
          <w:rFonts w:ascii="Times New Roman;sans-serif" w:hAnsi="Times New Roman;sans-serif"/>
          <w:b/>
          <w:color w:val="000000"/>
          <w:sz w:val="20"/>
          <w:u w:val="single"/>
        </w:rPr>
        <w:t>FORFEITURE OF SHARES</w:t>
      </w:r>
      <w:r>
        <w:rPr>
          <w:rFonts w:ascii="Times New Roman;sans-serif" w:hAnsi="Times New Roman;sans-serif"/>
          <w:b w:val="false"/>
          <w:color w:val="000000"/>
          <w:sz w:val="20"/>
        </w:rPr>
        <w:t xml:space="preserve">. If the Award Recipient becomes obligated to return all or a portion of the Restricted Shares to the Company due to a forfeiture of such Restricted Shares pursuant to this Agreement, and fails to deliver the certificates representing such Restricted Shares in accordance with the terms of this Agreement, the Company may, at its option, in addition to all other remedies it may have, send to the Award Recipient, to the address listed on the books of the Company, written notice and thereupon shall cancel on its books the certificates representing the Restricted Shares to be returned to the Company. Thereupon, all of the Award Recipient’s rights in and to said Restricted Shares shall terminate. The Company shall not be obligated to give notice to any holder of Restricted Shares and/or Restricted Share Units if such holder does not appear on the stock transfer ledger of the Company as the registered holder of such Restricted Shares and/or Restricted Share Units. </w:t>
      </w:r>
    </w:p>
    <w:p>
      <w:pPr>
        <w:pStyle w:val="TextBody"/>
        <w:bidi w:val="0"/>
        <w:spacing w:lineRule="auto" w:line="288" w:before="120" w:after="180"/>
        <w:jc w:val="both"/>
        <w:rPr/>
      </w:pPr>
      <w:r>
        <w:rPr>
          <w:rFonts w:ascii="Times New Roman;sans-serif" w:hAnsi="Times New Roman;sans-serif"/>
          <w:b/>
          <w:color w:val="000000"/>
          <w:sz w:val="20"/>
        </w:rPr>
        <w:t>17.</w:t>
      </w:r>
      <w:r>
        <w:rPr>
          <w:rFonts w:ascii="Times New Roman;sans-serif" w:hAnsi="Times New Roman;sans-serif"/>
          <w:b/>
          <w:color w:val="000000"/>
          <w:sz w:val="20"/>
          <w:u w:val="single"/>
        </w:rPr>
        <w:t>CLAWBACK POLICY</w:t>
      </w:r>
      <w:r>
        <w:rPr>
          <w:rFonts w:ascii="Times New Roman;sans-serif" w:hAnsi="Times New Roman;sans-serif"/>
          <w:b w:val="false"/>
          <w:color w:val="000000"/>
          <w:sz w:val="20"/>
        </w:rPr>
        <w:t>. The Restricted Shares and Restricted Share Units subject to this Agreement are subject to the terms of the Company’s recoupment, clawback or similar policy as it may be in effect from time to time, as well as any similar provisions of applicable law, any of which could in certain circumstances require repayment or forfeiture of the Restricted Shares and/or Restricted Share Units or any Shares other cash or property received with respect to the Restricted Share Units (including any value received from a disposition of the Shares acquired upon payment of the Restricted Share Units).</w:t>
      </w:r>
    </w:p>
    <w:p>
      <w:pPr>
        <w:pStyle w:val="TextBody"/>
        <w:bidi w:val="0"/>
        <w:ind w:left="0" w:right="0" w:firstLine="3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EXHIBIT B</w:t>
      </w:r>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THE PLAN (INCLUDING AMENDMENTS)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20" w:after="18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B. Wood,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Telos Corporation;</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00" w:after="283"/>
        <w:jc w:val="left"/>
        <w:rPr/>
      </w:pPr>
      <w:r>
        <w:rPr/>
      </w:r>
    </w:p>
    <w:p>
      <w:pPr>
        <w:pStyle w:val="TextBody"/>
        <w:bidi w:val="0"/>
        <w:spacing w:before="200" w:after="283"/>
        <w:jc w:val="left"/>
        <w:rPr/>
      </w:pPr>
      <w:r>
        <w:rPr/>
      </w:r>
    </w:p>
    <w:tbl>
      <w:tblPr>
        <w:tblW w:w="4781" w:type="dxa"/>
        <w:jc w:val="left"/>
        <w:tblInd w:w="0" w:type="dxa"/>
        <w:tblLayout w:type="fixed"/>
        <w:tblCellMar>
          <w:top w:w="28" w:type="dxa"/>
          <w:left w:w="28" w:type="dxa"/>
          <w:bottom w:w="28" w:type="dxa"/>
          <w:right w:w="28" w:type="dxa"/>
        </w:tblCellMar>
      </w:tblPr>
      <w:tblGrid>
        <w:gridCol w:w="124"/>
        <w:gridCol w:w="109"/>
        <w:gridCol w:w="109"/>
        <w:gridCol w:w="1295"/>
        <w:gridCol w:w="1295"/>
        <w:gridCol w:w="18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Mark Bendza,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Telos Corporation;</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to the audit committee of registrant's board of directors (or persons performing the equivalent functions):</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00" w:after="283"/>
        <w:jc w:val="left"/>
        <w:rPr/>
      </w:pPr>
      <w:r>
        <w:rPr/>
      </w:r>
    </w:p>
    <w:tbl>
      <w:tblPr>
        <w:tblW w:w="4661" w:type="dxa"/>
        <w:jc w:val="left"/>
        <w:tblInd w:w="0" w:type="dxa"/>
        <w:tblLayout w:type="fixed"/>
        <w:tblCellMar>
          <w:top w:w="28" w:type="dxa"/>
          <w:left w:w="28" w:type="dxa"/>
          <w:bottom w:w="28" w:type="dxa"/>
          <w:right w:w="28" w:type="dxa"/>
        </w:tblCellMar>
      </w:tblPr>
      <w:tblGrid>
        <w:gridCol w:w="124"/>
        <w:gridCol w:w="109"/>
        <w:gridCol w:w="109"/>
        <w:gridCol w:w="1260"/>
        <w:gridCol w:w="1260"/>
        <w:gridCol w:w="17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8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w:t>
      </w:r>
    </w:p>
    <w:p>
      <w:pPr>
        <w:pStyle w:val="TextBody"/>
        <w:bidi w:val="0"/>
        <w:spacing w:lineRule="auto" w:line="288" w:before="120" w:after="18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CERTIFICATION PURSUANT TO </w:t>
        <w:br/>
        <w:t xml:space="preserve">18 U.S.C. SECTION 1350, </w:t>
        <w:br/>
        <w:t xml:space="preserve">AS ADOPTED PURSUANT TO </w:t>
        <w:br/>
        <w:t>SECTION 906 OF THE SARBANES-OXLEY ACT OF 2002</w:t>
      </w:r>
    </w:p>
    <w:p>
      <w:pPr>
        <w:pStyle w:val="TextBody"/>
        <w:bidi w:val="0"/>
        <w:spacing w:lineRule="auto" w:line="288" w:before="12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Quarterly Report of Telos Corporation (the "Company") on Form 10-Q for the period ended June 30, 2023, as filed with the Securities and Exchange Commission on the date hereof (the "Report"), we, John B. Wood and Mark Bendza, certify, pursuant to 18 U.S.C. § 1350, as adopted pursuant to § 906 of the Sarbanes-Oxley Act of 2002, that to our knowledge:</w:t>
      </w:r>
    </w:p>
    <w:p>
      <w:pPr>
        <w:pStyle w:val="TextBody"/>
        <w:bidi w:val="0"/>
        <w:spacing w:lineRule="auto" w:line="288" w:before="120" w:after="18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(1)The Report fully complies with the requirements of section 13(a) or 15(d) of the Securities Exchange Act of 1934, as amended; and</w:t>
      </w:r>
    </w:p>
    <w:p>
      <w:pPr>
        <w:pStyle w:val="TextBody"/>
        <w:bidi w:val="0"/>
        <w:spacing w:lineRule="auto" w:line="288" w:before="120" w:after="180"/>
        <w:jc w:val="left"/>
        <w:rPr/>
      </w:pPr>
      <w:r>
        <w:rPr>
          <w:rFonts w:ascii="Times New Roman;sans-serif" w:hAnsi="Times New Roman;sans-serif"/>
          <w:b w:val="false"/>
          <w:color w:val="000000"/>
          <w:sz w:val="20"/>
          <w:shd w:fill="FFFFFF" w:val="clear"/>
        </w:rPr>
        <w:t xml:space="preserve">(2)The information </w:t>
      </w:r>
      <w:r>
        <w:rPr>
          <w:rFonts w:ascii="Times New Roman;sans-serif" w:hAnsi="Times New Roman;sans-serif"/>
          <w:b w:val="false"/>
          <w:color w:val="000000"/>
          <w:sz w:val="20"/>
        </w:rPr>
        <w:t>contained</w:t>
      </w:r>
      <w:r>
        <w:rPr>
          <w:color w:val="000000"/>
          <w:shd w:fill="FFFFFF" w:val="clear"/>
        </w:rPr>
        <w:t xml:space="preserve"> </w:t>
      </w:r>
      <w:r>
        <w:rPr>
          <w:rFonts w:ascii="Times New Roman;sans-serif" w:hAnsi="Times New Roman;sans-serif"/>
          <w:b w:val="false"/>
          <w:color w:val="000000"/>
          <w:sz w:val="20"/>
          <w:shd w:fill="FFFFFF" w:val="clear"/>
        </w:rPr>
        <w:t>in the Report fairly presents, in all material respects, the financial condition and results of operations of the Company.</w:t>
      </w:r>
    </w:p>
    <w:tbl>
      <w:tblPr>
        <w:tblW w:w="4781" w:type="dxa"/>
        <w:jc w:val="right"/>
        <w:tblInd w:w="0" w:type="dxa"/>
        <w:tblLayout w:type="fixed"/>
        <w:tblCellMar>
          <w:top w:w="28" w:type="dxa"/>
          <w:left w:w="28" w:type="dxa"/>
          <w:bottom w:w="28" w:type="dxa"/>
          <w:right w:w="28" w:type="dxa"/>
        </w:tblCellMar>
      </w:tblPr>
      <w:tblGrid>
        <w:gridCol w:w="124"/>
        <w:gridCol w:w="109"/>
        <w:gridCol w:w="109"/>
        <w:gridCol w:w="1295"/>
        <w:gridCol w:w="1295"/>
        <w:gridCol w:w="18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B. Wood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9, 2023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Bendza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22407</Words>
  <Characters>121572</Characters>
  <CharactersWithSpaces>142777</CharactersWithSpaces>
  <Paragraphs>2531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