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309880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7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001-08443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105410</wp:posOffset>
            </wp:positionV>
            <wp:extent cx="280289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289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TELOS CORPORATION</w:t>
      </w:r>
    </w:p>
    <w:p>
      <w:pPr>
        <w:spacing w:after="0" w:line="1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1" w:lineRule="exact"/>
        <w:rPr>
          <w:sz w:val="24"/>
          <w:szCs w:val="24"/>
          <w:color w:val="auto"/>
        </w:rPr>
      </w:pPr>
    </w:p>
    <w:tbl>
      <w:tblPr>
        <w:tblLayout w:type="fixed"/>
        <w:tblInd w:w="480" w:type="dxa"/>
        <w:tblCellMar>
          <w:top w:w="0" w:type="dxa"/>
          <w:left w:w="0" w:type="dxa"/>
          <w:bottom w:w="0" w:type="dxa"/>
          <w:right w:w="0" w:type="dxa"/>
        </w:tblCellMar>
      </w:tblPr>
      <w:tr>
        <w:trPr>
          <w:trHeight w:val="233"/>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52-0880974</w:t>
            </w:r>
          </w:p>
        </w:tc>
      </w:tr>
      <w:tr>
        <w:trPr>
          <w:trHeight w:val="234"/>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19886 Ashburn Road, Ashburn, Virginia</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20147-2358</w:t>
            </w:r>
          </w:p>
        </w:tc>
      </w:tr>
      <w:tr>
        <w:trPr>
          <w:trHeight w:val="234"/>
        </w:trPr>
        <w:tc>
          <w:tcPr>
            <w:tcW w:w="56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(703) 724-3800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227" w:right="419" w:bottom="1440" w:gutter="0" w:footer="0" w:header="0"/>
        </w:sectPr>
      </w:pPr>
    </w:p>
    <w:p>
      <w:pPr>
        <w:spacing w:after="0" w:line="50"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080" w:space="720"/>
            <w:col w:w="1920" w:space="720"/>
            <w:col w:w="3720"/>
          </w:cols>
          <w:pgMar w:left="320" w:top="227" w:right="41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480" w:space="720"/>
            <w:col w:w="1900" w:space="720"/>
            <w:col w:w="3340"/>
          </w:cols>
          <w:pgMar w:left="320" w:top="227" w:right="419" w:bottom="1440" w:gutter="0" w:footer="0" w:header="0"/>
          <w:type w:val="continuous"/>
        </w:sectPr>
      </w:pPr>
    </w:p>
    <w:p>
      <w:pPr>
        <w:spacing w:after="0" w:line="32"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11"/>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700" w:type="dxa"/>
            <w:vAlign w:val="bottom"/>
          </w:tcPr>
          <w:p>
            <w:pPr>
              <w:ind w:left="4500"/>
              <w:spacing w:after="0" w:line="198" w:lineRule="exact"/>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234"/>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0" w:type="dxa"/>
            <w:vAlign w:val="bottom"/>
          </w:tcPr>
          <w:p>
            <w:pPr>
              <w:spacing w:after="0"/>
              <w:rPr>
                <w:sz w:val="1"/>
                <w:szCs w:val="1"/>
                <w:color w:val="auto"/>
              </w:rPr>
            </w:pPr>
          </w:p>
        </w:tc>
      </w:tr>
      <w:tr>
        <w:trPr>
          <w:trHeight w:val="211"/>
        </w:trPr>
        <w:tc>
          <w:tcPr>
            <w:tcW w:w="202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4700" w:type="dxa"/>
            <w:vAlign w:val="bottom"/>
          </w:tcPr>
          <w:p>
            <w:pPr>
              <w:ind w:left="4500"/>
              <w:spacing w:after="0" w:line="198" w:lineRule="exact"/>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700" w:type="dxa"/>
            <w:vAlign w:val="bottom"/>
          </w:tcPr>
          <w:p>
            <w:pPr>
              <w:ind w:left="2060"/>
              <w:spacing w:after="0" w:line="181" w:lineRule="exact"/>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00" w:type="dxa"/>
            <w:vAlign w:val="bottom"/>
          </w:tcPr>
          <w:p>
            <w:pPr>
              <w:ind w:left="450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70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August 2, 2024, the registrant had outstanding 72,256,759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7"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 to Second Quarter 2024 Form 10-Q</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
        </w:trPr>
        <w:tc>
          <w:tcPr>
            <w:tcW w:w="10240" w:type="dxa"/>
            <w:vAlign w:val="bottom"/>
            <w:gridSpan w:val="49"/>
          </w:tcPr>
          <w:p>
            <w:pPr>
              <w:spacing w:after="0" w:line="20" w:lineRule="exact"/>
              <w:rPr>
                <w:sz w:val="1"/>
                <w:szCs w:val="1"/>
                <w:color w:val="auto"/>
              </w:rPr>
            </w:pPr>
          </w:p>
        </w:tc>
        <w:tc>
          <w:tcPr>
            <w:tcW w:w="340" w:type="dxa"/>
            <w:vAlign w:val="bottom"/>
            <w:tcBorders>
              <w:top w:val="single" w:sz="8" w:color="auto"/>
            </w:tcBorders>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220" w:type="dxa"/>
            <w:vAlign w:val="bottom"/>
            <w:gridSpan w:val="48"/>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 - FINANCIAL INFORMATION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0000FF"/>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2000" w:type="dxa"/>
            <w:vAlign w:val="bottom"/>
            <w:tcBorders>
              <w:top w:val="single" w:sz="8" w:color="0000FF"/>
            </w:tcBorders>
            <w:gridSpan w:val="22"/>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400" w:type="dxa"/>
            <w:vAlign w:val="bottom"/>
            <w:tcBorders>
              <w:top w:val="single" w:sz="8" w:color="CCEEFF"/>
            </w:tcBorders>
            <w:gridSpan w:val="23"/>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tcBorders>
              <w:top w:val="single" w:sz="8" w:color="0000FF"/>
            </w:tcBorders>
            <w:gridSpan w:val="10"/>
          </w:tcPr>
          <w:p>
            <w:pPr>
              <w:spacing w:after="0" w:line="20" w:lineRule="exact"/>
              <w:rPr>
                <w:sz w:val="1"/>
                <w:szCs w:val="1"/>
                <w:color w:val="auto"/>
              </w:rPr>
            </w:pPr>
          </w:p>
        </w:tc>
        <w:tc>
          <w:tcPr>
            <w:tcW w:w="8160" w:type="dxa"/>
            <w:vAlign w:val="bottom"/>
            <w:gridSpan w:val="38"/>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4"/>
            <w:shd w:val="clear" w:color="auto" w:fill="CCEEFF"/>
          </w:tcPr>
          <w:p>
            <w:pPr>
              <w:spacing w:after="0" w:line="20" w:lineRule="exact"/>
              <w:rPr>
                <w:sz w:val="1"/>
                <w:szCs w:val="1"/>
                <w:color w:val="auto"/>
              </w:rPr>
            </w:pPr>
          </w:p>
        </w:tc>
        <w:tc>
          <w:tcPr>
            <w:tcW w:w="2540" w:type="dxa"/>
            <w:vAlign w:val="bottom"/>
            <w:tcBorders>
              <w:top w:val="single" w:sz="8" w:color="0000FF"/>
            </w:tcBorders>
            <w:gridSpan w:val="31"/>
            <w:shd w:val="clear" w:color="auto" w:fill="CCEEFF"/>
          </w:tcPr>
          <w:p>
            <w:pPr>
              <w:spacing w:after="0" w:line="20" w:lineRule="exact"/>
              <w:rPr>
                <w:sz w:val="1"/>
                <w:szCs w:val="1"/>
                <w:color w:val="auto"/>
              </w:rPr>
            </w:pPr>
          </w:p>
        </w:tc>
        <w:tc>
          <w:tcPr>
            <w:tcW w:w="6980" w:type="dxa"/>
            <w:vAlign w:val="bottom"/>
            <w:tcBorders>
              <w:top w:val="single" w:sz="8" w:color="CCEEFF"/>
            </w:tcBorders>
            <w:gridSpan w:val="17"/>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220" w:type="dxa"/>
            <w:vAlign w:val="bottom"/>
            <w:gridSpan w:val="4"/>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840" w:type="dxa"/>
            <w:vAlign w:val="bottom"/>
            <w:gridSpan w:val="4"/>
          </w:tcPr>
          <w:p>
            <w:pPr>
              <w:spacing w:after="0" w:line="20" w:lineRule="exact"/>
              <w:rPr>
                <w:sz w:val="1"/>
                <w:szCs w:val="1"/>
                <w:color w:val="auto"/>
              </w:rPr>
            </w:pPr>
          </w:p>
        </w:tc>
        <w:tc>
          <w:tcPr>
            <w:tcW w:w="3200" w:type="dxa"/>
            <w:vAlign w:val="bottom"/>
            <w:tcBorders>
              <w:top w:val="single" w:sz="8" w:color="0000FF"/>
            </w:tcBorders>
            <w:gridSpan w:val="39"/>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4"/>
            <w:shd w:val="clear" w:color="auto" w:fill="CCEEFF"/>
          </w:tcPr>
          <w:p>
            <w:pPr>
              <w:spacing w:after="0" w:line="20" w:lineRule="exact"/>
              <w:rPr>
                <w:sz w:val="1"/>
                <w:szCs w:val="1"/>
                <w:color w:val="auto"/>
              </w:rPr>
            </w:pPr>
          </w:p>
        </w:tc>
        <w:tc>
          <w:tcPr>
            <w:tcW w:w="1880" w:type="dxa"/>
            <w:vAlign w:val="bottom"/>
            <w:tcBorders>
              <w:top w:val="single" w:sz="8" w:color="0000FF"/>
            </w:tcBorders>
            <w:gridSpan w:val="17"/>
            <w:shd w:val="clear" w:color="auto" w:fill="CCEEFF"/>
          </w:tcPr>
          <w:p>
            <w:pPr>
              <w:spacing w:after="0" w:line="20" w:lineRule="exact"/>
              <w:rPr>
                <w:sz w:val="1"/>
                <w:szCs w:val="1"/>
                <w:color w:val="auto"/>
              </w:rPr>
            </w:pPr>
          </w:p>
        </w:tc>
        <w:tc>
          <w:tcPr>
            <w:tcW w:w="7640" w:type="dxa"/>
            <w:vAlign w:val="bottom"/>
            <w:tcBorders>
              <w:top w:val="single" w:sz="8" w:color="CCEEFF"/>
            </w:tcBorders>
            <w:gridSpan w:val="31"/>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220" w:type="dxa"/>
            <w:vAlign w:val="bottom"/>
            <w:gridSpan w:val="4"/>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840" w:type="dxa"/>
            <w:vAlign w:val="bottom"/>
            <w:gridSpan w:val="4"/>
          </w:tcPr>
          <w:p>
            <w:pPr>
              <w:spacing w:after="0" w:line="20" w:lineRule="exact"/>
              <w:rPr>
                <w:sz w:val="1"/>
                <w:szCs w:val="1"/>
                <w:color w:val="auto"/>
              </w:rPr>
            </w:pPr>
          </w:p>
        </w:tc>
        <w:tc>
          <w:tcPr>
            <w:tcW w:w="2600" w:type="dxa"/>
            <w:vAlign w:val="bottom"/>
            <w:tcBorders>
              <w:top w:val="single" w:sz="8" w:color="0000FF"/>
            </w:tcBorders>
            <w:gridSpan w:val="33"/>
          </w:tcPr>
          <w:p>
            <w:pPr>
              <w:spacing w:after="0" w:line="20" w:lineRule="exact"/>
              <w:rPr>
                <w:sz w:val="1"/>
                <w:szCs w:val="1"/>
                <w:color w:val="auto"/>
              </w:rPr>
            </w:pPr>
          </w:p>
        </w:tc>
        <w:tc>
          <w:tcPr>
            <w:tcW w:w="6920" w:type="dxa"/>
            <w:vAlign w:val="bottom"/>
            <w:gridSpan w:val="15"/>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Consolidated Statements of Changes in Stockholders’ Equity</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960" w:type="dxa"/>
            <w:vAlign w:val="bottom"/>
            <w:tcBorders>
              <w:top w:val="single" w:sz="8" w:color="0000FF"/>
            </w:tcBorders>
            <w:gridSpan w:val="43"/>
          </w:tcPr>
          <w:p>
            <w:pPr>
              <w:spacing w:after="0" w:line="175"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544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
        </w:trPr>
        <w:tc>
          <w:tcPr>
            <w:tcW w:w="840" w:type="dxa"/>
            <w:vAlign w:val="bottom"/>
            <w:gridSpan w:val="4"/>
          </w:tcPr>
          <w:p>
            <w:pPr>
              <w:spacing w:after="0" w:line="20" w:lineRule="exact"/>
              <w:rPr>
                <w:sz w:val="1"/>
                <w:szCs w:val="1"/>
                <w:color w:val="auto"/>
              </w:rPr>
            </w:pPr>
          </w:p>
        </w:tc>
        <w:tc>
          <w:tcPr>
            <w:tcW w:w="2840" w:type="dxa"/>
            <w:vAlign w:val="bottom"/>
            <w:tcBorders>
              <w:top w:val="single" w:sz="8" w:color="0000FF"/>
            </w:tcBorders>
            <w:gridSpan w:val="37"/>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 Organization</w:t>
            </w:r>
          </w:p>
        </w:tc>
        <w:tc>
          <w:tcPr>
            <w:tcW w:w="220" w:type="dxa"/>
            <w:vAlign w:val="bottom"/>
            <w:gridSpan w:val="4"/>
            <w:shd w:val="clear" w:color="auto" w:fill="CCEEFF"/>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1000" w:type="dxa"/>
            <w:vAlign w:val="bottom"/>
            <w:tcBorders>
              <w:top w:val="single" w:sz="8" w:color="0000FF"/>
            </w:tcBorders>
            <w:gridSpan w:val="8"/>
            <w:shd w:val="clear" w:color="auto" w:fill="CCEEFF"/>
          </w:tcPr>
          <w:p>
            <w:pPr>
              <w:spacing w:after="0" w:line="20" w:lineRule="exact"/>
              <w:rPr>
                <w:sz w:val="1"/>
                <w:szCs w:val="1"/>
                <w:color w:val="auto"/>
              </w:rPr>
            </w:pPr>
          </w:p>
        </w:tc>
        <w:tc>
          <w:tcPr>
            <w:tcW w:w="8180" w:type="dxa"/>
            <w:vAlign w:val="bottom"/>
            <w:tcBorders>
              <w:top w:val="single" w:sz="8" w:color="CCEEFF"/>
            </w:tcBorders>
            <w:gridSpan w:val="39"/>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gridSpan w:val="4"/>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2. Significant Accounting Policies</w:t>
            </w:r>
          </w:p>
        </w:tc>
        <w:tc>
          <w:tcPr>
            <w:tcW w:w="220" w:type="dxa"/>
            <w:vAlign w:val="bottom"/>
            <w:gridSpan w:val="4"/>
          </w:tcPr>
          <w:p>
            <w:pPr>
              <w:jc w:val="center"/>
              <w:ind w:left="39"/>
              <w:spacing w:after="0" w:line="175" w:lineRule="exact"/>
              <w:rPr>
                <w:sz w:val="20"/>
                <w:szCs w:val="20"/>
                <w:color w:val="auto"/>
              </w:rPr>
            </w:pPr>
            <w:r>
              <w:rPr>
                <w:rFonts w:ascii="Times New Roman" w:cs="Times New Roman" w:eastAsia="Times New Roman" w:hAnsi="Times New Roman"/>
                <w:sz w:val="16"/>
                <w:szCs w:val="16"/>
                <w:color w:val="0000FF"/>
              </w:rPr>
              <w:t>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1180" w:type="dxa"/>
            <w:vAlign w:val="bottom"/>
            <w:gridSpan w:val="5"/>
          </w:tcPr>
          <w:p>
            <w:pPr>
              <w:spacing w:after="0" w:line="20" w:lineRule="exact"/>
              <w:rPr>
                <w:sz w:val="1"/>
                <w:szCs w:val="1"/>
                <w:color w:val="auto"/>
              </w:rPr>
            </w:pPr>
          </w:p>
        </w:tc>
        <w:tc>
          <w:tcPr>
            <w:tcW w:w="2220" w:type="dxa"/>
            <w:vAlign w:val="bottom"/>
            <w:tcBorders>
              <w:top w:val="single" w:sz="8" w:color="0000FF"/>
            </w:tcBorders>
            <w:gridSpan w:val="31"/>
          </w:tcPr>
          <w:p>
            <w:pPr>
              <w:spacing w:after="0" w:line="20" w:lineRule="exact"/>
              <w:rPr>
                <w:sz w:val="1"/>
                <w:szCs w:val="1"/>
                <w:color w:val="auto"/>
              </w:rPr>
            </w:pPr>
          </w:p>
        </w:tc>
        <w:tc>
          <w:tcPr>
            <w:tcW w:w="6960" w:type="dxa"/>
            <w:vAlign w:val="bottom"/>
            <w:gridSpan w:val="16"/>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3. Revenue Recognition</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10</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1560" w:type="dxa"/>
            <w:vAlign w:val="bottom"/>
            <w:tcBorders>
              <w:top w:val="single" w:sz="8" w:color="0000FF"/>
            </w:tcBorders>
            <w:gridSpan w:val="17"/>
            <w:shd w:val="clear" w:color="auto" w:fill="CCEEFF"/>
          </w:tcPr>
          <w:p>
            <w:pPr>
              <w:spacing w:after="0" w:line="20" w:lineRule="exact"/>
              <w:rPr>
                <w:sz w:val="1"/>
                <w:szCs w:val="1"/>
                <w:color w:val="auto"/>
              </w:rPr>
            </w:pPr>
          </w:p>
        </w:tc>
        <w:tc>
          <w:tcPr>
            <w:tcW w:w="7580" w:type="dxa"/>
            <w:vAlign w:val="bottom"/>
            <w:tcBorders>
              <w:top w:val="single" w:sz="8" w:color="CCEEFF"/>
            </w:tcBorders>
            <w:gridSpan w:val="28"/>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4. Accounts Receivable, Net</w:t>
            </w:r>
          </w:p>
        </w:tc>
        <w:tc>
          <w:tcPr>
            <w:tcW w:w="260" w:type="dxa"/>
            <w:vAlign w:val="bottom"/>
            <w:gridSpan w:val="6"/>
          </w:tcPr>
          <w:p>
            <w:pPr>
              <w:jc w:val="center"/>
              <w:spacing w:after="0" w:line="175" w:lineRule="exact"/>
              <w:rPr>
                <w:sz w:val="20"/>
                <w:szCs w:val="20"/>
                <w:color w:val="auto"/>
              </w:rPr>
            </w:pPr>
            <w:r>
              <w:rPr>
                <w:rFonts w:ascii="Times New Roman" w:cs="Times New Roman" w:eastAsia="Times New Roman" w:hAnsi="Times New Roman"/>
                <w:sz w:val="16"/>
                <w:szCs w:val="16"/>
                <w:color w:val="0000FF"/>
                <w:w w:val="87"/>
              </w:rPr>
              <w:t>11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
        </w:trPr>
        <w:tc>
          <w:tcPr>
            <w:tcW w:w="1180" w:type="dxa"/>
            <w:vAlign w:val="bottom"/>
            <w:gridSpan w:val="5"/>
          </w:tcPr>
          <w:p>
            <w:pPr>
              <w:spacing w:after="0" w:line="20" w:lineRule="exact"/>
              <w:rPr>
                <w:sz w:val="1"/>
                <w:szCs w:val="1"/>
                <w:color w:val="auto"/>
              </w:rPr>
            </w:pPr>
          </w:p>
        </w:tc>
        <w:tc>
          <w:tcPr>
            <w:tcW w:w="1840" w:type="dxa"/>
            <w:vAlign w:val="bottom"/>
            <w:tcBorders>
              <w:top w:val="single" w:sz="8" w:color="0000FF"/>
            </w:tcBorders>
            <w:gridSpan w:val="25"/>
          </w:tcPr>
          <w:p>
            <w:pPr>
              <w:spacing w:after="0" w:line="20" w:lineRule="exact"/>
              <w:rPr>
                <w:sz w:val="1"/>
                <w:szCs w:val="1"/>
                <w:color w:val="auto"/>
              </w:rPr>
            </w:pPr>
          </w:p>
        </w:tc>
        <w:tc>
          <w:tcPr>
            <w:tcW w:w="7320" w:type="dxa"/>
            <w:vAlign w:val="bottom"/>
            <w:gridSpan w:val="21"/>
          </w:tcPr>
          <w:p>
            <w:pPr>
              <w:spacing w:after="0" w:line="20" w:lineRule="exact"/>
              <w:rPr>
                <w:sz w:val="1"/>
                <w:szCs w:val="1"/>
                <w:color w:val="auto"/>
              </w:rPr>
            </w:pPr>
          </w:p>
        </w:tc>
        <w:tc>
          <w:tcPr>
            <w:tcW w:w="140" w:type="dxa"/>
            <w:vAlign w:val="bottom"/>
            <w:tcBorders>
              <w:top w:val="single" w:sz="8" w:color="0000FF"/>
            </w:tcBorders>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5. Inventories, Net</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1200" w:type="dxa"/>
            <w:vAlign w:val="bottom"/>
            <w:tcBorders>
              <w:top w:val="single" w:sz="8" w:color="0000FF"/>
            </w:tcBorders>
            <w:gridSpan w:val="12"/>
            <w:shd w:val="clear" w:color="auto" w:fill="CCEEFF"/>
          </w:tcPr>
          <w:p>
            <w:pPr>
              <w:spacing w:after="0" w:line="20" w:lineRule="exact"/>
              <w:rPr>
                <w:sz w:val="1"/>
                <w:szCs w:val="1"/>
                <w:color w:val="auto"/>
              </w:rPr>
            </w:pPr>
          </w:p>
        </w:tc>
        <w:tc>
          <w:tcPr>
            <w:tcW w:w="7940" w:type="dxa"/>
            <w:vAlign w:val="bottom"/>
            <w:tcBorders>
              <w:top w:val="single" w:sz="8" w:color="CCEEFF"/>
            </w:tcBorders>
            <w:gridSpan w:val="33"/>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6. Property and Equipment, Net</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tcPr>
          <w:p>
            <w:pPr>
              <w:spacing w:after="0"/>
              <w:rPr>
                <w:sz w:val="15"/>
                <w:szCs w:val="15"/>
                <w:color w:val="auto"/>
              </w:rPr>
            </w:pPr>
          </w:p>
        </w:tc>
      </w:tr>
      <w:tr>
        <w:trPr>
          <w:trHeight w:val="20"/>
        </w:trPr>
        <w:tc>
          <w:tcPr>
            <w:tcW w:w="1180" w:type="dxa"/>
            <w:vAlign w:val="bottom"/>
            <w:gridSpan w:val="5"/>
          </w:tcPr>
          <w:p>
            <w:pPr>
              <w:spacing w:after="0" w:line="20" w:lineRule="exact"/>
              <w:rPr>
                <w:sz w:val="1"/>
                <w:szCs w:val="1"/>
                <w:color w:val="auto"/>
              </w:rPr>
            </w:pPr>
          </w:p>
        </w:tc>
        <w:tc>
          <w:tcPr>
            <w:tcW w:w="2060" w:type="dxa"/>
            <w:vAlign w:val="bottom"/>
            <w:tcBorders>
              <w:top w:val="single" w:sz="8" w:color="0000FF"/>
            </w:tcBorders>
            <w:gridSpan w:val="29"/>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7. Goodwill</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760" w:type="dxa"/>
            <w:vAlign w:val="bottom"/>
            <w:tcBorders>
              <w:top w:val="single" w:sz="8" w:color="0000FF"/>
            </w:tcBorders>
            <w:gridSpan w:val="4"/>
            <w:shd w:val="clear" w:color="auto" w:fill="CCEEFF"/>
          </w:tcPr>
          <w:p>
            <w:pPr>
              <w:spacing w:after="0" w:line="20" w:lineRule="exact"/>
              <w:rPr>
                <w:sz w:val="1"/>
                <w:szCs w:val="1"/>
                <w:color w:val="auto"/>
              </w:rPr>
            </w:pPr>
          </w:p>
        </w:tc>
        <w:tc>
          <w:tcPr>
            <w:tcW w:w="8380" w:type="dxa"/>
            <w:vAlign w:val="bottom"/>
            <w:tcBorders>
              <w:top w:val="single" w:sz="8" w:color="CCEEFF"/>
            </w:tcBorders>
            <w:gridSpan w:val="41"/>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8. Intangible Assets, Net</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12</w:t>
            </w:r>
          </w:p>
        </w:tc>
        <w:tc>
          <w:tcPr>
            <w:tcW w:w="660" w:type="dxa"/>
            <w:vAlign w:val="bottom"/>
          </w:tcPr>
          <w:p>
            <w:pPr>
              <w:spacing w:after="0"/>
              <w:rPr>
                <w:sz w:val="15"/>
                <w:szCs w:val="15"/>
                <w:color w:val="auto"/>
              </w:rPr>
            </w:pPr>
          </w:p>
        </w:tc>
      </w:tr>
      <w:tr>
        <w:trPr>
          <w:trHeight w:val="21"/>
        </w:trPr>
        <w:tc>
          <w:tcPr>
            <w:tcW w:w="1180" w:type="dxa"/>
            <w:vAlign w:val="bottom"/>
            <w:gridSpan w:val="5"/>
          </w:tcPr>
          <w:p>
            <w:pPr>
              <w:spacing w:after="0" w:line="20" w:lineRule="exact"/>
              <w:rPr>
                <w:sz w:val="1"/>
                <w:szCs w:val="1"/>
                <w:color w:val="auto"/>
              </w:rPr>
            </w:pPr>
          </w:p>
        </w:tc>
        <w:tc>
          <w:tcPr>
            <w:tcW w:w="1600" w:type="dxa"/>
            <w:vAlign w:val="bottom"/>
            <w:tcBorders>
              <w:top w:val="single" w:sz="8" w:color="0000FF"/>
            </w:tcBorders>
            <w:gridSpan w:val="19"/>
          </w:tcPr>
          <w:p>
            <w:pPr>
              <w:spacing w:after="0" w:line="20" w:lineRule="exact"/>
              <w:rPr>
                <w:sz w:val="1"/>
                <w:szCs w:val="1"/>
                <w:color w:val="auto"/>
              </w:rPr>
            </w:pPr>
          </w:p>
        </w:tc>
        <w:tc>
          <w:tcPr>
            <w:tcW w:w="7540" w:type="dxa"/>
            <w:vAlign w:val="bottom"/>
            <w:gridSpan w:val="26"/>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9. Other Balance Sheet Components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2340" w:type="dxa"/>
            <w:vAlign w:val="bottom"/>
            <w:tcBorders>
              <w:top w:val="single" w:sz="8" w:color="0000FF"/>
            </w:tcBorders>
            <w:gridSpan w:val="33"/>
            <w:shd w:val="clear" w:color="auto" w:fill="CCEEFF"/>
          </w:tcPr>
          <w:p>
            <w:pPr>
              <w:spacing w:after="0" w:line="20" w:lineRule="exact"/>
              <w:rPr>
                <w:sz w:val="1"/>
                <w:szCs w:val="1"/>
                <w:color w:val="auto"/>
              </w:rPr>
            </w:pPr>
          </w:p>
        </w:tc>
        <w:tc>
          <w:tcPr>
            <w:tcW w:w="6800" w:type="dxa"/>
            <w:vAlign w:val="bottom"/>
            <w:tcBorders>
              <w:top w:val="single" w:sz="8" w:color="CCEEFF"/>
            </w:tcBorders>
            <w:gridSpan w:val="12"/>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10. Debt and Other Obligations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13</w:t>
            </w:r>
          </w:p>
        </w:tc>
        <w:tc>
          <w:tcPr>
            <w:tcW w:w="660" w:type="dxa"/>
            <w:vAlign w:val="bottom"/>
          </w:tcPr>
          <w:p>
            <w:pPr>
              <w:spacing w:after="0"/>
              <w:rPr>
                <w:sz w:val="15"/>
                <w:szCs w:val="15"/>
                <w:color w:val="auto"/>
              </w:rPr>
            </w:pPr>
          </w:p>
        </w:tc>
      </w:tr>
      <w:tr>
        <w:trPr>
          <w:trHeight w:val="21"/>
        </w:trPr>
        <w:tc>
          <w:tcPr>
            <w:tcW w:w="1180" w:type="dxa"/>
            <w:vAlign w:val="bottom"/>
            <w:gridSpan w:val="5"/>
          </w:tcPr>
          <w:p>
            <w:pPr>
              <w:spacing w:after="0" w:line="20" w:lineRule="exact"/>
              <w:rPr>
                <w:sz w:val="1"/>
                <w:szCs w:val="1"/>
                <w:color w:val="auto"/>
              </w:rPr>
            </w:pPr>
          </w:p>
        </w:tc>
        <w:tc>
          <w:tcPr>
            <w:tcW w:w="2040" w:type="dxa"/>
            <w:vAlign w:val="bottom"/>
            <w:tcBorders>
              <w:top w:val="single" w:sz="8" w:color="0000FF"/>
            </w:tcBorders>
            <w:gridSpan w:val="28"/>
          </w:tcPr>
          <w:p>
            <w:pPr>
              <w:spacing w:after="0" w:line="20" w:lineRule="exact"/>
              <w:rPr>
                <w:sz w:val="1"/>
                <w:szCs w:val="1"/>
                <w:color w:val="auto"/>
              </w:rPr>
            </w:pPr>
          </w:p>
        </w:tc>
        <w:tc>
          <w:tcPr>
            <w:tcW w:w="7100" w:type="dxa"/>
            <w:vAlign w:val="bottom"/>
            <w:gridSpan w:val="17"/>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11. Stock-Based Compensation</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14</w:t>
            </w:r>
          </w:p>
        </w:tc>
        <w:tc>
          <w:tcPr>
            <w:tcW w:w="6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2020" w:type="dxa"/>
            <w:vAlign w:val="bottom"/>
            <w:tcBorders>
              <w:top w:val="single" w:sz="8" w:color="0000FF"/>
            </w:tcBorders>
            <w:gridSpan w:val="27"/>
            <w:shd w:val="clear" w:color="auto" w:fill="CCEEFF"/>
          </w:tcPr>
          <w:p>
            <w:pPr>
              <w:spacing w:after="0" w:line="20" w:lineRule="exact"/>
              <w:rPr>
                <w:sz w:val="1"/>
                <w:szCs w:val="1"/>
                <w:color w:val="auto"/>
              </w:rPr>
            </w:pPr>
          </w:p>
        </w:tc>
        <w:tc>
          <w:tcPr>
            <w:tcW w:w="7120" w:type="dxa"/>
            <w:vAlign w:val="bottom"/>
            <w:tcBorders>
              <w:top w:val="single" w:sz="8" w:color="CCEEFF"/>
            </w:tcBorders>
            <w:gridSpan w:val="18"/>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12. Share Repurchases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16</w:t>
            </w:r>
          </w:p>
        </w:tc>
        <w:tc>
          <w:tcPr>
            <w:tcW w:w="660" w:type="dxa"/>
            <w:vAlign w:val="bottom"/>
          </w:tcPr>
          <w:p>
            <w:pPr>
              <w:spacing w:after="0"/>
              <w:rPr>
                <w:sz w:val="15"/>
                <w:szCs w:val="15"/>
                <w:color w:val="auto"/>
              </w:rPr>
            </w:pPr>
          </w:p>
        </w:tc>
      </w:tr>
      <w:tr>
        <w:trPr>
          <w:trHeight w:val="21"/>
        </w:trPr>
        <w:tc>
          <w:tcPr>
            <w:tcW w:w="1180" w:type="dxa"/>
            <w:vAlign w:val="bottom"/>
            <w:gridSpan w:val="5"/>
          </w:tcPr>
          <w:p>
            <w:pPr>
              <w:spacing w:after="0" w:line="20" w:lineRule="exact"/>
              <w:rPr>
                <w:sz w:val="1"/>
                <w:szCs w:val="1"/>
                <w:color w:val="auto"/>
              </w:rPr>
            </w:pPr>
          </w:p>
        </w:tc>
        <w:tc>
          <w:tcPr>
            <w:tcW w:w="1460" w:type="dxa"/>
            <w:vAlign w:val="bottom"/>
            <w:tcBorders>
              <w:top w:val="single" w:sz="8" w:color="0000FF"/>
            </w:tcBorders>
            <w:gridSpan w:val="15"/>
          </w:tcPr>
          <w:p>
            <w:pPr>
              <w:spacing w:after="0" w:line="20" w:lineRule="exact"/>
              <w:rPr>
                <w:sz w:val="1"/>
                <w:szCs w:val="1"/>
                <w:color w:val="auto"/>
              </w:rPr>
            </w:pPr>
          </w:p>
        </w:tc>
        <w:tc>
          <w:tcPr>
            <w:tcW w:w="7680" w:type="dxa"/>
            <w:vAlign w:val="bottom"/>
            <w:gridSpan w:val="30"/>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13. Accumulated Other Comprehensive Loss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16</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2920" w:type="dxa"/>
            <w:vAlign w:val="bottom"/>
            <w:tcBorders>
              <w:top w:val="single" w:sz="8" w:color="0000FF"/>
            </w:tcBorders>
            <w:gridSpan w:val="39"/>
            <w:shd w:val="clear" w:color="auto" w:fill="CCEEFF"/>
          </w:tcPr>
          <w:p>
            <w:pPr>
              <w:spacing w:after="0" w:line="20" w:lineRule="exact"/>
              <w:rPr>
                <w:sz w:val="1"/>
                <w:szCs w:val="1"/>
                <w:color w:val="auto"/>
              </w:rPr>
            </w:pPr>
          </w:p>
        </w:tc>
        <w:tc>
          <w:tcPr>
            <w:tcW w:w="6220" w:type="dxa"/>
            <w:vAlign w:val="bottom"/>
            <w:tcBorders>
              <w:top w:val="single" w:sz="8" w:color="CCEEFF"/>
            </w:tcBorders>
            <w:gridSpan w:val="6"/>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14. Loss per Share</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16</w:t>
            </w:r>
          </w:p>
        </w:tc>
        <w:tc>
          <w:tcPr>
            <w:tcW w:w="660" w:type="dxa"/>
            <w:vAlign w:val="bottom"/>
          </w:tcPr>
          <w:p>
            <w:pPr>
              <w:spacing w:after="0"/>
              <w:rPr>
                <w:sz w:val="15"/>
                <w:szCs w:val="15"/>
                <w:color w:val="auto"/>
              </w:rPr>
            </w:pPr>
          </w:p>
        </w:tc>
      </w:tr>
      <w:tr>
        <w:trPr>
          <w:trHeight w:val="21"/>
        </w:trPr>
        <w:tc>
          <w:tcPr>
            <w:tcW w:w="1180" w:type="dxa"/>
            <w:vAlign w:val="bottom"/>
            <w:gridSpan w:val="5"/>
          </w:tcPr>
          <w:p>
            <w:pPr>
              <w:spacing w:after="0" w:line="20" w:lineRule="exact"/>
              <w:rPr>
                <w:sz w:val="1"/>
                <w:szCs w:val="1"/>
                <w:color w:val="auto"/>
              </w:rPr>
            </w:pPr>
          </w:p>
        </w:tc>
        <w:tc>
          <w:tcPr>
            <w:tcW w:w="1200" w:type="dxa"/>
            <w:vAlign w:val="bottom"/>
            <w:tcBorders>
              <w:top w:val="single" w:sz="8" w:color="0000FF"/>
            </w:tcBorders>
            <w:gridSpan w:val="12"/>
          </w:tcPr>
          <w:p>
            <w:pPr>
              <w:spacing w:after="0" w:line="20" w:lineRule="exact"/>
              <w:rPr>
                <w:sz w:val="1"/>
                <w:szCs w:val="1"/>
                <w:color w:val="auto"/>
              </w:rPr>
            </w:pPr>
          </w:p>
        </w:tc>
        <w:tc>
          <w:tcPr>
            <w:tcW w:w="7940" w:type="dxa"/>
            <w:vAlign w:val="bottom"/>
            <w:gridSpan w:val="33"/>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15. Related Party Transactions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17</w:t>
            </w:r>
          </w:p>
        </w:tc>
        <w:tc>
          <w:tcPr>
            <w:tcW w:w="6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1980" w:type="dxa"/>
            <w:vAlign w:val="bottom"/>
            <w:tcBorders>
              <w:top w:val="single" w:sz="8" w:color="0000FF"/>
            </w:tcBorders>
            <w:gridSpan w:val="26"/>
            <w:shd w:val="clear" w:color="auto" w:fill="CCEEFF"/>
          </w:tcPr>
          <w:p>
            <w:pPr>
              <w:spacing w:after="0" w:line="20" w:lineRule="exact"/>
              <w:rPr>
                <w:sz w:val="1"/>
                <w:szCs w:val="1"/>
                <w:color w:val="auto"/>
              </w:rPr>
            </w:pPr>
          </w:p>
        </w:tc>
        <w:tc>
          <w:tcPr>
            <w:tcW w:w="7160" w:type="dxa"/>
            <w:vAlign w:val="bottom"/>
            <w:tcBorders>
              <w:top w:val="single" w:sz="8" w:color="CCEEFF"/>
            </w:tcBorders>
            <w:gridSpan w:val="19"/>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16. Segment Information</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17</w:t>
            </w:r>
          </w:p>
        </w:tc>
        <w:tc>
          <w:tcPr>
            <w:tcW w:w="660" w:type="dxa"/>
            <w:vAlign w:val="bottom"/>
          </w:tcPr>
          <w:p>
            <w:pPr>
              <w:spacing w:after="0"/>
              <w:rPr>
                <w:sz w:val="15"/>
                <w:szCs w:val="15"/>
                <w:color w:val="auto"/>
              </w:rPr>
            </w:pPr>
          </w:p>
        </w:tc>
      </w:tr>
      <w:tr>
        <w:trPr>
          <w:trHeight w:val="20"/>
        </w:trPr>
        <w:tc>
          <w:tcPr>
            <w:tcW w:w="1180" w:type="dxa"/>
            <w:vAlign w:val="bottom"/>
            <w:gridSpan w:val="5"/>
          </w:tcPr>
          <w:p>
            <w:pPr>
              <w:spacing w:after="0" w:line="20" w:lineRule="exact"/>
              <w:rPr>
                <w:sz w:val="1"/>
                <w:szCs w:val="1"/>
                <w:color w:val="auto"/>
              </w:rPr>
            </w:pPr>
          </w:p>
        </w:tc>
        <w:tc>
          <w:tcPr>
            <w:tcW w:w="1620" w:type="dxa"/>
            <w:vAlign w:val="bottom"/>
            <w:tcBorders>
              <w:top w:val="single" w:sz="8" w:color="0000FF"/>
            </w:tcBorders>
            <w:gridSpan w:val="20"/>
          </w:tcPr>
          <w:p>
            <w:pPr>
              <w:spacing w:after="0" w:line="20" w:lineRule="exact"/>
              <w:rPr>
                <w:sz w:val="1"/>
                <w:szCs w:val="1"/>
                <w:color w:val="auto"/>
              </w:rPr>
            </w:pPr>
          </w:p>
        </w:tc>
        <w:tc>
          <w:tcPr>
            <w:tcW w:w="7520" w:type="dxa"/>
            <w:vAlign w:val="bottom"/>
            <w:gridSpan w:val="25"/>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0000FF"/>
              </w:rPr>
              <w:t>17. Commitments and Contingencies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18</w:t>
            </w:r>
          </w:p>
        </w:tc>
        <w:tc>
          <w:tcPr>
            <w:tcW w:w="6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CCEEFF"/>
            </w:tcBorders>
            <w:gridSpan w:val="5"/>
            <w:shd w:val="clear" w:color="auto" w:fill="CCEEFF"/>
          </w:tcPr>
          <w:p>
            <w:pPr>
              <w:spacing w:after="0" w:line="20" w:lineRule="exact"/>
              <w:rPr>
                <w:sz w:val="1"/>
                <w:szCs w:val="1"/>
                <w:color w:val="auto"/>
              </w:rPr>
            </w:pPr>
          </w:p>
        </w:tc>
        <w:tc>
          <w:tcPr>
            <w:tcW w:w="2400" w:type="dxa"/>
            <w:vAlign w:val="bottom"/>
            <w:tcBorders>
              <w:top w:val="single" w:sz="8" w:color="0000FF"/>
            </w:tcBorders>
            <w:gridSpan w:val="34"/>
            <w:shd w:val="clear" w:color="auto" w:fill="CCEEFF"/>
          </w:tcPr>
          <w:p>
            <w:pPr>
              <w:spacing w:after="0" w:line="20" w:lineRule="exact"/>
              <w:rPr>
                <w:sz w:val="1"/>
                <w:szCs w:val="1"/>
                <w:color w:val="auto"/>
              </w:rPr>
            </w:pPr>
          </w:p>
        </w:tc>
        <w:tc>
          <w:tcPr>
            <w:tcW w:w="6740" w:type="dxa"/>
            <w:vAlign w:val="bottom"/>
            <w:tcBorders>
              <w:top w:val="single" w:sz="8" w:color="CCEEFF"/>
            </w:tcBorders>
            <w:gridSpan w:val="11"/>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ind w:left="340"/>
              <w:spacing w:after="0" w:line="175" w:lineRule="exact"/>
              <w:rPr>
                <w:sz w:val="20"/>
                <w:szCs w:val="20"/>
                <w:color w:val="auto"/>
              </w:rPr>
            </w:pPr>
            <w:r>
              <w:rPr>
                <w:rFonts w:ascii="Times New Roman" w:cs="Times New Roman" w:eastAsia="Times New Roman" w:hAnsi="Times New Roman"/>
                <w:sz w:val="16"/>
                <w:szCs w:val="16"/>
                <w:color w:val="0000FF"/>
              </w:rPr>
              <w:t>18. Supplemental Cash Flow Information</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18</w:t>
            </w:r>
          </w:p>
        </w:tc>
        <w:tc>
          <w:tcPr>
            <w:tcW w:w="660" w:type="dxa"/>
            <w:vAlign w:val="bottom"/>
          </w:tcPr>
          <w:p>
            <w:pPr>
              <w:spacing w:after="0"/>
              <w:rPr>
                <w:sz w:val="15"/>
                <w:szCs w:val="15"/>
                <w:color w:val="auto"/>
              </w:rPr>
            </w:pPr>
          </w:p>
        </w:tc>
      </w:tr>
      <w:tr>
        <w:trPr>
          <w:trHeight w:val="20"/>
        </w:trPr>
        <w:tc>
          <w:tcPr>
            <w:tcW w:w="1180" w:type="dxa"/>
            <w:vAlign w:val="bottom"/>
            <w:gridSpan w:val="5"/>
          </w:tcPr>
          <w:p>
            <w:pPr>
              <w:spacing w:after="0" w:line="20" w:lineRule="exact"/>
              <w:rPr>
                <w:sz w:val="1"/>
                <w:szCs w:val="1"/>
                <w:color w:val="auto"/>
              </w:rPr>
            </w:pPr>
          </w:p>
        </w:tc>
        <w:tc>
          <w:tcPr>
            <w:tcW w:w="2680" w:type="dxa"/>
            <w:vAlign w:val="bottom"/>
            <w:tcBorders>
              <w:top w:val="single" w:sz="8" w:color="0000FF"/>
            </w:tcBorders>
            <w:gridSpan w:val="37"/>
          </w:tcPr>
          <w:p>
            <w:pPr>
              <w:spacing w:after="0" w:line="20" w:lineRule="exact"/>
              <w:rPr>
                <w:sz w:val="1"/>
                <w:szCs w:val="1"/>
                <w:color w:val="auto"/>
              </w:rPr>
            </w:pPr>
          </w:p>
        </w:tc>
        <w:tc>
          <w:tcPr>
            <w:tcW w:w="6460" w:type="dxa"/>
            <w:vAlign w:val="bottom"/>
            <w:gridSpan w:val="8"/>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66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820" w:type="dxa"/>
            <w:vAlign w:val="bottom"/>
            <w:tcBorders>
              <w:top w:val="single" w:sz="8" w:color="0000FF"/>
            </w:tcBorders>
            <w:gridSpan w:val="44"/>
          </w:tcPr>
          <w:p>
            <w:pPr>
              <w:spacing w:after="0" w:line="175" w:lineRule="exact"/>
              <w:rPr>
                <w:sz w:val="20"/>
                <w:szCs w:val="20"/>
                <w:color w:val="auto"/>
              </w:rPr>
            </w:pPr>
            <w:r>
              <w:rPr>
                <w:rFonts w:ascii="Times New Roman" w:cs="Times New Roman" w:eastAsia="Times New Roman" w:hAnsi="Times New Roman"/>
                <w:sz w:val="16"/>
                <w:szCs w:val="16"/>
                <w:color w:val="0000FF"/>
              </w:rPr>
              <w:t>Forward-Looking Statements</w:t>
            </w:r>
          </w:p>
        </w:tc>
        <w:tc>
          <w:tcPr>
            <w:tcW w:w="3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r>
      <w:tr>
        <w:trPr>
          <w:trHeight w:val="20"/>
        </w:trPr>
        <w:tc>
          <w:tcPr>
            <w:tcW w:w="840" w:type="dxa"/>
            <w:vAlign w:val="bottom"/>
            <w:gridSpan w:val="4"/>
          </w:tcPr>
          <w:p>
            <w:pPr>
              <w:spacing w:after="0" w:line="20" w:lineRule="exact"/>
              <w:rPr>
                <w:sz w:val="1"/>
                <w:szCs w:val="1"/>
                <w:color w:val="auto"/>
              </w:rPr>
            </w:pPr>
          </w:p>
        </w:tc>
        <w:tc>
          <w:tcPr>
            <w:tcW w:w="1920" w:type="dxa"/>
            <w:vAlign w:val="bottom"/>
            <w:tcBorders>
              <w:top w:val="single" w:sz="8" w:color="0000FF"/>
            </w:tcBorders>
            <w:gridSpan w:val="19"/>
          </w:tcPr>
          <w:p>
            <w:pPr>
              <w:spacing w:after="0" w:line="20" w:lineRule="exact"/>
              <w:rPr>
                <w:sz w:val="1"/>
                <w:szCs w:val="1"/>
                <w:color w:val="auto"/>
              </w:rPr>
            </w:pPr>
          </w:p>
        </w:tc>
        <w:tc>
          <w:tcPr>
            <w:tcW w:w="7560" w:type="dxa"/>
            <w:vAlign w:val="bottom"/>
            <w:gridSpan w:val="27"/>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FF"/>
            </w:tcBorders>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General and Business Overview</w:t>
            </w:r>
          </w:p>
        </w:tc>
        <w:tc>
          <w:tcPr>
            <w:tcW w:w="7300" w:type="dxa"/>
            <w:vAlign w:val="bottom"/>
            <w:tcBorders>
              <w:bottom w:val="single" w:sz="8" w:color="CCEEFF"/>
            </w:tcBorders>
            <w:gridSpan w:val="20"/>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Business Environment</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19</w:t>
            </w:r>
          </w:p>
        </w:tc>
        <w:tc>
          <w:tcPr>
            <w:tcW w:w="660" w:type="dxa"/>
            <w:vAlign w:val="bottom"/>
          </w:tcPr>
          <w:p>
            <w:pPr>
              <w:spacing w:after="0"/>
              <w:rPr>
                <w:sz w:val="15"/>
                <w:szCs w:val="15"/>
                <w:color w:val="auto"/>
              </w:rPr>
            </w:pPr>
          </w:p>
        </w:tc>
      </w:tr>
      <w:tr>
        <w:trPr>
          <w:trHeight w:val="21"/>
        </w:trPr>
        <w:tc>
          <w:tcPr>
            <w:tcW w:w="840" w:type="dxa"/>
            <w:vAlign w:val="bottom"/>
            <w:gridSpan w:val="4"/>
          </w:tcPr>
          <w:p>
            <w:pPr>
              <w:spacing w:after="0" w:line="20" w:lineRule="exact"/>
              <w:rPr>
                <w:sz w:val="1"/>
                <w:szCs w:val="1"/>
                <w:color w:val="auto"/>
              </w:rPr>
            </w:pPr>
          </w:p>
        </w:tc>
        <w:tc>
          <w:tcPr>
            <w:tcW w:w="1480" w:type="dxa"/>
            <w:vAlign w:val="bottom"/>
            <w:tcBorders>
              <w:top w:val="single" w:sz="8" w:color="0000FF"/>
            </w:tcBorders>
            <w:gridSpan w:val="12"/>
          </w:tcPr>
          <w:p>
            <w:pPr>
              <w:spacing w:after="0" w:line="20" w:lineRule="exact"/>
              <w:rPr>
                <w:sz w:val="1"/>
                <w:szCs w:val="1"/>
                <w:color w:val="auto"/>
              </w:rPr>
            </w:pPr>
          </w:p>
        </w:tc>
        <w:tc>
          <w:tcPr>
            <w:tcW w:w="8000" w:type="dxa"/>
            <w:vAlign w:val="bottom"/>
            <w:gridSpan w:val="34"/>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0000FF"/>
            </w:tcBorders>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Overview</w:t>
            </w:r>
          </w:p>
        </w:tc>
        <w:tc>
          <w:tcPr>
            <w:tcW w:w="8100" w:type="dxa"/>
            <w:vAlign w:val="bottom"/>
            <w:tcBorders>
              <w:bottom w:val="single" w:sz="8" w:color="CCEEFF"/>
            </w:tcBorders>
            <w:gridSpan w:val="37"/>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20</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Results of Operations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21</w:t>
            </w:r>
          </w:p>
        </w:tc>
        <w:tc>
          <w:tcPr>
            <w:tcW w:w="660" w:type="dxa"/>
            <w:vAlign w:val="bottom"/>
          </w:tcPr>
          <w:p>
            <w:pPr>
              <w:spacing w:after="0"/>
              <w:rPr>
                <w:sz w:val="15"/>
                <w:szCs w:val="15"/>
                <w:color w:val="auto"/>
              </w:rPr>
            </w:pPr>
          </w:p>
        </w:tc>
      </w:tr>
      <w:tr>
        <w:trPr>
          <w:trHeight w:val="20"/>
        </w:trPr>
        <w:tc>
          <w:tcPr>
            <w:tcW w:w="840" w:type="dxa"/>
            <w:vAlign w:val="bottom"/>
            <w:gridSpan w:val="4"/>
          </w:tcPr>
          <w:p>
            <w:pPr>
              <w:spacing w:after="0" w:line="20" w:lineRule="exact"/>
              <w:rPr>
                <w:sz w:val="1"/>
                <w:szCs w:val="1"/>
                <w:color w:val="auto"/>
              </w:rPr>
            </w:pPr>
          </w:p>
        </w:tc>
        <w:tc>
          <w:tcPr>
            <w:tcW w:w="1420" w:type="dxa"/>
            <w:vAlign w:val="bottom"/>
            <w:tcBorders>
              <w:top w:val="single" w:sz="8" w:color="0000FF"/>
            </w:tcBorders>
            <w:gridSpan w:val="11"/>
          </w:tcPr>
          <w:p>
            <w:pPr>
              <w:spacing w:after="0" w:line="20" w:lineRule="exact"/>
              <w:rPr>
                <w:sz w:val="1"/>
                <w:szCs w:val="1"/>
                <w:color w:val="auto"/>
              </w:rPr>
            </w:pPr>
          </w:p>
        </w:tc>
        <w:tc>
          <w:tcPr>
            <w:tcW w:w="8060" w:type="dxa"/>
            <w:vAlign w:val="bottom"/>
            <w:gridSpan w:val="35"/>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Non-GAAP Financial Measures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23</w:t>
            </w: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4"/>
            <w:shd w:val="clear" w:color="auto" w:fill="CCEEFF"/>
          </w:tcPr>
          <w:p>
            <w:pPr>
              <w:spacing w:after="0" w:line="20" w:lineRule="exact"/>
              <w:rPr>
                <w:sz w:val="1"/>
                <w:szCs w:val="1"/>
                <w:color w:val="auto"/>
              </w:rPr>
            </w:pPr>
          </w:p>
        </w:tc>
        <w:tc>
          <w:tcPr>
            <w:tcW w:w="2080" w:type="dxa"/>
            <w:vAlign w:val="bottom"/>
            <w:tcBorders>
              <w:top w:val="single" w:sz="8" w:color="0000FF"/>
            </w:tcBorders>
            <w:gridSpan w:val="24"/>
            <w:shd w:val="clear" w:color="auto" w:fill="CCEEFF"/>
          </w:tcPr>
          <w:p>
            <w:pPr>
              <w:spacing w:after="0" w:line="20" w:lineRule="exact"/>
              <w:rPr>
                <w:sz w:val="1"/>
                <w:szCs w:val="1"/>
                <w:color w:val="auto"/>
              </w:rPr>
            </w:pPr>
          </w:p>
        </w:tc>
        <w:tc>
          <w:tcPr>
            <w:tcW w:w="7400" w:type="dxa"/>
            <w:vAlign w:val="bottom"/>
            <w:tcBorders>
              <w:top w:val="single" w:sz="8" w:color="CCEEFF"/>
            </w:tcBorders>
            <w:gridSpan w:val="22"/>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Liquidity and Capital Resources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26</w:t>
            </w:r>
          </w:p>
        </w:tc>
        <w:tc>
          <w:tcPr>
            <w:tcW w:w="660" w:type="dxa"/>
            <w:vAlign w:val="bottom"/>
          </w:tcPr>
          <w:p>
            <w:pPr>
              <w:spacing w:after="0"/>
              <w:rPr>
                <w:sz w:val="15"/>
                <w:szCs w:val="15"/>
                <w:color w:val="auto"/>
              </w:rPr>
            </w:pPr>
          </w:p>
        </w:tc>
      </w:tr>
      <w:tr>
        <w:trPr>
          <w:trHeight w:val="20"/>
        </w:trPr>
        <w:tc>
          <w:tcPr>
            <w:tcW w:w="840" w:type="dxa"/>
            <w:vAlign w:val="bottom"/>
            <w:gridSpan w:val="4"/>
          </w:tcPr>
          <w:p>
            <w:pPr>
              <w:spacing w:after="0" w:line="20" w:lineRule="exact"/>
              <w:rPr>
                <w:sz w:val="1"/>
                <w:szCs w:val="1"/>
                <w:color w:val="auto"/>
              </w:rPr>
            </w:pPr>
          </w:p>
        </w:tc>
        <w:tc>
          <w:tcPr>
            <w:tcW w:w="2100" w:type="dxa"/>
            <w:vAlign w:val="bottom"/>
            <w:tcBorders>
              <w:top w:val="single" w:sz="8" w:color="0000FF"/>
            </w:tcBorders>
            <w:gridSpan w:val="25"/>
          </w:tcPr>
          <w:p>
            <w:pPr>
              <w:spacing w:after="0" w:line="20" w:lineRule="exact"/>
              <w:rPr>
                <w:sz w:val="1"/>
                <w:szCs w:val="1"/>
                <w:color w:val="auto"/>
              </w:rPr>
            </w:pPr>
          </w:p>
        </w:tc>
        <w:tc>
          <w:tcPr>
            <w:tcW w:w="7380" w:type="dxa"/>
            <w:vAlign w:val="bottom"/>
            <w:gridSpan w:val="21"/>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26</w:t>
            </w:r>
          </w:p>
        </w:tc>
        <w:tc>
          <w:tcPr>
            <w:tcW w:w="66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gridSpan w:val="4"/>
            <w:shd w:val="clear" w:color="auto" w:fill="CCEEFF"/>
          </w:tcPr>
          <w:p>
            <w:pPr>
              <w:spacing w:after="0" w:line="20" w:lineRule="exact"/>
              <w:rPr>
                <w:sz w:val="1"/>
                <w:szCs w:val="1"/>
                <w:color w:val="auto"/>
              </w:rPr>
            </w:pPr>
          </w:p>
        </w:tc>
        <w:tc>
          <w:tcPr>
            <w:tcW w:w="2780" w:type="dxa"/>
            <w:vAlign w:val="bottom"/>
            <w:tcBorders>
              <w:top w:val="single" w:sz="8" w:color="0000FF"/>
            </w:tcBorders>
            <w:gridSpan w:val="36"/>
            <w:shd w:val="clear" w:color="auto" w:fill="CCEEFF"/>
          </w:tcPr>
          <w:p>
            <w:pPr>
              <w:spacing w:after="0" w:line="20" w:lineRule="exact"/>
              <w:rPr>
                <w:sz w:val="1"/>
                <w:szCs w:val="1"/>
                <w:color w:val="auto"/>
              </w:rPr>
            </w:pPr>
          </w:p>
        </w:tc>
        <w:tc>
          <w:tcPr>
            <w:tcW w:w="6700" w:type="dxa"/>
            <w:vAlign w:val="bottom"/>
            <w:tcBorders>
              <w:top w:val="single" w:sz="8" w:color="CCEEFF"/>
            </w:tcBorders>
            <w:gridSpan w:val="10"/>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26</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80" w:type="dxa"/>
            <w:vAlign w:val="bottom"/>
            <w:tcBorders>
              <w:top w:val="single" w:sz="8" w:color="0000FF"/>
            </w:tcBorders>
            <w:gridSpan w:val="41"/>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27</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1600" w:type="dxa"/>
            <w:vAlign w:val="bottom"/>
            <w:tcBorders>
              <w:top w:val="single" w:sz="8" w:color="0000FF"/>
            </w:tcBorders>
            <w:gridSpan w:val="14"/>
            <w:shd w:val="clear" w:color="auto" w:fill="CCEEFF"/>
          </w:tcPr>
          <w:p>
            <w:pPr>
              <w:spacing w:after="0" w:line="20" w:lineRule="exact"/>
              <w:rPr>
                <w:sz w:val="1"/>
                <w:szCs w:val="1"/>
                <w:color w:val="auto"/>
              </w:rPr>
            </w:pPr>
          </w:p>
        </w:tc>
        <w:tc>
          <w:tcPr>
            <w:tcW w:w="7880" w:type="dxa"/>
            <w:vAlign w:val="bottom"/>
            <w:tcBorders>
              <w:top w:val="single" w:sz="8" w:color="CCEEFF"/>
            </w:tcBorders>
            <w:gridSpan w:val="32"/>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220" w:type="dxa"/>
            <w:vAlign w:val="bottom"/>
            <w:gridSpan w:val="48"/>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II - OTHER INFORMATION</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0000FF"/>
            </w:tcBorders>
            <w:gridSpan w:val="18"/>
          </w:tcPr>
          <w:p>
            <w:pPr>
              <w:spacing w:after="0" w:line="20" w:lineRule="exact"/>
              <w:rPr>
                <w:sz w:val="1"/>
                <w:szCs w:val="1"/>
                <w:color w:val="auto"/>
              </w:rPr>
            </w:pPr>
          </w:p>
        </w:tc>
        <w:tc>
          <w:tcPr>
            <w:tcW w:w="7740" w:type="dxa"/>
            <w:vAlign w:val="bottom"/>
            <w:gridSpan w:val="31"/>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1220" w:type="dxa"/>
            <w:vAlign w:val="bottom"/>
            <w:tcBorders>
              <w:top w:val="single" w:sz="8" w:color="0000FF"/>
            </w:tcBorders>
            <w:gridSpan w:val="7"/>
            <w:shd w:val="clear" w:color="auto" w:fill="CCEEFF"/>
          </w:tcPr>
          <w:p>
            <w:pPr>
              <w:spacing w:after="0" w:line="20" w:lineRule="exact"/>
              <w:rPr>
                <w:sz w:val="1"/>
                <w:szCs w:val="1"/>
                <w:color w:val="auto"/>
              </w:rPr>
            </w:pPr>
          </w:p>
        </w:tc>
        <w:tc>
          <w:tcPr>
            <w:tcW w:w="8260" w:type="dxa"/>
            <w:vAlign w:val="bottom"/>
            <w:tcBorders>
              <w:top w:val="single" w:sz="8" w:color="CCEEFF"/>
            </w:tcBorders>
            <w:gridSpan w:val="39"/>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0000FF"/>
            </w:tcBorders>
            <w:gridSpan w:val="3"/>
          </w:tcPr>
          <w:p>
            <w:pPr>
              <w:spacing w:after="0" w:line="20" w:lineRule="exact"/>
              <w:rPr>
                <w:sz w:val="1"/>
                <w:szCs w:val="1"/>
                <w:color w:val="auto"/>
              </w:rPr>
            </w:pPr>
          </w:p>
        </w:tc>
        <w:tc>
          <w:tcPr>
            <w:tcW w:w="8660" w:type="dxa"/>
            <w:vAlign w:val="bottom"/>
            <w:gridSpan w:val="43"/>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3920" w:type="dxa"/>
            <w:vAlign w:val="bottom"/>
            <w:tcBorders>
              <w:top w:val="single" w:sz="8" w:color="0000FF"/>
            </w:tcBorders>
            <w:gridSpan w:val="42"/>
            <w:shd w:val="clear" w:color="auto" w:fill="CCEEFF"/>
          </w:tcPr>
          <w:p>
            <w:pPr>
              <w:spacing w:after="0" w:line="20" w:lineRule="exact"/>
              <w:rPr>
                <w:sz w:val="1"/>
                <w:szCs w:val="1"/>
                <w:color w:val="auto"/>
              </w:rPr>
            </w:pPr>
          </w:p>
        </w:tc>
        <w:tc>
          <w:tcPr>
            <w:tcW w:w="5560" w:type="dxa"/>
            <w:vAlign w:val="bottom"/>
            <w:tcBorders>
              <w:top w:val="single" w:sz="8" w:color="CCEEFF"/>
            </w:tcBorders>
            <w:gridSpan w:val="4"/>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60" w:type="dxa"/>
            <w:vAlign w:val="bottom"/>
            <w:tcBorders>
              <w:top w:val="single" w:sz="8" w:color="0000FF"/>
            </w:tcBorders>
            <w:gridSpan w:val="23"/>
          </w:tcPr>
          <w:p>
            <w:pPr>
              <w:spacing w:after="0" w:line="20" w:lineRule="exact"/>
              <w:rPr>
                <w:sz w:val="1"/>
                <w:szCs w:val="1"/>
                <w:color w:val="auto"/>
              </w:rPr>
            </w:pPr>
          </w:p>
        </w:tc>
        <w:tc>
          <w:tcPr>
            <w:tcW w:w="7420" w:type="dxa"/>
            <w:vAlign w:val="bottom"/>
            <w:gridSpan w:val="23"/>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1600" w:type="dxa"/>
            <w:vAlign w:val="bottom"/>
            <w:tcBorders>
              <w:top w:val="single" w:sz="8" w:color="0000FF"/>
            </w:tcBorders>
            <w:gridSpan w:val="14"/>
            <w:shd w:val="clear" w:color="auto" w:fill="CCEEFF"/>
          </w:tcPr>
          <w:p>
            <w:pPr>
              <w:spacing w:after="0" w:line="20" w:lineRule="exact"/>
              <w:rPr>
                <w:sz w:val="1"/>
                <w:szCs w:val="1"/>
                <w:color w:val="auto"/>
              </w:rPr>
            </w:pPr>
          </w:p>
        </w:tc>
        <w:tc>
          <w:tcPr>
            <w:tcW w:w="7880" w:type="dxa"/>
            <w:vAlign w:val="bottom"/>
            <w:tcBorders>
              <w:top w:val="single" w:sz="8" w:color="CCEEFF"/>
            </w:tcBorders>
            <w:gridSpan w:val="32"/>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400" w:type="dxa"/>
            <w:vAlign w:val="bottom"/>
            <w:gridSpan w:val="45"/>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340" w:type="dxa"/>
            <w:vAlign w:val="bottom"/>
            <w:gridSpan w:val="7"/>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Borders>
              <w:top w:val="single" w:sz="8" w:color="0000FF"/>
            </w:tcBorders>
            <w:gridSpan w:val="6"/>
          </w:tcPr>
          <w:p>
            <w:pPr>
              <w:spacing w:after="0" w:line="20" w:lineRule="exact"/>
              <w:rPr>
                <w:sz w:val="1"/>
                <w:szCs w:val="1"/>
                <w:color w:val="auto"/>
              </w:rPr>
            </w:pPr>
          </w:p>
        </w:tc>
        <w:tc>
          <w:tcPr>
            <w:tcW w:w="828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400" w:type="dxa"/>
            <w:vAlign w:val="bottom"/>
            <w:gridSpan w:val="4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340" w:type="dxa"/>
            <w:vAlign w:val="bottom"/>
            <w:gridSpan w:val="7"/>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w:t>
            </w:r>
          </w:p>
        </w:tc>
        <w:tc>
          <w:tcPr>
            <w:tcW w:w="6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gridSpan w:val="2"/>
            <w:shd w:val="clear" w:color="auto" w:fill="CCEEFF"/>
          </w:tcPr>
          <w:p>
            <w:pPr>
              <w:spacing w:after="0" w:line="20" w:lineRule="exact"/>
              <w:rPr>
                <w:sz w:val="1"/>
                <w:szCs w:val="1"/>
                <w:color w:val="auto"/>
              </w:rPr>
            </w:pPr>
          </w:p>
        </w:tc>
        <w:tc>
          <w:tcPr>
            <w:tcW w:w="540" w:type="dxa"/>
            <w:vAlign w:val="bottom"/>
            <w:tcBorders>
              <w:top w:val="single" w:sz="8" w:color="0000FF"/>
            </w:tcBorders>
            <w:gridSpan w:val="2"/>
            <w:shd w:val="clear" w:color="auto" w:fill="CCEEFF"/>
          </w:tcPr>
          <w:p>
            <w:pPr>
              <w:spacing w:after="0" w:line="20" w:lineRule="exact"/>
              <w:rPr>
                <w:sz w:val="1"/>
                <w:szCs w:val="1"/>
                <w:color w:val="auto"/>
              </w:rPr>
            </w:pPr>
          </w:p>
        </w:tc>
        <w:tc>
          <w:tcPr>
            <w:tcW w:w="8940" w:type="dxa"/>
            <w:vAlign w:val="bottom"/>
            <w:tcBorders>
              <w:top w:val="single" w:sz="8" w:color="CCEEFF"/>
            </w:tcBorders>
            <w:gridSpan w:val="44"/>
            <w:shd w:val="clear" w:color="auto" w:fill="CCEEFF"/>
          </w:tcPr>
          <w:p>
            <w:pPr>
              <w:spacing w:after="0" w:line="20" w:lineRule="exact"/>
              <w:rPr>
                <w:sz w:val="1"/>
                <w:szCs w:val="1"/>
                <w:color w:val="auto"/>
              </w:rPr>
            </w:pPr>
          </w:p>
        </w:tc>
        <w:tc>
          <w:tcPr>
            <w:tcW w:w="180" w:type="dxa"/>
            <w:vAlign w:val="bottom"/>
            <w:tcBorders>
              <w:top w:val="single" w:sz="8" w:color="0000FF"/>
            </w:tcBorders>
            <w:gridSpan w:val="5"/>
            <w:shd w:val="clear" w:color="auto" w:fill="CCEEFF"/>
          </w:tcPr>
          <w:p>
            <w:pPr>
              <w:spacing w:after="0" w:line="20" w:lineRule="exact"/>
              <w:rPr>
                <w:sz w:val="1"/>
                <w:szCs w:val="1"/>
                <w:color w:val="auto"/>
              </w:rPr>
            </w:pPr>
          </w:p>
        </w:tc>
        <w:tc>
          <w:tcPr>
            <w:tcW w:w="74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0000FF"/>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FF"/>
                <w:w w:val="98"/>
              </w:rPr>
              <w:t>SIGNATURES</w:t>
            </w:r>
          </w:p>
        </w:tc>
        <w:tc>
          <w:tcPr>
            <w:tcW w:w="8400" w:type="dxa"/>
            <w:vAlign w:val="bottom"/>
            <w:gridSpan w:val="41"/>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0000FF"/>
            </w:tcBorders>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29</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Pr>
          <w:p>
            <w:pPr>
              <w:spacing w:after="0"/>
              <w:rPr>
                <w:sz w:val="18"/>
                <w:szCs w:val="18"/>
                <w:color w:val="auto"/>
              </w:rPr>
            </w:pPr>
          </w:p>
        </w:tc>
        <w:tc>
          <w:tcPr>
            <w:tcW w:w="28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10"/>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60,481</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Revenue – products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7,652</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68,133</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services (excluding depreciation and amortization)</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products (excluding depreciation and amortization)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42,292</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42,799</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(18,725)</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73"/>
        </w:trPr>
        <w:tc>
          <w:tcPr>
            <w:tcW w:w="5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68,804</w:t>
            </w: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68,804</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0" w:type="dxa"/>
            <w:vAlign w:val="bottom"/>
          </w:tcPr>
          <w:p>
            <w:pPr>
              <w:spacing w:after="0"/>
              <w:rPr>
                <w:sz w:val="18"/>
                <w:szCs w:val="18"/>
                <w:color w:val="auto"/>
              </w:rPr>
            </w:pPr>
          </w:p>
        </w:tc>
        <w:tc>
          <w:tcPr>
            <w:tcW w:w="28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10"/>
        </w:trPr>
        <w:tc>
          <w:tcPr>
            <w:tcW w:w="49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June 30, 2024</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(18,770)</w:t>
            </w: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Actuarial loss on pension liability adjustment</w:t>
            </w:r>
          </w:p>
        </w:tc>
        <w:tc>
          <w:tcPr>
            <w:tcW w:w="18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(18,768)</w:t>
            </w: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 and share data)</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80,104</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139,991</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182,380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208,699</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212"/>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obligations – non-current portion</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 non-current portion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49,696</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$0.001 par value, 250,000,000 shares authorized, 72,223,328 shares and 70,239,890 shares</w:t>
            </w:r>
          </w:p>
        </w:tc>
        <w:tc>
          <w:tcPr>
            <w:tcW w:w="30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June 30, 2024 and December 31, 2023, respectively</w:t>
            </w:r>
          </w:p>
        </w:tc>
        <w:tc>
          <w:tcPr>
            <w:tcW w:w="30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433,781</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(289,962)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(274,827)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149,149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159,003</w:t>
            </w:r>
          </w:p>
        </w:tc>
        <w:tc>
          <w:tcPr>
            <w:tcW w:w="0" w:type="dxa"/>
            <w:vAlign w:val="bottom"/>
          </w:tcPr>
          <w:p>
            <w:pPr>
              <w:spacing w:after="0"/>
              <w:rPr>
                <w:sz w:val="1"/>
                <w:szCs w:val="1"/>
                <w:color w:val="auto"/>
              </w:rPr>
            </w:pPr>
          </w:p>
        </w:tc>
      </w:tr>
      <w:tr>
        <w:trPr>
          <w:trHeight w:val="212"/>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182,380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208,699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4240" w:type="dxa"/>
            <w:vAlign w:val="bottom"/>
            <w:tcBorders>
              <w:bottom w:val="single" w:sz="8" w:color="auto"/>
            </w:tcBorders>
            <w:gridSpan w:val="5"/>
          </w:tcPr>
          <w:p>
            <w:pPr>
              <w:jc w:val="right"/>
              <w:ind w:right="117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10"/>
        </w:trPr>
        <w:tc>
          <w:tcPr>
            <w:tcW w:w="70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7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500" w:type="dxa"/>
            <w:vAlign w:val="bottom"/>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(15,135)</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used in operating activities:</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17,244</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discount in acquisition holdback</w:t>
            </w:r>
          </w:p>
        </w:tc>
        <w:tc>
          <w:tcPr>
            <w:tcW w:w="1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5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(Recovery from) provision for doubtful accounts</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early extinguishment of other financing obligations</w:t>
            </w:r>
          </w:p>
        </w:tc>
        <w:tc>
          <w:tcPr>
            <w:tcW w:w="1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other current assets, other assets</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accrued payables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3"/>
        </w:trPr>
        <w:tc>
          <w:tcPr>
            <w:tcW w:w="7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5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07"/>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(4,213)</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(8,198)</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investment</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12"/>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under finance lease obligations</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tax withholding related to net share settlement of equity awards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DFT holdback amount</w:t>
            </w:r>
          </w:p>
        </w:tc>
        <w:tc>
          <w:tcPr>
            <w:tcW w:w="15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5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2"/>
        </w:trPr>
        <w:tc>
          <w:tcPr>
            <w:tcW w:w="70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5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r>
      <w:tr>
        <w:trPr>
          <w:trHeight w:val="207"/>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(19,155)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5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119,438</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50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80,241</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103,581</w:t>
            </w:r>
          </w:p>
        </w:tc>
      </w:tr>
      <w:tr>
        <w:trPr>
          <w:trHeight w:val="23"/>
        </w:trPr>
        <w:tc>
          <w:tcPr>
            <w:tcW w:w="70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(Unaudited)</w:t>
      </w:r>
    </w:p>
    <w:p>
      <w:pPr>
        <w:sectPr>
          <w:pgSz w:w="11900" w:h="16838" w:orient="portrait"/>
          <w:cols w:equalWidth="0" w:num="1">
            <w:col w:w="11160"/>
          </w:cols>
          <w:pgMar w:left="320" w:top="11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Balance at March 31, 2024</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Foreign currency translation loss</w:t>
      </w:r>
    </w:p>
    <w:p>
      <w:pPr>
        <w:spacing w:after="0" w:line="42" w:lineRule="exact"/>
        <w:rPr>
          <w:sz w:val="20"/>
          <w:szCs w:val="20"/>
          <w:color w:val="auto"/>
        </w:rPr>
      </w:pPr>
    </w:p>
    <w:p>
      <w:pPr>
        <w:ind w:left="220" w:right="40"/>
        <w:spacing w:after="0" w:line="251" w:lineRule="auto"/>
        <w:rPr>
          <w:sz w:val="20"/>
          <w:szCs w:val="20"/>
          <w:color w:val="auto"/>
        </w:rPr>
      </w:pPr>
      <w:r>
        <w:rPr>
          <w:rFonts w:ascii="Times New Roman" w:cs="Times New Roman" w:eastAsia="Times New Roman" w:hAnsi="Times New Roman"/>
          <w:sz w:val="14"/>
          <w:szCs w:val="14"/>
          <w:color w:val="auto"/>
        </w:rPr>
        <w:t>Restricted stock unit awards vested, net of shares withheld to cover tax withholding</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55" w:lineRule="exact"/>
        <w:rPr>
          <w:sz w:val="20"/>
          <w:szCs w:val="20"/>
          <w:color w:val="auto"/>
        </w:rPr>
      </w:pPr>
    </w:p>
    <w:p>
      <w:pPr>
        <w:ind w:left="22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Balance at June 30, 2024</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Accumulated</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ind w:left="100"/>
              <w:spacing w:after="0" w:line="125" w:lineRule="exact"/>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9"/>
                <w:szCs w:val="9"/>
                <w:color w:val="auto"/>
              </w:rPr>
            </w:pPr>
          </w:p>
        </w:tc>
        <w:tc>
          <w:tcPr>
            <w:tcW w:w="1160" w:type="dxa"/>
            <w:vAlign w:val="bottom"/>
            <w:gridSpan w:val="2"/>
            <w:vMerge w:val="restart"/>
          </w:tcPr>
          <w:p>
            <w:pPr>
              <w:ind w:left="300"/>
              <w:spacing w:after="0" w:line="125" w:lineRule="exact"/>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right"/>
              <w:spacing w:after="0" w:line="125" w:lineRule="exact"/>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3"/>
        </w:trPr>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8"/>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71,758</w:t>
            </w:r>
          </w:p>
        </w:tc>
        <w:tc>
          <w:tcPr>
            <w:tcW w:w="80" w:type="dxa"/>
            <w:vAlign w:val="bottom"/>
          </w:tcPr>
          <w:p>
            <w:pPr>
              <w:spacing w:after="0"/>
              <w:rPr>
                <w:sz w:val="17"/>
                <w:szCs w:val="17"/>
                <w:color w:val="auto"/>
              </w:rPr>
            </w:pP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436,616</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(282,205)</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154,396</w:t>
            </w:r>
          </w:p>
        </w:tc>
        <w:tc>
          <w:tcPr>
            <w:tcW w:w="0" w:type="dxa"/>
            <w:vAlign w:val="bottom"/>
          </w:tcPr>
          <w:p>
            <w:pPr>
              <w:spacing w:after="0"/>
              <w:rPr>
                <w:sz w:val="1"/>
                <w:szCs w:val="1"/>
                <w:color w:val="auto"/>
              </w:rPr>
            </w:pPr>
          </w:p>
        </w:tc>
      </w:tr>
      <w:tr>
        <w:trPr>
          <w:trHeight w:val="203"/>
        </w:trPr>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(7,757)</w:t>
            </w:r>
          </w:p>
        </w:tc>
        <w:tc>
          <w:tcPr>
            <w:tcW w:w="0" w:type="dxa"/>
            <w:vAlign w:val="bottom"/>
          </w:tcPr>
          <w:p>
            <w:pPr>
              <w:spacing w:after="0"/>
              <w:rPr>
                <w:sz w:val="1"/>
                <w:szCs w:val="1"/>
                <w:color w:val="auto"/>
              </w:rPr>
            </w:pPr>
          </w:p>
        </w:tc>
      </w:tr>
      <w:tr>
        <w:trPr>
          <w:trHeight w:val="203"/>
        </w:trPr>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338"/>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3"/>
        </w:trPr>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0" w:type="dxa"/>
            <w:vAlign w:val="bottom"/>
          </w:tcPr>
          <w:p>
            <w:pPr>
              <w:spacing w:after="0"/>
              <w:rPr>
                <w:sz w:val="1"/>
                <w:szCs w:val="1"/>
                <w:color w:val="auto"/>
              </w:rPr>
            </w:pPr>
          </w:p>
        </w:tc>
      </w:tr>
      <w:tr>
        <w:trPr>
          <w:trHeight w:val="320"/>
        </w:trPr>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3"/>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72,223</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439,146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(289,962)</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149,149</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-1122045</wp:posOffset>
            </wp:positionV>
            <wp:extent cx="702945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-864870</wp:posOffset>
            </wp:positionV>
            <wp:extent cx="702945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-521970</wp:posOffset>
            </wp:positionV>
            <wp:extent cx="70294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-170815</wp:posOffset>
            </wp:positionV>
            <wp:extent cx="702945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200"/>
            <w:col w:w="7880"/>
          </w:cols>
          <w:pgMar w:left="320" w:top="119" w:right="419" w:bottom="1440" w:gutter="0" w:footer="0" w:header="0"/>
          <w:type w:val="continuous"/>
        </w:sectPr>
      </w:pP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(251,151)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169,895</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80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(8,024)</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80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69,467</w:t>
            </w:r>
          </w:p>
        </w:tc>
        <w:tc>
          <w:tcPr>
            <w:tcW w:w="8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426,656</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(259,175)</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167,536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22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ind w:left="100"/>
              <w:spacing w:after="0" w:line="125" w:lineRule="exact"/>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9"/>
                <w:szCs w:val="9"/>
                <w:color w:val="auto"/>
              </w:rPr>
            </w:pPr>
          </w:p>
        </w:tc>
        <w:tc>
          <w:tcPr>
            <w:tcW w:w="116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right"/>
              <w:spacing w:after="0" w:line="125" w:lineRule="exact"/>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vMerge w:val="restart"/>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ind w:left="6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159,003</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(15,135)</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Actuarial loss on pension liability adjustment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401K match</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221"/>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149,149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67,431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(240,405)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172,354</w:t>
            </w:r>
          </w:p>
        </w:tc>
        <w:tc>
          <w:tcPr>
            <w:tcW w:w="0" w:type="dxa"/>
            <w:vAlign w:val="bottom"/>
          </w:tcPr>
          <w:p>
            <w:pPr>
              <w:spacing w:after="0"/>
              <w:rPr>
                <w:sz w:val="1"/>
                <w:szCs w:val="1"/>
                <w:color w:val="auto"/>
              </w:rPr>
            </w:pPr>
          </w:p>
        </w:tc>
      </w:tr>
      <w:tr>
        <w:trPr>
          <w:trHeight w:val="195"/>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(18,770)</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Restricted stock unit awards vested, net of shares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0" w:type="dxa"/>
            <w:vAlign w:val="bottom"/>
          </w:tcPr>
          <w:p>
            <w:pPr>
              <w:spacing w:after="0"/>
              <w:rPr>
                <w:sz w:val="1"/>
                <w:szCs w:val="1"/>
                <w:color w:val="auto"/>
              </w:rPr>
            </w:pPr>
          </w:p>
        </w:tc>
      </w:tr>
      <w:tr>
        <w:trPr>
          <w:trHeight w:val="19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withheld to cover tax withholding</w:t>
            </w: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0" w:type="dxa"/>
            <w:vAlign w:val="bottom"/>
          </w:tcPr>
          <w:p>
            <w:pPr>
              <w:spacing w:after="0"/>
              <w:rPr>
                <w:sz w:val="1"/>
                <w:szCs w:val="1"/>
                <w:color w:val="auto"/>
              </w:rPr>
            </w:pPr>
          </w:p>
        </w:tc>
      </w:tr>
      <w:tr>
        <w:trPr>
          <w:trHeight w:val="196"/>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for 401K match</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221"/>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167,536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ORGANIZATION</w:t>
      </w:r>
    </w:p>
    <w:p>
      <w:pPr>
        <w:spacing w:after="0" w:line="17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and ubIQuity.com, inc. (a holding company for Xacta Corporation), and 100% ownership interest in Telos Identity Management Solutions, LLC ("Telos ID"), Teloworks, Inc., and Telos APAC Pte. Ltd. ("Telos APAC").</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March 13, 2024, the Board unanimously approved the dissolution of Telos APAC, a pre-operating foreign subsidiary, pursuant to a plan of complete liquidation and dissolution.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SIGNIFICANT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 of Consolidation</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include the accounts of Telos and its subsidiaries (see </w:t>
      </w:r>
      <w:r>
        <w:rPr>
          <w:rFonts w:ascii="Times New Roman" w:cs="Times New Roman" w:eastAsia="Times New Roman" w:hAnsi="Times New Roman"/>
          <w:sz w:val="18"/>
          <w:szCs w:val="18"/>
          <w:u w:val="single" w:color="auto"/>
          <w:color w:val="0000FF"/>
        </w:rPr>
        <w:t>Note 1 – Organization</w:t>
      </w:r>
      <w:r>
        <w:rPr>
          <w:rFonts w:ascii="Times New Roman" w:cs="Times New Roman" w:eastAsia="Times New Roman" w:hAnsi="Times New Roman"/>
          <w:sz w:val="18"/>
          <w:szCs w:val="18"/>
          <w:color w:val="auto"/>
        </w:rPr>
        <w:t>), all of whose issued and outstanding share capital is wholly owned directly and indirectly by Telos Corporation. All intercompany transactions have been eliminated in consolidation.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for Interim Periods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for a fair statement of our financial position and the results of operations and cash flows for the periods presented.</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2023, included in our Annual Report on Form 10-K for the fiscal year then ended. We have continued to follow the accounting policies set forth in those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Comparison</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 period presentation. Starting Q3 2023, we reclassified and presented depreciation and amortization separately from the cost of sales line items. Starting Q1 2024, we reclassified sales and marketing expenses and general and administrative expenses to be presented together as selling, general and administrative expenses. The reclassifications had no net impact on gross profit, total selling, general and administrative expenses or net loss in the unaudited consolidated statements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share-based compensation, valuation of intangible assets and goodwill, restructuring expenses accruals, and contingencies. Actual results could differ from those estimates. The impact of changes in estimates is recorded in the period in which they become known.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general and administrative expenses, as well as direct and indirect sales and marketing expenses. These costs consist primarily of compensation and benefits (including incentive-based compensation), advertising, facilities, and certain types of depreciation and amortization.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7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In the fourth quarter of 2022, the Company committed to a restructuring plan to streamline its workforce and spending to better align its cost structure with its volume of business. The restructuring plan reduced the Company's workforce, with a majority of the affected employees separating from the business in early 2023. In connection with this restructuring plan, we incurred restructuring-related costs, including employee severance and related benefit costs.</w:t>
      </w:r>
    </w:p>
    <w:p>
      <w:pPr>
        <w:spacing w:after="0" w:line="1" w:lineRule="exact"/>
        <w:rPr>
          <w:sz w:val="20"/>
          <w:szCs w:val="20"/>
          <w:color w:val="auto"/>
        </w:rPr>
      </w:pPr>
    </w:p>
    <w:p>
      <w:pPr>
        <w:jc w:val="both"/>
        <w:ind w:right="340"/>
        <w:spacing w:after="0" w:line="277" w:lineRule="auto"/>
        <w:rPr>
          <w:sz w:val="20"/>
          <w:szCs w:val="20"/>
          <w:color w:val="auto"/>
        </w:rPr>
      </w:pPr>
      <w:r>
        <w:rPr>
          <w:rFonts w:ascii="Times New Roman" w:cs="Times New Roman" w:eastAsia="Times New Roman" w:hAnsi="Times New Roman"/>
          <w:sz w:val="17"/>
          <w:szCs w:val="17"/>
          <w:color w:val="auto"/>
        </w:rPr>
        <w:t>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spacing w:after="0" w:line="11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 incurred a cumulative amount of $3.9 million of restructuring expenses, which is the total expected costs for this restructuring plan, as disclosed in the Company's recent Annual Report on Form 10-K for the year ended December 31, 2023. The restructuring actions were substantially completed in fiscal year 2023.</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restructuring expenses (adjustments) are included within "Selling, general and administrative expenses" on the Company's unaudited consolidated statements of operations.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2.1: Restructuring Expenses (Adjustments)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top w:val="single" w:sz="8" w:color="auto"/>
            </w:tcBorders>
          </w:tcPr>
          <w:p>
            <w:pPr>
              <w:spacing w:after="0"/>
              <w:rPr>
                <w:sz w:val="18"/>
                <w:szCs w:val="18"/>
                <w:color w:val="auto"/>
              </w:rPr>
            </w:pPr>
          </w:p>
        </w:tc>
        <w:tc>
          <w:tcPr>
            <w:tcW w:w="2720" w:type="dxa"/>
            <w:vAlign w:val="bottom"/>
            <w:tcBorders>
              <w:top w:val="single" w:sz="8" w:color="auto"/>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52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5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gridSpan w:val="6"/>
          </w:tcPr>
          <w:p>
            <w:pPr>
              <w:ind w:left="10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5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and related benefit costs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related costs</w:t>
            </w:r>
          </w:p>
        </w:tc>
        <w:tc>
          <w:tcPr>
            <w:tcW w:w="11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37"/>
        </w:trPr>
        <w:tc>
          <w:tcPr>
            <w:tcW w:w="5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(adjustments) expenses</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2.2: Summary of Changes in Restructuring Expenses Accrual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color w:val="auto"/>
              </w:rPr>
              <w:t>Severance and related benefit</w:t>
            </w:r>
          </w:p>
        </w:tc>
      </w:tr>
      <w:tr>
        <w:trPr>
          <w:trHeight w:val="216"/>
        </w:trPr>
        <w:tc>
          <w:tcPr>
            <w:tcW w:w="9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81"/>
              <w:spacing w:after="0" w:line="216" w:lineRule="exact"/>
              <w:rPr>
                <w:sz w:val="20"/>
                <w:szCs w:val="20"/>
                <w:color w:val="auto"/>
              </w:rPr>
            </w:pPr>
            <w:r>
              <w:rPr>
                <w:rFonts w:ascii="Times New Roman" w:cs="Times New Roman" w:eastAsia="Times New Roman" w:hAnsi="Times New Roman"/>
                <w:sz w:val="16"/>
                <w:szCs w:val="16"/>
                <w:color w:val="auto"/>
                <w:w w:val="91"/>
              </w:rPr>
              <w:t xml:space="preserve">costs </w:t>
            </w:r>
            <w:r>
              <w:rPr>
                <w:rFonts w:ascii="Times New Roman" w:cs="Times New Roman" w:eastAsia="Times New Roman" w:hAnsi="Times New Roman"/>
                <w:sz w:val="21"/>
                <w:szCs w:val="21"/>
                <w:color w:val="auto"/>
                <w:w w:val="91"/>
                <w:vertAlign w:val="superscript"/>
              </w:rPr>
              <w:t>(1)</w:t>
            </w:r>
          </w:p>
        </w:tc>
      </w:tr>
      <w:tr>
        <w:trPr>
          <w:trHeight w:val="213"/>
        </w:trPr>
        <w:tc>
          <w:tcPr>
            <w:tcW w:w="9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jc w:val="center"/>
              <w:ind w:right="28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9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9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9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3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2"/>
        </w:trPr>
        <w:tc>
          <w:tcPr>
            <w:tcW w:w="9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9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40" w:firstLine="8"/>
        <w:spacing w:after="0" w:line="302" w:lineRule="auto"/>
        <w:tabs>
          <w:tab w:leader="none" w:pos="145"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Restructuring expenses accrual is included within "Other current liabilities" on the Company's unaudited consolidated balance sheets (see </w:t>
      </w:r>
      <w:r>
        <w:rPr>
          <w:rFonts w:ascii="Times New Roman" w:cs="Times New Roman" w:eastAsia="Times New Roman" w:hAnsi="Times New Roman"/>
          <w:sz w:val="14"/>
          <w:szCs w:val="14"/>
          <w:u w:val="single" w:color="auto"/>
          <w:color w:val="0000FF"/>
        </w:rPr>
        <w:t>Note 9 - Other Balance Sheet Components</w:t>
      </w:r>
      <w:r>
        <w:rPr>
          <w:rFonts w:ascii="Times New Roman" w:cs="Times New Roman" w:eastAsia="Times New Roman" w:hAnsi="Times New Roman"/>
          <w:sz w:val="14"/>
          <w:szCs w:val="14"/>
          <w:color w:val="auto"/>
        </w:rPr>
        <w:t xml:space="preserve"> for further details).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will affect how we report segment information, starting with our Form 10-K for the year ended December 31, 2024, and our quarterly reports on Form 10-Q starting with our quarterly report for the quarter ended March 31, 2025. This standard requires that we disclose significant segment expenses and other segment items that are regularly provided to our chief operating decision maker ("CODM") and included in each reported measure of segment profit or loss. We will also have to disclose other segment items by reportable segment (i.e., the difference between reported segment revenues less the significant segment expenses (which are disclosed) less reported segment profit or loss). We will disclose the CODM and their position within the Company and details about the information that they regularly review to make capital allocation and other operating decisions about each segment, as well as an explanation of how the CODM uses the reported measures and other disclosures. We are evaluating these new segment disclosure requirements and the impact of their adoption on our unaudited consolidated financial statements.</w:t>
      </w:r>
    </w:p>
    <w:p>
      <w:pPr>
        <w:spacing w:after="0" w:line="13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 which requires public entities, on an annual basis, (1) to disclosure specific categories in the rate reconciliation, and (2) to provide additional information for reconciling items that meet a quantitative threshold (if the effect of those reconciling items is equal to or greater than 5% of the amount computed by multiplying pretax income (loss) by the applicable statutory income tax rate). This ASU will be effective, for public entities, for the fiscal year beginning after December 15, 2024, with early adoption permitted. We are currently assessing the impact of the adoption of this ASU on our unaudited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from time to time, new accounting standards are issued by the Financial Accounting Standard Board or other standard-setting bodies and are adopted by the Company as of the specified accounting date. Unless otherwise discussed, the Company believes that issued standards not yet effective will not have a material effect on its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 RECOGNITION</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The unit of account in ASC 606 is a performance obligation, which is a promise in a contract with a customer to transfer a good or service to the customer.</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majority of our revenue is recognized over time, as control is transferred continuously to our customers, who receive and consume benefits as we perform. Revenue transferred to customers over time accounted for 84% and 82% of our revenue for the three and six months ended June 30, 2024, respectively, and 88% and 89% of our revenue for the three and six months ended June 30, 2023, respectively. All of our business groups earn services revenue under a variety of contract types, including time and materials, firm-fixed price, firm-fixed price level of effort, and cost-plus fixed fee contract types, which may include variable consideration.</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performance obligations in which control does not continuously transfer to the customer, we recognize revenue at the point in time when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16% and 18% of our revenue for the three and six months ended June 30, 2024, respectively, and 12% and 11% of our revenue for the three and six months ended June 30, 2023, respectively.</w:t>
      </w:r>
    </w:p>
    <w:p>
      <w:pPr>
        <w:spacing w:after="0" w:line="1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contracts may include various types of variable considerations and may include estimated amounts in the transaction price, based on all of the information available to us, and to the extent it is probable that a significant reversal of cumulative revenue recognized will not occur when any uncertainty associated with the variable consideration is resolved. We evaluate and include these estimated amounts of variable consideration in the transaction price and as performance on these contracts is complete, we adjust our revenue, when deemed necessary. No revenue adjustments were recorded during the three and six months ended June 30, 2024, and 2023.</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provide for anticipated losses on contracts during the period when the loss is determined by recording an expense for the total expected costs that exceeds the total estimated revenue for a performance obligation. No contract loss was recorded during the three months ended June 30, 2024. We recorded an immaterial contract loss during the six months ended June 30, 2024. No contract loss was recorded during the three and six months ended June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our segment reporting, as further discussed in </w:t>
      </w:r>
      <w:r>
        <w:rPr>
          <w:rFonts w:ascii="Times New Roman" w:cs="Times New Roman" w:eastAsia="Times New Roman" w:hAnsi="Times New Roman"/>
          <w:sz w:val="18"/>
          <w:szCs w:val="18"/>
          <w:u w:val="single" w:color="auto"/>
          <w:color w:val="0000FF"/>
        </w:rPr>
        <w:t>Note 16 – Segment Information</w:t>
      </w:r>
      <w:r>
        <w:rPr>
          <w:rFonts w:ascii="Times New Roman" w:cs="Times New Roman" w:eastAsia="Times New Roman" w:hAnsi="Times New Roman"/>
          <w:sz w:val="18"/>
          <w:szCs w:val="18"/>
          <w:color w:val="auto"/>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3.1: Revenue by Customer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color w:val="auto"/>
              </w:rPr>
              <w:t>For the Six Months Ended</w:t>
            </w:r>
          </w:p>
        </w:tc>
        <w:tc>
          <w:tcPr>
            <w:tcW w:w="1040" w:type="dxa"/>
            <w:vAlign w:val="bottom"/>
            <w:tcBorders>
              <w:top w:val="single" w:sz="8" w:color="auto"/>
              <w:bottom w:val="single" w:sz="8" w:color="auto"/>
            </w:tcBorders>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20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r>
      <w:tr>
        <w:trPr>
          <w:trHeight w:val="210"/>
        </w:trPr>
        <w:tc>
          <w:tcPr>
            <w:tcW w:w="2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89%</w:t>
            </w: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 &amp; local, and commercial</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r>
      <w:tr>
        <w:trPr>
          <w:trHeight w:val="237"/>
        </w:trPr>
        <w:tc>
          <w:tcPr>
            <w:tcW w:w="2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58,117</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68,133</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3.2: Revenue by Contract Type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color w:val="auto"/>
              </w:rPr>
              <w:t>For the Six Months Ended</w:t>
            </w:r>
          </w:p>
        </w:tc>
        <w:tc>
          <w:tcPr>
            <w:tcW w:w="1040" w:type="dxa"/>
            <w:vAlign w:val="bottom"/>
            <w:tcBorders>
              <w:top w:val="single" w:sz="8" w:color="auto"/>
              <w:bottom w:val="single" w:sz="8" w:color="auto"/>
            </w:tcBorders>
          </w:tcPr>
          <w:p>
            <w:pPr>
              <w:spacing w:after="0"/>
              <w:rPr>
                <w:sz w:val="18"/>
                <w:szCs w:val="18"/>
                <w:color w:val="auto"/>
              </w:rPr>
            </w:pPr>
          </w:p>
        </w:tc>
      </w:tr>
      <w:tr>
        <w:trPr>
          <w:trHeight w:val="209"/>
        </w:trPr>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r>
      <w:tr>
        <w:trPr>
          <w:trHeight w:val="209"/>
        </w:trPr>
        <w:tc>
          <w:tcPr>
            <w:tcW w:w="2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9"/>
              </w:rPr>
              <w:t>%</w:t>
            </w:r>
          </w:p>
        </w:tc>
      </w:tr>
      <w:tr>
        <w:trPr>
          <w:trHeight w:val="216"/>
        </w:trPr>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Firm fixed-price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r>
      <w:tr>
        <w:trPr>
          <w:trHeight w:val="213"/>
        </w:trPr>
        <w:tc>
          <w:tcPr>
            <w:tcW w:w="2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Time-and-materials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plus fixed fee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13%</w:t>
            </w:r>
          </w:p>
        </w:tc>
      </w:tr>
      <w:tr>
        <w:trPr>
          <w:trHeight w:val="212"/>
        </w:trPr>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28,498</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58,117</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68,133</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100 %</w:t>
            </w:r>
          </w:p>
        </w:tc>
      </w:tr>
      <w:tr>
        <w:trPr>
          <w:trHeight w:val="20"/>
        </w:trPr>
        <w:tc>
          <w:tcPr>
            <w:tcW w:w="2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3.3: Revenue Concentration Greater than 10% of Total 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7"/>
          </w:tcPr>
          <w:p>
            <w:pPr>
              <w:ind w:left="5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740" w:type="dxa"/>
            <w:vAlign w:val="bottom"/>
            <w:tcBorders>
              <w:top w:val="single" w:sz="8" w:color="auto"/>
            </w:tcBorders>
            <w:gridSpan w:val="6"/>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4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6"/>
                <w:szCs w:val="16"/>
                <w:color w:val="auto"/>
              </w:rPr>
              <w:t>June 30, 2024</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2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Department of Defense ("DoD")</w:t>
            </w:r>
          </w:p>
        </w:tc>
        <w:tc>
          <w:tcPr>
            <w:tcW w:w="220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67%</w:t>
            </w:r>
          </w:p>
        </w:tc>
      </w:tr>
      <w:tr>
        <w:trPr>
          <w:trHeight w:val="483"/>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Table 3.4: Contract Balances</w:t>
            </w: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228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6"/>
                <w:szCs w:val="16"/>
                <w:color w:val="auto"/>
              </w:rPr>
              <w:t>Balance Sheet Presentation</w:t>
            </w: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color w:val="auto"/>
                <w:w w:val="98"/>
              </w:rPr>
              <w:t>June 30, 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
        </w:trPr>
        <w:tc>
          <w:tcPr>
            <w:tcW w:w="4440" w:type="dxa"/>
            <w:vAlign w:val="bottom"/>
          </w:tcPr>
          <w:p>
            <w:pPr>
              <w:spacing w:after="0"/>
              <w:rPr>
                <w:sz w:val="2"/>
                <w:szCs w:val="2"/>
                <w:color w:val="auto"/>
              </w:rPr>
            </w:pPr>
          </w:p>
        </w:tc>
        <w:tc>
          <w:tcPr>
            <w:tcW w:w="22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r>
      <w:tr>
        <w:trPr>
          <w:trHeight w:val="216"/>
        </w:trPr>
        <w:tc>
          <w:tcPr>
            <w:tcW w:w="44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Billed accounts receivables </w:t>
            </w:r>
            <w:r>
              <w:rPr>
                <w:rFonts w:ascii="Times New Roman" w:cs="Times New Roman" w:eastAsia="Times New Roman" w:hAnsi="Times New Roman"/>
                <w:sz w:val="21"/>
                <w:szCs w:val="21"/>
                <w:color w:val="auto"/>
                <w:vertAlign w:val="superscript"/>
              </w:rPr>
              <w:t>(1)</w:t>
            </w:r>
          </w:p>
        </w:tc>
        <w:tc>
          <w:tcPr>
            <w:tcW w:w="2280" w:type="dxa"/>
            <w:vAlign w:val="bottom"/>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Accounts receivable, net</w:t>
            </w:r>
          </w:p>
        </w:tc>
        <w:tc>
          <w:tcPr>
            <w:tcW w:w="1440" w:type="dxa"/>
            <w:vAlign w:val="bottom"/>
            <w:gridSpan w:val="3"/>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17,818</w:t>
            </w: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28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280" w:type="dxa"/>
            <w:vAlign w:val="bottom"/>
            <w:gridSpan w:val="3"/>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28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6,728</w:t>
            </w:r>
          </w:p>
        </w:tc>
      </w:tr>
    </w:tbl>
    <w:p>
      <w:pPr>
        <w:spacing w:after="0" w:line="20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for credit losses.</w:t>
      </w:r>
    </w:p>
    <w:p>
      <w:pPr>
        <w:spacing w:after="0" w:line="1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changes in the Company's contract assets and contract liabilities during the current period were primarily the result of the timing differences between the Company's performance, invoicing and customer payments. Revenue recognized for the three and six months ended June 30, 2024, which was included in the contract liabilities balance at the beginning of each reporting period, was $1.9 million and $4.5 million, respectively. Revenue recognized for the three and six months ended June 30, 2023, which was included in the contract liabilities balance at the beginning of each reporting period, was $1.6 million and $4.1 million, respectively.</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June 30, 2024, we had approximately $31.2 million of remaining performance obligations, which we also refer to as funded backlog. We expect to recognize approximately 92% of our remaining performance obligations over the next 12 months, and the balance thereafter.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ACCOUNTS RECEIVABLE,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4: Details of Accounts Receivable,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7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 accounts receivable</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Allowance for credit losses </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provision for credit losses, net of recoveries.</w:t>
      </w:r>
    </w:p>
    <w:p>
      <w:pPr>
        <w:spacing w:after="0" w:line="18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As our primary customer base includes agencies of the U.S. government, we have a concentration of credit risk associated with our accounts receivable, as 90% and 91% of our billed and unbilled accounts receivable as of June 30, 2024 and December 31, 2023, respectively,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guarantees from our customers. We maintain allowances for potential losses.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INVENTORIES,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5: Details of Inventories,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7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inventory obsolescence</w:t>
            </w:r>
          </w:p>
        </w:tc>
        <w:tc>
          <w:tcPr>
            <w:tcW w:w="1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PROPERTY AND EQUIPMENT,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6.1: Details of Property and Equipment,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June 30, 2024</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2023</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3"/>
                <w:szCs w:val="13"/>
                <w:color w:val="auto"/>
              </w:rPr>
            </w:pPr>
          </w:p>
        </w:tc>
        <w:tc>
          <w:tcPr>
            <w:tcW w:w="1400" w:type="dxa"/>
            <w:vAlign w:val="bottom"/>
            <w:gridSpan w:val="4"/>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Accumulated</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 Value</w:t>
            </w:r>
          </w:p>
        </w:tc>
        <w:tc>
          <w:tcPr>
            <w:tcW w:w="100" w:type="dxa"/>
            <w:vAlign w:val="bottom"/>
            <w:gridSpan w:val="2"/>
            <w:vMerge w:val="restart"/>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Depreciation and</w:t>
            </w:r>
          </w:p>
        </w:tc>
        <w:tc>
          <w:tcPr>
            <w:tcW w:w="14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Net Carrying Value</w:t>
            </w: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gridSpan w:val="2"/>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8"/>
          </w:tcPr>
          <w:p>
            <w:pPr>
              <w:ind w:left="8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34"/>
        </w:trPr>
        <w:tc>
          <w:tcPr>
            <w:tcW w:w="2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Table 6.2: Depreciation and Amortization Expense</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8"/>
          </w:tcPr>
          <w:p>
            <w:pPr>
              <w:ind w:left="2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40" w:type="dxa"/>
            <w:vAlign w:val="bottom"/>
          </w:tcPr>
          <w:p>
            <w:pPr>
              <w:spacing w:after="0"/>
              <w:rPr>
                <w:sz w:val="18"/>
                <w:szCs w:val="18"/>
                <w:color w:val="auto"/>
              </w:rPr>
            </w:pPr>
          </w:p>
        </w:tc>
        <w:tc>
          <w:tcPr>
            <w:tcW w:w="284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9"/>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GOODWILL</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goodwill balance was $17.9 million as of June 30, 2024, and December 31, 2023,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recorded for the three and six months ended June 30, 2024, and 2023.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INTANGIBLE ASSETS, NET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8.1: Details of Intangible Assets,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June 30, 2024</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r>
      <w:tr>
        <w:trPr>
          <w:trHeight w:val="161"/>
        </w:trPr>
        <w:tc>
          <w:tcPr>
            <w:tcW w:w="2860" w:type="dxa"/>
            <w:vAlign w:val="bottom"/>
          </w:tcPr>
          <w:p>
            <w:pPr>
              <w:spacing w:after="0"/>
              <w:rPr>
                <w:sz w:val="13"/>
                <w:szCs w:val="13"/>
                <w:color w:val="auto"/>
              </w:rPr>
            </w:pPr>
          </w:p>
        </w:tc>
        <w:tc>
          <w:tcPr>
            <w:tcW w:w="11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Estimated</w:t>
            </w:r>
          </w:p>
        </w:tc>
        <w:tc>
          <w:tcPr>
            <w:tcW w:w="1220" w:type="dxa"/>
            <w:vAlign w:val="bottom"/>
            <w:gridSpan w:val="3"/>
          </w:tcPr>
          <w:p>
            <w:pPr>
              <w:ind w:left="80"/>
              <w:spacing w:after="0" w:line="161" w:lineRule="exact"/>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3"/>
                <w:szCs w:val="13"/>
                <w:color w:val="auto"/>
              </w:rPr>
            </w:pPr>
          </w:p>
        </w:tc>
        <w:tc>
          <w:tcPr>
            <w:tcW w:w="1020" w:type="dxa"/>
            <w:vAlign w:val="bottom"/>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Net Carrying</w:t>
            </w:r>
          </w:p>
        </w:tc>
        <w:tc>
          <w:tcPr>
            <w:tcW w:w="80" w:type="dxa"/>
            <w:vAlign w:val="bottom"/>
          </w:tcPr>
          <w:p>
            <w:pPr>
              <w:spacing w:after="0"/>
              <w:rPr>
                <w:sz w:val="13"/>
                <w:szCs w:val="13"/>
                <w:color w:val="auto"/>
              </w:rPr>
            </w:pPr>
          </w:p>
        </w:tc>
        <w:tc>
          <w:tcPr>
            <w:tcW w:w="11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Pr>
          <w:p>
            <w:pPr>
              <w:spacing w:after="0"/>
              <w:rPr>
                <w:sz w:val="13"/>
                <w:szCs w:val="13"/>
                <w:color w:val="auto"/>
              </w:rPr>
            </w:pPr>
          </w:p>
        </w:tc>
        <w:tc>
          <w:tcPr>
            <w:tcW w:w="1020" w:type="dxa"/>
            <w:vAlign w:val="bottom"/>
          </w:tcPr>
          <w:p>
            <w:pPr>
              <w:jc w:val="right"/>
              <w:ind w:right="59"/>
              <w:spacing w:after="0" w:line="161" w:lineRule="exact"/>
              <w:rPr>
                <w:sz w:val="20"/>
                <w:szCs w:val="20"/>
                <w:color w:val="auto"/>
              </w:rPr>
            </w:pPr>
            <w:r>
              <w:rPr>
                <w:rFonts w:ascii="Times New Roman" w:cs="Times New Roman" w:eastAsia="Times New Roman" w:hAnsi="Times New Roman"/>
                <w:sz w:val="16"/>
                <w:szCs w:val="16"/>
                <w:color w:val="auto"/>
              </w:rPr>
              <w:t>Net Carrying</w:t>
            </w:r>
          </w:p>
        </w:tc>
      </w:tr>
      <w:tr>
        <w:trPr>
          <w:trHeight w:val="213"/>
        </w:trPr>
        <w:tc>
          <w:tcPr>
            <w:tcW w:w="28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Useful Life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Value</w:t>
            </w:r>
          </w:p>
        </w:tc>
      </w:tr>
      <w:tr>
        <w:trPr>
          <w:trHeight w:val="216"/>
        </w:trPr>
        <w:tc>
          <w:tcPr>
            <w:tcW w:w="28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technology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2 - 5</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23,056</w:t>
            </w:r>
          </w:p>
        </w:tc>
      </w:tr>
      <w:tr>
        <w:trPr>
          <w:trHeight w:val="207"/>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25,597</w:t>
            </w:r>
          </w:p>
        </w:tc>
      </w:tr>
      <w:tr>
        <w:trPr>
          <w:trHeight w:val="219"/>
        </w:trPr>
        <w:tc>
          <w:tcPr>
            <w:tcW w:w="28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In-process software development costs </w:t>
            </w:r>
            <w:r>
              <w:rPr>
                <w:rFonts w:ascii="Times New Roman" w:cs="Times New Roman" w:eastAsia="Times New Roman" w:hAnsi="Times New Roman"/>
                <w:sz w:val="21"/>
                <w:szCs w:val="21"/>
                <w:color w:val="auto"/>
                <w:vertAlign w:val="superscript"/>
              </w:rPr>
              <w:t>(1)</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14,019</w:t>
            </w:r>
          </w:p>
        </w:tc>
      </w:tr>
      <w:tr>
        <w:trPr>
          <w:trHeight w:val="210"/>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39,616</w:t>
            </w:r>
          </w:p>
        </w:tc>
      </w:tr>
      <w:tr>
        <w:trPr>
          <w:trHeight w:val="20"/>
        </w:trPr>
        <w:tc>
          <w:tcPr>
            <w:tcW w:w="2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In-process software development costs are costs for software that is not yet available for its intended use or general release to customers as of balance sheet date, thus not yet amortized.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8.2: Amortization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related to:</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2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Software development costs – cost of sales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development costs – research and development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intangible assets – general and administrative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80" w:firstLine="8"/>
        <w:spacing w:after="0"/>
        <w:tabs>
          <w:tab w:leader="none" w:pos="14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Amortization expense for software development costs related to assets to be sold, leased, or otherwise marketed is charged under cost of sales on the unaudited consolidated statements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OTHER BALANCE SHEET COMPONENTS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9.1: Details of Other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7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Investment </w:t>
            </w:r>
            <w:r>
              <w:rPr>
                <w:rFonts w:ascii="Times New Roman" w:cs="Times New Roman" w:eastAsia="Times New Roman" w:hAnsi="Times New Roman"/>
                <w:sz w:val="21"/>
                <w:szCs w:val="21"/>
                <w:color w:val="auto"/>
                <w:vertAlign w:val="superscript"/>
              </w:rPr>
              <w:t>(1)</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23"/>
        </w:trPr>
        <w:tc>
          <w:tcPr>
            <w:tcW w:w="70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right="20" w:firstLine="8"/>
        <w:spacing w:after="0" w:line="263" w:lineRule="auto"/>
        <w:tabs>
          <w:tab w:leader="none" w:pos="145"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March 2024, the Company made a $3.0 million investment in a privately held company via a simple agreement for future equity. The Company elected to apply the fair value option on this investment. The Company believes the fair value option best reflects the economics of the underlying transaction. During the three and six months ended June 30, 2024, the Company did not note any changes in the fair value.</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9.2: Details of Accounts Payable and Other Accrued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w:t>
            </w:r>
          </w:p>
        </w:tc>
        <w:tc>
          <w:tcPr>
            <w:tcW w:w="0" w:type="dxa"/>
            <w:vAlign w:val="bottom"/>
          </w:tcPr>
          <w:p>
            <w:pPr>
              <w:spacing w:after="0"/>
              <w:rPr>
                <w:sz w:val="1"/>
                <w:szCs w:val="1"/>
                <w:color w:val="auto"/>
              </w:rPr>
            </w:pPr>
          </w:p>
        </w:tc>
      </w:tr>
      <w:tr>
        <w:trPr>
          <w:trHeight w:val="234"/>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580" w:type="dxa"/>
            <w:vAlign w:val="bottom"/>
            <w:tcBorders>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Table 9.3: Details of Other Current Liabilities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00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0" w:type="dxa"/>
            <w:vAlign w:val="bottom"/>
          </w:tcPr>
          <w:p>
            <w:pPr>
              <w:spacing w:after="0"/>
              <w:rPr>
                <w:sz w:val="1"/>
                <w:szCs w:val="1"/>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 accrual</w:t>
            </w:r>
          </w:p>
        </w:tc>
        <w:tc>
          <w:tcPr>
            <w:tcW w:w="1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7"/>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DEBT AND OTHER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30, 2022,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Credit Agreement will accrue interest, at our option, at one of three variable rates, plus a specified margin. We can elect to borrow at</w:t>
      </w:r>
    </w:p>
    <w:p>
      <w:pPr>
        <w:spacing w:after="0" w:line="27" w:lineRule="exact"/>
        <w:rPr>
          <w:sz w:val="20"/>
          <w:szCs w:val="20"/>
          <w:color w:val="auto"/>
        </w:rPr>
      </w:pPr>
    </w:p>
    <w:p>
      <w:pPr>
        <w:ind w:firstLine="8"/>
        <w:spacing w:after="0" w:line="251"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Loan under the Credit Agreement is collateralized by substantially all of the Company's assets, including the Company's pledge of its domestic and material foreign subsidiary equity interests.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June 30, 2024.</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occurrence of an event of default under the Credit Agreement could result in the Loan and other obligations becoming immediately due and payable and allow the Lenders to exercise all rights and remedies available to them under the Credit Agreement.</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entered into a Master Purchase Agreement ("MPA") with a third-party buyer ("Buyer") for $9.1 million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the Buyer and Telos will cooperate in preparing such a claim, which would be filed in Telos' name. The buyer has notified Telos of its intent to pursue a claim against the customer.</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No gain was reported for the three months ended June 30, 2023. For the six months ended June 30, 2023, the Company reported a gain of $1.4 million, which was recorded as "Other income" in the unaudited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STOCK-BASED COMPENSATION</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grants stock-based compensation awards under the Amended and Restated 2016 Omnibus Long-Term Incentive Plan (the "2016 LTIP"). We have granted stock options, restricted stock units with time-based vesting ("RSUs") and restricted stock units with performance-based vesting ("PSUs"). Awards granted under the 2016 LTIP vest over the periods determined by the Board of Directors or the Compensation Committee of the Board of Directors, which has the discretion to establish the terms, conditions and criteria of the various awards. The RSUs granted to eligible employees generally vest in installments over a period of up to three years. PSUs will vest upon the achievement of a defined performance target or market conditions for the Company's common stock or certain operational milestones over a prescribed period.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May 21, 2024, the Company authorized an additional 8,500,000 shares to be available under the 2016 LTIP, increasing the total number of shares available for issuance under the 2016 LTIP to 21,959,913 shares.</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May 16, 2024, the Company granted PSUs that could be settled in up to 1,335,281 shares of its common stock to certain senior executives and employees that will vest upon achieving certain operational milestones prior to January 1, 2027.</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28, 2024, the Company granted certain PSUs to certain senior executives and employees that could settle in up to 2,499,945 shares of its common stock. These PSUs may vest only if the Company achieves certain revenue and free cash flow targets for fiscal year 2025. The Company also granted certain PSUs containing market conditions to certain executives that could settle in up to 6,875,000 shares of its common stock. These PSUs with market conditions may vest, in whole or in part, only if the Company's closing common stock price remains at or above certain specified stock prices for 50 consecutive calendar days prior to January 1, 2027.</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for each tranche of the stock-based compensation awards subject to market conditions on the date of grant using a Monte Carlo simulation valuation model. Monte Carlo approaches are a class of computational algorithms that rely on repeated random sampling to compute their results. This approach allows the calculation of the value of such PSUs based on a large number of possible stock price path scenarios. The risk-free rate is based on the U.S. treasury zero-coupon issues in effect at the time of grant over the performance period. The expense for these awards is recognized over the derived service period as determined through the Monte Carlo simulation model.</w:t>
      </w:r>
    </w:p>
    <w:p>
      <w:pPr>
        <w:spacing w:after="0" w:line="1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key assumptions include a performance period of 2.59 years, an expected volatility of 83.9%, and a risk-free rate of 4.7%. The fair value for these market condition PSUs at the grant date ranges between $2.62 - $3.75, and the derived service periods ranges between 0.63 - 1.31 years.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these performance-based awards whose vesting is subject to the achievement of performance targets and fulfillment of the market conditions described above is recognized over the requisite service period for each tranche on a graded-vesting basis at the time the achievement of the condition becomes probable.</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Stock-based compensation expense recognized for restricted stock units and stock options granted to employees and non-employees is included in the unaudited consolidated statements of operations, net of adjustments. There were no income tax benefits recognized on the share-based compensation expense for the three and six months ended June 30, 2024 and 2023. For the three and six months ended June 30, 2024, the performance targets for outstanding PSUs granted prior to 2024 were not probable of being achieved. Therefore, the Company recorded a cumulative catch-up adjustment for the change in its probability assessment, resulting in a $1.2 million decrease in stock-based compensation expense.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11.1: Details of Stock Compensation Expense by Category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9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4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4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15,076</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17,244</w:t>
            </w:r>
          </w:p>
        </w:tc>
      </w:tr>
      <w:tr>
        <w:trPr>
          <w:trHeight w:val="23"/>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11.2: Restricted Stock Unit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Service-Based</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Performance-Based</w:t>
            </w:r>
          </w:p>
        </w:tc>
        <w:tc>
          <w:tcPr>
            <w:tcW w:w="14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Total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color w:val="auto"/>
              </w:rPr>
              <w:t>Grant Date Fair</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2,132,613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1,775,180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10,710,226</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12,485,406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(1,667,398)</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(1,667,398)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outstanding units as of June 30,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2,206,395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10,754,026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12,960,421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June 30, 2024, the intrinsic value of the RSUs and PSUs outstanding, exercisable, and vested or expected to vest was $52.1 million. There was approximately $30.4 million of total compensation costs related to stock-based awards not yet recognized as of June 30, 2024, which is expected to be recognized on a straight-line basis over a weighted-average remaining vesting period of 1.2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11.3: Stock Option Activity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Weighted-Average</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Stock 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Weighted-Average</w:t>
            </w: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Remaining</w:t>
            </w:r>
          </w:p>
        </w:tc>
        <w:tc>
          <w:tcPr>
            <w:tcW w:w="100" w:type="dxa"/>
            <w:vAlign w:val="bottom"/>
          </w:tcPr>
          <w:p>
            <w:pPr>
              <w:spacing w:after="0"/>
              <w:rPr>
                <w:sz w:val="14"/>
                <w:szCs w:val="14"/>
                <w:color w:val="auto"/>
              </w:rPr>
            </w:pPr>
          </w:p>
        </w:tc>
        <w:tc>
          <w:tcPr>
            <w:tcW w:w="1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Aggregate Intrinsic</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4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Contractual Term (in</w:t>
            </w: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Exercise Price</w:t>
            </w: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years)</w:t>
            </w:r>
          </w:p>
        </w:tc>
        <w:tc>
          <w:tcPr>
            <w:tcW w:w="100" w:type="dxa"/>
            <w:vAlign w:val="bottom"/>
          </w:tcPr>
          <w:p>
            <w:pPr>
              <w:spacing w:after="0"/>
              <w:rPr>
                <w:sz w:val="18"/>
                <w:szCs w:val="18"/>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740,000</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cancelled, or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option balance as of June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759,240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stock option as of June 30, 2024</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759,240</w:t>
            </w:r>
          </w:p>
        </w:tc>
        <w:tc>
          <w:tcPr>
            <w:tcW w:w="0" w:type="dxa"/>
            <w:vAlign w:val="bottom"/>
          </w:tcPr>
          <w:p>
            <w:pPr>
              <w:spacing w:after="0" w:line="20" w:lineRule="exact"/>
              <w:rPr>
                <w:sz w:val="1"/>
                <w:szCs w:val="1"/>
                <w:color w:val="auto"/>
              </w:rPr>
            </w:pPr>
          </w:p>
        </w:tc>
      </w:tr>
      <w:tr>
        <w:trPr>
          <w:trHeight w:val="184"/>
        </w:trPr>
        <w:tc>
          <w:tcPr>
            <w:tcW w:w="5160" w:type="dxa"/>
            <w:vAlign w:val="bottom"/>
            <w:vMerge w:val="continue"/>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342,000</w:t>
            </w:r>
          </w:p>
        </w:tc>
        <w:tc>
          <w:tcPr>
            <w:tcW w:w="20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stock option awards and the quoted closing price of the Company's common stock as of June 30, 2024.</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including the stock options granted to directors, is expensed on a straight-line basis over the vesting period of one year, as the annual stockholders meeting is expected to occur at the same approximate time each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there were no unrecognized compensation costs related to non-vested stock options.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SHARE REPURCHASES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24, 2022, the Company announced that the Board of Directors approved a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w:t>
      </w:r>
    </w:p>
    <w:p>
      <w:pPr>
        <w:spacing w:after="0" w:line="12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There were no share repurchases during the three and six months ended June 30, 2024, and 2023. As of June 30, 2024, there was approximately $38.7 million of the authorization remaining for future common stock repurchases under the SRP.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ACCUMULATED OTHER COMPREHENSIVE LOSS</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 income.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13: Details of Changes in Accumulated Other Comprehensive Loss by Category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Pension liability</w:t>
            </w: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6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color w:val="auto"/>
                <w:w w:val="99"/>
              </w:rPr>
              <w:t>adjustment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LOSS PER SHARE</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period of net loss, potentially dilutive securities are not included in the calculation of diluted net earnings (loss) per share, because to do so would be anti-dilutive.</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14: Potentially Dilutive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Six Months Ended</w:t>
            </w: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color w:val="auto"/>
                <w:w w:val="99"/>
              </w:rPr>
              <w:t>2023</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4"/>
          </w:tcPr>
          <w:p>
            <w:pPr>
              <w:ind w:left="10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shares – unvested restricted stock units and stock</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1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and 2023, the outstanding PSUs aggregating to 9,418,745 and 265,608 shares, respectively, have been excluded from the calculation of potentially dilutive securities above because the issuance of shares is contingent upon certain conditions which were not satisfied by the end of the current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RELATED PARTY TRANSACTIONS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Emmett J. Wood, the brother of our Chairman and CEO, had been an employee of the Company since 1996. In January 2023, he tendered his resignation as an employee effective February 7, 2023. The amount paid to him as compensation for his remaining tenure in 2023 was $249,000.</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One of the Company’s directors served as a consultant to the Company under a consultancy agreement that expired on December 31, 2023. The Company, at its election, paid the director's 2023 consultancy fees in a fixed amount, in the form of RSUs. On January 3, 2023, the Company granted the director 16,859 RSUs for his consulting services through June 30, 2023, one-half of which vested on March 3, 2023, and the other half vested on May 18, 2023. Beginning in July 2023, the director was paid a firm-fixed monthly retainer fee, plus additional fees and contingent bonus payments upon achievement of certain contract goals, payable in cash through the expiration of the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SEGMENT INFORMATION</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operate our business in two reportable and operating segments: Security Solutions and Secure Networks. These segments enable the alignment of our strategies and objectives and provide a framework for the timely and rational allocation of resources within the business lines.</w:t>
      </w:r>
    </w:p>
    <w:p>
      <w:pPr>
        <w:spacing w:after="0" w:line="9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Our Security Solutions segment is primarily focused on cybersecurity, cloud and identity solutions, and secure messaging through Xacta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Telos Ghost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Telos Advanced Cyber Analytics ("Telos ACA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Telos Automated Message Handling System ("Telos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or cybersecurity solutions during the period. The majority of the operating costs relate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9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16: Results of Operations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48"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6"/>
          <w:szCs w:val="16"/>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1885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5460"/>
        <w:spacing w:after="0"/>
        <w:tabs>
          <w:tab w:leader="none" w:pos="6960" w:val="left"/>
        </w:tabs>
        <w:rPr>
          <w:sz w:val="20"/>
          <w:szCs w:val="20"/>
          <w:color w:val="auto"/>
        </w:rPr>
      </w:pPr>
      <w:r>
        <w:rPr>
          <w:rFonts w:ascii="Times New Roman" w:cs="Times New Roman" w:eastAsia="Times New Roman" w:hAnsi="Times New Roman"/>
          <w:sz w:val="16"/>
          <w:szCs w:val="16"/>
          <w:color w:val="auto"/>
        </w:rPr>
        <w:t>June 30, 2024</w:t>
      </w:r>
      <w:r>
        <w:rPr>
          <w:sz w:val="20"/>
          <w:szCs w:val="20"/>
          <w:color w:val="auto"/>
        </w:rPr>
        <w:tab/>
      </w:r>
      <w:r>
        <w:rPr>
          <w:rFonts w:ascii="Times New Roman" w:cs="Times New Roman" w:eastAsia="Times New Roman" w:hAnsi="Times New Roman"/>
          <w:sz w:val="16"/>
          <w:szCs w:val="16"/>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18859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20320</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June 30, 2024</w:t>
      </w:r>
      <w:r>
        <w:rPr>
          <w:sz w:val="20"/>
          <w:szCs w:val="20"/>
          <w:color w:val="auto"/>
        </w:rPr>
        <w:tab/>
      </w:r>
      <w:r>
        <w:rPr>
          <w:rFonts w:ascii="Times New Roman" w:cs="Times New Roman" w:eastAsia="Times New Roman" w:hAnsi="Times New Roman"/>
          <w:sz w:val="16"/>
          <w:szCs w:val="16"/>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20320</wp:posOffset>
            </wp:positionV>
            <wp:extent cx="1903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7900" w:space="620"/>
            <w:col w:w="272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17,867</w:t>
            </w:r>
          </w:p>
        </w:tc>
        <w:tc>
          <w:tcPr>
            <w:tcW w:w="8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17,196</w:t>
            </w:r>
          </w:p>
        </w:tc>
        <w:tc>
          <w:tcPr>
            <w:tcW w:w="8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36,507</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31,164</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32,911</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58,117</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68,133</w:t>
            </w:r>
          </w:p>
        </w:tc>
      </w:tr>
      <w:tr>
        <w:trPr>
          <w:trHeight w:val="19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Security Solutions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Secure Networks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profit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25,841</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16,892</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42,799</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(18,725)</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w:t>
            </w:r>
          </w:p>
        </w:tc>
      </w:tr>
      <w:tr>
        <w:trPr>
          <w:trHeight w:val="21"/>
        </w:trPr>
        <w:tc>
          <w:tcPr>
            <w:tcW w:w="5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claims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believes that the outcome of such known matters will not have a material adverse effect on the Company's business or its unaudited consolidated financial statements as of June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 Government Contracts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SUPPLEMENTAL CASH FLOW INFORMATION</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18.1: Details of Cash, Cash Equivalents,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7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52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99,260</w:t>
            </w:r>
          </w:p>
        </w:tc>
      </w:tr>
      <w:tr>
        <w:trPr>
          <w:trHeight w:val="216"/>
        </w:trPr>
        <w:tc>
          <w:tcPr>
            <w:tcW w:w="7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2"/>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Restricted cash consists of a commercial money market account held as a deposit on the Ashburn lease and is included within "Other assets" on the unaudited consolidated balance sheets.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18.2: Supplemental Cash Flow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740" w:type="dxa"/>
            <w:vAlign w:val="bottom"/>
            <w:tcBorders>
              <w:top w:val="single" w:sz="8" w:color="auto"/>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For the Six Months Ended</w:t>
            </w:r>
          </w:p>
        </w:tc>
        <w:tc>
          <w:tcPr>
            <w:tcW w:w="50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50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60" w:type="dxa"/>
            <w:vAlign w:val="bottom"/>
            <w:gridSpan w:val="3"/>
          </w:tcPr>
          <w:p>
            <w:pPr>
              <w:jc w:val="right"/>
              <w:ind w:right="111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8"/>
                <w:szCs w:val="18"/>
                <w:color w:val="auto"/>
              </w:rPr>
            </w:pP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ROU assets obtained in exchange for operating lease liabilities</w:t>
            </w: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 activity in accounts payable and other accrued liabilities</w:t>
            </w:r>
          </w:p>
        </w:tc>
        <w:tc>
          <w:tcPr>
            <w:tcW w:w="1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401K match</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0"/>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transferred to extinguish other financing obligations</w:t>
            </w:r>
          </w:p>
        </w:tc>
        <w:tc>
          <w:tcPr>
            <w:tcW w:w="15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7,089</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20"/>
        <w:spacing w:after="0" w:line="40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2023, as filed with the Securities and Exchange Commission on March 15,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Business Overview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Information regarding our two reportable segments – Security Solutions and Secure Networks – is presented in </w:t>
      </w:r>
      <w:r>
        <w:rPr>
          <w:rFonts w:ascii="Times New Roman" w:cs="Times New Roman" w:eastAsia="Times New Roman" w:hAnsi="Times New Roman"/>
          <w:sz w:val="18"/>
          <w:szCs w:val="18"/>
          <w:u w:val="single" w:color="auto"/>
          <w:color w:val="0000FF"/>
        </w:rPr>
        <w:t>Note 16 - Segment Information</w:t>
      </w:r>
      <w:r>
        <w:rPr>
          <w:rFonts w:ascii="Times New Roman" w:cs="Times New Roman" w:eastAsia="Times New Roman" w:hAnsi="Times New Roman"/>
          <w:sz w:val="18"/>
          <w:szCs w:val="18"/>
          <w:color w:val="auto"/>
        </w:rPr>
        <w:t xml:space="preserve"> to the unaudited consolidated financial statements at Item 1 of this Form 10-Q.</w:t>
      </w:r>
    </w:p>
    <w:p>
      <w:pPr>
        <w:spacing w:after="0" w:line="10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restructuring initiatives carried out by the Company in fiscal year 2023 are exhibiting promising outcomes in fiscal year 2024 in the form of new business wins. The Company will continue to focus on optimizing its solution portfolio, expanding its business pipeline, strengthening proposals for new business and building a healthy culture by engaging employees through improved synergy, performance management, and benefits. With this foundation established, the Company's priorities for fiscal year 2024 include beginning to execute on significant new business wins with our prime partners (pending favorable outcomes on ongoing protests), ramping TSA PreCheck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enrollment sites to achieve program growth, and strategically increasing the Company's business development pipeline.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Budget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After using continuing resolutions (“CRs”) to fund the government for the first six months of fiscal year (“FY”) 2024 at the previous year’s levels, Congress completed action in late March on all appropriations bills for FY2024. This has allowed federal departments and agencies to begin proceeding with new program starts and acceleration for the final six months of the fiscal year. With the enactment of the Fiscal Responsibility Act ("FRA"), appropriations bills were marked up in the House and Senate in June and July. The FRA caps total base discretionary spending at $1.6 trillion for FY 2024, with base defense spending capped at $886 billion (a three percent increase from FY 2023) and base non-defense spending capped at $704 billion (up to a nine percent decrease from FY 2023, depending on how it is measured).</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will be debate in Congress on whether to adjust the spending caps in order to boost defense spending to meet increased challenges abroad. Of interest, the Senate passed a package of national security-oriented bills passed by the House on April 20, 2024, that provided supplemental appropriations for Israel, Ukraine, and the Indo-Pacific, as well as a fourth bill that addressed sanctions and other economic concerns. Three of the four bills being considered provide roughly $96 billion in new budget authority. The proposed budget also calls for new increases in funding for non-defense cybersecurity programs and initiatives, many of which continue to prioritize accelerated cloud adoption, IT modernization, further private sector collaboration for sector risk management responsibilities, ensuring adequate cyber threat information sharing, and supply chain risk management. These priorities continue to align with the solutions Telos has been developing and bringing to market for the past several years. However, in the current political environment in Congress and with the presidential election looming in November 2024, it is highly questionable whether Congress and the President can reach an agreement on FY2025 appropriations bills prior to the start of FY2025 on October 1, 2024; this means the Defense Department along with the rest of the federal government will likely begin the fiscal year funded by a CR at FY2024 spending levels.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Landscape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recent years, we have seen cybersecurity threats become more complex, with threat actors leveraging a wide variety of tactics to exploit their victims.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growing threat, below are some trends to consider when looking at the cybersecurity landscape:</w:t>
      </w:r>
    </w:p>
    <w:p>
      <w:pPr>
        <w:spacing w:after="0" w:line="1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Rising Threats, Rising Liability: </w:t>
      </w:r>
      <w:r>
        <w:rPr>
          <w:rFonts w:ascii="Times New Roman" w:cs="Times New Roman" w:eastAsia="Times New Roman" w:hAnsi="Times New Roman"/>
          <w:sz w:val="18"/>
          <w:szCs w:val="18"/>
          <w:color w:val="auto"/>
        </w:rPr>
        <w:t>Ransomware remains arguably the most severe cyber threat to enterprises in the commercial, state, and local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education sectors. One reason for the rise of ransomware attacks is that it is exceedingly profitable for cybercriminals, and ransomware victims generally settle the ransom rather than restoring the system from backups or dealing with the fallout from a data breach. Aside from the financial costs of paying the ransom and restoring the system, the consequences of a successful ransomware attack can include damage to the organization's reputation, stolen sensitive data being used for malicious purposes, and loss of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Nation's Critical Systems Are Still at Risk: </w:t>
      </w:r>
      <w:r>
        <w:rPr>
          <w:rFonts w:ascii="Times New Roman" w:cs="Times New Roman" w:eastAsia="Times New Roman" w:hAnsi="Times New Roman"/>
          <w:sz w:val="18"/>
          <w:szCs w:val="18"/>
          <w:color w:val="auto"/>
        </w:rPr>
        <w:t>Critical infrastructure and industrial IoT are among the categories at greatest risk of cyberattacks.</w:t>
      </w:r>
    </w:p>
    <w:p>
      <w:pPr>
        <w:spacing w:after="0" w:line="1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Challenging Complexity of Regulatory Compliance: </w:t>
      </w:r>
      <w:r>
        <w:rPr>
          <w:rFonts w:ascii="Times New Roman" w:cs="Times New Roman" w:eastAsia="Times New Roman" w:hAnsi="Times New Roman"/>
          <w:sz w:val="18"/>
          <w:szCs w:val="18"/>
          <w:color w:val="auto"/>
        </w:rPr>
        <w:t>Government mandates stronger security in highly regulated industries. These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and audit fatigue continue to burden highly regulated organizations, with automation solutions being recognized as the most effective remedy for the many repetitive and redundant tasks that security compliance requires.</w:t>
      </w:r>
    </w:p>
    <w:p>
      <w:pPr>
        <w:spacing w:after="0" w:line="121"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Additionally, the SEC has finalized and adopted new cybersecurity rules for publicly traded companies, which (if they survive challenges in court) will require registrants to disclose additional cyber-related information in their regulatory filings. Specifically, registrants will have to: (1) regularly disclose their governance methods, risk analysis and management processes; (2) meet specific disclosure requirements and deadlines for reporting and describing material cyber incidents; and (3) describe the board's oversight of risks from cybersecurity threats, and management's expertise and role in assessing and managing material risks from cybersecurity threats. The required reporting of this information will lead many companies to proactively establish policies that will improve their cyber risk management posture and enable them to better withstand heightened public and regulatory scrutiny.</w:t>
      </w:r>
    </w:p>
    <w:p>
      <w:pPr>
        <w:spacing w:after="0" w:line="13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Identity Assurance and Privacy Protection are Essential for Today's Enterprises: </w:t>
      </w:r>
      <w:r>
        <w:rPr>
          <w:rFonts w:ascii="Times New Roman" w:cs="Times New Roman" w:eastAsia="Times New Roman" w:hAnsi="Times New Roman"/>
          <w:sz w:val="18"/>
          <w:szCs w:val="18"/>
          <w:color w:val="auto"/>
        </w:rPr>
        <w:t>Identity and access management continues to be a major cybersecurity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concern for organizations and individuals that need to ensure their security and protect their privacy. Trusted identities are essential to confidence in IT and physical security strategies and to the success of Zero Trust security models and architectures.</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Artificial Intelligence</w:t>
      </w:r>
      <w:r>
        <w:rPr>
          <w:rFonts w:ascii="Times New Roman" w:cs="Times New Roman" w:eastAsia="Times New Roman" w:hAnsi="Times New Roman"/>
          <w:sz w:val="18"/>
          <w:szCs w:val="18"/>
          <w:color w:val="auto"/>
        </w:rPr>
        <w:t>: Cybercriminals are using Artificial Intelligence ("AI") to launch more sophisticated attacks that can quickly adapt to 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environments, making detection harder. To protect against AI-powered cyberattacks, organizations must stay vigilant and adopt advanced cybersecurity tools and techniques that can detect and respond to these threats in a timely manner before they cause damage.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have contributed to our second quarter ended June 30, 2024 results of operations, the most significant of which are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details on these changes are presented below within our "Results of Operations" section.</w:t>
      </w:r>
    </w:p>
    <w:p>
      <w:pPr>
        <w:spacing w:after="0" w:line="15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year-over-year revenue primarily driven by successful completion and ramp down of programs in Secure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TSA PreCheck revenue driven by the increase in our TSA PreCheck enrollment locations.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gross margins primarily driven by the impact of increased amortization of software development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operating costs primarily due to lower stock-based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1: Consolidated Results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48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2023</w:t>
            </w:r>
          </w:p>
        </w:tc>
      </w:t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32,911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58,117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68,133</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18,791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20,552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37,449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42,292</w:t>
            </w: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25,841</w:t>
            </w:r>
          </w:p>
        </w:tc>
      </w:tr>
      <w:tr>
        <w:trPr>
          <w:trHeight w:val="215"/>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Gross margin</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34.1 %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35.6 %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37.9 %</w:t>
            </w:r>
          </w:p>
        </w:tc>
      </w:tr>
      <w:tr>
        <w:trPr>
          <w:trHeight w:val="21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("R&amp;D") expenses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5,479</w:t>
            </w:r>
          </w:p>
        </w:tc>
      </w:tr>
      <w:tr>
        <w:trPr>
          <w:trHeight w:val="214"/>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R&amp;D expenses as percentage of revenue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8.0 %</w:t>
            </w:r>
          </w:p>
        </w:tc>
      </w:tr>
      <w:tr>
        <w:trPr>
          <w:trHeight w:val="21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("SG&amp;A") expenses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42,799</w:t>
            </w:r>
          </w:p>
        </w:tc>
      </w:tr>
      <w:tr>
        <w:trPr>
          <w:trHeight w:val="214"/>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i w:val="1"/>
                <w:iCs w:val="1"/>
                <w:color w:val="auto"/>
              </w:rPr>
              <w:t>SG&amp;A expenses as percentage of revenue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59.3 %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58.3 %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57.0 %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62.8 %</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(17,082)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(22,437)</w:t>
            </w:r>
          </w:p>
        </w:tc>
      </w:tr>
      <w:tr>
        <w:trPr>
          <w:trHeight w:val="213"/>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4,145</w:t>
            </w: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(18,725)</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(18,770)</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segments have different factors driving revenue fluctuations and profitability. The discussion of the changes in our revenue and profitability are covered in greater detail in the following section, "Segment Results." We generate revenue from the delivery of products and services to our customers. Cost of sales, for both products and services, consists of labor, materials, subcontracting costs and an allocation of indirect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 expenses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second quarter of 2024, R&amp;D expenses decreased by $1.2 million, or 44.9%, compared to the same quarter in 2023. Similarly, R&amp;D expenses decreased by $0.9 million, or 15.5%, for the six months ended June 30, 2024, compared to the same period in the prior year. The decreases in R&amp;D expenses for both periods were primarily due to the completion of certain development projects in 2023 and lower stock-based compensation expenses, partially offset by lower capitalization and higher amortization expense.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 expenses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June 30, 2024 decreased by $2.3 million, or 11.9%, compared to the same period in 2023. Likewise, SG&amp;A expenses decreased by $9.7 million, or 22.6%, for the six months ended June 30, 2024, compared to the same period in the prior year. The decreases in SG&amp;A expense for both periods were primarily due to the decline in stock-based compensation costs, depreciation and amortization expenses, and outside services, partially offset by an increase in labor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there were $1.2 million of restructuring expenses for the six months ended June 30, 2023, with no similar charges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income decreased by $0.6 million for the three months ended June 30, 2024, compared to the same period in 2023, due to the change in dividend income from money market placements.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income for the six months ended June 30, 2024 was $2.3 million as compared to $4.1 million for the six months ended June 30, 2023. The decrease was primarily due to the gain on early extinguishment of other financing obligations of $1.4 million in fiscal year 2023, without a similar gain in fiscal year 2024. The remaining variance is attributable to the change in dividend income from money market placements.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accounting policies of each business segment are the same as those followed by the Company as a whole. Management evaluates business segment performance based on gross profit.</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2: Security Solutions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17,867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17,196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36,969</w:t>
            </w:r>
          </w:p>
        </w:tc>
        <w:tc>
          <w:tcPr>
            <w:tcW w:w="0" w:type="dxa"/>
            <w:vAlign w:val="bottom"/>
          </w:tcPr>
          <w:p>
            <w:pPr>
              <w:spacing w:after="0"/>
              <w:rPr>
                <w:sz w:val="1"/>
                <w:szCs w:val="1"/>
                <w:color w:val="auto"/>
              </w:rPr>
            </w:pPr>
          </w:p>
        </w:tc>
      </w:tr>
      <w:tr>
        <w:trPr>
          <w:trHeight w:val="207"/>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2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7,477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16,806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sales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10,602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7,645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20,616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17,144</w:t>
            </w: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7,265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15,891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19,825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40.7 %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55.5 %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43.5 %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53.6 %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Security Solutions segment revenue slightly increased by $0.7 million, or 3.9%, compared to the same period in 2023, primarily due to the growth in TSA PreCheck, partially offset by contraction elsewhere in the portfolio.</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Security Solutions segment revenue for the six months ended June 30, 2024, slightly decreased by $0.5 million, or 1.2%, compared to the same period in 2023, primarily due to the reductions in two large programs, partially offset by the growth in TSA PreCheck.</w:t>
      </w:r>
    </w:p>
    <w:p>
      <w:pPr>
        <w:spacing w:after="0" w:line="1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Security Solutions gross profit for the second quarter of 2024 decreased by $2.3 million, or 23.9%, compared with the same period in 2023. Likewise, segment gross profit for the six months ended June 30, 2024, decreased by $3.9 million, or 19.8%, compared to the same period in 2023. In addition, Security Solution gross margin for the second quarter of 2024 decreased from 55.5% to 40.7%, while year to date segment gross margin decreased from 53.6% to 43.5%. The decrease in gross profit and gross margin for the three and six months ended June 30, 2024, was primarily due to the increased amortization of software development costs and program mix within the portfolio.</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3: Secure Networks Segment - Financial Results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2024</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15,715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21,610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31,164</w:t>
            </w:r>
          </w:p>
        </w:tc>
        <w:tc>
          <w:tcPr>
            <w:tcW w:w="0" w:type="dxa"/>
            <w:vAlign w:val="bottom"/>
          </w:tcPr>
          <w:p>
            <w:pPr>
              <w:spacing w:after="0"/>
              <w:rPr>
                <w:sz w:val="1"/>
                <w:szCs w:val="1"/>
                <w:color w:val="auto"/>
              </w:rPr>
            </w:pPr>
          </w:p>
        </w:tc>
      </w:tr>
      <w:tr>
        <w:trPr>
          <w:trHeight w:val="207"/>
        </w:trPr>
        <w:tc>
          <w:tcPr>
            <w:tcW w:w="4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2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12,905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25,140</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12,907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16,833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25,148</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2,808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6,016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17.9 %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19.3 %</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Secure Networks segment revenue for the three months ended June 30, 2024, decreased by $5.1 million, or 32.4%, compared to the same period in 2023. Likewise, Secure Network segment revenue for the six months ended June 30, 2024 decreased by $9.6 million, or 30.7%, compared to the same period in 2023. The decrease in revenue for the three and six months ended June 30, 2024, is primarily due to the successful completion and ramp down of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Secure Networks slightly decreased by $0.4 million, or 13.0%, for the second quarter of 2024, compared with the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gross profit for the six months ended June 30, 2024, decreased by $1.2 million, or 20.6%, compared to the same period in 2023. The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three and six months ended June 30, 2024, is primarily due to lower revenue, partially offset by improved margin across the portfolio.</w:t>
      </w:r>
    </w:p>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Secure Networks gross margin increased to 23.0% for the second quarter of 2024 from 17.9% for the same period in 2023. Likewise, segment gross margin in the first half of 2024 increased from 19.3% in 2023 to 22.1% in 2024. The gross margin expansion, for the three and six months ended June 30, 2024, is primarily due to strong program management and favorable program mix.</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non-GAAP financial measures of EBITDA, Adjusted EBITDA, EBITDA Margin, Adjusted EBITDA Margin, Adjusted Net (Loss) Income, Adjusted Earnings Per Share ("EPS"), Cash Gross Profit, Cash Gross Margin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EBITDA Margin and Adjusted EBITDA Margin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EBITDA, Adjusted EBITDA, EBITDA Margin and Adjusted EBITDA Margin are supplemental measures of operating performance that are not made under GAAP and do not represent, and should not be considered as, an alternative to net loss as determined by GAAP. We define EBITDA as net (loss) income, adjusted for non-operating (income) expense, interest expense, provision for (benefit from) income taxes, and depreciation and amortization. We define Adjusted EBITDA as EBITDA, adjusted for stock-based compensation expense and restructuring expenses. We define EBITDA Margin as EBITDA as a percentage of total revenue. We define Adjusted EBITDA Margin as Adjusted EBITDA as a percentage of total revenue.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believe that EBITDA, EBITDA Margin, Adjusted EBITDA and Adjusted EBITDA Margin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 Further, Adjusted EBITDA is used by the Board and management to prepare and approve our annual budget, and to evaluate the performance of certain management personnel when determining incentive compensation.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4: Reconciliation of Net Loss to EBITDA, Adjusted EBITDA and Adjusted EBITDA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color w:val="auto"/>
              </w:rPr>
              <w:t>For the Six Months Ended</w:t>
            </w:r>
          </w:p>
        </w:tc>
        <w:tc>
          <w:tcPr>
            <w:tcW w:w="1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(24.4 %)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(26.0)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(27.5) %</w:t>
            </w:r>
          </w:p>
        </w:tc>
        <w:tc>
          <w:tcPr>
            <w:tcW w:w="0" w:type="dxa"/>
            <w:vAlign w:val="bottom"/>
          </w:tcPr>
          <w:p>
            <w:pPr>
              <w:spacing w:after="0"/>
              <w:rPr>
                <w:sz w:val="1"/>
                <w:szCs w:val="1"/>
                <w:color w:val="auto"/>
              </w:rPr>
            </w:pPr>
          </w:p>
        </w:tc>
      </w:tr>
      <w:tr>
        <w:trPr>
          <w:trHeight w:val="213"/>
        </w:trPr>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 %</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0.6 %</w:t>
            </w:r>
          </w:p>
        </w:tc>
        <w:tc>
          <w:tcPr>
            <w:tcW w:w="0" w:type="dxa"/>
            <w:vAlign w:val="bottom"/>
          </w:tcPr>
          <w:p>
            <w:pPr>
              <w:spacing w:after="0"/>
              <w:rPr>
                <w:sz w:val="1"/>
                <w:szCs w:val="1"/>
                <w:color w:val="auto"/>
              </w:rPr>
            </w:pPr>
          </w:p>
        </w:tc>
      </w:tr>
      <w:tr>
        <w:trPr>
          <w:trHeight w:val="213"/>
        </w:trPr>
        <w:tc>
          <w:tcPr>
            <w:tcW w:w="2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0.1 %</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11.4 %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4.5 %</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(18.1 %)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(28.4) %</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7.8 %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8.9 %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17,244</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25.3 %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expense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Restructuring (adjustments)</w:t>
            </w: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5"/>
              </w:rPr>
              <w:t>— %</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8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1.8 %</w:t>
            </w:r>
          </w:p>
        </w:tc>
        <w:tc>
          <w:tcPr>
            <w:tcW w:w="0" w:type="dxa"/>
            <w:vAlign w:val="bottom"/>
          </w:tcPr>
          <w:p>
            <w:pPr>
              <w:spacing w:after="0"/>
              <w:rPr>
                <w:sz w:val="1"/>
                <w:szCs w:val="1"/>
                <w:color w:val="auto"/>
              </w:rPr>
            </w:pPr>
          </w:p>
        </w:tc>
      </w:tr>
      <w:tr>
        <w:trPr>
          <w:trHeight w:val="216"/>
        </w:trPr>
        <w:tc>
          <w:tcPr>
            <w:tcW w:w="23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(9.1)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right="100" w:hanging="172"/>
        <w:spacing w:after="0" w:line="246" w:lineRule="auto"/>
        <w:tabs>
          <w:tab w:leader="none" w:pos="16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expense to EBITDA is made up of stock-based compensation expense for the awarded RSUs, PSUs, and stock options, and other sources. Stock-based compensation expense for the awarded RSUs, PSUs and stock options was $2.4 million and $4.1 million for the three and six months ended June 30, 2024, respectively, and $5.7 million and $13.6 million, for the three and six months ended June 30, 2023, respectively. Stock-based compensation (adjustments) expense from other sources was $(0.2) million and $1.1 million for the three and six months ended June 30, 2024, respectively and $2.1 million and $3.7 million for the three and six months ended June 30, 2023, respectively.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EBITDA.</w:t>
      </w:r>
    </w:p>
    <w:p>
      <w:pPr>
        <w:spacing w:after="0" w:line="149" w:lineRule="exact"/>
        <w:rPr>
          <w:rFonts w:ascii="Times New Roman" w:cs="Times New Roman" w:eastAsia="Times New Roman" w:hAnsi="Times New Roman"/>
          <w:sz w:val="19"/>
          <w:szCs w:val="19"/>
          <w:color w:val="auto"/>
          <w:vertAlign w:val="superscript"/>
        </w:rPr>
      </w:pPr>
    </w:p>
    <w:p>
      <w:pPr>
        <w:ind w:left="180" w:right="60" w:hanging="172"/>
        <w:spacing w:after="0" w:line="302" w:lineRule="auto"/>
        <w:tabs>
          <w:tab w:leader="none" w:pos="163"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(adjustments) expenses include severance and other related benefit costs (including outplacement services and continuing health insurance coverage), external consulting and advisory fees related to implementing the restructuring plan.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Income and Adjusted EPS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Adjusted Net (Loss) Income and Adjusted EPS are supplemental measures of operating performance that are not made under GAAP and do not represent, and should not be considered as, alternatives to net (loss) income as determined by GAAP. We define Adjusted Net (Loss) Income as net loss, adjusted for non-operating (income) expense, stock-based compensation expense and restructuring expense. We define Adjusted EPS as Adjusted Net (Loss) Income divided by the weighted-average number of common shares outstanding for the period.</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Adjusted Net (Loss) Income and Adjusted EPS provide the Board, management and investors with clear representation of our core operating performance and trends, provide greater visibility into the long-term financial performance of the Company, and eliminate the impact of items that do not relate to the ongoing operating performance of the business.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5: Reconciliation of Net Loss and GAAP EPS to Non-GAAP Adjusted Net Loss and Adjusted EPS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For the Six Months Ended</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June 30, 2024</w:t>
            </w:r>
          </w:p>
        </w:tc>
        <w:tc>
          <w:tcPr>
            <w:tcW w:w="160" w:type="dxa"/>
            <w:vAlign w:val="bottom"/>
          </w:tcPr>
          <w:p>
            <w:pPr>
              <w:spacing w:after="0"/>
              <w:rPr>
                <w:sz w:val="18"/>
                <w:szCs w:val="18"/>
                <w:color w:val="auto"/>
              </w:rPr>
            </w:pPr>
          </w:p>
        </w:tc>
        <w:tc>
          <w:tcPr>
            <w:tcW w:w="20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June 30, 2024</w:t>
            </w:r>
          </w:p>
        </w:tc>
        <w:tc>
          <w:tcPr>
            <w:tcW w:w="160" w:type="dxa"/>
            <w:vAlign w:val="bottom"/>
          </w:tcPr>
          <w:p>
            <w:pPr>
              <w:spacing w:after="0"/>
              <w:rPr>
                <w:sz w:val="18"/>
                <w:szCs w:val="18"/>
                <w:color w:val="auto"/>
              </w:rPr>
            </w:pPr>
          </w:p>
        </w:tc>
        <w:tc>
          <w:tcPr>
            <w:tcW w:w="200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Adjusted</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Adjusted</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Adjusted</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Adjusted</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9"/>
              <w:spacing w:after="0" w:line="158" w:lineRule="exact"/>
              <w:rPr>
                <w:sz w:val="20"/>
                <w:szCs w:val="20"/>
                <w:color w:val="auto"/>
              </w:rPr>
            </w:pPr>
            <w:r>
              <w:rPr>
                <w:rFonts w:ascii="Times New Roman" w:cs="Times New Roman" w:eastAsia="Times New Roman" w:hAnsi="Times New Roman"/>
                <w:sz w:val="16"/>
                <w:szCs w:val="16"/>
                <w:color w:val="auto"/>
              </w:rPr>
              <w:t>Adjusted</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Earnings Per</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Earnings Per</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Earnings Per</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color w:val="auto"/>
              </w:rPr>
              <w:t>Earnings Per</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Share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Share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Share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Share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62"/>
        </w:trPr>
        <w:tc>
          <w:tcPr>
            <w:tcW w:w="23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center"/>
              <w:ind w:left="439"/>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expense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Restructuring (adjustments)</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net loss (Non-GAAP</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(12,258)</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center"/>
              <w:ind w:left="419"/>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194"/>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w:t>
            </w: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Weighted-average shares of</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outstanding, basic</w:t>
            </w: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80" w:right="100" w:hanging="172"/>
        <w:spacing w:after="0" w:line="246" w:lineRule="auto"/>
        <w:tabs>
          <w:tab w:leader="none" w:pos="16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stock-based compensation expense to net loss is made up of stock-based compensation expense for the awarded RSUs, PSUs, and stock options, and other sources. Stock-based compensation expense for the awarded RSUs, PSUs and stock options was $2.4 million and $4.1 million for the three and six months ended June 30, 2024, respectively, and $5.7 million and $13.6 million, for the three and six months ended June 30, 2023, respectively. Stock-based compensation (adjustments) expense from other sources was $(0.2) million and $1.1 million for the three and six months ended June 30, 2024, respectively and $2.1 million and $3.7 million for the three and six months ended June 30, 2023, respectively.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Net (Loss) Income.</w:t>
      </w:r>
    </w:p>
    <w:p>
      <w:pPr>
        <w:spacing w:after="0" w:line="149" w:lineRule="exact"/>
        <w:rPr>
          <w:rFonts w:ascii="Times New Roman" w:cs="Times New Roman" w:eastAsia="Times New Roman" w:hAnsi="Times New Roman"/>
          <w:sz w:val="19"/>
          <w:szCs w:val="19"/>
          <w:color w:val="auto"/>
          <w:vertAlign w:val="superscript"/>
        </w:rPr>
      </w:pPr>
    </w:p>
    <w:p>
      <w:pPr>
        <w:ind w:left="180" w:right="60" w:hanging="172"/>
        <w:spacing w:after="0" w:line="302" w:lineRule="auto"/>
        <w:tabs>
          <w:tab w:leader="none" w:pos="163"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restructuring (adjustments) expenses include severance and other related benefit costs (including outplacement services and continuing health insurance coverage), external consulting and advisory fees related to implementing the restructuring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Gross Profit and Cash Gross Margin</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Cash Gross Profit and Cash Gross Margin are supplemental measures of operating performance that are not made under GAAP and do not represent, and should not be considered as, alternatives to gross profit and gross margin as determined by GAAP. We define Cash Gross Profit as gross profit, plus noncash charges for stock-based compensation expense, depreciation and amortization, as well as non-recurring items (such as restructuring expenses) charged under cost of sales. We define Cash Gross Margin as Cash Gross Profit as a percentage of total revenue.</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Gross Profit and Cash Gross Margin provide management and investors a clear representation of the core economics of gross profit and gross margin without the impact of non-cash expenses and sunk costs expended.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6: Reconciliation of Gross Profit to Cash Gross Profit; Gross Margin to Cash Gross Margin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color w:val="auto"/>
              </w:rPr>
              <w:t>For the Six Months Ended</w:t>
            </w:r>
          </w:p>
        </w:tc>
        <w:tc>
          <w:tcPr>
            <w:tcW w:w="10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June 30, 2024</w:t>
            </w:r>
          </w:p>
        </w:tc>
        <w:tc>
          <w:tcPr>
            <w:tcW w:w="180" w:type="dxa"/>
            <w:vAlign w:val="bottom"/>
          </w:tcPr>
          <w:p>
            <w:pPr>
              <w:spacing w:after="0"/>
              <w:rPr>
                <w:sz w:val="18"/>
                <w:szCs w:val="18"/>
                <w:color w:val="auto"/>
              </w:rPr>
            </w:pPr>
          </w:p>
        </w:tc>
        <w:tc>
          <w:tcPr>
            <w:tcW w:w="198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June 30, 2023</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Margin</w:t>
            </w:r>
          </w:p>
        </w:tc>
        <w:tc>
          <w:tcPr>
            <w:tcW w:w="0" w:type="dxa"/>
            <w:vAlign w:val="bottom"/>
          </w:tcPr>
          <w:p>
            <w:pPr>
              <w:spacing w:after="0"/>
              <w:rPr>
                <w:sz w:val="1"/>
                <w:szCs w:val="1"/>
                <w:color w:val="auto"/>
              </w:rPr>
            </w:pPr>
          </w:p>
        </w:tc>
      </w:tr>
      <w:tr>
        <w:trPr>
          <w:trHeight w:val="250"/>
        </w:trPr>
        <w:tc>
          <w:tcPr>
            <w:tcW w:w="2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37.9%</w:t>
            </w:r>
          </w:p>
        </w:tc>
        <w:tc>
          <w:tcPr>
            <w:tcW w:w="0" w:type="dxa"/>
            <w:vAlign w:val="bottom"/>
          </w:tcPr>
          <w:p>
            <w:pPr>
              <w:spacing w:after="0"/>
              <w:rPr>
                <w:sz w:val="1"/>
                <w:szCs w:val="1"/>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 — cost of sales</w:t>
            </w: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Depreciation and amortization —</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8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0.5%</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gross profit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12,754</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38.8 %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42.1%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26,738</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39.2 %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financial measure defined as net cash provided by (used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Free Cash Flow to understand the cash flows that directly correspond with our operations and the investments we must make in those operations, using a methodology that combines operating cash flows and capital expenditures. Further, Free Cash Flow may be useful to management and investors in evaluating the Company's operating performance and liquidity, and to evaluate the performance of certain management personnel when determining incentive compensation.</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7: Reconciliation of Net Cash Used in Operating Activities to Free Cash Flow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20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For the Six Months Ended</w:t>
            </w:r>
          </w:p>
        </w:tc>
      </w:tr>
      <w:tr>
        <w:trPr>
          <w:trHeight w:val="209"/>
        </w:trPr>
        <w:tc>
          <w:tcPr>
            <w:tcW w:w="5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June 30, 2023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2024</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June 30, 2023</w:t>
            </w:r>
          </w:p>
        </w:tc>
      </w:tr>
      <w:tr>
        <w:trPr>
          <w:trHeight w:val="250"/>
        </w:trPr>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5"/>
          </w:tcPr>
          <w:p>
            <w:pPr>
              <w:ind w:left="8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(8,198)</w:t>
            </w: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of EBITDA, Adjusted EBITDA, EBITDA Margin, Adjusted EBITDA Margin, Adjusted Net (Loss) Income, Adjusted EPS, Cash Gross Profit, Cash Gross Margin and Free Cash Flow has limitations as an analytical tool, and you should not consider any of them in isolation, or as a substitute for analysis of our results as reported under GAAP. Among other limitations, each of EBITDA, Adjusted EBITDA, EBITDA Margin, Adjusted EBITDA Margin, Adjusted Net (Loss) Income, Adjusted EPS, Cash Gross Profit, Cash Gross Margin and Free Cash Flow does not reflect our cash expenditures, or future requirements, for capital expenditures or contractual commitments, does not reflect the impact of certain cash and non-cash charges resulting from matters we consider not to be indicative of our ongoing operations, and does not reflect income tax expense or benefit. Other companies in our industry may calculate Adjusted EBITDA, Adjusted EBITDA Margin, Adjusted Net (Loss) Income, Adjusted EPS, Cash Gross Profit, Cash Gross Margin and Free Cash Flow differently than we do, which limits their usefulness as comparative measures. Because of these limitations, neither EBITDA, Adjusted EBITDA, EBITDA Margin, Adjusted EBITDA Margin, Adjusted Net (Loss) Income, Adjusted EPS, Cash Gross Profit, Cash Gross Margin nor Free Cash Flow should be considered as a replacement for gross profit, gross margin, net (loss) income, earnings per share or net cash flows (used in) provided by operating activities, as determined by GAAP, or as a measure of our profitability. We compensate for these limitations by relying primarily on our GAAP results and using non-GAAP measures only for supplemental purposes.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cash and cash equivalents of $80.1 million and our working capital was $87.0 million.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MD&amp;A 8: Net Change in Cash, Cash Equivalents, and Restricted Cash</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Borders>
              <w:top w:val="single" w:sz="8" w:color="auto"/>
            </w:tcBorders>
          </w:tcPr>
          <w:p>
            <w:pPr>
              <w:spacing w:after="0"/>
              <w:rPr>
                <w:sz w:val="18"/>
                <w:szCs w:val="18"/>
                <w:color w:val="auto"/>
              </w:rPr>
            </w:pPr>
          </w:p>
        </w:tc>
        <w:tc>
          <w:tcPr>
            <w:tcW w:w="3660" w:type="dxa"/>
            <w:vAlign w:val="bottom"/>
            <w:tcBorders>
              <w:top w:val="single" w:sz="8" w:color="auto"/>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For the Six Months Ended</w:t>
            </w:r>
          </w:p>
        </w:tc>
        <w:tc>
          <w:tcPr>
            <w:tcW w:w="580" w:type="dxa"/>
            <w:vAlign w:val="bottom"/>
            <w:tcBorders>
              <w:top w:val="single" w:sz="8" w:color="auto"/>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2024</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June 30, 2023</w:t>
            </w:r>
          </w:p>
        </w:tc>
        <w:tc>
          <w:tcPr>
            <w:tcW w:w="580" w:type="dxa"/>
            <w:vAlign w:val="bottom"/>
            <w:tcBorders>
              <w:bottom w:val="single" w:sz="8" w:color="auto"/>
            </w:tcBorders>
          </w:tcPr>
          <w:p>
            <w:pPr>
              <w:spacing w:after="0"/>
              <w:rPr>
                <w:sz w:val="18"/>
                <w:szCs w:val="18"/>
                <w:color w:val="auto"/>
              </w:rPr>
            </w:pPr>
          </w:p>
        </w:tc>
      </w:tr>
      <w:tr>
        <w:trPr>
          <w:trHeight w:val="216"/>
        </w:trPr>
        <w:tc>
          <w:tcPr>
            <w:tcW w:w="7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6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50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(19,155)</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(15,857)</w:t>
            </w:r>
          </w:p>
        </w:tc>
      </w:tr>
      <w:tr>
        <w:trPr>
          <w:trHeight w:val="21"/>
        </w:trPr>
        <w:tc>
          <w:tcPr>
            <w:tcW w:w="7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$8.3 million, an increase of $4.1 million compared to the same period in 2023. The change is primarily driven by the Company's operating losses, the timing of receipts of customer payments, the timing of payments to vendors and employees, and the timing of inventory turnover, adjusted for certain non-cash items that do not impact cash flows from operating activities.</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increased by $1.2 million, compared to the same period of the prior year, primarily due to the cash outflow from the purchase of an investment of $3.0 million in 2024, with no similar transaction in 2023. This is partially offset by a decrease in capital expenditures in 2024.</w:t>
      </w:r>
    </w:p>
    <w:p>
      <w:pPr>
        <w:spacing w:after="0" w:line="122"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decreased by $2.0 million, compared to the same period in 2023. This is primarily attributable to the decreases in payment of tax withholding related to net share settlement of equity awards of $0.4 million in the first half of 2024, compared with $1.6 million in the same period of 2023, and a $0.6 million payment for the Diamond Fortress Technologies ("DFT") holdback in February 2023, with no similar payment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us to make estimates, judgments, and assumptions that affect the amounts reported. Actual results could differ from those estimates. The 2023 Form 10-K, as filed with the SEC on March 15, 2024,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six months ended June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June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June 30, 2024, identified in connection with management’s evaluation required by paragraph (d) of Rules 13a-15 and 15d-15 under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is included under </w:t>
      </w:r>
      <w:r>
        <w:rPr>
          <w:rFonts w:ascii="Times New Roman" w:cs="Times New Roman" w:eastAsia="Times New Roman" w:hAnsi="Times New Roman"/>
          <w:sz w:val="18"/>
          <w:szCs w:val="18"/>
          <w:u w:val="single" w:color="auto"/>
          <w:color w:val="0000FF"/>
        </w:rPr>
        <w:t>Note 17 – Commitments and Contingencies</w:t>
      </w:r>
      <w:r>
        <w:rPr>
          <w:rFonts w:ascii="Times New Roman" w:cs="Times New Roman" w:eastAsia="Times New Roman" w:hAnsi="Times New Roman"/>
          <w:sz w:val="18"/>
          <w:szCs w:val="18"/>
          <w:color w:val="auto"/>
        </w:rPr>
        <w:t xml:space="preserve"> to the unaudited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have disclosed under "Item 1A – Risk Factors" in our Annual Report on Form 10-K for the year ended December 31, 2023, the risk factors which may materially affect our business, financial conditions or results of operations. There have been no material changes from the risk factors previously disclosed.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right="380" w:firstLine="8"/>
        <w:spacing w:after="0" w:line="282"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100" w:type="dxa"/>
            <w:vAlign w:val="bottom"/>
            <w:gridSpan w:val="5"/>
            <w:vMerge w:val="restart"/>
          </w:tcPr>
          <w:p>
            <w:pPr>
              <w:ind w:left="18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71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0" w:type="dxa"/>
            <w:vAlign w:val="bottom"/>
            <w:gridSpan w:val="4"/>
            <w:shd w:val="clear" w:color="auto" w:fill="CCEEFF"/>
          </w:tcPr>
          <w:p>
            <w:pPr>
              <w:jc w:val="center"/>
              <w:ind w:left="419"/>
              <w:spacing w:after="0" w:line="171" w:lineRule="exact"/>
              <w:rPr>
                <w:rFonts w:ascii="Times New Roman" w:cs="Times New Roman" w:eastAsia="Times New Roman" w:hAnsi="Times New Roman"/>
                <w:sz w:val="16"/>
                <w:szCs w:val="16"/>
                <w:color w:val="0000FF"/>
                <w:w w:val="99"/>
              </w:rPr>
            </w:pPr>
            <w:hyperlink r:id="rId4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shd w:val="clear" w:color="auto" w:fill="CCEEFF"/>
          </w:tcPr>
          <w:p>
            <w:pPr>
              <w:ind w:left="20"/>
              <w:spacing w:after="0" w:line="171"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Amended and Restated 2016 Omnibus Long-Term Incentive Plan (Incorporated by reference to Exhibit 10.1 filed with the Company's Current</w:t>
              </w:r>
            </w:hyperlink>
          </w:p>
        </w:tc>
        <w:tc>
          <w:tcPr>
            <w:tcW w:w="0" w:type="dxa"/>
            <w:vAlign w:val="bottom"/>
          </w:tcPr>
          <w:p>
            <w:pPr>
              <w:spacing w:after="0"/>
              <w:rPr>
                <w:sz w:val="1"/>
                <w:szCs w:val="1"/>
                <w:color w:val="auto"/>
              </w:rPr>
            </w:pPr>
          </w:p>
        </w:tc>
      </w:tr>
      <w:tr>
        <w:trPr>
          <w:trHeight w:val="163"/>
        </w:trPr>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54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Report on Form 8-K on May 22, 2024)</w:t>
              </w:r>
            </w:hyperlink>
          </w:p>
        </w:tc>
        <w:tc>
          <w:tcPr>
            <w:tcW w:w="670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 w:type="dxa"/>
            <w:vAlign w:val="bottom"/>
            <w:gridSpan w:val="4"/>
          </w:tcPr>
          <w:p>
            <w:pPr>
              <w:jc w:val="center"/>
              <w:ind w:left="419"/>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80" w:type="dxa"/>
            <w:vAlign w:val="bottom"/>
          </w:tcPr>
          <w:p>
            <w:pPr>
              <w:spacing w:after="0"/>
              <w:rPr>
                <w:sz w:val="15"/>
                <w:szCs w:val="15"/>
                <w:color w:val="auto"/>
              </w:rPr>
            </w:pPr>
          </w:p>
        </w:tc>
        <w:tc>
          <w:tcPr>
            <w:tcW w:w="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 w:type="dxa"/>
            <w:vAlign w:val="bottom"/>
            <w:gridSpan w:val="4"/>
            <w:shd w:val="clear" w:color="auto" w:fill="CCEEFF"/>
          </w:tcPr>
          <w:p>
            <w:pPr>
              <w:jc w:val="center"/>
              <w:ind w:left="419"/>
              <w:spacing w:after="0" w:line="175" w:lineRule="exact"/>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0000FF"/>
            </w:tcBorders>
            <w:shd w:val="clear" w:color="auto" w:fill="CCEEFF"/>
          </w:tcPr>
          <w:p>
            <w:pPr>
              <w:spacing w:after="0" w:line="20" w:lineRule="exact"/>
              <w:rPr>
                <w:sz w:val="1"/>
                <w:szCs w:val="1"/>
                <w:color w:val="auto"/>
              </w:rPr>
            </w:pPr>
          </w:p>
        </w:tc>
        <w:tc>
          <w:tcPr>
            <w:tcW w:w="38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 w:type="dxa"/>
            <w:vAlign w:val="bottom"/>
          </w:tcPr>
          <w:p>
            <w:pPr>
              <w:spacing w:after="0"/>
              <w:rPr>
                <w:sz w:val="15"/>
                <w:szCs w:val="15"/>
                <w:color w:val="auto"/>
              </w:rPr>
            </w:pPr>
          </w:p>
        </w:tc>
        <w:tc>
          <w:tcPr>
            <w:tcW w:w="28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32</w:t>
            </w:r>
          </w:p>
        </w:tc>
        <w:tc>
          <w:tcPr>
            <w:tcW w:w="480" w:type="dxa"/>
            <w:vAlign w:val="bottom"/>
          </w:tcPr>
          <w:p>
            <w:pPr>
              <w:spacing w:after="0"/>
              <w:rPr>
                <w:sz w:val="15"/>
                <w:szCs w:val="15"/>
                <w:color w:val="auto"/>
              </w:rPr>
            </w:pPr>
          </w:p>
        </w:tc>
        <w:tc>
          <w:tcPr>
            <w:tcW w:w="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96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60" w:type="dxa"/>
            <w:vAlign w:val="bottom"/>
            <w:gridSpan w:val="5"/>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9"/>
        </w:trPr>
        <w:tc>
          <w:tcPr>
            <w:tcW w:w="1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3"/>
        </w:trPr>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9"/>
        </w:trPr>
        <w:tc>
          <w:tcPr>
            <w:tcW w:w="780" w:type="dxa"/>
            <w:vAlign w:val="bottom"/>
            <w:gridSpan w:val="4"/>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104</w:t>
            </w: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1280" w:hanging="685"/>
        <w:spacing w:after="0"/>
        <w:tabs>
          <w:tab w:leader="none" w:pos="12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 a management contract or compensatory plan or arrangement</w:t>
      </w:r>
    </w:p>
    <w:p>
      <w:pPr>
        <w:spacing w:after="0" w:line="32" w:lineRule="exact"/>
        <w:rPr>
          <w:sz w:val="20"/>
          <w:szCs w:val="20"/>
          <w:color w:val="auto"/>
        </w:rPr>
      </w:pPr>
    </w:p>
    <w:p>
      <w:pPr>
        <w:ind w:left="1280" w:hanging="690"/>
        <w:spacing w:after="0"/>
        <w:tabs>
          <w:tab w:leader="none" w:pos="12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ind w:left="1280" w:hanging="682"/>
        <w:spacing w:after="0"/>
        <w:tabs>
          <w:tab w:leader="none" w:pos="12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TELOS CORPORATION</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John B. Wood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Mark Bendza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Victoria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Victoria Harding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Controller and Chief Accounting Officer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728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728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37287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665" w:lineRule="exact"/>
        <w:rPr>
          <w:sz w:val="20"/>
          <w:szCs w:val="20"/>
          <w:color w:val="auto"/>
        </w:rPr>
      </w:pPr>
    </w:p>
    <w:p>
      <w:pPr>
        <w:sectPr>
          <w:pgSz w:w="11900" w:h="16838" w:orient="portrait"/>
          <w:cols w:equalWidth="0" w:num="2">
            <w:col w:w="5220" w:space="160"/>
            <w:col w:w="5820"/>
          </w:cols>
          <w:pgMar w:left="320" w:top="119" w:right="37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19" w:right="37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84" w:lineRule="exact"/>
        <w:rPr>
          <w:rFonts w:ascii="Times New Roman" w:cs="Times New Roman" w:eastAsia="Times New Roman" w:hAnsi="Times New Roman"/>
          <w:sz w:val="18"/>
          <w:szCs w:val="18"/>
          <w:color w:val="auto"/>
        </w:rPr>
      </w:pPr>
    </w:p>
    <w:p>
      <w:pPr>
        <w:ind w:left="326" w:right="20" w:hanging="326"/>
        <w:spacing w:after="0" w:line="266" w:lineRule="auto"/>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26" w:right="180" w:hanging="326"/>
        <w:spacing w:after="0" w:line="282" w:lineRule="auto"/>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26" w:right="160" w:hanging="326"/>
        <w:spacing w:after="0" w:line="276" w:lineRule="auto"/>
        <w:tabs>
          <w:tab w:leader="none" w:pos="32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6" w:right="440" w:firstLine="399"/>
        <w:spacing w:after="0" w:line="266" w:lineRule="auto"/>
        <w:tabs>
          <w:tab w:leader="none" w:pos="8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 w:right="140" w:firstLine="399"/>
        <w:spacing w:after="0" w:line="266" w:lineRule="auto"/>
        <w:tabs>
          <w:tab w:leader="none" w:pos="8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 w:right="260" w:firstLine="399"/>
        <w:spacing w:after="0" w:line="282" w:lineRule="auto"/>
        <w:tabs>
          <w:tab w:leader="none" w:pos="8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6" w:right="260" w:firstLine="399"/>
        <w:spacing w:after="0" w:line="266" w:lineRule="auto"/>
        <w:tabs>
          <w:tab w:leader="none" w:pos="8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26" w:right="120" w:hanging="326"/>
        <w:spacing w:after="0" w:line="312" w:lineRule="auto"/>
        <w:tabs>
          <w:tab w:leader="none" w:pos="32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 w:right="460" w:firstLine="399"/>
        <w:spacing w:after="0" w:line="282" w:lineRule="auto"/>
        <w:tabs>
          <w:tab w:leader="none" w:pos="8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 w:right="180" w:firstLine="399"/>
        <w:spacing w:after="0" w:line="282" w:lineRule="auto"/>
        <w:tabs>
          <w:tab w:leader="none" w:pos="8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79"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17145</wp:posOffset>
            </wp:positionV>
            <wp:extent cx="3377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0746"/>
          </w:cols>
          <w:pgMar w:left="814" w:top="94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Telos Corporation;</w:t>
      </w:r>
    </w:p>
    <w:p>
      <w:pPr>
        <w:spacing w:after="0" w:line="184" w:lineRule="exact"/>
        <w:rPr>
          <w:rFonts w:ascii="Times New Roman" w:cs="Times New Roman" w:eastAsia="Times New Roman" w:hAnsi="Times New Roman"/>
          <w:sz w:val="18"/>
          <w:szCs w:val="18"/>
          <w:color w:val="auto"/>
        </w:rPr>
      </w:pPr>
    </w:p>
    <w:p>
      <w:pPr>
        <w:ind w:left="360" w:right="20" w:hanging="326"/>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60" w:right="180" w:hanging="326"/>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60" w:right="160" w:hanging="326"/>
        <w:spacing w:after="0" w:line="276" w:lineRule="auto"/>
        <w:tabs>
          <w:tab w:leader="none" w:pos="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40" w:right="440" w:firstLine="399"/>
        <w:spacing w:after="0" w:line="266" w:lineRule="auto"/>
        <w:tabs>
          <w:tab w:leader="none" w:pos="8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40" w:right="140" w:firstLine="399"/>
        <w:spacing w:after="0" w:line="266" w:lineRule="auto"/>
        <w:tabs>
          <w:tab w:leader="none" w:pos="8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0" w:right="260" w:firstLine="399"/>
        <w:spacing w:after="0" w:line="282" w:lineRule="auto"/>
        <w:tabs>
          <w:tab w:leader="none" w:pos="8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40" w:right="260" w:firstLine="399"/>
        <w:spacing w:after="0" w:line="266" w:lineRule="auto"/>
        <w:tabs>
          <w:tab w:leader="none" w:pos="8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60" w:right="120" w:hanging="326"/>
        <w:spacing w:after="0" w:line="312" w:lineRule="auto"/>
        <w:tabs>
          <w:tab w:leader="none" w:pos="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40" w:right="460" w:firstLine="399"/>
        <w:spacing w:after="0" w:line="282" w:lineRule="auto"/>
        <w:tabs>
          <w:tab w:leader="none" w:pos="84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0" w:right="180" w:firstLine="399"/>
        <w:spacing w:after="0" w:line="282" w:lineRule="auto"/>
        <w:tabs>
          <w:tab w:leader="none" w:pos="83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17145</wp:posOffset>
            </wp:positionV>
            <wp:extent cx="3377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ectPr>
          <w:pgSz w:w="11900" w:h="16838" w:orient="portrait"/>
          <w:cols w:equalWidth="0" w:num="1">
            <w:col w:w="10780"/>
          </w:cols>
          <w:pgMar w:left="780" w:top="87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Telos Corporation (the "Company") on Form 10-Q for the period ended June 30, 2024, as filed with the Securities and Exchange Commission on the date hereof (the "Report"), we, John B. Wood and Mark Bendza, certify, pursuant to 18 U.S.C. § 1350, as adopted pursuant to § 906 of the Sarbanes-Oxley Act of 2002, that to our knowledge:</w:t>
      </w:r>
    </w:p>
    <w:p>
      <w:pPr>
        <w:spacing w:after="0" w:line="122"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20" w:right="140" w:hanging="6288"/>
        <w:spacing w:after="0" w:line="516" w:lineRule="auto"/>
        <w:tabs>
          <w:tab w:leader="none" w:pos="6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9, 2024</w:t>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John B. Wood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29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Mark Bendza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Roman"/>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47" Type="http://schemas.openxmlformats.org/officeDocument/2006/relationships/hyperlink" Target="https://www.sec.gov/ix?doc=/Archives/edgar/data/320121/000032012124000051/tls-202405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2024-08-09T15:15:05Z</dcterms:created>
  <dcterms:modified xsi:type="dcterms:W3CDTF">2024-08-09T15:15:05Z</dcterms:modified>
</cp:coreProperties>
</file>