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tbl>
      <w:tblPr>
        <w:tblW w:w="4274" w:type="dxa"/>
        <w:jc w:val="left"/>
        <w:tblInd w:w="0" w:type="dxa"/>
        <w:tblLayout w:type="fixed"/>
        <w:tblCellMar>
          <w:top w:w="28" w:type="dxa"/>
          <w:left w:w="28" w:type="dxa"/>
          <w:bottom w:w="28" w:type="dxa"/>
          <w:right w:w="28" w:type="dxa"/>
        </w:tblCellMar>
      </w:tblPr>
      <w:tblGrid>
        <w:gridCol w:w="1367"/>
        <w:gridCol w:w="1200"/>
        <w:gridCol w:w="1707"/>
      </w:tblGrid>
      <w:tr>
        <w:trPr/>
        <w:tc>
          <w:tcPr>
            <w:tcW w:w="136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UNITED STATES</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tc>
      </w:tr>
      <w:tr>
        <w:trPr/>
        <w:tc>
          <w:tcPr>
            <w:tcW w:w="4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WASHINGTON, D.C. 20549</w:t>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10-Q</w:t>
      </w:r>
    </w:p>
    <w:tbl>
      <w:tblPr>
        <w:tblW w:w="7631" w:type="dxa"/>
        <w:jc w:val="left"/>
        <w:tblInd w:w="0" w:type="dxa"/>
        <w:tblLayout w:type="fixed"/>
        <w:tblCellMar>
          <w:top w:w="28" w:type="dxa"/>
          <w:left w:w="28" w:type="dxa"/>
          <w:bottom w:w="28" w:type="dxa"/>
          <w:right w:w="28" w:type="dxa"/>
        </w:tblCellMar>
      </w:tblPr>
      <w:tblGrid>
        <w:gridCol w:w="124"/>
        <w:gridCol w:w="109"/>
        <w:gridCol w:w="109"/>
        <w:gridCol w:w="2131"/>
        <w:gridCol w:w="2131"/>
        <w:gridCol w:w="3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4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tbl>
      <w:tblPr>
        <w:tblW w:w="7706" w:type="dxa"/>
        <w:jc w:val="left"/>
        <w:tblInd w:w="0" w:type="dxa"/>
        <w:tblLayout w:type="fixed"/>
        <w:tblCellMar>
          <w:top w:w="28" w:type="dxa"/>
          <w:left w:w="28" w:type="dxa"/>
          <w:bottom w:w="28" w:type="dxa"/>
          <w:right w:w="28" w:type="dxa"/>
        </w:tblCellMar>
      </w:tblPr>
      <w:tblGrid>
        <w:gridCol w:w="124"/>
        <w:gridCol w:w="109"/>
        <w:gridCol w:w="109"/>
        <w:gridCol w:w="2155"/>
        <w:gridCol w:w="2155"/>
        <w:gridCol w:w="3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Commission file number: 001-08443</w:t>
      </w:r>
    </w:p>
    <w:p>
      <w:pPr>
        <w:pStyle w:val="TextBody"/>
        <w:bidi w:val="0"/>
        <w:spacing w:before="140" w:after="283"/>
        <w:jc w:val="center"/>
        <w:rPr/>
      </w:pPr>
      <w:r>
        <w:rPr/>
        <w:drawing>
          <wp:inline distT="0" distB="0" distL="0" distR="0">
            <wp:extent cx="3114675"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14675" cy="895350"/>
                    </a:xfrm>
                    <a:prstGeom prst="rect">
                      <a:avLst/>
                    </a:prstGeom>
                  </pic:spPr>
                </pic:pic>
              </a:graphicData>
            </a:graphic>
          </wp:inline>
        </w:drawing>
      </w:r>
      <w:bookmarkStart w:id="0" w:name="i-1"/>
      <w:bookmarkEnd w:id="0"/>
    </w:p>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TELOS CORPORATION</w:t>
      </w:r>
    </w:p>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81"/>
        <w:gridCol w:w="158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52-0880974</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19886 Ashburn Road, Ashburn, 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20147-2358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(703) 724-3800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33" w:type="dxa"/>
        <w:jc w:val="left"/>
        <w:tblInd w:w="0" w:type="dxa"/>
        <w:tblLayout w:type="fixed"/>
        <w:tblCellMar>
          <w:top w:w="28" w:type="dxa"/>
          <w:left w:w="28" w:type="dxa"/>
          <w:bottom w:w="28" w:type="dxa"/>
          <w:right w:w="28" w:type="dxa"/>
        </w:tblCellMar>
      </w:tblPr>
      <w:tblGrid>
        <w:gridCol w:w="1352"/>
        <w:gridCol w:w="1184"/>
        <w:gridCol w:w="1198"/>
        <w:gridCol w:w="464"/>
        <w:gridCol w:w="464"/>
        <w:gridCol w:w="466"/>
        <w:gridCol w:w="1085"/>
        <w:gridCol w:w="1085"/>
        <w:gridCol w:w="1535"/>
      </w:tblGrid>
      <w:tr>
        <w:trPr/>
        <w:tc>
          <w:tcPr>
            <w:tcW w:w="135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 per share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4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4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r>
    </w:tbl>
    <w:p>
      <w:pPr>
        <w:pStyle w:val="TextBody"/>
        <w:bidi w:val="0"/>
        <w:spacing w:lineRule="auto" w:line="288" w:before="140" w:after="283"/>
        <w:ind w:left="0" w:right="0" w:firstLine="7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4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w:t>
      </w:r>
      <w:r>
        <w:rPr>
          <w:color w:val="000000"/>
        </w:rPr>
        <w:t> </w:t>
      </w:r>
      <w:r>
        <w:rPr>
          <w:rFonts w:ascii="Wingdings;sans-serif" w:hAnsi="Wingdings;sans-serif"/>
          <w:b w:val="false"/>
          <w:color w:val="000000"/>
          <w:sz w:val="20"/>
        </w:rPr>
        <w:t>x</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As of August 3, 2026, the registrant had outstanding 74,736,789 shares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 to Second Quarter 2026 Form 10-Q</w:t>
      </w:r>
    </w:p>
    <w:tbl>
      <w:tblPr>
        <w:tblW w:w="8702" w:type="dxa"/>
        <w:jc w:val="left"/>
        <w:tblInd w:w="0" w:type="dxa"/>
        <w:tblLayout w:type="fixed"/>
        <w:tblCellMar>
          <w:top w:w="28" w:type="dxa"/>
          <w:left w:w="28" w:type="dxa"/>
          <w:bottom w:w="28" w:type="dxa"/>
          <w:right w:w="28" w:type="dxa"/>
        </w:tblCellMar>
      </w:tblPr>
      <w:tblGrid>
        <w:gridCol w:w="615"/>
        <w:gridCol w:w="541"/>
        <w:gridCol w:w="541"/>
        <w:gridCol w:w="2153"/>
        <w:gridCol w:w="2153"/>
        <w:gridCol w:w="2188"/>
        <w:gridCol w:w="149"/>
        <w:gridCol w:w="149"/>
        <w:gridCol w:w="213"/>
      </w:tblGrid>
      <w:tr>
        <w:trPr/>
        <w:tc>
          <w:tcPr>
            <w:tcW w:w="61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Page</w:t>
            </w:r>
          </w:p>
        </w:tc>
      </w:tr>
      <w:tr>
        <w:trPr/>
        <w:tc>
          <w:tcPr>
            <w:tcW w:w="819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0">
              <w:r>
                <w:rPr>
                  <w:rStyle w:val="InternetLink"/>
                  <w:rFonts w:ascii="Times New Roman;serif" w:hAnsi="Times New Roman;serif"/>
                  <w:b/>
                  <w:color w:val="0000FF"/>
                  <w:sz w:val="18"/>
                  <w:u w:val="single"/>
                </w:rPr>
                <w:t>PART I - FINANCIAL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10">
              <w:r>
                <w:rPr>
                  <w:rStyle w:val="InternetLink"/>
                  <w:rFonts w:ascii="Times New Roman;serif" w:hAnsi="Times New Roman;serif"/>
                  <w:b w:val="false"/>
                  <w:color w:val="0000FF"/>
                  <w:sz w:val="18"/>
                  <w:u w:val="single"/>
                </w:rPr>
                <w:t>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3">
              <w:r>
                <w:rPr>
                  <w:rStyle w:val="InternetLink"/>
                  <w:rFonts w:ascii="Times New Roman;serif" w:hAnsi="Times New Roman;serif"/>
                  <w:b w:val="false"/>
                  <w:color w:val="0000FF"/>
                  <w:sz w:val="18"/>
                  <w:u w:val="single"/>
                </w:rPr>
                <w:t>Item 1.</w:t>
              </w:r>
            </w:hyperlink>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3">
              <w:r>
                <w:rPr>
                  <w:rStyle w:val="InternetLink"/>
                  <w:rFonts w:ascii="Times New Roman;serif" w:hAnsi="Times New Roman;serif"/>
                  <w:b w:val="false"/>
                  <w:color w:val="0000FF"/>
                  <w:sz w:val="18"/>
                  <w:u w:val="single"/>
                </w:rPr>
                <w:t>Financial Statements (Unaudited)</w:t>
              </w:r>
            </w:hyperlink>
            <w:r>
              <w:rPr>
                <w:color w:val="000000"/>
              </w:rPr>
              <w:t xml:space="preserve"> </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13">
              <w:r>
                <w:rPr>
                  <w:rStyle w:val="InternetLink"/>
                  <w:rFonts w:ascii="Times New Roman;serif" w:hAnsi="Times New Roman;serif"/>
                  <w:b w:val="false"/>
                  <w:color w:val="0000FF"/>
                  <w:sz w:val="18"/>
                  <w:u w:val="single"/>
                </w:rPr>
                <w:t>3</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6">
              <w:r>
                <w:rPr>
                  <w:rStyle w:val="InternetLink"/>
                  <w:rFonts w:ascii="Times New Roman;serif" w:hAnsi="Times New Roman;serif"/>
                  <w:b w:val="false"/>
                  <w:color w:val="0000FF"/>
                  <w:sz w:val="18"/>
                  <w:u w:val="single"/>
                </w:rPr>
                <w:t>Consolidated Statements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16">
              <w:r>
                <w:rPr>
                  <w:rStyle w:val="InternetLink"/>
                  <w:rFonts w:ascii="Times New Roman;serif" w:hAnsi="Times New Roman;serif"/>
                  <w:b w:val="false"/>
                  <w:color w:val="0000FF"/>
                  <w:sz w:val="18"/>
                  <w:u w:val="single"/>
                </w:rPr>
                <w:t>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9">
              <w:r>
                <w:rPr>
                  <w:rStyle w:val="InternetLink"/>
                  <w:rFonts w:ascii="Times New Roman;serif" w:hAnsi="Times New Roman;serif"/>
                  <w:b w:val="false"/>
                  <w:color w:val="000080"/>
                  <w:sz w:val="18"/>
                  <w:u w:val="single"/>
                </w:rPr>
                <w:t xml:space="preserve">Consolidated Statements of Comprehensive </w:t>
              </w:r>
            </w:hyperlink>
            <w:hyperlink w:anchor="i703a971a6f76471bbb862f7c1f00bd5c_19">
              <w:r>
                <w:rPr>
                  <w:rStyle w:val="InternetLink"/>
                  <w:rFonts w:ascii="Times New Roman;serif" w:hAnsi="Times New Roman;serif"/>
                  <w:b w:val="false"/>
                  <w:color w:val="000080"/>
                  <w:sz w:val="18"/>
                  <w:u w:val="single"/>
                </w:rPr>
                <w:t>Income (</w:t>
              </w:r>
            </w:hyperlink>
            <w:hyperlink w:anchor="i703a971a6f76471bbb862f7c1f00bd5c_19">
              <w:r>
                <w:rPr>
                  <w:rStyle w:val="InternetLink"/>
                  <w:rFonts w:ascii="Times New Roman;serif" w:hAnsi="Times New Roman;serif"/>
                  <w:b w:val="false"/>
                  <w:color w:val="000080"/>
                  <w:sz w:val="18"/>
                  <w:u w:val="single"/>
                </w:rPr>
                <w:t>Loss</w:t>
              </w:r>
            </w:hyperlink>
            <w:r>
              <w:rPr>
                <w:rFonts w:ascii="Times New Roman;serif" w:hAnsi="Times New Roman;serif"/>
                <w:b w:val="false"/>
                <w:color w:val="000000"/>
                <w:sz w:val="18"/>
              </w:rPr>
              <w:t>)</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19">
              <w:r>
                <w:rPr>
                  <w:rStyle w:val="InternetLink"/>
                  <w:rFonts w:ascii="Times New Roman;serif" w:hAnsi="Times New Roman;serif"/>
                  <w:b w:val="false"/>
                  <w:color w:val="0000FF"/>
                  <w:sz w:val="18"/>
                  <w:u w:val="single"/>
                </w:rPr>
                <w:t>4</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22">
              <w:r>
                <w:rPr>
                  <w:rStyle w:val="InternetLink"/>
                  <w:rFonts w:ascii="Times New Roman;serif" w:hAnsi="Times New Roman;serif"/>
                  <w:b w:val="false"/>
                  <w:color w:val="0000FF"/>
                  <w:sz w:val="18"/>
                  <w:u w:val="single"/>
                </w:rPr>
                <w:t>Consolidated Balance Sheets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22">
              <w:r>
                <w:rPr>
                  <w:rStyle w:val="InternetLink"/>
                  <w:rFonts w:ascii="Times New Roman;serif" w:hAnsi="Times New Roman;serif"/>
                  <w:b w:val="false"/>
                  <w:color w:val="0000FF"/>
                  <w:sz w:val="18"/>
                  <w:u w:val="single"/>
                </w:rPr>
                <w:t>5</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25">
              <w:r>
                <w:rPr>
                  <w:rStyle w:val="InternetLink"/>
                  <w:rFonts w:ascii="Times New Roman;serif" w:hAnsi="Times New Roman;serif"/>
                  <w:b w:val="false"/>
                  <w:color w:val="0000FF"/>
                  <w:sz w:val="18"/>
                  <w:u w:val="single"/>
                </w:rPr>
                <w:t>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25">
              <w:r>
                <w:rPr>
                  <w:rStyle w:val="InternetLink"/>
                  <w:rFonts w:ascii="Times New Roman;serif" w:hAnsi="Times New Roman;serif"/>
                  <w:b w:val="false"/>
                  <w:color w:val="0000FF"/>
                  <w:sz w:val="18"/>
                  <w:u w:val="single"/>
                </w:rPr>
                <w:t>6</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28">
              <w:r>
                <w:rPr>
                  <w:rStyle w:val="InternetLink"/>
                  <w:rFonts w:ascii="Times New Roman;serif" w:hAnsi="Times New Roman;serif"/>
                  <w:b w:val="false"/>
                  <w:color w:val="0000FF"/>
                  <w:sz w:val="18"/>
                  <w:u w:val="single"/>
                </w:rPr>
                <w:t>Consolidated Statements of Changes in Stockholders’ Equity</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28">
              <w:r>
                <w:rPr>
                  <w:rStyle w:val="InternetLink"/>
                  <w:rFonts w:ascii="Times New Roman;serif" w:hAnsi="Times New Roman;serif"/>
                  <w:b w:val="false"/>
                  <w:color w:val="0000FF"/>
                  <w:sz w:val="18"/>
                  <w:u w:val="single"/>
                </w:rPr>
                <w:t>7</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31">
              <w:r>
                <w:rPr>
                  <w:rStyle w:val="InternetLink"/>
                  <w:rFonts w:ascii="Times New Roman;serif" w:hAnsi="Times New Roman;serif"/>
                  <w:b w:val="false"/>
                  <w:color w:val="000080"/>
                  <w:sz w:val="18"/>
                  <w:u w:val="single"/>
                </w:rPr>
                <w:t xml:space="preserve">Notes to </w:t>
              </w:r>
            </w:hyperlink>
            <w:hyperlink w:anchor="i703a971a6f76471bbb862f7c1f00bd5c_31">
              <w:r>
                <w:rPr>
                  <w:rStyle w:val="InternetLink"/>
                  <w:rFonts w:ascii="Times New Roman;serif" w:hAnsi="Times New Roman;serif"/>
                  <w:b w:val="false"/>
                  <w:color w:val="000080"/>
                  <w:sz w:val="18"/>
                  <w:u w:val="single"/>
                </w:rPr>
                <w:t xml:space="preserve">the </w:t>
              </w:r>
            </w:hyperlink>
            <w:hyperlink w:anchor="i703a971a6f76471bbb862f7c1f00bd5c_31">
              <w:r>
                <w:rPr>
                  <w:rStyle w:val="InternetLink"/>
                  <w:rFonts w:ascii="Times New Roman;serif" w:hAnsi="Times New Roman;serif"/>
                  <w:b w:val="false"/>
                  <w:color w:val="000080"/>
                  <w:sz w:val="18"/>
                  <w:u w:val="single"/>
                </w:rPr>
                <w:t xml:space="preserve">Unaudited </w:t>
              </w:r>
            </w:hyperlink>
            <w:hyperlink w:anchor="i703a971a6f76471bbb862f7c1f00bd5c_31">
              <w:r>
                <w:rPr>
                  <w:rStyle w:val="InternetLink"/>
                  <w:rFonts w:ascii="Times New Roman;serif" w:hAnsi="Times New Roman;serif"/>
                  <w:b w:val="false"/>
                  <w:color w:val="000080"/>
                  <w:sz w:val="18"/>
                  <w:u w:val="single"/>
                </w:rPr>
                <w:t>Consolidated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31">
              <w:r>
                <w:rPr>
                  <w:rStyle w:val="InternetLink"/>
                  <w:rFonts w:ascii="Times New Roman;serif" w:hAnsi="Times New Roman;serif"/>
                  <w:b w:val="false"/>
                  <w:color w:val="0000FF"/>
                  <w:sz w:val="18"/>
                  <w:u w:val="single"/>
                </w:rPr>
                <w:t>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34">
              <w:r>
                <w:rPr>
                  <w:rStyle w:val="InternetLink"/>
                  <w:rFonts w:ascii="Times New Roman;serif" w:hAnsi="Times New Roman;serif"/>
                  <w:b w:val="false"/>
                  <w:color w:val="0000FF"/>
                  <w:sz w:val="18"/>
                  <w:u w:val="single"/>
                </w:rPr>
                <w:t>1. Organization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34">
              <w:r>
                <w:rPr>
                  <w:rStyle w:val="InternetLink"/>
                  <w:rFonts w:ascii="Times New Roman;serif" w:hAnsi="Times New Roman;serif"/>
                  <w:b w:val="false"/>
                  <w:color w:val="0000FF"/>
                  <w:sz w:val="18"/>
                  <w:u w:val="single"/>
                </w:rPr>
                <w:t>8</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703a971a6f76471bbb862f7c1f00bd5c_37">
              <w:r>
                <w:rPr>
                  <w:rStyle w:val="InternetLink"/>
                  <w:rFonts w:ascii="Times New Roman;serif" w:hAnsi="Times New Roman;serif"/>
                  <w:b w:val="false"/>
                  <w:color w:val="0000FF"/>
                  <w:sz w:val="18"/>
                  <w:u w:val="single"/>
                </w:rPr>
                <w:t>2. Significant Accounting Policies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37">
              <w:r>
                <w:rPr>
                  <w:rStyle w:val="InternetLink"/>
                  <w:rFonts w:ascii="Times New Roman;serif" w:hAnsi="Times New Roman;serif"/>
                  <w:b w:val="false"/>
                  <w:color w:val="0000FF"/>
                  <w:sz w:val="18"/>
                  <w:u w:val="single"/>
                </w:rPr>
                <w:t>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703a971a6f76471bbb862f7c1f00bd5c_40">
              <w:r>
                <w:rPr>
                  <w:rStyle w:val="InternetLink"/>
                  <w:rFonts w:ascii="Times New Roman;serif" w:hAnsi="Times New Roman;serif"/>
                  <w:b w:val="false"/>
                  <w:color w:val="0000FF"/>
                  <w:sz w:val="18"/>
                  <w:u w:val="single"/>
                </w:rPr>
                <w:t>3. Revenue Recognition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40">
              <w:r>
                <w:rPr>
                  <w:rStyle w:val="InternetLink"/>
                  <w:rFonts w:ascii="Times New Roman;serif" w:hAnsi="Times New Roman;serif"/>
                  <w:b w:val="false"/>
                  <w:color w:val="0000FF"/>
                  <w:sz w:val="18"/>
                  <w:u w:val="single"/>
                </w:rPr>
                <w:t>10</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703a971a6f76471bbb862f7c1f00bd5c_46">
              <w:r>
                <w:rPr>
                  <w:rStyle w:val="InternetLink"/>
                  <w:rFonts w:ascii="Times New Roman;serif" w:hAnsi="Times New Roman;serif"/>
                  <w:b w:val="false"/>
                  <w:color w:val="0000FF"/>
                  <w:sz w:val="18"/>
                  <w:u w:val="single"/>
                </w:rPr>
                <w:t>4. Accounts Receivable, Net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46">
              <w:r>
                <w:rPr>
                  <w:rStyle w:val="InternetLink"/>
                  <w:rFonts w:ascii="Times New Roman;serif" w:hAnsi="Times New Roman;serif"/>
                  <w:b w:val="false"/>
                  <w:color w:val="0000FF"/>
                  <w:sz w:val="18"/>
                  <w:u w:val="single"/>
                </w:rPr>
                <w:t>11</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703a971a6f76471bbb862f7c1f00bd5c_1103">
              <w:r>
                <w:rPr>
                  <w:rStyle w:val="InternetLink"/>
                  <w:rFonts w:ascii="Times New Roman;serif" w:hAnsi="Times New Roman;serif"/>
                  <w:b w:val="false"/>
                  <w:color w:val="000080"/>
                  <w:sz w:val="18"/>
                  <w:u w:val="single"/>
                </w:rPr>
                <w:t>5. Inve</w:t>
              </w:r>
            </w:hyperlink>
            <w:hyperlink w:anchor="i703a971a6f76471bbb862f7c1f00bd5c_1103">
              <w:r>
                <w:rPr>
                  <w:rStyle w:val="InternetLink"/>
                  <w:rFonts w:ascii="Times New Roman;serif" w:hAnsi="Times New Roman;serif"/>
                  <w:b w:val="false"/>
                  <w:color w:val="000080"/>
                  <w:sz w:val="18"/>
                  <w:u w:val="single"/>
                </w:rPr>
                <w:t>ntories</w:t>
              </w:r>
            </w:hyperlink>
            <w:hyperlink w:anchor="i703a971a6f76471bbb862f7c1f00bd5c_1103">
              <w:r>
                <w:rPr>
                  <w:rStyle w:val="InternetLink"/>
                  <w:rFonts w:ascii="Times New Roman;serif" w:hAnsi="Times New Roman;serif"/>
                  <w:b w:val="false"/>
                  <w:color w:val="000080"/>
                  <w:sz w:val="18"/>
                  <w:u w:val="single"/>
                </w:rPr>
                <w:t>, Net</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1103">
              <w:r>
                <w:rPr>
                  <w:rStyle w:val="InternetLink"/>
                  <w:rFonts w:ascii="Times New Roman;serif" w:hAnsi="Times New Roman;serif"/>
                  <w:b w:val="false"/>
                  <w:color w:val="0000FF"/>
                  <w:sz w:val="18"/>
                  <w:u w:val="single"/>
                </w:rPr>
                <w:t>12</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703a971a6f76471bbb862f7c1f00bd5c_52">
              <w:r>
                <w:rPr>
                  <w:rStyle w:val="InternetLink"/>
                  <w:rFonts w:ascii="Times New Roman;serif" w:hAnsi="Times New Roman;serif"/>
                  <w:b w:val="false"/>
                  <w:color w:val="000080"/>
                  <w:sz w:val="18"/>
                  <w:u w:val="single"/>
                </w:rPr>
                <w:t xml:space="preserve">6. </w:t>
              </w:r>
            </w:hyperlink>
            <w:hyperlink w:anchor="i703a971a6f76471bbb862f7c1f00bd5c_52">
              <w:r>
                <w:rPr>
                  <w:rStyle w:val="InternetLink"/>
                  <w:rFonts w:ascii="Times New Roman;serif" w:hAnsi="Times New Roman;serif"/>
                  <w:b w:val="false"/>
                  <w:color w:val="000080"/>
                  <w:sz w:val="18"/>
                  <w:u w:val="single"/>
                </w:rPr>
                <w:t>Property and Equipment, Net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52">
              <w:r>
                <w:rPr>
                  <w:rStyle w:val="InternetLink"/>
                  <w:rFonts w:ascii="Times New Roman;serif" w:hAnsi="Times New Roman;serif"/>
                  <w:b w:val="false"/>
                  <w:color w:val="0000FF"/>
                  <w:sz w:val="18"/>
                  <w:u w:val="single"/>
                </w:rPr>
                <w:t>12</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703a971a6f76471bbb862f7c1f00bd5c_55">
              <w:r>
                <w:rPr>
                  <w:rStyle w:val="InternetLink"/>
                  <w:rFonts w:ascii="Times New Roman;serif" w:hAnsi="Times New Roman;serif"/>
                  <w:b w:val="false"/>
                  <w:color w:val="000080"/>
                  <w:sz w:val="18"/>
                  <w:u w:val="single"/>
                </w:rPr>
                <w:t>7</w:t>
              </w:r>
            </w:hyperlink>
            <w:hyperlink w:anchor="i703a971a6f76471bbb862f7c1f00bd5c_55">
              <w:r>
                <w:rPr>
                  <w:rStyle w:val="InternetLink"/>
                  <w:rFonts w:ascii="Times New Roman;serif" w:hAnsi="Times New Roman;serif"/>
                  <w:b w:val="false"/>
                  <w:color w:val="000080"/>
                  <w:sz w:val="18"/>
                  <w:u w:val="single"/>
                </w:rPr>
                <w:t xml:space="preserve">. Goodwill </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55">
              <w:r>
                <w:rPr>
                  <w:rStyle w:val="InternetLink"/>
                  <w:rFonts w:ascii="Times New Roman;serif" w:hAnsi="Times New Roman;serif"/>
                  <w:b w:val="false"/>
                  <w:color w:val="0000FF"/>
                  <w:sz w:val="18"/>
                  <w:u w:val="single"/>
                </w:rPr>
                <w:t>12</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703a971a6f76471bbb862f7c1f00bd5c_58">
              <w:r>
                <w:rPr>
                  <w:rStyle w:val="InternetLink"/>
                  <w:rFonts w:ascii="Times New Roman;serif" w:hAnsi="Times New Roman;serif"/>
                  <w:b w:val="false"/>
                  <w:color w:val="000080"/>
                  <w:sz w:val="18"/>
                  <w:u w:val="single"/>
                </w:rPr>
                <w:t>8</w:t>
              </w:r>
            </w:hyperlink>
            <w:hyperlink w:anchor="i703a971a6f76471bbb862f7c1f00bd5c_58">
              <w:r>
                <w:rPr>
                  <w:rStyle w:val="InternetLink"/>
                  <w:rFonts w:ascii="Times New Roman;serif" w:hAnsi="Times New Roman;serif"/>
                  <w:b w:val="false"/>
                  <w:color w:val="000080"/>
                  <w:sz w:val="18"/>
                  <w:u w:val="single"/>
                </w:rPr>
                <w:t>. Intangible Assets, Net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58">
              <w:r>
                <w:rPr>
                  <w:rStyle w:val="InternetLink"/>
                  <w:rFonts w:ascii="Times New Roman;serif" w:hAnsi="Times New Roman;serif"/>
                  <w:b w:val="false"/>
                  <w:color w:val="0000FF"/>
                  <w:sz w:val="18"/>
                  <w:u w:val="single"/>
                </w:rPr>
                <w:t>13</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703a971a6f76471bbb862f7c1f00bd5c_61">
              <w:r>
                <w:rPr>
                  <w:rStyle w:val="InternetLink"/>
                  <w:rFonts w:ascii="Times New Roman;serif" w:hAnsi="Times New Roman;serif"/>
                  <w:b w:val="false"/>
                  <w:color w:val="000080"/>
                  <w:sz w:val="18"/>
                  <w:u w:val="single"/>
                </w:rPr>
                <w:t>9</w:t>
              </w:r>
            </w:hyperlink>
            <w:hyperlink w:anchor="i703a971a6f76471bbb862f7c1f00bd5c_61">
              <w:r>
                <w:rPr>
                  <w:rStyle w:val="InternetLink"/>
                  <w:rFonts w:ascii="Times New Roman;serif" w:hAnsi="Times New Roman;serif"/>
                  <w:b w:val="false"/>
                  <w:color w:val="000080"/>
                  <w:sz w:val="18"/>
                  <w:u w:val="single"/>
                </w:rPr>
                <w:t>. Other Balance Sheet Components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61">
              <w:r>
                <w:rPr>
                  <w:rStyle w:val="InternetLink"/>
                  <w:rFonts w:ascii="Times New Roman;serif" w:hAnsi="Times New Roman;serif"/>
                  <w:b w:val="false"/>
                  <w:color w:val="0000FF"/>
                  <w:sz w:val="18"/>
                  <w:u w:val="single"/>
                </w:rPr>
                <w:t>13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64">
              <w:r>
                <w:rPr>
                  <w:rStyle w:val="InternetLink"/>
                  <w:rFonts w:ascii="Times New Roman;serif" w:hAnsi="Times New Roman;serif"/>
                  <w:b w:val="false"/>
                  <w:color w:val="000080"/>
                  <w:sz w:val="18"/>
                  <w:u w:val="single"/>
                </w:rPr>
                <w:t>10</w:t>
              </w:r>
            </w:hyperlink>
            <w:hyperlink w:anchor="i703a971a6f76471bbb862f7c1f00bd5c_64">
              <w:r>
                <w:rPr>
                  <w:rStyle w:val="InternetLink"/>
                  <w:rFonts w:ascii="Times New Roman;serif" w:hAnsi="Times New Roman;serif"/>
                  <w:b w:val="false"/>
                  <w:color w:val="000080"/>
                  <w:sz w:val="18"/>
                  <w:u w:val="single"/>
                </w:rPr>
                <w:t>. Revolving Credit Facility</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64">
              <w:r>
                <w:rPr>
                  <w:rStyle w:val="InternetLink"/>
                  <w:rFonts w:ascii="Times New Roman;serif" w:hAnsi="Times New Roman;serif"/>
                  <w:b w:val="false"/>
                  <w:color w:val="0000FF"/>
                  <w:sz w:val="18"/>
                  <w:u w:val="single"/>
                </w:rPr>
                <w:t>14</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67">
              <w:r>
                <w:rPr>
                  <w:rStyle w:val="InternetLink"/>
                  <w:rFonts w:ascii="Times New Roman;serif" w:hAnsi="Times New Roman;serif"/>
                  <w:b w:val="false"/>
                  <w:color w:val="000080"/>
                  <w:sz w:val="18"/>
                  <w:u w:val="single"/>
                </w:rPr>
                <w:t>1</w:t>
              </w:r>
            </w:hyperlink>
            <w:hyperlink w:anchor="i703a971a6f76471bbb862f7c1f00bd5c_67">
              <w:r>
                <w:rPr>
                  <w:rStyle w:val="InternetLink"/>
                  <w:rFonts w:ascii="Times New Roman;serif" w:hAnsi="Times New Roman;serif"/>
                  <w:b w:val="false"/>
                  <w:color w:val="000080"/>
                  <w:sz w:val="18"/>
                  <w:u w:val="single"/>
                </w:rPr>
                <w:t>1</w:t>
              </w:r>
            </w:hyperlink>
            <w:hyperlink w:anchor="i703a971a6f76471bbb862f7c1f00bd5c_67">
              <w:r>
                <w:rPr>
                  <w:rStyle w:val="InternetLink"/>
                  <w:rFonts w:ascii="Times New Roman;serif" w:hAnsi="Times New Roman;serif"/>
                  <w:b w:val="false"/>
                  <w:color w:val="000080"/>
                  <w:sz w:val="18"/>
                  <w:u w:val="single"/>
                </w:rPr>
                <w:t>. Stock-Based Compensation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67">
              <w:r>
                <w:rPr>
                  <w:rStyle w:val="InternetLink"/>
                  <w:rFonts w:ascii="Times New Roman;serif" w:hAnsi="Times New Roman;serif"/>
                  <w:b w:val="false"/>
                  <w:color w:val="0000FF"/>
                  <w:sz w:val="18"/>
                  <w:u w:val="single"/>
                </w:rPr>
                <w:t>14</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73">
              <w:r>
                <w:rPr>
                  <w:rStyle w:val="InternetLink"/>
                  <w:rFonts w:ascii="Times New Roman;serif" w:hAnsi="Times New Roman;serif"/>
                  <w:b w:val="false"/>
                  <w:color w:val="000080"/>
                  <w:sz w:val="18"/>
                  <w:u w:val="single"/>
                </w:rPr>
                <w:t>1</w:t>
              </w:r>
            </w:hyperlink>
            <w:hyperlink w:anchor="i703a971a6f76471bbb862f7c1f00bd5c_73">
              <w:r>
                <w:rPr>
                  <w:rStyle w:val="InternetLink"/>
                  <w:rFonts w:ascii="Times New Roman;serif" w:hAnsi="Times New Roman;serif"/>
                  <w:b w:val="false"/>
                  <w:color w:val="000080"/>
                  <w:sz w:val="18"/>
                  <w:u w:val="single"/>
                </w:rPr>
                <w:t>2</w:t>
              </w:r>
            </w:hyperlink>
            <w:hyperlink w:anchor="i703a971a6f76471bbb862f7c1f00bd5c_73">
              <w:r>
                <w:rPr>
                  <w:rStyle w:val="InternetLink"/>
                  <w:rFonts w:ascii="Times New Roman;serif" w:hAnsi="Times New Roman;serif"/>
                  <w:b w:val="false"/>
                  <w:color w:val="000080"/>
                  <w:sz w:val="18"/>
                  <w:u w:val="single"/>
                </w:rPr>
                <w:t>. Share Repurchases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73">
              <w:r>
                <w:rPr>
                  <w:rStyle w:val="InternetLink"/>
                  <w:rFonts w:ascii="Times New Roman;serif" w:hAnsi="Times New Roman;serif"/>
                  <w:b w:val="false"/>
                  <w:color w:val="0000FF"/>
                  <w:sz w:val="18"/>
                  <w:u w:val="single"/>
                </w:rPr>
                <w:t>16</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76">
              <w:r>
                <w:rPr>
                  <w:rStyle w:val="InternetLink"/>
                  <w:rFonts w:ascii="Times New Roman;serif" w:hAnsi="Times New Roman;serif"/>
                  <w:b w:val="false"/>
                  <w:color w:val="000080"/>
                  <w:sz w:val="18"/>
                  <w:u w:val="single"/>
                </w:rPr>
                <w:t>1</w:t>
              </w:r>
            </w:hyperlink>
            <w:hyperlink w:anchor="i703a971a6f76471bbb862f7c1f00bd5c_76">
              <w:r>
                <w:rPr>
                  <w:rStyle w:val="InternetLink"/>
                  <w:rFonts w:ascii="Times New Roman;serif" w:hAnsi="Times New Roman;serif"/>
                  <w:b w:val="false"/>
                  <w:color w:val="000080"/>
                  <w:sz w:val="18"/>
                  <w:u w:val="single"/>
                </w:rPr>
                <w:t>3</w:t>
              </w:r>
            </w:hyperlink>
            <w:hyperlink w:anchor="i703a971a6f76471bbb862f7c1f00bd5c_76">
              <w:r>
                <w:rPr>
                  <w:rStyle w:val="InternetLink"/>
                  <w:rFonts w:ascii="Times New Roman;serif" w:hAnsi="Times New Roman;serif"/>
                  <w:b w:val="false"/>
                  <w:color w:val="000080"/>
                  <w:sz w:val="18"/>
                  <w:u w:val="single"/>
                </w:rPr>
                <w:t>. Accumulated Other Comprehensive Loss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76">
              <w:r>
                <w:rPr>
                  <w:rStyle w:val="InternetLink"/>
                  <w:rFonts w:ascii="Times New Roman;serif" w:hAnsi="Times New Roman;serif"/>
                  <w:b w:val="false"/>
                  <w:color w:val="0000FF"/>
                  <w:sz w:val="18"/>
                  <w:u w:val="single"/>
                </w:rPr>
                <w:t>16</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79">
              <w:r>
                <w:rPr>
                  <w:rStyle w:val="InternetLink"/>
                  <w:rFonts w:ascii="Times New Roman;serif" w:hAnsi="Times New Roman;serif"/>
                  <w:b w:val="false"/>
                  <w:color w:val="000080"/>
                  <w:sz w:val="18"/>
                  <w:u w:val="single"/>
                </w:rPr>
                <w:t>1</w:t>
              </w:r>
            </w:hyperlink>
            <w:hyperlink w:anchor="i703a971a6f76471bbb862f7c1f00bd5c_79">
              <w:r>
                <w:rPr>
                  <w:rStyle w:val="InternetLink"/>
                  <w:rFonts w:ascii="Times New Roman;serif" w:hAnsi="Times New Roman;serif"/>
                  <w:b w:val="false"/>
                  <w:color w:val="000080"/>
                  <w:sz w:val="18"/>
                  <w:u w:val="single"/>
                </w:rPr>
                <w:t>4</w:t>
              </w:r>
            </w:hyperlink>
            <w:hyperlink w:anchor="i703a971a6f76471bbb862f7c1f00bd5c_79">
              <w:r>
                <w:rPr>
                  <w:rStyle w:val="InternetLink"/>
                  <w:rFonts w:ascii="Times New Roman;serif" w:hAnsi="Times New Roman;serif"/>
                  <w:b w:val="false"/>
                  <w:color w:val="000080"/>
                  <w:sz w:val="18"/>
                  <w:u w:val="single"/>
                </w:rPr>
                <w:t xml:space="preserve">. </w:t>
              </w:r>
            </w:hyperlink>
            <w:hyperlink w:anchor="i703a971a6f76471bbb862f7c1f00bd5c_79">
              <w:r>
                <w:rPr>
                  <w:rStyle w:val="InternetLink"/>
                  <w:rFonts w:ascii="Times New Roman;serif" w:hAnsi="Times New Roman;serif"/>
                  <w:b w:val="false"/>
                  <w:color w:val="000080"/>
                  <w:sz w:val="18"/>
                  <w:u w:val="single"/>
                </w:rPr>
                <w:t>Earni</w:t>
              </w:r>
            </w:hyperlink>
            <w:hyperlink w:anchor="i703a971a6f76471bbb862f7c1f00bd5c_79">
              <w:r>
                <w:rPr>
                  <w:rStyle w:val="InternetLink"/>
                  <w:rFonts w:ascii="Times New Roman;serif" w:hAnsi="Times New Roman;serif"/>
                  <w:b w:val="false"/>
                  <w:color w:val="000080"/>
                  <w:sz w:val="18"/>
                  <w:u w:val="single"/>
                </w:rPr>
                <w:t>n</w:t>
              </w:r>
            </w:hyperlink>
            <w:hyperlink w:anchor="i703a971a6f76471bbb862f7c1f00bd5c_79">
              <w:r>
                <w:rPr>
                  <w:rStyle w:val="InternetLink"/>
                  <w:rFonts w:ascii="Times New Roman;serif" w:hAnsi="Times New Roman;serif"/>
                  <w:b w:val="false"/>
                  <w:color w:val="000080"/>
                  <w:sz w:val="18"/>
                  <w:u w:val="single"/>
                </w:rPr>
                <w:t>gs (Loss) per Share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79">
              <w:r>
                <w:rPr>
                  <w:rStyle w:val="InternetLink"/>
                  <w:rFonts w:ascii="Times New Roman;serif" w:hAnsi="Times New Roman;serif"/>
                  <w:b w:val="false"/>
                  <w:color w:val="0000FF"/>
                  <w:sz w:val="18"/>
                  <w:u w:val="single"/>
                </w:rPr>
                <w:t>16</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82">
              <w:r>
                <w:rPr>
                  <w:rStyle w:val="InternetLink"/>
                  <w:rFonts w:ascii="Times New Roman;serif" w:hAnsi="Times New Roman;serif"/>
                  <w:b w:val="false"/>
                  <w:color w:val="000080"/>
                  <w:sz w:val="18"/>
                  <w:u w:val="single"/>
                </w:rPr>
                <w:t>1</w:t>
              </w:r>
            </w:hyperlink>
            <w:hyperlink w:anchor="i703a971a6f76471bbb862f7c1f00bd5c_82">
              <w:r>
                <w:rPr>
                  <w:rStyle w:val="InternetLink"/>
                  <w:rFonts w:ascii="Times New Roman;serif" w:hAnsi="Times New Roman;serif"/>
                  <w:b w:val="false"/>
                  <w:color w:val="000080"/>
                  <w:sz w:val="18"/>
                  <w:u w:val="single"/>
                </w:rPr>
                <w:t>5</w:t>
              </w:r>
            </w:hyperlink>
            <w:hyperlink w:anchor="i703a971a6f76471bbb862f7c1f00bd5c_82">
              <w:r>
                <w:rPr>
                  <w:rStyle w:val="InternetLink"/>
                  <w:rFonts w:ascii="Times New Roman;serif" w:hAnsi="Times New Roman;serif"/>
                  <w:b w:val="false"/>
                  <w:color w:val="000080"/>
                  <w:sz w:val="18"/>
                  <w:u w:val="single"/>
                </w:rPr>
                <w:t>. Segment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82">
              <w:r>
                <w:rPr>
                  <w:rStyle w:val="InternetLink"/>
                  <w:rFonts w:ascii="Times New Roman;serif" w:hAnsi="Times New Roman;serif"/>
                  <w:b w:val="false"/>
                  <w:color w:val="0000FF"/>
                  <w:sz w:val="18"/>
                  <w:u w:val="single"/>
                </w:rPr>
                <w:t>17</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88">
              <w:r>
                <w:rPr>
                  <w:rStyle w:val="InternetLink"/>
                  <w:rFonts w:ascii="Times New Roman;serif" w:hAnsi="Times New Roman;serif"/>
                  <w:b w:val="false"/>
                  <w:color w:val="000080"/>
                  <w:sz w:val="18"/>
                  <w:u w:val="single"/>
                </w:rPr>
                <w:t>1</w:t>
              </w:r>
            </w:hyperlink>
            <w:hyperlink w:anchor="i703a971a6f76471bbb862f7c1f00bd5c_88">
              <w:r>
                <w:rPr>
                  <w:rStyle w:val="InternetLink"/>
                  <w:rFonts w:ascii="Times New Roman;serif" w:hAnsi="Times New Roman;serif"/>
                  <w:b w:val="false"/>
                  <w:color w:val="000080"/>
                  <w:sz w:val="18"/>
                  <w:u w:val="single"/>
                </w:rPr>
                <w:t>6</w:t>
              </w:r>
            </w:hyperlink>
            <w:hyperlink w:anchor="i703a971a6f76471bbb862f7c1f00bd5c_88">
              <w:r>
                <w:rPr>
                  <w:rStyle w:val="InternetLink"/>
                  <w:rFonts w:ascii="Times New Roman;serif" w:hAnsi="Times New Roman;serif"/>
                  <w:b w:val="false"/>
                  <w:color w:val="000080"/>
                  <w:sz w:val="18"/>
                  <w:u w:val="single"/>
                </w:rPr>
                <w:t>. Supplemental Cash Flow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88">
              <w:r>
                <w:rPr>
                  <w:rStyle w:val="InternetLink"/>
                  <w:rFonts w:ascii="Times New Roman;serif" w:hAnsi="Times New Roman;serif"/>
                  <w:b w:val="false"/>
                  <w:color w:val="0000FF"/>
                  <w:sz w:val="18"/>
                  <w:u w:val="single"/>
                </w:rPr>
                <w:t>18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85">
              <w:r>
                <w:rPr>
                  <w:rStyle w:val="InternetLink"/>
                  <w:rFonts w:ascii="Times New Roman;serif" w:hAnsi="Times New Roman;serif"/>
                  <w:b w:val="false"/>
                  <w:color w:val="000080"/>
                  <w:sz w:val="18"/>
                  <w:u w:val="single"/>
                </w:rPr>
                <w:t>1</w:t>
              </w:r>
            </w:hyperlink>
            <w:hyperlink w:anchor="i703a971a6f76471bbb862f7c1f00bd5c_85">
              <w:r>
                <w:rPr>
                  <w:rStyle w:val="InternetLink"/>
                  <w:rFonts w:ascii="Times New Roman;serif" w:hAnsi="Times New Roman;serif"/>
                  <w:b w:val="false"/>
                  <w:color w:val="000080"/>
                  <w:sz w:val="18"/>
                  <w:u w:val="single"/>
                </w:rPr>
                <w:t>7</w:t>
              </w:r>
            </w:hyperlink>
            <w:hyperlink w:anchor="i703a971a6f76471bbb862f7c1f00bd5c_85">
              <w:r>
                <w:rPr>
                  <w:rStyle w:val="InternetLink"/>
                  <w:rFonts w:ascii="Times New Roman;serif" w:hAnsi="Times New Roman;serif"/>
                  <w:b w:val="false"/>
                  <w:color w:val="000080"/>
                  <w:sz w:val="18"/>
                  <w:u w:val="single"/>
                </w:rPr>
                <w:t>. Commitments and Contingencies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85">
              <w:r>
                <w:rPr>
                  <w:rStyle w:val="InternetLink"/>
                  <w:rFonts w:ascii="Times New Roman;serif" w:hAnsi="Times New Roman;serif"/>
                  <w:b w:val="false"/>
                  <w:color w:val="0000FF"/>
                  <w:sz w:val="18"/>
                  <w:u w:val="single"/>
                </w:rPr>
                <w:t>19</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91">
              <w:r>
                <w:rPr>
                  <w:rStyle w:val="InternetLink"/>
                  <w:rFonts w:ascii="Times New Roman;serif" w:hAnsi="Times New Roman;serif"/>
                  <w:b w:val="false"/>
                  <w:color w:val="0000FF"/>
                  <w:sz w:val="18"/>
                  <w:u w:val="single"/>
                </w:rPr>
                <w:t>Item 2.</w:t>
              </w:r>
            </w:hyperlink>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91">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91">
              <w:r>
                <w:rPr>
                  <w:rStyle w:val="InternetLink"/>
                  <w:rFonts w:ascii="Times New Roman;serif" w:hAnsi="Times New Roman;serif"/>
                  <w:b w:val="false"/>
                  <w:color w:val="0000FF"/>
                  <w:sz w:val="18"/>
                  <w:u w:val="single"/>
                </w:rPr>
                <w:t>20</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94">
              <w:r>
                <w:rPr>
                  <w:rStyle w:val="InternetLink"/>
                  <w:rFonts w:ascii="Times New Roman;serif" w:hAnsi="Times New Roman;serif"/>
                  <w:b w:val="false"/>
                  <w:color w:val="0000FF"/>
                  <w:sz w:val="18"/>
                  <w:u w:val="single"/>
                </w:rPr>
                <w:t>Forward-Looking Statements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94">
              <w:r>
                <w:rPr>
                  <w:rStyle w:val="InternetLink"/>
                  <w:rFonts w:ascii="Times New Roman;serif" w:hAnsi="Times New Roman;serif"/>
                  <w:b w:val="false"/>
                  <w:color w:val="0000FF"/>
                  <w:sz w:val="18"/>
                  <w:u w:val="single"/>
                </w:rPr>
                <w:t>20</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97">
              <w:r>
                <w:rPr>
                  <w:rStyle w:val="InternetLink"/>
                  <w:rFonts w:ascii="Times New Roman;serif" w:hAnsi="Times New Roman;serif"/>
                  <w:b w:val="false"/>
                  <w:color w:val="000080"/>
                  <w:sz w:val="18"/>
                  <w:u w:val="single"/>
                </w:rPr>
                <w:t>Ov</w:t>
              </w:r>
            </w:hyperlink>
            <w:hyperlink w:anchor="i703a971a6f76471bbb862f7c1f00bd5c_97">
              <w:r>
                <w:rPr>
                  <w:rStyle w:val="InternetLink"/>
                  <w:rFonts w:ascii="Times New Roman;serif" w:hAnsi="Times New Roman;serif"/>
                  <w:b w:val="false"/>
                  <w:color w:val="000080"/>
                  <w:sz w:val="18"/>
                  <w:u w:val="single"/>
                </w:rPr>
                <w:t xml:space="preserve">erview </w:t>
              </w:r>
            </w:hyperlink>
            <w:hyperlink w:anchor="i703a971a6f76471bbb862f7c1f00bd5c_97">
              <w:r>
                <w:rPr>
                  <w:rStyle w:val="InternetLink"/>
                  <w:rFonts w:ascii="Times New Roman;serif" w:hAnsi="Times New Roman;serif"/>
                  <w:b w:val="false"/>
                  <w:color w:val="000080"/>
                  <w:sz w:val="18"/>
                  <w:u w:val="single"/>
                </w:rPr>
                <w:t>and Business</w:t>
              </w:r>
            </w:hyperlink>
            <w:hyperlink w:anchor="i703a971a6f76471bbb862f7c1f00bd5c_97">
              <w:r>
                <w:rPr>
                  <w:rStyle w:val="InternetLink"/>
                  <w:rFonts w:ascii="Times New Roman;serif" w:hAnsi="Times New Roman;serif"/>
                  <w:b w:val="false"/>
                  <w:color w:val="000080"/>
                  <w:sz w:val="18"/>
                  <w:u w:val="single"/>
                </w:rPr>
                <w:t xml:space="preserve"> Environment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97">
              <w:r>
                <w:rPr>
                  <w:rStyle w:val="InternetLink"/>
                  <w:rFonts w:ascii="Times New Roman;serif" w:hAnsi="Times New Roman;serif"/>
                  <w:b w:val="false"/>
                  <w:color w:val="0000FF"/>
                  <w:sz w:val="18"/>
                  <w:u w:val="single"/>
                </w:rPr>
                <w:t>20</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00">
              <w:r>
                <w:rPr>
                  <w:rStyle w:val="InternetLink"/>
                  <w:rFonts w:ascii="Times New Roman;serif" w:hAnsi="Times New Roman;serif"/>
                  <w:b w:val="false"/>
                  <w:color w:val="0000FF"/>
                  <w:sz w:val="18"/>
                  <w:u w:val="single"/>
                </w:rPr>
                <w:t>Financial Overview</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100">
              <w:r>
                <w:rPr>
                  <w:rStyle w:val="InternetLink"/>
                  <w:rFonts w:ascii="Times New Roman;serif" w:hAnsi="Times New Roman;serif"/>
                  <w:b w:val="false"/>
                  <w:color w:val="0000FF"/>
                  <w:sz w:val="18"/>
                  <w:u w:val="single"/>
                </w:rPr>
                <w:t>21</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03">
              <w:r>
                <w:rPr>
                  <w:rStyle w:val="InternetLink"/>
                  <w:rFonts w:ascii="Times New Roman;serif" w:hAnsi="Times New Roman;serif"/>
                  <w:b w:val="false"/>
                  <w:color w:val="0000FF"/>
                  <w:sz w:val="18"/>
                  <w:u w:val="single"/>
                </w:rPr>
                <w:t>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103">
              <w:r>
                <w:rPr>
                  <w:rStyle w:val="InternetLink"/>
                  <w:rFonts w:ascii="Times New Roman;serif" w:hAnsi="Times New Roman;serif"/>
                  <w:b w:val="false"/>
                  <w:color w:val="0000FF"/>
                  <w:sz w:val="18"/>
                  <w:u w:val="single"/>
                </w:rPr>
                <w:t>21</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06">
              <w:r>
                <w:rPr>
                  <w:rStyle w:val="InternetLink"/>
                  <w:rFonts w:ascii="Times New Roman;serif" w:hAnsi="Times New Roman;serif"/>
                  <w:b w:val="false"/>
                  <w:color w:val="0000FF"/>
                  <w:sz w:val="18"/>
                  <w:u w:val="single"/>
                </w:rPr>
                <w:t>Liquidity and Capital Resources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106">
              <w:r>
                <w:rPr>
                  <w:rStyle w:val="InternetLink"/>
                  <w:rFonts w:ascii="Times New Roman;serif" w:hAnsi="Times New Roman;serif"/>
                  <w:b w:val="false"/>
                  <w:color w:val="0000FF"/>
                  <w:sz w:val="18"/>
                  <w:u w:val="single"/>
                </w:rPr>
                <w:t>23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09">
              <w:r>
                <w:rPr>
                  <w:rStyle w:val="InternetLink"/>
                  <w:rFonts w:ascii="Times New Roman;serif" w:hAnsi="Times New Roman;serif"/>
                  <w:b w:val="false"/>
                  <w:color w:val="0000FF"/>
                  <w:sz w:val="18"/>
                  <w:u w:val="single"/>
                </w:rPr>
                <w:t>Critical Accounting Policies and Estimates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109">
              <w:r>
                <w:rPr>
                  <w:rStyle w:val="InternetLink"/>
                  <w:rFonts w:ascii="Times New Roman;serif" w:hAnsi="Times New Roman;serif"/>
                  <w:b w:val="false"/>
                  <w:color w:val="0000FF"/>
                  <w:sz w:val="18"/>
                  <w:u w:val="single"/>
                </w:rPr>
                <w:t>24</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12">
              <w:r>
                <w:rPr>
                  <w:rStyle w:val="InternetLink"/>
                  <w:rFonts w:ascii="Times New Roman;serif" w:hAnsi="Times New Roman;serif"/>
                  <w:b w:val="false"/>
                  <w:color w:val="0000FF"/>
                  <w:sz w:val="18"/>
                  <w:u w:val="single"/>
                </w:rPr>
                <w:t>Item 3.</w:t>
              </w:r>
            </w:hyperlink>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12">
              <w:r>
                <w:rPr>
                  <w:rStyle w:val="InternetLink"/>
                  <w:rFonts w:ascii="Times New Roman;serif" w:hAnsi="Times New Roman;serif"/>
                  <w:b w:val="false"/>
                  <w:color w:val="0000FF"/>
                  <w:sz w:val="18"/>
                  <w:u w:val="single"/>
                </w:rPr>
                <w:t>Quantitative and Qualitative Disclosures about Market Risk</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112">
              <w:r>
                <w:rPr>
                  <w:rStyle w:val="InternetLink"/>
                  <w:rFonts w:ascii="Times New Roman;serif" w:hAnsi="Times New Roman;serif"/>
                  <w:b w:val="false"/>
                  <w:color w:val="0000FF"/>
                  <w:sz w:val="18"/>
                  <w:u w:val="single"/>
                </w:rPr>
                <w:t>24</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15">
              <w:r>
                <w:rPr>
                  <w:rStyle w:val="InternetLink"/>
                  <w:rFonts w:ascii="Times New Roman;serif" w:hAnsi="Times New Roman;serif"/>
                  <w:b w:val="false"/>
                  <w:color w:val="0000FF"/>
                  <w:sz w:val="18"/>
                  <w:u w:val="single"/>
                </w:rPr>
                <w:t>Item 4.</w:t>
              </w:r>
            </w:hyperlink>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15">
              <w:r>
                <w:rPr>
                  <w:rStyle w:val="InternetLink"/>
                  <w:rFonts w:ascii="Times New Roman;serif" w:hAnsi="Times New Roman;serif"/>
                  <w:b w:val="false"/>
                  <w:color w:val="0000FF"/>
                  <w:sz w:val="18"/>
                  <w:u w:val="single"/>
                </w:rPr>
                <w:t>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115">
              <w:r>
                <w:rPr>
                  <w:rStyle w:val="InternetLink"/>
                  <w:rFonts w:ascii="Times New Roman;serif" w:hAnsi="Times New Roman;serif"/>
                  <w:b w:val="false"/>
                  <w:color w:val="0000FF"/>
                  <w:sz w:val="18"/>
                  <w:u w:val="single"/>
                </w:rPr>
                <w:t>24</w:t>
              </w:r>
            </w:hyperlink>
          </w:p>
        </w:tc>
      </w:tr>
      <w:tr>
        <w:trPr/>
        <w:tc>
          <w:tcPr>
            <w:tcW w:w="819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18">
              <w:r>
                <w:rPr>
                  <w:rStyle w:val="InternetLink"/>
                  <w:rFonts w:ascii="Times New Roman;serif" w:hAnsi="Times New Roman;serif"/>
                  <w:b/>
                  <w:color w:val="0000FF"/>
                  <w:sz w:val="18"/>
                  <w:u w:val="single"/>
                </w:rPr>
                <w:t>PART II - 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118">
              <w:r>
                <w:rPr>
                  <w:rStyle w:val="InternetLink"/>
                  <w:rFonts w:ascii="Times New Roman;serif" w:hAnsi="Times New Roman;serif"/>
                  <w:b w:val="false"/>
                  <w:color w:val="0000FF"/>
                  <w:sz w:val="18"/>
                  <w:u w:val="single"/>
                </w:rPr>
                <w:t>25</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21">
              <w:r>
                <w:rPr>
                  <w:rStyle w:val="InternetLink"/>
                  <w:rFonts w:ascii="Times New Roman;serif" w:hAnsi="Times New Roman;serif"/>
                  <w:b w:val="false"/>
                  <w:color w:val="0000FF"/>
                  <w:sz w:val="18"/>
                  <w:u w:val="single"/>
                </w:rPr>
                <w:t>Item 1.</w:t>
              </w:r>
            </w:hyperlink>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21">
              <w:r>
                <w:rPr>
                  <w:rStyle w:val="InternetLink"/>
                  <w:rFonts w:ascii="Times New Roman;serif" w:hAnsi="Times New Roman;serif"/>
                  <w:b w:val="false"/>
                  <w:color w:val="0000FF"/>
                  <w:sz w:val="18"/>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121">
              <w:r>
                <w:rPr>
                  <w:rStyle w:val="InternetLink"/>
                  <w:rFonts w:ascii="Times New Roman;serif" w:hAnsi="Times New Roman;serif"/>
                  <w:b w:val="false"/>
                  <w:color w:val="0000FF"/>
                  <w:sz w:val="18"/>
                  <w:u w:val="single"/>
                </w:rPr>
                <w:t>25</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24">
              <w:r>
                <w:rPr>
                  <w:rStyle w:val="InternetLink"/>
                  <w:rFonts w:ascii="Times New Roman;serif" w:hAnsi="Times New Roman;serif"/>
                  <w:b w:val="false"/>
                  <w:color w:val="0000FF"/>
                  <w:sz w:val="18"/>
                  <w:u w:val="single"/>
                </w:rPr>
                <w:t>Item 1A.</w:t>
              </w:r>
            </w:hyperlink>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24">
              <w:r>
                <w:rPr>
                  <w:rStyle w:val="InternetLink"/>
                  <w:rFonts w:ascii="Times New Roman;serif" w:hAnsi="Times New Roman;serif"/>
                  <w:b w:val="false"/>
                  <w:color w:val="0000FF"/>
                  <w:sz w:val="18"/>
                  <w:u w:val="single"/>
                </w:rPr>
                <w:t>Risk Factors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124">
              <w:r>
                <w:rPr>
                  <w:rStyle w:val="InternetLink"/>
                  <w:rFonts w:ascii="Times New Roman;serif" w:hAnsi="Times New Roman;serif"/>
                  <w:b w:val="false"/>
                  <w:color w:val="0000FF"/>
                  <w:sz w:val="18"/>
                  <w:u w:val="single"/>
                </w:rPr>
                <w:t>25</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27">
              <w:r>
                <w:rPr>
                  <w:rStyle w:val="InternetLink"/>
                  <w:rFonts w:ascii="Times New Roman;serif" w:hAnsi="Times New Roman;serif"/>
                  <w:b w:val="false"/>
                  <w:color w:val="0000FF"/>
                  <w:sz w:val="18"/>
                  <w:u w:val="single"/>
                </w:rPr>
                <w:t>Item 2.</w:t>
              </w:r>
            </w:hyperlink>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27">
              <w:r>
                <w:rPr>
                  <w:rStyle w:val="InternetLink"/>
                  <w:rFonts w:ascii="Times New Roman;serif" w:hAnsi="Times New Roman;serif"/>
                  <w:b w:val="false"/>
                  <w:color w:val="0000FF"/>
                  <w:sz w:val="18"/>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127">
              <w:r>
                <w:rPr>
                  <w:rStyle w:val="InternetLink"/>
                  <w:rFonts w:ascii="Times New Roman;serif" w:hAnsi="Times New Roman;serif"/>
                  <w:b w:val="false"/>
                  <w:color w:val="0000FF"/>
                  <w:sz w:val="18"/>
                  <w:u w:val="single"/>
                </w:rPr>
                <w:t>25</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30">
              <w:r>
                <w:rPr>
                  <w:rStyle w:val="InternetLink"/>
                  <w:rFonts w:ascii="Times New Roman;serif" w:hAnsi="Times New Roman;serif"/>
                  <w:b w:val="false"/>
                  <w:color w:val="0000FF"/>
                  <w:sz w:val="18"/>
                  <w:u w:val="single"/>
                </w:rPr>
                <w:t>Item 3.</w:t>
              </w:r>
            </w:hyperlink>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30">
              <w:r>
                <w:rPr>
                  <w:rStyle w:val="InternetLink"/>
                  <w:rFonts w:ascii="Times New Roman;serif" w:hAnsi="Times New Roman;serif"/>
                  <w:b w:val="false"/>
                  <w:color w:val="0000FF"/>
                  <w:sz w:val="18"/>
                  <w:u w:val="single"/>
                </w:rPr>
                <w:t>Defaults upon Senior Securities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130">
              <w:r>
                <w:rPr>
                  <w:rStyle w:val="InternetLink"/>
                  <w:rFonts w:ascii="Times New Roman;serif" w:hAnsi="Times New Roman;serif"/>
                  <w:b w:val="false"/>
                  <w:color w:val="0000FF"/>
                  <w:sz w:val="18"/>
                  <w:u w:val="single"/>
                </w:rPr>
                <w:t>25</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33">
              <w:r>
                <w:rPr>
                  <w:rStyle w:val="InternetLink"/>
                  <w:rFonts w:ascii="Times New Roman;serif" w:hAnsi="Times New Roman;serif"/>
                  <w:b w:val="false"/>
                  <w:color w:val="0000FF"/>
                  <w:sz w:val="18"/>
                  <w:u w:val="single"/>
                </w:rPr>
                <w:t>Item 4.</w:t>
              </w:r>
            </w:hyperlink>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33">
              <w:r>
                <w:rPr>
                  <w:rStyle w:val="InternetLink"/>
                  <w:rFonts w:ascii="Times New Roman;serif" w:hAnsi="Times New Roman;serif"/>
                  <w:b w:val="false"/>
                  <w:color w:val="0000FF"/>
                  <w:sz w:val="18"/>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133">
              <w:r>
                <w:rPr>
                  <w:rStyle w:val="InternetLink"/>
                  <w:rFonts w:ascii="Times New Roman;serif" w:hAnsi="Times New Roman;serif"/>
                  <w:b w:val="false"/>
                  <w:color w:val="0000FF"/>
                  <w:sz w:val="18"/>
                  <w:u w:val="single"/>
                </w:rPr>
                <w:t>25</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36">
              <w:r>
                <w:rPr>
                  <w:rStyle w:val="InternetLink"/>
                  <w:rFonts w:ascii="Times New Roman;serif" w:hAnsi="Times New Roman;serif"/>
                  <w:b w:val="false"/>
                  <w:color w:val="0000FF"/>
                  <w:sz w:val="18"/>
                  <w:u w:val="single"/>
                </w:rPr>
                <w:t>Item 5.</w:t>
              </w:r>
            </w:hyperlink>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36">
              <w:r>
                <w:rPr>
                  <w:rStyle w:val="InternetLink"/>
                  <w:rFonts w:ascii="Times New Roman;serif" w:hAnsi="Times New Roman;serif"/>
                  <w:b w:val="false"/>
                  <w:color w:val="0000FF"/>
                  <w:sz w:val="18"/>
                  <w:u w:val="single"/>
                </w:rPr>
                <w:t>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136">
              <w:r>
                <w:rPr>
                  <w:rStyle w:val="InternetLink"/>
                  <w:rFonts w:ascii="Times New Roman;serif" w:hAnsi="Times New Roman;serif"/>
                  <w:b w:val="false"/>
                  <w:color w:val="0000FF"/>
                  <w:sz w:val="18"/>
                  <w:u w:val="single"/>
                </w:rPr>
                <w:t>25</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39">
              <w:r>
                <w:rPr>
                  <w:rStyle w:val="InternetLink"/>
                  <w:rFonts w:ascii="Times New Roman;serif" w:hAnsi="Times New Roman;serif"/>
                  <w:b w:val="false"/>
                  <w:color w:val="0000FF"/>
                  <w:sz w:val="18"/>
                  <w:u w:val="single"/>
                </w:rPr>
                <w:t>Item 6.</w:t>
              </w:r>
            </w:hyperlink>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39">
              <w:r>
                <w:rPr>
                  <w:rStyle w:val="InternetLink"/>
                  <w:rFonts w:ascii="Times New Roman;serif" w:hAnsi="Times New Roman;serif"/>
                  <w:b w:val="false"/>
                  <w:color w:val="0000FF"/>
                  <w:sz w:val="18"/>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139">
              <w:r>
                <w:rPr>
                  <w:rStyle w:val="InternetLink"/>
                  <w:rFonts w:ascii="Times New Roman;serif" w:hAnsi="Times New Roman;serif"/>
                  <w:b w:val="false"/>
                  <w:color w:val="0000FF"/>
                  <w:sz w:val="18"/>
                  <w:u w:val="single"/>
                </w:rPr>
                <w:t>26</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03a971a6f76471bbb862f7c1f00bd5c_142">
              <w:r>
                <w:rPr>
                  <w:rStyle w:val="InternetLink"/>
                  <w:rFonts w:ascii="Times New Roman;serif" w:hAnsi="Times New Roman;serif"/>
                  <w:b w:val="false"/>
                  <w:color w:val="0000FF"/>
                  <w:sz w:val="18"/>
                  <w:u w:val="single"/>
                </w:rPr>
                <w:t>SIGNATURES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03a971a6f76471bbb862f7c1f00bd5c_142">
              <w:r>
                <w:rPr>
                  <w:rStyle w:val="InternetLink"/>
                  <w:rFonts w:ascii="Times New Roman;serif" w:hAnsi="Times New Roman;serif"/>
                  <w:b w:val="false"/>
                  <w:color w:val="0000FF"/>
                  <w:sz w:val="18"/>
                  <w:u w:val="single"/>
                </w:rPr>
                <w:t>27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3"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TELOS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725"/>
        <w:gridCol w:w="1509"/>
        <w:gridCol w:w="1515"/>
        <w:gridCol w:w="227"/>
        <w:gridCol w:w="752"/>
        <w:gridCol w:w="126"/>
        <w:gridCol w:w="109"/>
        <w:gridCol w:w="109"/>
        <w:gridCol w:w="109"/>
        <w:gridCol w:w="227"/>
        <w:gridCol w:w="752"/>
        <w:gridCol w:w="126"/>
        <w:gridCol w:w="109"/>
        <w:gridCol w:w="109"/>
        <w:gridCol w:w="109"/>
        <w:gridCol w:w="227"/>
        <w:gridCol w:w="752"/>
        <w:gridCol w:w="126"/>
        <w:gridCol w:w="109"/>
        <w:gridCol w:w="109"/>
        <w:gridCol w:w="109"/>
        <w:gridCol w:w="210"/>
        <w:gridCol w:w="776"/>
        <w:gridCol w:w="174"/>
      </w:tblGrid>
      <w:tr>
        <w:trPr/>
        <w:tc>
          <w:tcPr>
            <w:tcW w:w="1725"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per share amounts)</w:t>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 services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58,146 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 products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47,745 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35,968 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95,487 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66,584 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 services (excluding depreciation and amortization)</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45,776 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32,096 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 products (excluding depreciation and amortization)</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sales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31,053 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61,420 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42,470 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34,067 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43,019 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(18,905)</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(9,471)</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(18,079)</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(9,517)</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(18,121)</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w:t>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w:t>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74,361 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72,940 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72,940 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4"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TELOS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8926" w:type="dxa"/>
        <w:jc w:val="center"/>
        <w:tblInd w:w="0" w:type="dxa"/>
        <w:tblLayout w:type="fixed"/>
        <w:tblCellMar>
          <w:top w:w="28" w:type="dxa"/>
          <w:left w:w="28" w:type="dxa"/>
          <w:bottom w:w="28" w:type="dxa"/>
          <w:right w:w="28" w:type="dxa"/>
        </w:tblCellMar>
      </w:tblPr>
      <w:tblGrid>
        <w:gridCol w:w="1240"/>
        <w:gridCol w:w="1093"/>
        <w:gridCol w:w="1101"/>
        <w:gridCol w:w="299"/>
        <w:gridCol w:w="645"/>
        <w:gridCol w:w="166"/>
        <w:gridCol w:w="118"/>
        <w:gridCol w:w="118"/>
        <w:gridCol w:w="118"/>
        <w:gridCol w:w="232"/>
        <w:gridCol w:w="749"/>
        <w:gridCol w:w="129"/>
        <w:gridCol w:w="109"/>
        <w:gridCol w:w="109"/>
        <w:gridCol w:w="109"/>
        <w:gridCol w:w="252"/>
        <w:gridCol w:w="717"/>
        <w:gridCol w:w="140"/>
        <w:gridCol w:w="109"/>
        <w:gridCol w:w="109"/>
        <w:gridCol w:w="109"/>
        <w:gridCol w:w="211"/>
        <w:gridCol w:w="778"/>
        <w:gridCol w:w="166"/>
      </w:tblGrid>
      <w:tr>
        <w:trPr/>
        <w:tc>
          <w:tcPr>
            <w:tcW w:w="124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Actuarial gain on pension liability adjustment</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(9,522)</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2,678 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(18,038)</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5"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TELOS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625"/>
        <w:gridCol w:w="2181"/>
        <w:gridCol w:w="2203"/>
        <w:gridCol w:w="236"/>
        <w:gridCol w:w="888"/>
        <w:gridCol w:w="131"/>
        <w:gridCol w:w="126"/>
        <w:gridCol w:w="126"/>
        <w:gridCol w:w="126"/>
        <w:gridCol w:w="280"/>
        <w:gridCol w:w="1055"/>
        <w:gridCol w:w="228"/>
      </w:tblGrid>
      <w:tr>
        <w:trPr/>
        <w:tc>
          <w:tcPr>
            <w:tcW w:w="2625"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7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per share amount and share data)</w:t>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53,180 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Inventories, net </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program expenses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96,825 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94,413 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right-of-use assets, net</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Goodwill </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30,281 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139,749 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139,864 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 current portion</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obligations – current portion</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obligations – current portion</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40,636 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36,784 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 non-current portion</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obligations – non-current portion</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obligations – non-current portion</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income taxes </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liabilities </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46,336 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43,914 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Commitments and contingencies </w:t>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250,000,000 shares authorized, 74,736,789 shares and 72,773,272 shares issued and outstanding as of June 30, 2026, and December 31, 2025, respectively</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459,828 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(361,210)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(363,893)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93,413 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95,950 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139,749 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139,864 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6"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TELOS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8576" w:type="dxa"/>
        <w:jc w:val="left"/>
        <w:tblInd w:w="0" w:type="dxa"/>
        <w:tblLayout w:type="fixed"/>
        <w:tblCellMar>
          <w:top w:w="28" w:type="dxa"/>
          <w:left w:w="28" w:type="dxa"/>
          <w:bottom w:w="28" w:type="dxa"/>
          <w:right w:w="28" w:type="dxa"/>
        </w:tblCellMar>
      </w:tblPr>
      <w:tblGrid>
        <w:gridCol w:w="2168"/>
        <w:gridCol w:w="1901"/>
        <w:gridCol w:w="1916"/>
        <w:gridCol w:w="228"/>
        <w:gridCol w:w="754"/>
        <w:gridCol w:w="127"/>
        <w:gridCol w:w="109"/>
        <w:gridCol w:w="109"/>
        <w:gridCol w:w="109"/>
        <w:gridCol w:w="211"/>
        <w:gridCol w:w="778"/>
        <w:gridCol w:w="166"/>
      </w:tblGrid>
      <w:tr>
        <w:trPr/>
        <w:tc>
          <w:tcPr>
            <w:tcW w:w="2168"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cash flows from operations: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fixed assets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inventory obsolescence</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(recovery from) doubtful accounts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deferred program expenses, other current assets and other assets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other liabilities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(4,493)</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(4,658)</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tax withholding related to net share settlement of equity awards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under finance lease obligations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debt issuance costs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(5,978)</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restricted cash</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50,788 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57,137 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TELOS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990"/>
        <w:gridCol w:w="584"/>
        <w:gridCol w:w="589"/>
        <w:gridCol w:w="323"/>
        <w:gridCol w:w="323"/>
        <w:gridCol w:w="186"/>
        <w:gridCol w:w="109"/>
        <w:gridCol w:w="109"/>
        <w:gridCol w:w="109"/>
        <w:gridCol w:w="196"/>
        <w:gridCol w:w="421"/>
        <w:gridCol w:w="109"/>
        <w:gridCol w:w="109"/>
        <w:gridCol w:w="109"/>
        <w:gridCol w:w="109"/>
        <w:gridCol w:w="210"/>
        <w:gridCol w:w="790"/>
        <w:gridCol w:w="116"/>
        <w:gridCol w:w="109"/>
        <w:gridCol w:w="109"/>
        <w:gridCol w:w="109"/>
        <w:gridCol w:w="360"/>
        <w:gridCol w:w="802"/>
        <w:gridCol w:w="202"/>
        <w:gridCol w:w="109"/>
        <w:gridCol w:w="109"/>
        <w:gridCol w:w="109"/>
        <w:gridCol w:w="212"/>
        <w:gridCol w:w="832"/>
        <w:gridCol w:w="118"/>
        <w:gridCol w:w="109"/>
        <w:gridCol w:w="109"/>
        <w:gridCol w:w="109"/>
        <w:gridCol w:w="216"/>
        <w:gridCol w:w="813"/>
        <w:gridCol w:w="178"/>
      </w:tblGrid>
      <w:tr>
        <w:trPr/>
        <w:tc>
          <w:tcPr>
            <w:tcW w:w="99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w:t>
              <w:br/>
              <w:t>Equity</w:t>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(in thousands)</w:t>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458,392 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(361,870)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96,531 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gain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unit awards vested, net of shares withheld to cover tax withholding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74,737 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454,611 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(361,210)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93,413 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461,994 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(335,951)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126,114 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unit awards vested, net of shares withheld to cover tax withholding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72,442 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463,816 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(345,468)</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118,413 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62"/>
        <w:gridCol w:w="659"/>
        <w:gridCol w:w="662"/>
        <w:gridCol w:w="323"/>
        <w:gridCol w:w="323"/>
        <w:gridCol w:w="186"/>
        <w:gridCol w:w="109"/>
        <w:gridCol w:w="109"/>
        <w:gridCol w:w="109"/>
        <w:gridCol w:w="196"/>
        <w:gridCol w:w="421"/>
        <w:gridCol w:w="109"/>
        <w:gridCol w:w="109"/>
        <w:gridCol w:w="109"/>
        <w:gridCol w:w="109"/>
        <w:gridCol w:w="206"/>
        <w:gridCol w:w="775"/>
        <w:gridCol w:w="114"/>
        <w:gridCol w:w="109"/>
        <w:gridCol w:w="109"/>
        <w:gridCol w:w="109"/>
        <w:gridCol w:w="347"/>
        <w:gridCol w:w="774"/>
        <w:gridCol w:w="195"/>
        <w:gridCol w:w="109"/>
        <w:gridCol w:w="109"/>
        <w:gridCol w:w="109"/>
        <w:gridCol w:w="207"/>
        <w:gridCol w:w="811"/>
        <w:gridCol w:w="115"/>
        <w:gridCol w:w="109"/>
        <w:gridCol w:w="109"/>
        <w:gridCol w:w="109"/>
        <w:gridCol w:w="211"/>
        <w:gridCol w:w="797"/>
        <w:gridCol w:w="177"/>
      </w:tblGrid>
      <w:tr>
        <w:trPr/>
        <w:tc>
          <w:tcPr>
            <w:tcW w:w="96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w:t>
              <w:br/>
              <w:t>Equity</w:t>
            </w:r>
          </w:p>
        </w:tc>
      </w:tr>
      <w:tr>
        <w:trPr/>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(in thousands)</w:t>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72,773 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459,828 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(363,893)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95,950 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unit awards vested, net of shares withheld to cover tax withholding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annual incentive plan ("AIP") payment, net of shares withheld to cover tax withholding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401(k) match</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74,737 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454,611 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(361,210)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93,413 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72,515 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454,502 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(327,347)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127,137 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gain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Actuarial gain on pension liability adjustment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unit awards vested, net of shares withheld to cover tax withholding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401(k) match</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72,442 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463,816 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(345,468)</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118,413 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283"/>
        <w:ind w:left="0" w:right="0" w:firstLine="540"/>
        <w:jc w:val="center"/>
        <w:rPr>
          <w:rFonts w:ascii="Times New Roman;serif" w:hAnsi="Times New Roman;serif"/>
          <w:b/>
          <w:color w:val="000000"/>
          <w:sz w:val="20"/>
        </w:rPr>
      </w:pPr>
      <w:r>
        <w:rPr>
          <w:rFonts w:ascii="Times New Roman;serif" w:hAnsi="Times New Roman;serif"/>
          <w:b/>
          <w:color w:val="000000"/>
          <w:sz w:val="20"/>
        </w:rPr>
        <w:t>TELOS CORPORATION</w:t>
      </w:r>
    </w:p>
    <w:p>
      <w:pPr>
        <w:pStyle w:val="TextBody"/>
        <w:bidi w:val="0"/>
        <w:spacing w:lineRule="auto" w:line="288" w:before="0" w:after="180"/>
        <w:ind w:left="0" w:right="0" w:firstLine="54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1. ORGANIZATION</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Telos Corporation, together with its subsidiaries (collectively, the "Company," "we," "our" or "Telos"), a Maryland corporation, is a leading provider of cyber, cloud and enterprise security solutions for the world's most security-conscious organizations. We own all of the issued and outstanding shares of Xacta Corporation and ubIQuity.com, inc. (a holding company for Xacta Corporation), and Teloworks, Inc. ("Teloworks"), and 100% ownership interest in Telos Identity Management Solutions, LLC ("Telos 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2. SIGNIFICANT ACCOUNTING POLICIES</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 and Principle of Consolidation</w:t>
      </w:r>
    </w:p>
    <w:p>
      <w:pPr>
        <w:pStyle w:val="TextBody"/>
        <w:bidi w:val="0"/>
        <w:spacing w:lineRule="auto" w:line="288" w:before="120" w:after="180"/>
        <w:jc w:val="left"/>
        <w:rPr/>
      </w:pPr>
      <w:r>
        <w:rPr>
          <w:rFonts w:ascii="Times New Roman;serif" w:hAnsi="Times New Roman;serif"/>
          <w:b w:val="false"/>
          <w:color w:val="000000"/>
          <w:sz w:val="20"/>
        </w:rPr>
        <w:t xml:space="preserve">The accompanying unaudited consolidated financial statements include the accounts of Telos and its subsidiaries (see </w:t>
      </w:r>
      <w:hyperlink w:anchor="i703a971a6f76471bbb862f7c1f00bd5c_34">
        <w:r>
          <w:rPr>
            <w:rStyle w:val="InternetLink"/>
            <w:rFonts w:ascii="Times New Roman;serif" w:hAnsi="Times New Roman;serif"/>
            <w:b w:val="false"/>
            <w:color w:val="0000FF"/>
            <w:sz w:val="20"/>
            <w:u w:val="single"/>
          </w:rPr>
          <w:t>Note 1 – Organization</w:t>
        </w:r>
      </w:hyperlink>
      <w:r>
        <w:rPr>
          <w:rFonts w:ascii="Times New Roman;serif" w:hAnsi="Times New Roman;serif"/>
          <w:b w:val="false"/>
          <w:color w:val="000000"/>
          <w:sz w:val="20"/>
        </w:rPr>
        <w:t>), all of whose issued and outstanding share capital is wholly owned directly and indirectly by Telos Corporation. All intercompany transactions have been eliminated in consolidation.</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unaudited consolidated financial statements have been prepared in accordance with accounting principles generally accepted in the United States of America ("U.S. GAAP"), and the rules and regulations of the U.S. Securities and Exchange Commission ("SEC").</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 for Interim Periods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Certain information and footnote disclosures normally included for the annual financial statements prepared in accordance with U.S. GAAP have been condensed or omitted for the interim periods presented. We believe that the unaudited interim financial statements include all adjustments (which are normal and recurring) necessary to state fairly our financial position and the results of operations and cash flows for the periods presented.</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interim periods presented are not necessarily indicative of results that may be expected for the full year or future periods. The financial statements should be read in conjunction with our audited consolidated financial statements and the notes thereto for the year ended December 31, 2025, included in our Annual Report on Form 10-K for the fiscal year then ended. We have continued to follow the accounting policies set forth in those financial statements.</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Reclassification</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Certain prior-period amounts have been reclassified to conform to the current period presentation. This reclassification relates to presenting "Inventories, net" as a separate line item on the unaudited consolidated balance sheets from "Other current assets."</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preparation of these unaudited consolidated financial statements, in conformity with U.S. GAAP, requires management to make estimates and assumptions that affect the reported amounts of revenue, expenses, assets and liabilities, and disclosure of contingent assets and liabilities. The Company regularly assesses these estimates; however, actual results could differ from those estimates. We base our estimates on historical experience, currently available information, and various other assumptions that we believe are reasonable under the circumstances.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Management evaluates these estimates and assumptions on an ongoing basis, including those relating to revenue recognition and cost estimation on certain contracts, allowance for credit losses, inventory obsolescence, valuation allowance for deferred tax assets, income taxes, certain assumptions related to stock-based compensation, valuation of intangible assets and goodwill, restructuring expenses accruals, and contingencies. Actual results could differ from these estimates. The impact of changes in estimates is recorded in the period in which they become known.</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Restructuring Expenses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disclosed in the Company's recent Annual Report on Form 10-K for the year ended December 31, 2025, in the fourth quarter of 2025, the Company committed to a restructuring plan as part of its efforts to streamline operations and to align people, roles and projects to our strategic priorities ("2025 restructuring"). The 2025 restructuring plan reduced the Company's workforce, with a portion of the affected employees separating from the business during the current quarter and the remainder expected to separate by the third quarter of 2026. The Company continues to evaluate the 2025 restructuring plan and may incur incremental restructuring charges through the remainder of 2026 to the extent such charges are determined to be probable and estimable. The Company incurred $1.5 million in cumulative restructuring expenses related to the 2025 restructuring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At each reporting date, the Company evaluates its restructuring expense accrual to determine if the liabilities reported are still appropriate. Any changes in the estimated costs of executing the approved restructuring plan are reflected in the Company's unaudited consolidated statement of operations.</w:t>
      </w:r>
    </w:p>
    <w:tbl>
      <w:tblPr>
        <w:tblW w:w="6089" w:type="dxa"/>
        <w:jc w:val="left"/>
        <w:tblInd w:w="0" w:type="dxa"/>
        <w:tblLayout w:type="fixed"/>
        <w:tblCellMar>
          <w:top w:w="28" w:type="dxa"/>
          <w:left w:w="28" w:type="dxa"/>
          <w:bottom w:w="28" w:type="dxa"/>
          <w:right w:w="28" w:type="dxa"/>
        </w:tblCellMar>
      </w:tblPr>
      <w:tblGrid>
        <w:gridCol w:w="827"/>
        <w:gridCol w:w="726"/>
        <w:gridCol w:w="726"/>
        <w:gridCol w:w="824"/>
        <w:gridCol w:w="2339"/>
        <w:gridCol w:w="647"/>
      </w:tblGrid>
      <w:tr>
        <w:trPr/>
        <w:tc>
          <w:tcPr>
            <w:tcW w:w="82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60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2: Summary of Changes in Restructuring Expenses Accrual</w:t>
            </w:r>
          </w:p>
        </w:tc>
      </w:tr>
      <w:tr>
        <w:trPr/>
        <w:tc>
          <w:tcPr>
            <w:tcW w:w="2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Severance and related benefit costs</w:t>
            </w:r>
            <w:r>
              <w:rPr>
                <w:rFonts w:ascii="Times New Roman;serif" w:hAnsi="Times New Roman;serif"/>
                <w:b w:val="false"/>
                <w:color w:val="000000"/>
                <w:sz w:val="12"/>
              </w:rPr>
              <w:t>(1)</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w:t>
            </w:r>
          </w:p>
        </w:tc>
        <w:tc>
          <w:tcPr>
            <w:tcW w:w="3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Restructuring-related liabilities are reported as part of "Accrued liabilities" in the Company's unaudited consolidated balance sheets; see </w:t>
      </w:r>
      <w:hyperlink w:anchor="i703a971a6f76471bbb862f7c1f00bd5c_61">
        <w:r>
          <w:rPr>
            <w:rStyle w:val="InternetLink"/>
          </w:rPr>
          <w:t xml:space="preserve">Note </w:t>
        </w:r>
      </w:hyperlink>
      <w:hyperlink w:anchor="i703a971a6f76471bbb862f7c1f00bd5c_61">
        <w:r>
          <w:rPr>
            <w:rStyle w:val="InternetLink"/>
          </w:rPr>
          <w:t>9</w:t>
        </w:r>
      </w:hyperlink>
      <w:hyperlink w:anchor="i703a971a6f76471bbb862f7c1f00bd5c_61">
        <w:r>
          <w:rPr>
            <w:rStyle w:val="InternetLink"/>
          </w:rPr>
          <w:t xml:space="preserve"> - Other Balance Sheet Components</w:t>
        </w:r>
      </w:hyperlink>
      <w:r>
        <w:rPr>
          <w:color w:val="000000"/>
        </w:rPr>
        <w:t xml:space="preserve"> </w:t>
      </w:r>
      <w:r>
        <w:rPr>
          <w:rFonts w:ascii="Times New Roman;serif" w:hAnsi="Times New Roman;serif"/>
          <w:b w:val="false"/>
          <w:color w:val="000000"/>
          <w:sz w:val="16"/>
        </w:rPr>
        <w:t>for further details.</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(Topic 220): Disaggregation of Income Statement Expenses." This standard requires additional disclosure of certain amounts included in the expense captions presented on the statement of operations, as well as disclosures about selling expenses. The ASU is effective on a prospective basis, with the option for retrospective application. All public business entities are required to adopt the guidance in annual reporting periods beginning after December 15, 2026, and interim reporting periods beginning after December 15, 2027, with early adoption permitted. We are in the process of assessing the impact of the adoption of this ASU on our unaudited consolidated financial statements.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 – Credit Losses (Topic 326): Measurement of Credit Losses for Accounts Receivable and Contract Assets.” This standard provides simplified guidance on measuring credit losses for accounts receivable and contract assets. The update introduces a practical expedient and an accounting policy election to ease the process. All entities can elect the practical expedient to assume that the current economic conditions at the balance sheet date will remain constant through the life of the current receivables and contract assets. Entities that elect the practical expedient and the accounting policy election should apply the amendments in this ASU prospectively. The ASU was effective for annual reporting periods beginning after December 15, 2025, and interim reporting periods within those annual reporting periods, with early adoption permitted. We adopted the standard in the first quarter of 2026 and the adoption did not have a material impact on our unaudited consolidated financial statements.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of Internal-Use Software." This standard provides a simplified, consistent way to track expenses related to software developed for internal use. The amendments in this standard removed all references to project stages; instead, a company can capitalize software costs once both conditions are met: the entity's management has authorized and committed to funding the project, and it is probable that the project will be completed and the software will be used as intended. The amendments will be effective for annual reporting periods, including interim periods within those years, beginning after December 15, 2027, with early adoption permitted. We are currently assessing the impact of adopting this ASU on our unaudited consolidated financial statements.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which was intended to improve the navigability of the guidance in ASC 270 and clarify when it applies. Public entities are required to adopt the guidance for interim reporting periods within annual reporting periods beginning after December 15, 2027, with early adoption permitted. We are currently assessing the impact of adopting this ASU on our unaudited consolidated financial statements.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"Codification Improvement." This ASU includes a number of improvements that span a wide range of topics, which includes amendments on the following provisions, among other things, (1) clarify diluted earnings per share ("EPS") calculation when a loss from continuing operation exists; (2) revising the calculation of the reference amount for beneficial interests to prevent double counting credit losses; (3) clarify the permissible methods to account for treasury stock retirements; and (4) clarify the guidance for transfers of receivables from contracts with customers. The standard will be effective for annual reporting periods beginning after December 15, 2026, and interim reporting periods within those annual reporting periods, with early adoption permitted. We are currently assessing the impact of adopting this ASU on our unaudited consolidated financial statements.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In addition, from time to time, new accounting standards are issued by the Financial Accounting Standards Board or other standard-setting bodies and are adopted by the Company as of the specified accounting date. Unless otherwise discussed, the Company believes that issued standards not yet effective will not have a material effect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3. REVENUE RECOGNITION</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majority of our revenue is recognized over time, as control is transferred continuously to our customers, who receive and consume benefits as we perform. Revenue transferred to customers over time accounted for 69% and 70% of our revenue for the three and six months ended June 30, 2026, respectively, and 68% and 73% of our revenue for the three and six months ended June 30, 2025, respectively. For performance obligations in which control does not continuously transfer to the customer, we recognize revenue at the point in time when each performance obligation is fully satisfied. This coincides with the point in time the customer obtains control of the product or service, which typically occurs upon customer acceptance or receipt of the product or service, given that we maintain control of the product or service until that point. Revenue transferred to customers at a point in time accounted for 31% and 30% of our revenue for the three and six months ended June 30, 2026, respectively, and 32% and 27% of our revenue for the three and six months ended June 30, 2025, respectively. The change in revenue mix for the three and six months ended June 30, 2026, as compared to the prior period, was primarily driven by an increase in product sales volume from a successful ramp-up of a significant program.</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Our contracts may include various types of variable considerations and may include estimated amounts in the transaction price, based on all of the information available to us, and to the extent it is probable that a significant reversal of cumulative revenue recognized will not occur when any uncertainty associated with the variable consideration is resolved. We evaluate and include these estimated amounts of variable consideration in the transaction price and as performance on these contracts is complete, we adjust our revenue, when deemed necessary. No revenue adjustments were recorded during the three and six months ended June 30, 2026, and 2025.</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for anticipated losses on contracts during the period when the loss is determined by recording an expense for the total expected costs that exceeds the total estimated revenue for a performance obligation. No contract loss was recorded during the three and six months ended June 30, 2026. No contract loss was recorded during the three months ended June 30, 2025, while we recorded an immaterial contract loss during the six months ended June 30, 2025. </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Disaggregated Revenues</w:t>
      </w:r>
    </w:p>
    <w:p>
      <w:pPr>
        <w:pStyle w:val="TextBody"/>
        <w:bidi w:val="0"/>
        <w:spacing w:lineRule="auto" w:line="288" w:before="120" w:after="180"/>
        <w:jc w:val="left"/>
        <w:rPr/>
      </w:pPr>
      <w:r>
        <w:rPr>
          <w:rFonts w:ascii="Times New Roman;serif" w:hAnsi="Times New Roman;serif"/>
          <w:b w:val="false"/>
          <w:color w:val="000000"/>
          <w:sz w:val="20"/>
        </w:rPr>
        <w:t xml:space="preserve">In addition to our segment reporting, as further discussed in </w:t>
      </w:r>
      <w:hyperlink w:anchor="i703a971a6f76471bbb862f7c1f00bd5c_82">
        <w:r>
          <w:rPr>
            <w:rStyle w:val="InternetLink"/>
          </w:rPr>
          <w:t>Note 1</w:t>
        </w:r>
      </w:hyperlink>
      <w:hyperlink w:anchor="i703a971a6f76471bbb862f7c1f00bd5c_82">
        <w:r>
          <w:rPr>
            <w:rStyle w:val="InternetLink"/>
          </w:rPr>
          <w:t>5</w:t>
        </w:r>
      </w:hyperlink>
      <w:hyperlink w:anchor="i703a971a6f76471bbb862f7c1f00bd5c_82">
        <w:r>
          <w:rPr>
            <w:rStyle w:val="InternetLink"/>
          </w:rPr>
          <w:t xml:space="preserve"> – Segment Information</w:t>
        </w:r>
      </w:hyperlink>
      <w:r>
        <w:rPr>
          <w:rFonts w:ascii="Times New Roman;serif" w:hAnsi="Times New Roman;serif"/>
          <w:b w:val="false"/>
          <w:color w:val="000000"/>
          <w:sz w:val="20"/>
        </w:rPr>
        <w:t>, we disaggregate our revenues by customer and contract types. We treat sales to U.S. customers as sales within the United States, regardless of where the services are performed. Substantially most of our revenues are generated from U.S. customers, while international customers are de minimis; as such, the financial information by geographic location is not presented.</w:t>
      </w:r>
    </w:p>
    <w:tbl>
      <w:tblPr>
        <w:tblW w:w="10205" w:type="dxa"/>
        <w:jc w:val="left"/>
        <w:tblInd w:w="0" w:type="dxa"/>
        <w:tblLayout w:type="fixed"/>
        <w:tblCellMar>
          <w:top w:w="28" w:type="dxa"/>
          <w:left w:w="28" w:type="dxa"/>
          <w:bottom w:w="28" w:type="dxa"/>
          <w:right w:w="28" w:type="dxa"/>
        </w:tblCellMar>
      </w:tblPr>
      <w:tblGrid>
        <w:gridCol w:w="705"/>
        <w:gridCol w:w="617"/>
        <w:gridCol w:w="626"/>
        <w:gridCol w:w="196"/>
        <w:gridCol w:w="646"/>
        <w:gridCol w:w="109"/>
        <w:gridCol w:w="109"/>
        <w:gridCol w:w="109"/>
        <w:gridCol w:w="109"/>
        <w:gridCol w:w="183"/>
        <w:gridCol w:w="173"/>
        <w:gridCol w:w="173"/>
        <w:gridCol w:w="109"/>
        <w:gridCol w:w="109"/>
        <w:gridCol w:w="109"/>
        <w:gridCol w:w="196"/>
        <w:gridCol w:w="646"/>
        <w:gridCol w:w="109"/>
        <w:gridCol w:w="109"/>
        <w:gridCol w:w="109"/>
        <w:gridCol w:w="109"/>
        <w:gridCol w:w="183"/>
        <w:gridCol w:w="173"/>
        <w:gridCol w:w="173"/>
        <w:gridCol w:w="109"/>
        <w:gridCol w:w="109"/>
        <w:gridCol w:w="109"/>
        <w:gridCol w:w="196"/>
        <w:gridCol w:w="646"/>
        <w:gridCol w:w="109"/>
        <w:gridCol w:w="109"/>
        <w:gridCol w:w="109"/>
        <w:gridCol w:w="109"/>
        <w:gridCol w:w="180"/>
        <w:gridCol w:w="175"/>
        <w:gridCol w:w="173"/>
        <w:gridCol w:w="109"/>
        <w:gridCol w:w="109"/>
        <w:gridCol w:w="109"/>
        <w:gridCol w:w="196"/>
        <w:gridCol w:w="646"/>
        <w:gridCol w:w="109"/>
        <w:gridCol w:w="109"/>
        <w:gridCol w:w="109"/>
        <w:gridCol w:w="109"/>
        <w:gridCol w:w="171"/>
        <w:gridCol w:w="168"/>
        <w:gridCol w:w="239"/>
      </w:tblGrid>
      <w:tr>
        <w:trPr/>
        <w:tc>
          <w:tcPr>
            <w:tcW w:w="70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0205" w:type="dxa"/>
            <w:gridSpan w:val="4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3.1: Revenue by Customer Type</w:t>
            </w:r>
          </w:p>
        </w:tc>
      </w:tr>
      <w:tr>
        <w:trPr/>
        <w:tc>
          <w:tcPr>
            <w:tcW w:w="1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90%</w:t>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&amp; local, and commercial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100 %</w:t>
            </w:r>
          </w:p>
        </w:tc>
      </w:tr>
    </w:tbl>
    <w:tbl>
      <w:tblPr>
        <w:tblW w:w="9904" w:type="dxa"/>
        <w:jc w:val="left"/>
        <w:tblInd w:w="0" w:type="dxa"/>
        <w:tblLayout w:type="fixed"/>
        <w:tblCellMar>
          <w:top w:w="28" w:type="dxa"/>
          <w:left w:w="28" w:type="dxa"/>
          <w:bottom w:w="28" w:type="dxa"/>
          <w:right w:w="28" w:type="dxa"/>
        </w:tblCellMar>
      </w:tblPr>
      <w:tblGrid>
        <w:gridCol w:w="538"/>
        <w:gridCol w:w="472"/>
        <w:gridCol w:w="476"/>
        <w:gridCol w:w="196"/>
        <w:gridCol w:w="646"/>
        <w:gridCol w:w="109"/>
        <w:gridCol w:w="109"/>
        <w:gridCol w:w="109"/>
        <w:gridCol w:w="109"/>
        <w:gridCol w:w="190"/>
        <w:gridCol w:w="190"/>
        <w:gridCol w:w="190"/>
        <w:gridCol w:w="109"/>
        <w:gridCol w:w="109"/>
        <w:gridCol w:w="109"/>
        <w:gridCol w:w="196"/>
        <w:gridCol w:w="646"/>
        <w:gridCol w:w="109"/>
        <w:gridCol w:w="109"/>
        <w:gridCol w:w="109"/>
        <w:gridCol w:w="109"/>
        <w:gridCol w:w="190"/>
        <w:gridCol w:w="190"/>
        <w:gridCol w:w="190"/>
        <w:gridCol w:w="109"/>
        <w:gridCol w:w="109"/>
        <w:gridCol w:w="109"/>
        <w:gridCol w:w="196"/>
        <w:gridCol w:w="646"/>
        <w:gridCol w:w="109"/>
        <w:gridCol w:w="109"/>
        <w:gridCol w:w="109"/>
        <w:gridCol w:w="109"/>
        <w:gridCol w:w="190"/>
        <w:gridCol w:w="190"/>
        <w:gridCol w:w="190"/>
        <w:gridCol w:w="109"/>
        <w:gridCol w:w="109"/>
        <w:gridCol w:w="109"/>
        <w:gridCol w:w="196"/>
        <w:gridCol w:w="646"/>
        <w:gridCol w:w="109"/>
        <w:gridCol w:w="109"/>
        <w:gridCol w:w="109"/>
        <w:gridCol w:w="109"/>
        <w:gridCol w:w="180"/>
        <w:gridCol w:w="180"/>
        <w:gridCol w:w="255"/>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9904" w:type="dxa"/>
            <w:gridSpan w:val="4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3.2: Revenue by Contract Type</w:t>
            </w:r>
          </w:p>
        </w:tc>
      </w:tr>
      <w:tr>
        <w:trPr/>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8"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Firm fixed-price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Time-and-materials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plus fixed fee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100 %</w:t>
            </w:r>
          </w:p>
        </w:tc>
      </w:tr>
    </w:tbl>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 majority of the Company's revenue was derived under prime contracts and subcontracts with agencies and departments of the federal government. No other customer accounted for 10% or more of the Company's revenue during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tbl>
      <w:tblPr>
        <w:tblW w:w="7109" w:type="dxa"/>
        <w:jc w:val="left"/>
        <w:tblInd w:w="0" w:type="dxa"/>
        <w:tblLayout w:type="fixed"/>
        <w:tblCellMar>
          <w:top w:w="28" w:type="dxa"/>
          <w:left w:w="28" w:type="dxa"/>
          <w:bottom w:w="28" w:type="dxa"/>
          <w:right w:w="28" w:type="dxa"/>
        </w:tblCellMar>
      </w:tblPr>
      <w:tblGrid>
        <w:gridCol w:w="570"/>
        <w:gridCol w:w="501"/>
        <w:gridCol w:w="503"/>
        <w:gridCol w:w="228"/>
        <w:gridCol w:w="755"/>
        <w:gridCol w:w="126"/>
        <w:gridCol w:w="117"/>
        <w:gridCol w:w="117"/>
        <w:gridCol w:w="117"/>
        <w:gridCol w:w="228"/>
        <w:gridCol w:w="755"/>
        <w:gridCol w:w="126"/>
        <w:gridCol w:w="117"/>
        <w:gridCol w:w="117"/>
        <w:gridCol w:w="117"/>
        <w:gridCol w:w="228"/>
        <w:gridCol w:w="755"/>
        <w:gridCol w:w="126"/>
        <w:gridCol w:w="117"/>
        <w:gridCol w:w="117"/>
        <w:gridCol w:w="117"/>
        <w:gridCol w:w="227"/>
        <w:gridCol w:w="750"/>
        <w:gridCol w:w="178"/>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109"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3.3: Revenue Concentration Greater than 10% of Total Revenue</w:t>
            </w:r>
          </w:p>
        </w:tc>
      </w:tr>
      <w:tr>
        <w:trPr/>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government:</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Security Solutions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51,684 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 Networks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43,937 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32,672 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88,141 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59,972 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647" w:type="dxa"/>
        <w:jc w:val="left"/>
        <w:tblInd w:w="0" w:type="dxa"/>
        <w:tblLayout w:type="fixed"/>
        <w:tblCellMar>
          <w:top w:w="28" w:type="dxa"/>
          <w:left w:w="28" w:type="dxa"/>
          <w:bottom w:w="28" w:type="dxa"/>
          <w:right w:w="28" w:type="dxa"/>
        </w:tblCellMar>
      </w:tblPr>
      <w:tblGrid>
        <w:gridCol w:w="869"/>
        <w:gridCol w:w="764"/>
        <w:gridCol w:w="767"/>
        <w:gridCol w:w="979"/>
        <w:gridCol w:w="979"/>
        <w:gridCol w:w="982"/>
        <w:gridCol w:w="109"/>
        <w:gridCol w:w="109"/>
        <w:gridCol w:w="109"/>
        <w:gridCol w:w="228"/>
        <w:gridCol w:w="754"/>
        <w:gridCol w:w="127"/>
        <w:gridCol w:w="109"/>
        <w:gridCol w:w="109"/>
        <w:gridCol w:w="109"/>
        <w:gridCol w:w="334"/>
        <w:gridCol w:w="948"/>
        <w:gridCol w:w="262"/>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8647"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3.4: Contract Balances</w:t>
            </w:r>
          </w:p>
        </w:tc>
      </w:tr>
      <w:tr>
        <w:trPr/>
        <w:tc>
          <w:tcPr>
            <w:tcW w:w="24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Balance Sheet Presentation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Billed accounts receivable </w:t>
            </w:r>
            <w:r>
              <w:rPr>
                <w:rFonts w:ascii="Times New Roman;serif" w:hAnsi="Times New Roman;serif"/>
                <w:b w:val="false"/>
                <w:color w:val="000000"/>
                <w:sz w:val="12"/>
              </w:rPr>
              <w:t>(1)</w:t>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accounts receivable</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 current</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Contract liabilities –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 non-current</w:t>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Contract liabilities – non-current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Net of allowance for credit losses.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changes in the Company's contract assets and contract liabilities during the current period were primarily the result of the timing differences between the Company's performance, invoicing and customer payments. Revenue recognized for the three and six months ended June 30, 2026, which was included in the contract liabilities balance at December 31, 2025, was $3.3 million and $8.1 million, respectively. Revenue recognized for the three and six months ended June 30, 2025, which was included in the contract liabilities balance at December 31, 2024, was $1.7 million and $4.1 million, respectively.</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we had approximately $56.5 million of remaining performance obligations, which we also refer to as funded backlog. We expect to recognize approximately 98% of our remaining performance obligations over the next 12 months, and the balance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4. ACCOUNTS RECEIVABLE, NET</w:t>
      </w:r>
    </w:p>
    <w:tbl>
      <w:tblPr>
        <w:tblW w:w="5522" w:type="dxa"/>
        <w:jc w:val="left"/>
        <w:tblInd w:w="0" w:type="dxa"/>
        <w:tblLayout w:type="fixed"/>
        <w:tblCellMar>
          <w:top w:w="28" w:type="dxa"/>
          <w:left w:w="28" w:type="dxa"/>
          <w:bottom w:w="28" w:type="dxa"/>
          <w:right w:w="28" w:type="dxa"/>
        </w:tblCellMar>
      </w:tblPr>
      <w:tblGrid>
        <w:gridCol w:w="814"/>
        <w:gridCol w:w="717"/>
        <w:gridCol w:w="719"/>
        <w:gridCol w:w="265"/>
        <w:gridCol w:w="874"/>
        <w:gridCol w:w="147"/>
        <w:gridCol w:w="147"/>
        <w:gridCol w:w="147"/>
        <w:gridCol w:w="147"/>
        <w:gridCol w:w="304"/>
        <w:gridCol w:w="1003"/>
        <w:gridCol w:w="238"/>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552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4: Details of Accounts Receivable, Net</w:t>
            </w:r>
          </w:p>
        </w:tc>
      </w:tr>
      <w:tr>
        <w:trPr/>
        <w:tc>
          <w:tcPr>
            <w:tcW w:w="2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Billed accounts receivable</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accounts receivable</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Allowance for credit losses </w:t>
            </w:r>
            <w:r>
              <w:rPr>
                <w:rFonts w:ascii="Times New Roman;serif" w:hAnsi="Times New Roman;serif"/>
                <w:b w:val="false"/>
                <w:color w:val="000000"/>
                <w:sz w:val="12"/>
              </w:rPr>
              <w:t>(1)</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17,000 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provision for credit losses, net of recoveries.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As our primary customer base includes agencies of the U.S. federal government, we have a concentration of credit risk associated with our accounts receivable, as 87% and 85% of our billed and unbilled accounts receivable as of June 30, 2026, and December 31, 2025, respectively, were with U.S. federal government customers. While we acknowledge the potential material and adverse risk of such a significant concentration of credit risk, our past experience collecting substantially all of such receivables provides us with an informed basis that such risk, if any, is manageable. We perform ongoing credit evaluations of all of our customers and generally do not require collateral or other guarantees. We maintain allowances for potential losses, where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2"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On March 10, 2026, we entered into a new Factoring Agreement with an unrelated third-party (the "Factor"). Under this Factoring Agreement, we may offer eligible accounts receivable arising from our U.S. government prime contracts or subcontracts for sale (the "Purchased Receivables") to the Factor, and the Factor may purchase such receivables at its sole discretion, on a non-recourse basis. These transactions are accounted for as a "true sale" as we have surrendered control over the receivables, and we are not obligated to repay all or any portion of the advance amount if any portion of the accounts receivable is not paid by the customers due to an inability to pay. The total amount of Purchased Receivables is subject to a maximum limit of $10.0 million of outstanding Purchased Receivables at any given time. The initial term of the Factoring Agreement expires on March 10, 2027, and automatically renews annually thereafter unless terminated in writing by the parties. There were no accounts receivable sold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5. INVENTORIES, NET</w:t>
      </w:r>
    </w:p>
    <w:tbl>
      <w:tblPr>
        <w:tblW w:w="5868" w:type="dxa"/>
        <w:jc w:val="left"/>
        <w:tblInd w:w="0" w:type="dxa"/>
        <w:tblLayout w:type="fixed"/>
        <w:tblCellMar>
          <w:top w:w="28" w:type="dxa"/>
          <w:left w:w="28" w:type="dxa"/>
          <w:bottom w:w="28" w:type="dxa"/>
          <w:right w:w="28" w:type="dxa"/>
        </w:tblCellMar>
      </w:tblPr>
      <w:tblGrid>
        <w:gridCol w:w="1026"/>
        <w:gridCol w:w="901"/>
        <w:gridCol w:w="908"/>
        <w:gridCol w:w="253"/>
        <w:gridCol w:w="718"/>
        <w:gridCol w:w="139"/>
        <w:gridCol w:w="126"/>
        <w:gridCol w:w="126"/>
        <w:gridCol w:w="126"/>
        <w:gridCol w:w="334"/>
        <w:gridCol w:w="949"/>
        <w:gridCol w:w="262"/>
      </w:tblGrid>
      <w:tr>
        <w:trPr/>
        <w:tc>
          <w:tcPr>
            <w:tcW w:w="10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586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5: Details of Inventories, Net</w:t>
            </w:r>
          </w:p>
        </w:tc>
      </w:tr>
      <w:tr>
        <w:trPr/>
        <w:tc>
          <w:tcPr>
            <w:tcW w:w="2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inventory</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inventory obsolescence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4,917 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6. PROPERTY AND EQUIPMENT, NET</w:t>
      </w:r>
    </w:p>
    <w:tbl>
      <w:tblPr>
        <w:tblW w:w="10205" w:type="dxa"/>
        <w:jc w:val="left"/>
        <w:tblInd w:w="0" w:type="dxa"/>
        <w:tblLayout w:type="fixed"/>
        <w:tblCellMar>
          <w:top w:w="28" w:type="dxa"/>
          <w:left w:w="28" w:type="dxa"/>
          <w:bottom w:w="28" w:type="dxa"/>
          <w:right w:w="28" w:type="dxa"/>
        </w:tblCellMar>
      </w:tblPr>
      <w:tblGrid>
        <w:gridCol w:w="601"/>
        <w:gridCol w:w="339"/>
        <w:gridCol w:w="342"/>
        <w:gridCol w:w="233"/>
        <w:gridCol w:w="771"/>
        <w:gridCol w:w="130"/>
        <w:gridCol w:w="109"/>
        <w:gridCol w:w="109"/>
        <w:gridCol w:w="109"/>
        <w:gridCol w:w="300"/>
        <w:gridCol w:w="1023"/>
        <w:gridCol w:w="169"/>
        <w:gridCol w:w="109"/>
        <w:gridCol w:w="109"/>
        <w:gridCol w:w="109"/>
        <w:gridCol w:w="225"/>
        <w:gridCol w:w="641"/>
        <w:gridCol w:w="125"/>
        <w:gridCol w:w="109"/>
        <w:gridCol w:w="109"/>
        <w:gridCol w:w="109"/>
        <w:gridCol w:w="233"/>
        <w:gridCol w:w="771"/>
        <w:gridCol w:w="130"/>
        <w:gridCol w:w="109"/>
        <w:gridCol w:w="109"/>
        <w:gridCol w:w="109"/>
        <w:gridCol w:w="300"/>
        <w:gridCol w:w="1023"/>
        <w:gridCol w:w="169"/>
        <w:gridCol w:w="109"/>
        <w:gridCol w:w="109"/>
        <w:gridCol w:w="109"/>
        <w:gridCol w:w="224"/>
        <w:gridCol w:w="636"/>
        <w:gridCol w:w="185"/>
      </w:tblGrid>
      <w:tr>
        <w:trPr/>
        <w:tc>
          <w:tcPr>
            <w:tcW w:w="60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6.1: Details of Property and Equipment, Net</w:t>
            </w:r>
          </w:p>
        </w:tc>
      </w:tr>
      <w:tr>
        <w:trPr/>
        <w:tc>
          <w:tcPr>
            <w:tcW w:w="12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Value</w:t>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equipment</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(18,318)</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(17,623)</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20" w:type="dxa"/>
        <w:jc w:val="left"/>
        <w:tblInd w:w="0" w:type="dxa"/>
        <w:tblLayout w:type="fixed"/>
        <w:tblCellMar>
          <w:top w:w="28" w:type="dxa"/>
          <w:left w:w="28" w:type="dxa"/>
          <w:bottom w:w="28" w:type="dxa"/>
          <w:right w:w="28" w:type="dxa"/>
        </w:tblCellMar>
      </w:tblPr>
      <w:tblGrid>
        <w:gridCol w:w="1033"/>
        <w:gridCol w:w="907"/>
        <w:gridCol w:w="910"/>
        <w:gridCol w:w="300"/>
        <w:gridCol w:w="644"/>
        <w:gridCol w:w="166"/>
        <w:gridCol w:w="132"/>
        <w:gridCol w:w="132"/>
        <w:gridCol w:w="132"/>
        <w:gridCol w:w="300"/>
        <w:gridCol w:w="644"/>
        <w:gridCol w:w="166"/>
        <w:gridCol w:w="109"/>
        <w:gridCol w:w="109"/>
        <w:gridCol w:w="109"/>
        <w:gridCol w:w="300"/>
        <w:gridCol w:w="645"/>
        <w:gridCol w:w="165"/>
        <w:gridCol w:w="121"/>
        <w:gridCol w:w="121"/>
        <w:gridCol w:w="121"/>
        <w:gridCol w:w="293"/>
        <w:gridCol w:w="631"/>
        <w:gridCol w:w="230"/>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8420"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6.2: Depreciation and Amortization Expense</w:t>
            </w:r>
          </w:p>
        </w:tc>
      </w:tr>
      <w:tr>
        <w:trPr/>
        <w:tc>
          <w:tcPr>
            <w:tcW w:w="2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7. GOODWILL</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goodwill balance was $3.0 million as of June 30, 2026, and December 31, 2025, allocated to the Security Solutions segment. Goodwill is subject to annual impairment tests and if triggering events are present in the interim before the annual tests, we will assess impairment. No impairment charges were recorded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3"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8. INTANGIBLE ASSETS, NET</w:t>
      </w:r>
    </w:p>
    <w:tbl>
      <w:tblPr>
        <w:tblW w:w="10205" w:type="dxa"/>
        <w:jc w:val="left"/>
        <w:tblInd w:w="0" w:type="dxa"/>
        <w:tblLayout w:type="fixed"/>
        <w:tblCellMar>
          <w:top w:w="28" w:type="dxa"/>
          <w:left w:w="28" w:type="dxa"/>
          <w:bottom w:w="28" w:type="dxa"/>
          <w:right w:w="28" w:type="dxa"/>
        </w:tblCellMar>
      </w:tblPr>
      <w:tblGrid>
        <w:gridCol w:w="517"/>
        <w:gridCol w:w="361"/>
        <w:gridCol w:w="362"/>
        <w:gridCol w:w="295"/>
        <w:gridCol w:w="295"/>
        <w:gridCol w:w="296"/>
        <w:gridCol w:w="215"/>
        <w:gridCol w:w="711"/>
        <w:gridCol w:w="119"/>
        <w:gridCol w:w="109"/>
        <w:gridCol w:w="109"/>
        <w:gridCol w:w="109"/>
        <w:gridCol w:w="230"/>
        <w:gridCol w:w="780"/>
        <w:gridCol w:w="129"/>
        <w:gridCol w:w="109"/>
        <w:gridCol w:w="109"/>
        <w:gridCol w:w="109"/>
        <w:gridCol w:w="208"/>
        <w:gridCol w:w="686"/>
        <w:gridCol w:w="115"/>
        <w:gridCol w:w="109"/>
        <w:gridCol w:w="109"/>
        <w:gridCol w:w="109"/>
        <w:gridCol w:w="215"/>
        <w:gridCol w:w="711"/>
        <w:gridCol w:w="119"/>
        <w:gridCol w:w="109"/>
        <w:gridCol w:w="109"/>
        <w:gridCol w:w="109"/>
        <w:gridCol w:w="230"/>
        <w:gridCol w:w="780"/>
        <w:gridCol w:w="129"/>
        <w:gridCol w:w="109"/>
        <w:gridCol w:w="109"/>
        <w:gridCol w:w="109"/>
        <w:gridCol w:w="207"/>
        <w:gridCol w:w="684"/>
        <w:gridCol w:w="176"/>
      </w:tblGrid>
      <w:tr>
        <w:trPr/>
        <w:tc>
          <w:tcPr>
            <w:tcW w:w="51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8.1: Details of Intangible Assets, Net</w:t>
            </w:r>
          </w:p>
        </w:tc>
      </w:tr>
      <w:tr>
        <w:trPr/>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 Useful Life</w:t>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Value</w:t>
            </w:r>
          </w:p>
        </w:tc>
      </w:tr>
      <w:tr>
        <w:trPr/>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years)</w:t>
            </w:r>
          </w:p>
        </w:tc>
        <w:tc>
          <w:tcPr>
            <w:tcW w:w="807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technology</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development costs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2 - 5</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(28,494)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(23,576)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48,282 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(30,765)</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47,081 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(25,620)</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In-process software development costs </w:t>
            </w:r>
            <w:r>
              <w:rPr>
                <w:rFonts w:ascii="Times New Roman;serif" w:hAnsi="Times New Roman;serif"/>
                <w:b w:val="false"/>
                <w:color w:val="000000"/>
                <w:sz w:val="12"/>
              </w:rPr>
              <w:t>(1)</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59,978 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(30,765)</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(25,620)</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30,281 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In-process software development costs are costs for software that is not yet available for its intended use or general release to customers as of the balance sheet date, thus not yet amortized.</w:t>
      </w:r>
    </w:p>
    <w:tbl>
      <w:tblPr>
        <w:tblW w:w="9227" w:type="dxa"/>
        <w:jc w:val="left"/>
        <w:tblInd w:w="0" w:type="dxa"/>
        <w:tblLayout w:type="fixed"/>
        <w:tblCellMar>
          <w:top w:w="28" w:type="dxa"/>
          <w:left w:w="28" w:type="dxa"/>
          <w:bottom w:w="28" w:type="dxa"/>
          <w:right w:w="28" w:type="dxa"/>
        </w:tblCellMar>
      </w:tblPr>
      <w:tblGrid>
        <w:gridCol w:w="1359"/>
        <w:gridCol w:w="1192"/>
        <w:gridCol w:w="1198"/>
        <w:gridCol w:w="252"/>
        <w:gridCol w:w="718"/>
        <w:gridCol w:w="139"/>
        <w:gridCol w:w="114"/>
        <w:gridCol w:w="114"/>
        <w:gridCol w:w="114"/>
        <w:gridCol w:w="252"/>
        <w:gridCol w:w="718"/>
        <w:gridCol w:w="139"/>
        <w:gridCol w:w="109"/>
        <w:gridCol w:w="109"/>
        <w:gridCol w:w="109"/>
        <w:gridCol w:w="252"/>
        <w:gridCol w:w="717"/>
        <w:gridCol w:w="140"/>
        <w:gridCol w:w="109"/>
        <w:gridCol w:w="109"/>
        <w:gridCol w:w="109"/>
        <w:gridCol w:w="250"/>
        <w:gridCol w:w="709"/>
        <w:gridCol w:w="196"/>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227"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8.2: Amortization Expense</w:t>
            </w:r>
          </w:p>
        </w:tc>
      </w:tr>
      <w:tr>
        <w:trPr/>
        <w:tc>
          <w:tcPr>
            <w:tcW w:w="3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related to:</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Software development costs – cost of sales </w:t>
            </w:r>
            <w:r>
              <w:rPr>
                <w:rFonts w:ascii="Times New Roman;serif" w:hAnsi="Times New Roman;serif"/>
                <w:b w:val="false"/>
                <w:color w:val="000000"/>
                <w:sz w:val="12"/>
              </w:rPr>
              <w:t>(1)</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 general and administrative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Amortization expense for software development costs related to assets to be sold, leased, or otherwise marketed is charged under cost of sales on the unaudited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9. OTHER BALANCE SHEET COMPONENTS</w:t>
      </w:r>
    </w:p>
    <w:tbl>
      <w:tblPr>
        <w:tblW w:w="7550" w:type="dxa"/>
        <w:jc w:val="left"/>
        <w:tblInd w:w="0" w:type="dxa"/>
        <w:tblLayout w:type="fixed"/>
        <w:tblCellMar>
          <w:top w:w="28" w:type="dxa"/>
          <w:left w:w="28" w:type="dxa"/>
          <w:bottom w:w="28" w:type="dxa"/>
          <w:right w:w="28" w:type="dxa"/>
        </w:tblCellMar>
      </w:tblPr>
      <w:tblGrid>
        <w:gridCol w:w="1638"/>
        <w:gridCol w:w="1444"/>
        <w:gridCol w:w="1448"/>
        <w:gridCol w:w="252"/>
        <w:gridCol w:w="718"/>
        <w:gridCol w:w="140"/>
        <w:gridCol w:w="122"/>
        <w:gridCol w:w="122"/>
        <w:gridCol w:w="122"/>
        <w:gridCol w:w="333"/>
        <w:gridCol w:w="949"/>
        <w:gridCol w:w="262"/>
      </w:tblGrid>
      <w:tr>
        <w:trPr/>
        <w:tc>
          <w:tcPr>
            <w:tcW w:w="1638"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755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9.1: Details of Other Assets</w:t>
            </w:r>
          </w:p>
        </w:tc>
      </w:tr>
      <w:tr>
        <w:trPr/>
        <w:tc>
          <w:tcPr>
            <w:tcW w:w="4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Investment </w:t>
            </w:r>
            <w:r>
              <w:rPr>
                <w:rFonts w:ascii="Times New Roman;serif" w:hAnsi="Times New Roman;serif"/>
                <w:b w:val="false"/>
                <w:color w:val="000000"/>
                <w:sz w:val="12"/>
              </w:rPr>
              <w:t>(1)</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 and deferred commission – long-term portion</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4,357 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4,513 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In March 2024, we made a $3.0 million investment in a privately-held company via a simple agreement for future equity ("SAFE"). In October 2025, the Company's SAFE investment was settled into 8,964,262 shares of Series A common stock at a settlement price of $0.42 per share, based on the valuation cap in the original agreement, resulting in 3.8% ownership with no significant influence over the privately-held company. Upon settlement of the SAFE, the investment was remeasured to its fair value of $3.8 million. The investment does not have a readily determinable fair value and the Company elected the measurement alternative to value its investment. The fair value of this investment was based on non-marketable observable inputs, which represent Level 3 measurement within the fair value hierarchy. The investment was carried at cost less impairment, if any, and subsequently measured to fair value upon observable price changes in an orderly transaction for the identical or similar investment of the same issuer, with any gains or losses recorded within "other income" on the unaudited consolidated statement of operations. We did not note any changes in the fair value during the three and six months ended June 30, 2026, and 2025. </w:t>
      </w:r>
    </w:p>
    <w:tbl>
      <w:tblPr>
        <w:tblW w:w="5403" w:type="dxa"/>
        <w:jc w:val="left"/>
        <w:tblInd w:w="0" w:type="dxa"/>
        <w:tblLayout w:type="fixed"/>
        <w:tblCellMar>
          <w:top w:w="28" w:type="dxa"/>
          <w:left w:w="28" w:type="dxa"/>
          <w:bottom w:w="28" w:type="dxa"/>
          <w:right w:w="28" w:type="dxa"/>
        </w:tblCellMar>
      </w:tblPr>
      <w:tblGrid>
        <w:gridCol w:w="836"/>
        <w:gridCol w:w="735"/>
        <w:gridCol w:w="739"/>
        <w:gridCol w:w="255"/>
        <w:gridCol w:w="726"/>
        <w:gridCol w:w="142"/>
        <w:gridCol w:w="142"/>
        <w:gridCol w:w="142"/>
        <w:gridCol w:w="142"/>
        <w:gridCol w:w="333"/>
        <w:gridCol w:w="949"/>
        <w:gridCol w:w="262"/>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540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9.2: Details of Accrued Liabilities</w:t>
            </w:r>
          </w:p>
        </w:tc>
      </w:tr>
      <w:tr>
        <w:trPr/>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project expenses</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 accrual</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5,673 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6,900 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4"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10. REVOLVING CREDIT FACILITY</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On December 30, 2022, we entered into a Credit Agreement (the "Credit Agreement"), by and among the Company, as borrower, Xacta Corporation, ubIQuity.com, inc., Teloworks, Inc., and Telos Identity Management Solutions, LLC, as guarantors, the lenders party thereto (the "Lenders"), and JPMorgan Chase Bank N.A. ("JPMorgan Chase"), as administrative agent for the Lenders (in such capacity, the "Agent"). The Credit Agreement provided for a $30.0 million senior secured revolving credit facility, with the option of issuing letters of credit thereunder with a sub-limit of $5.0 million, and with an uncommitted expansion feature of up to $30.0 million of additional revolver capacity (the "Loan"). The Loan is subject to acceleration in the event of customary events of default. The Company has not drawn any amount under the Loan.</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Until December 30, 2025, borrowings under the Credit Agreement accrued interest, at our option, at one of three variable rates, plus a specified margin. We can elect to borrow at (i) the Alternative Base Rate, plus 0.9%; (ii) Adjusted Daily Simple Secured Overnight Financing Rate ("SOFR"), plus 1.9%; and (iii) Adjusted Term SOFR, plus 1.9%, as such capitalized terms are defined and calculated in the Credit Agreement. The Company may elect to convert borrowings from one type of borrowing to another type per the terms of the Credit Agreement. After the occurrence and during the continuance of any event of default, the interest rate may increase by an additional 2.0%. We are obligated to pay accrued interest (i) with respect to amounts accruing interest based on the Alternative Base Rate, each calendar quarter and on the maturity date, (ii) with respect to amounts accruing interest based on Adjusted Daily Simple SOFR, on each one-month anniversary of the borrowing and on the maturity date, and (iii) with respect to amounts accruing interest based on Adjusted Term SOFR, at the end of the period specified per the Credit Agreement and on the maturity date. Upon five, three, or one day's prior notice, as applicable, we may prepay any portion or the entire amount of the Loan.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Loan under the Credit Agreement is collateralized by substantially all of the Company's assets, including the Company's pledge of its domestic and material foreign subsidiary equity interests.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Loan has various covenants that may, among other things, affect our ability to create, incur, assume or suffer any indebtedness, merge into or consolidate with another entity, acquire entity interests, sell or transfer certain assets, enter into certain arrangements (such as sale and leaseback and swap agreements) or restrictive agreements, pay dividends and make certain restricted payments, and amend material documents related to any subordinated indebtedness and corporate agreements. The Credit Agreement also requires certain financial covenants to maintain a Senior Leverage Ratio on the last day of any fiscal quarter, no greater than 3 to 1. We were in compliance with all covenants as of June 30, 2026.</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occurrence of an event of default under the Credit Agreement could result in the Loan and other obligations becoming immediately due and payable and allow the Lenders to exercise all rights and remedies available to them under the Credit Agreement.</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On April 12, 2023, the Credit Agreement was amended to exclude from collateral the (i) amount collectible from a third party related to an Accounts Receivable Purchase Agreement and (ii) receivables generated by the Company from the sale of goods supplied to this third party in an amount not to exceed $25.0 million.</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On December 30, 2025, the Company entered into a Second Amendment to Credit Agreement (the "Second Amendment") with JPMorgan Chase. The Second Amendment modified the Credit Agreement to, among other modifications, (a) established the Applicable Rate for borrowings under the revolving credit facility at 1.25% for ABR Loans and 2.25% for Term Benchmark/RFR Loans, with a commitment fee rate of 0.25%, (b) established the Revolving Commitment under the Credit Agreement at $15.0 million with an expansion feature of up to $15.0 million of additional credit capacity, (c) extended the Revolving Credit Maturity Date to December 30, 2026, and (d) required the Company and its subsidiaries to maintain at least $5.0 million of unrestricted cash and Permitted Investments with JPMorgan Chase at all times. Except as modified by the Second Amendment, the terms and conditions of the Credit Agreement remain in full force and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11. STOCK-BASED COMPENSATION</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May 7, 2026, the Company's stockholders approved Amendment No. 2 to the Amended and Restated 2016 Omnibus Long-Term Incentive Plan ("2016 LTIP") that increased the number of shares available for issuance under the 2016 LTIP by an additional 5,380,000 shares.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approximately 1.8 million shares of our common stock were available for future grants under the 2016 LTIP. There were no income tax benefits recognized on the stock-based compensation expense (as reflected on the table below) for the three and six months ended June 30, 2026, and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5"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tbl>
      <w:tblPr>
        <w:tblW w:w="9201" w:type="dxa"/>
        <w:jc w:val="left"/>
        <w:tblInd w:w="0" w:type="dxa"/>
        <w:tblLayout w:type="fixed"/>
        <w:tblCellMar>
          <w:top w:w="28" w:type="dxa"/>
          <w:left w:w="28" w:type="dxa"/>
          <w:bottom w:w="28" w:type="dxa"/>
          <w:right w:w="28" w:type="dxa"/>
        </w:tblCellMar>
      </w:tblPr>
      <w:tblGrid>
        <w:gridCol w:w="923"/>
        <w:gridCol w:w="812"/>
        <w:gridCol w:w="814"/>
        <w:gridCol w:w="286"/>
        <w:gridCol w:w="811"/>
        <w:gridCol w:w="159"/>
        <w:gridCol w:w="159"/>
        <w:gridCol w:w="159"/>
        <w:gridCol w:w="159"/>
        <w:gridCol w:w="286"/>
        <w:gridCol w:w="811"/>
        <w:gridCol w:w="159"/>
        <w:gridCol w:w="159"/>
        <w:gridCol w:w="159"/>
        <w:gridCol w:w="159"/>
        <w:gridCol w:w="286"/>
        <w:gridCol w:w="811"/>
        <w:gridCol w:w="159"/>
        <w:gridCol w:w="159"/>
        <w:gridCol w:w="159"/>
        <w:gridCol w:w="159"/>
        <w:gridCol w:w="286"/>
        <w:gridCol w:w="943"/>
        <w:gridCol w:w="224"/>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9201"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11.1: Details of Stock Compensation Expense by Statements of Operations Line Item</w:t>
            </w:r>
          </w:p>
        </w:tc>
      </w:tr>
      <w:tr>
        <w:trPr/>
        <w:tc>
          <w:tcPr>
            <w:tcW w:w="2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 services</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14,805 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Restricted Stock </w:t>
      </w:r>
    </w:p>
    <w:tbl>
      <w:tblPr>
        <w:tblW w:w="10205" w:type="dxa"/>
        <w:jc w:val="left"/>
        <w:tblInd w:w="0" w:type="dxa"/>
        <w:tblLayout w:type="fixed"/>
        <w:tblCellMar>
          <w:top w:w="28" w:type="dxa"/>
          <w:left w:w="28" w:type="dxa"/>
          <w:bottom w:w="28" w:type="dxa"/>
          <w:right w:w="28" w:type="dxa"/>
        </w:tblCellMar>
      </w:tblPr>
      <w:tblGrid>
        <w:gridCol w:w="974"/>
        <w:gridCol w:w="857"/>
        <w:gridCol w:w="863"/>
        <w:gridCol w:w="459"/>
        <w:gridCol w:w="461"/>
        <w:gridCol w:w="376"/>
        <w:gridCol w:w="113"/>
        <w:gridCol w:w="113"/>
        <w:gridCol w:w="113"/>
        <w:gridCol w:w="500"/>
        <w:gridCol w:w="500"/>
        <w:gridCol w:w="501"/>
        <w:gridCol w:w="113"/>
        <w:gridCol w:w="113"/>
        <w:gridCol w:w="113"/>
        <w:gridCol w:w="480"/>
        <w:gridCol w:w="481"/>
        <w:gridCol w:w="276"/>
        <w:gridCol w:w="113"/>
        <w:gridCol w:w="113"/>
        <w:gridCol w:w="113"/>
        <w:gridCol w:w="587"/>
        <w:gridCol w:w="1398"/>
        <w:gridCol w:w="475"/>
      </w:tblGrid>
      <w:tr>
        <w:trPr/>
        <w:tc>
          <w:tcPr>
            <w:tcW w:w="97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11.2: Restricted Stock Unit Activity</w:t>
            </w:r>
          </w:p>
        </w:tc>
      </w:tr>
      <w:tr>
        <w:trPr/>
        <w:tc>
          <w:tcPr>
            <w:tcW w:w="2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Service-Based</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Performance-Based</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Weighted-Average Grant Date Fair Value</w:t>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outstanding units as of December 31, 2025</w:t>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2,182,836 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10,861,854 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13,044,690 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2,368,357 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1,369,241 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3,737,598 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(2,191,369)</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(2,420,691)</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(4,612,060)</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outstanding units as of June 30, 2026</w:t>
            </w:r>
          </w:p>
        </w:tc>
        <w:tc>
          <w:tcPr>
            <w:tcW w:w="9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2,332,569 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9,810,404 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12,142,973 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On May 26, 2026, the Company granted performance-based restricted stock units ("PSUs") with market conditions dependent on total shareholder return ("TSR") to certain executives and senior employees. The vesting criteria for these awards are based on the Company's TSR performance relative to the TSR performance of the Company's current compensation peer group over the three-year performance period, June 1, 2026, through May 31, 2029, and conditioned upon neutral or positive free cash flow (i.e. cash flows from operating activities less capital expenditures) at the end of each fiscal year in the performance period. The final payout of these PSUs will vary between 0% to 200% of the target number of PSUs granted, depending on the TSR performance and meeting the free cash flow requirements.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grant date fair value per share is estimated at the grant date using a Monte Carlo simulation model. Stock-based compensation expense for PSUs with a TSR market condition is recognized over the service period based on target probability.</w:t>
      </w:r>
    </w:p>
    <w:tbl>
      <w:tblPr>
        <w:tblW w:w="6120" w:type="dxa"/>
        <w:jc w:val="left"/>
        <w:tblInd w:w="0" w:type="dxa"/>
        <w:tblLayout w:type="fixed"/>
        <w:tblCellMar>
          <w:top w:w="28" w:type="dxa"/>
          <w:left w:w="28" w:type="dxa"/>
          <w:bottom w:w="28" w:type="dxa"/>
          <w:right w:w="28" w:type="dxa"/>
        </w:tblCellMar>
      </w:tblPr>
      <w:tblGrid>
        <w:gridCol w:w="1058"/>
        <w:gridCol w:w="934"/>
        <w:gridCol w:w="934"/>
        <w:gridCol w:w="934"/>
        <w:gridCol w:w="934"/>
        <w:gridCol w:w="1326"/>
      </w:tblGrid>
      <w:tr>
        <w:trPr/>
        <w:tc>
          <w:tcPr>
            <w:tcW w:w="10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61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11.3: PSUs with a TSR Market Condition Fair Value and Assumptions</w:t>
            </w:r>
          </w:p>
        </w:tc>
      </w:tr>
      <w:tr>
        <w:trPr/>
        <w:tc>
          <w:tcPr>
            <w:tcW w:w="2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w:t>
            </w:r>
          </w:p>
        </w:tc>
        <w:tc>
          <w:tcPr>
            <w:tcW w:w="3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92.1%</w:t>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4.0%</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period</w:t>
            </w:r>
          </w:p>
        </w:tc>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3.0 years</w:t>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 date fair value</w:t>
            </w:r>
          </w:p>
        </w:tc>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$7.66</w:t>
            </w:r>
          </w:p>
        </w:tc>
      </w:tr>
    </w:tbl>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and 2025, the intrinsic value of the RSUs and PSUs outstanding, exercisable, and vested or expected to vest was $55.9 million and $50.1 million, respectively. There was approximately $21.9 million of total compensation costs related to stock-based awards not yet recognized as of June 30, 2026, which is expected to be recognized on a straight-line basis over a weighted-average remaining vesting period of 0.9 years.</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tbl>
      <w:tblPr>
        <w:tblW w:w="10205" w:type="dxa"/>
        <w:jc w:val="left"/>
        <w:tblInd w:w="0" w:type="dxa"/>
        <w:tblLayout w:type="fixed"/>
        <w:tblCellMar>
          <w:top w:w="28" w:type="dxa"/>
          <w:left w:w="28" w:type="dxa"/>
          <w:bottom w:w="28" w:type="dxa"/>
          <w:right w:w="28" w:type="dxa"/>
        </w:tblCellMar>
      </w:tblPr>
      <w:tblGrid>
        <w:gridCol w:w="748"/>
        <w:gridCol w:w="657"/>
        <w:gridCol w:w="661"/>
        <w:gridCol w:w="510"/>
        <w:gridCol w:w="456"/>
        <w:gridCol w:w="457"/>
        <w:gridCol w:w="109"/>
        <w:gridCol w:w="109"/>
        <w:gridCol w:w="109"/>
        <w:gridCol w:w="464"/>
        <w:gridCol w:w="1105"/>
        <w:gridCol w:w="260"/>
        <w:gridCol w:w="109"/>
        <w:gridCol w:w="109"/>
        <w:gridCol w:w="109"/>
        <w:gridCol w:w="827"/>
        <w:gridCol w:w="827"/>
        <w:gridCol w:w="828"/>
        <w:gridCol w:w="109"/>
        <w:gridCol w:w="109"/>
        <w:gridCol w:w="109"/>
        <w:gridCol w:w="255"/>
        <w:gridCol w:w="961"/>
        <w:gridCol w:w="208"/>
      </w:tblGrid>
      <w:tr>
        <w:trPr/>
        <w:tc>
          <w:tcPr>
            <w:tcW w:w="74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11.4: Stock Option Activity</w:t>
            </w:r>
          </w:p>
        </w:tc>
      </w:tr>
      <w:tr>
        <w:trPr/>
        <w:tc>
          <w:tcPr>
            <w:tcW w:w="2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Stock Options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Weighted-Average Remaining Contractual Term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Aggregate Intrinsic Value</w:t>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option balance as of December 31, 2025</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227,000 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749,100 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cancelled, or expired</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option balance as of June 30, 2026</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227,000 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635,600 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stock options as of June 30, 2026</w:t>
            </w:r>
          </w:p>
        </w:tc>
        <w:tc>
          <w:tcPr>
            <w:tcW w:w="9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227,000 </w:t>
            </w:r>
          </w:p>
        </w:tc>
        <w:tc>
          <w:tcPr>
            <w:tcW w:w="4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635,600 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6"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is calculated as the difference between the exercise price of the underlying stock option awards and the quoted closing price of the Company's common stock as of June 30, 2026.</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fair value of the stock options is expensed on a straight-line basis over the vesting period of one year, including the stock options granted to directors, as the annual stockholders' meeting is expected to occur at the same approximate time each year. As of June 30, 2026, there were no unrecognized compensation costs related to non-vested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12. SHARE REPURCHASES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On May 24, 2022, the Company announced that the Board of Directors ("Board") approved a share repurchase program ("SRP") authorizing the Company to repurchase up to $50.0 million of its common stock. On March 12, 2026, the Board further authorized the Company to repurchase up to an additional $25.0 million of its common stock under its existing repurchase program. Pursuant to this authorization, the Company may repurchase shares of its common stock on a discretionary basis from time to time through open market purchases. The repurchase program has no expiration date and may be modified, suspended, or terminated at any time. As of June 30, 2026, there was approximately $43.2 million of the authorization remaining for future common stock repurchases under the SRP.</w:t>
      </w:r>
    </w:p>
    <w:tbl>
      <w:tblPr>
        <w:tblW w:w="8447" w:type="dxa"/>
        <w:jc w:val="left"/>
        <w:tblInd w:w="0" w:type="dxa"/>
        <w:tblLayout w:type="fixed"/>
        <w:tblCellMar>
          <w:top w:w="28" w:type="dxa"/>
          <w:left w:w="28" w:type="dxa"/>
          <w:bottom w:w="28" w:type="dxa"/>
          <w:right w:w="28" w:type="dxa"/>
        </w:tblCellMar>
      </w:tblPr>
      <w:tblGrid>
        <w:gridCol w:w="1074"/>
        <w:gridCol w:w="946"/>
        <w:gridCol w:w="949"/>
        <w:gridCol w:w="252"/>
        <w:gridCol w:w="718"/>
        <w:gridCol w:w="139"/>
        <w:gridCol w:w="114"/>
        <w:gridCol w:w="114"/>
        <w:gridCol w:w="114"/>
        <w:gridCol w:w="252"/>
        <w:gridCol w:w="718"/>
        <w:gridCol w:w="139"/>
        <w:gridCol w:w="109"/>
        <w:gridCol w:w="109"/>
        <w:gridCol w:w="109"/>
        <w:gridCol w:w="252"/>
        <w:gridCol w:w="717"/>
        <w:gridCol w:w="140"/>
        <w:gridCol w:w="109"/>
        <w:gridCol w:w="109"/>
        <w:gridCol w:w="109"/>
        <w:gridCol w:w="250"/>
        <w:gridCol w:w="709"/>
        <w:gridCol w:w="196"/>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8447"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12: Share Repurchase Activity</w:t>
            </w:r>
          </w:p>
        </w:tc>
      </w:tr>
      <w:tr>
        <w:trPr/>
        <w:tc>
          <w:tcPr>
            <w:tcW w:w="2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per share and share data)</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Amounts paid for shares repurchased </w:t>
            </w:r>
            <w:r>
              <w:rPr>
                <w:rFonts w:ascii="Times New Roman;serif" w:hAnsi="Times New Roman;serif"/>
                <w:b w:val="false"/>
                <w:color w:val="000000"/>
                <w:sz w:val="12"/>
              </w:rPr>
              <w:t>(1)</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shares repurchased</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1,042,350 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1,488,227 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1,559,486 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1,488,227 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Average per share price paid </w:t>
            </w:r>
            <w:r>
              <w:rPr>
                <w:rFonts w:ascii="Times New Roman;serif" w:hAnsi="Times New Roman;serif"/>
                <w:b w:val="false"/>
                <w:color w:val="000000"/>
                <w:sz w:val="12"/>
              </w:rPr>
              <w:t>(1)</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commission paid for repurchases on the open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13. ACCUMULATED OTHER COMPREHENSIVE LOSS</w:t>
      </w:r>
    </w:p>
    <w:tbl>
      <w:tblPr>
        <w:tblW w:w="10205" w:type="dxa"/>
        <w:jc w:val="left"/>
        <w:tblInd w:w="0" w:type="dxa"/>
        <w:tblLayout w:type="fixed"/>
        <w:tblCellMar>
          <w:top w:w="28" w:type="dxa"/>
          <w:left w:w="28" w:type="dxa"/>
          <w:bottom w:w="28" w:type="dxa"/>
          <w:right w:w="28" w:type="dxa"/>
        </w:tblCellMar>
      </w:tblPr>
      <w:tblGrid>
        <w:gridCol w:w="1318"/>
        <w:gridCol w:w="1073"/>
        <w:gridCol w:w="1077"/>
        <w:gridCol w:w="607"/>
        <w:gridCol w:w="1433"/>
        <w:gridCol w:w="316"/>
        <w:gridCol w:w="192"/>
        <w:gridCol w:w="192"/>
        <w:gridCol w:w="192"/>
        <w:gridCol w:w="571"/>
        <w:gridCol w:w="877"/>
        <w:gridCol w:w="285"/>
        <w:gridCol w:w="192"/>
        <w:gridCol w:w="192"/>
        <w:gridCol w:w="192"/>
        <w:gridCol w:w="347"/>
        <w:gridCol w:w="864"/>
        <w:gridCol w:w="285"/>
      </w:tblGrid>
      <w:tr>
        <w:trPr/>
        <w:tc>
          <w:tcPr>
            <w:tcW w:w="131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13: Details of Changes in Accumulated Other Comprehensive Loss by Category</w:t>
            </w:r>
          </w:p>
        </w:tc>
      </w:tr>
      <w:tr>
        <w:trPr/>
        <w:tc>
          <w:tcPr>
            <w:tcW w:w="3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Pension liability adjustment</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3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before reclassification, net of tax</w:t>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14. EARNINGS (LOSS) PER SHARE</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Basic EPS is computed by dividing net income (loss) by the basic weighted-average number of common shares outstanding for the period. Diluted EPS is calculated to give effect to all potentially dilutive common stock equivalents that were outstanding during the reporting period. The dilutive effects of outstanding common stock equivalents are determined using the treasury-stock and if-converted method, only in periods in which such effect would have been dilutive for the period.</w:t>
      </w:r>
    </w:p>
    <w:tbl>
      <w:tblPr>
        <w:tblW w:w="10205" w:type="dxa"/>
        <w:jc w:val="left"/>
        <w:tblInd w:w="0" w:type="dxa"/>
        <w:tblLayout w:type="fixed"/>
        <w:tblCellMar>
          <w:top w:w="28" w:type="dxa"/>
          <w:left w:w="28" w:type="dxa"/>
          <w:bottom w:w="28" w:type="dxa"/>
          <w:right w:w="28" w:type="dxa"/>
        </w:tblCellMar>
      </w:tblPr>
      <w:tblGrid>
        <w:gridCol w:w="1421"/>
        <w:gridCol w:w="1249"/>
        <w:gridCol w:w="1252"/>
        <w:gridCol w:w="370"/>
        <w:gridCol w:w="345"/>
        <w:gridCol w:w="302"/>
        <w:gridCol w:w="240"/>
        <w:gridCol w:w="240"/>
        <w:gridCol w:w="240"/>
        <w:gridCol w:w="370"/>
        <w:gridCol w:w="345"/>
        <w:gridCol w:w="302"/>
        <w:gridCol w:w="240"/>
        <w:gridCol w:w="240"/>
        <w:gridCol w:w="240"/>
        <w:gridCol w:w="370"/>
        <w:gridCol w:w="345"/>
        <w:gridCol w:w="302"/>
        <w:gridCol w:w="240"/>
        <w:gridCol w:w="240"/>
        <w:gridCol w:w="240"/>
        <w:gridCol w:w="338"/>
        <w:gridCol w:w="330"/>
        <w:gridCol w:w="404"/>
      </w:tblGrid>
      <w:tr>
        <w:trPr/>
        <w:tc>
          <w:tcPr>
            <w:tcW w:w="142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14: Weighted-Average Number of Shares Outstanding – Earnings (Loss) per Share</w:t>
            </w:r>
          </w:p>
        </w:tc>
      </w:tr>
      <w:tr>
        <w:trPr/>
        <w:tc>
          <w:tcPr>
            <w:tcW w:w="3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weighted-average number of shares outstanding</w:t>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74,895 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74,361 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72,940 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on unvested restricted stock units and stock options</w:t>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weighted-average number of shares outstanding</w:t>
            </w:r>
          </w:p>
        </w:tc>
        <w:tc>
          <w:tcPr>
            <w:tcW w:w="71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77,547 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73,163 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77,576 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72,940 </w:t>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For the period of net loss, potentially dilutive securities are not included in the calculation of diluted net earnings (loss) per share, because to do so would be anti-dilutive. For the three and six months ended June 30, 2025, the diluted earnings per share calculation excludes 976,000 and 1,158,000, respectively, of potentially dilutive securities that were anti-dilutive.</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outstanding PSUs aggregating to 7,604,241 and 11,372,034 shares, respectively, have been excluded from the calculation of potentially dilutive securities above because the issuance of these shares is contingent upon certain conditions which were not satisfied by the end of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7"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15. SEGMENT INFORMATION</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our business in two reportable and operating segments: Security Solutions and Secure Networks. </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0"/>
        </w:rPr>
        <w:t>Our Security Solutions segment is primarily focused on cybersecurity, cloud and identity solutions, and secure messaging through Xacta</w:t>
      </w:r>
      <w:r>
        <w:rPr>
          <w:rFonts w:ascii="Times New Roman;serif" w:hAnsi="Times New Roman;serif"/>
          <w:b w:val="false"/>
          <w:color w:val="000000"/>
          <w:sz w:val="13"/>
        </w:rPr>
        <w:t>®</w:t>
      </w:r>
      <w:r>
        <w:rPr>
          <w:rFonts w:ascii="Times New Roman;serif" w:hAnsi="Times New Roman;serif"/>
          <w:b w:val="false"/>
          <w:color w:val="000000"/>
          <w:sz w:val="20"/>
        </w:rPr>
        <w:t>, Telos Automated Message Handling System ("AMHS") and Telos ID offerings.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0"/>
        </w:rPr>
        <w:t>Our Secure Networks segment provides secure networking architectures and solutions to our customers through secure mobility solutions, and network management and defense services.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We measure each segment's profitability based on gross profit. Our Chief Executive Officer ("CEO"), whom we identified as the chief operating decision maker ("CODM"), evaluates the segment's performance based on metrics, such as segment revenue and gross profit, that align with our strategies and objectives, and provide a framework for the timely and rational allocation of resources between the segments.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We account for inter-segment sales and transfers as if the sales or transfers were to third parties, that is, at current market prices, if any. There were no inter-segment sales and transfers during the three and six months ended June 30, 2026, and 2025. Interest income, interest expense, other income and expense items, and income taxes, as reported in the consolidated financial statements, are not part of the segment profitability measure and are primarily recorded at the corporate level.</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Management does not utilize total assets by segment to evaluate segment performance or allocate resources. As a result, assets are not tracked by segment, and therefore, total assets by segment are not disclosed.</w:t>
      </w:r>
    </w:p>
    <w:tbl>
      <w:tblPr>
        <w:tblW w:w="10205" w:type="dxa"/>
        <w:jc w:val="left"/>
        <w:tblInd w:w="0" w:type="dxa"/>
        <w:tblLayout w:type="fixed"/>
        <w:tblCellMar>
          <w:top w:w="28" w:type="dxa"/>
          <w:left w:w="28" w:type="dxa"/>
          <w:bottom w:w="28" w:type="dxa"/>
          <w:right w:w="28" w:type="dxa"/>
        </w:tblCellMar>
      </w:tblPr>
      <w:tblGrid>
        <w:gridCol w:w="722"/>
        <w:gridCol w:w="584"/>
        <w:gridCol w:w="592"/>
        <w:gridCol w:w="267"/>
        <w:gridCol w:w="881"/>
        <w:gridCol w:w="148"/>
        <w:gridCol w:w="148"/>
        <w:gridCol w:w="148"/>
        <w:gridCol w:w="148"/>
        <w:gridCol w:w="267"/>
        <w:gridCol w:w="758"/>
        <w:gridCol w:w="148"/>
        <w:gridCol w:w="109"/>
        <w:gridCol w:w="109"/>
        <w:gridCol w:w="109"/>
        <w:gridCol w:w="196"/>
        <w:gridCol w:w="646"/>
        <w:gridCol w:w="109"/>
        <w:gridCol w:w="109"/>
        <w:gridCol w:w="109"/>
        <w:gridCol w:w="109"/>
        <w:gridCol w:w="228"/>
        <w:gridCol w:w="754"/>
        <w:gridCol w:w="127"/>
        <w:gridCol w:w="109"/>
        <w:gridCol w:w="109"/>
        <w:gridCol w:w="109"/>
        <w:gridCol w:w="232"/>
        <w:gridCol w:w="659"/>
        <w:gridCol w:w="129"/>
        <w:gridCol w:w="109"/>
        <w:gridCol w:w="109"/>
        <w:gridCol w:w="109"/>
        <w:gridCol w:w="196"/>
        <w:gridCol w:w="646"/>
        <w:gridCol w:w="164"/>
      </w:tblGrid>
      <w:tr>
        <w:trPr/>
        <w:tc>
          <w:tcPr>
            <w:tcW w:w="72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11"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Table 15.1: Results of Operations by Business Segment (Quarter)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Three Months Ended</w:t>
            </w:r>
          </w:p>
        </w:tc>
      </w:tr>
      <w:tr>
        <w:trP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2025</w:t>
            </w:r>
          </w:p>
        </w:tc>
      </w:tr>
      <w:tr>
        <w:trP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Security Solutions</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Secure Networks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Security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Secure Networks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(in thousands)</w:t>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46,662 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35,968 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Depreciation and amortization </w:t>
            </w:r>
            <w:r>
              <w:rPr>
                <w:rFonts w:ascii="Times New Roman;serif" w:hAnsi="Times New Roman;serif"/>
                <w:b w:val="false"/>
                <w:color w:val="000000"/>
                <w:sz w:val="10"/>
              </w:rPr>
              <w:t>(1)</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Stock-based compensation expense </w:t>
            </w:r>
            <w:r>
              <w:rPr>
                <w:rFonts w:ascii="Times New Roman;serif" w:hAnsi="Times New Roman;serif"/>
                <w:b w:val="false"/>
                <w:color w:val="000000"/>
                <w:sz w:val="10"/>
              </w:rPr>
              <w:t>(1)</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Other segment items </w:t>
            </w:r>
            <w:r>
              <w:rPr>
                <w:rFonts w:ascii="Times New Roman;serif" w:hAnsi="Times New Roman;serif"/>
                <w:b w:val="false"/>
                <w:color w:val="000000"/>
                <w:sz w:val="10"/>
              </w:rPr>
              <w:t>(2)</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27,467 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22,172 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 of sales</w:t>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30,162 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21,176 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24,036 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16,500 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expenses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(loss)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(9,883)</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(9,471)</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(9,517)</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significant segment expense categories and amounts align with the segment-level information regularly provided to the CODM.</w:t>
      </w:r>
    </w:p>
    <w:p>
      <w:pPr>
        <w:pStyle w:val="TextBody"/>
        <w:bidi w:val="0"/>
        <w:spacing w:lineRule="auto" w:line="288" w:before="120" w:after="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Other segment items for each reportable segment include direct labor, direct subcontractor costs, direct materials and inventory, other direct non-labor costs, fringes, overhead, and facility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8"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00"/>
        <w:gridCol w:w="661"/>
        <w:gridCol w:w="670"/>
        <w:gridCol w:w="238"/>
        <w:gridCol w:w="785"/>
        <w:gridCol w:w="132"/>
        <w:gridCol w:w="109"/>
        <w:gridCol w:w="109"/>
        <w:gridCol w:w="109"/>
        <w:gridCol w:w="242"/>
        <w:gridCol w:w="688"/>
        <w:gridCol w:w="134"/>
        <w:gridCol w:w="109"/>
        <w:gridCol w:w="109"/>
        <w:gridCol w:w="109"/>
        <w:gridCol w:w="196"/>
        <w:gridCol w:w="646"/>
        <w:gridCol w:w="109"/>
        <w:gridCol w:w="109"/>
        <w:gridCol w:w="109"/>
        <w:gridCol w:w="109"/>
        <w:gridCol w:w="238"/>
        <w:gridCol w:w="785"/>
        <w:gridCol w:w="132"/>
        <w:gridCol w:w="109"/>
        <w:gridCol w:w="109"/>
        <w:gridCol w:w="109"/>
        <w:gridCol w:w="242"/>
        <w:gridCol w:w="688"/>
        <w:gridCol w:w="134"/>
        <w:gridCol w:w="109"/>
        <w:gridCol w:w="109"/>
        <w:gridCol w:w="109"/>
        <w:gridCol w:w="196"/>
        <w:gridCol w:w="690"/>
        <w:gridCol w:w="164"/>
      </w:tblGrid>
      <w:tr>
        <w:trPr/>
        <w:tc>
          <w:tcPr>
            <w:tcW w:w="8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Table 15.2: Results of Operations by Business Segment (Year-to-Date)</w:t>
            </w:r>
          </w:p>
        </w:tc>
      </w:tr>
      <w:tr>
        <w:trPr/>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4"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Six Months Ended</w:t>
            </w:r>
          </w:p>
        </w:tc>
      </w:tr>
      <w:tr>
        <w:trPr/>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2025</w:t>
            </w:r>
          </w:p>
        </w:tc>
      </w:tr>
      <w:tr>
        <w:trPr/>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Security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Secure Networks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Security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Secure Networks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(in thousands)</w:t>
            </w:r>
          </w:p>
        </w:tc>
      </w:tr>
      <w:tr>
        <w:trPr/>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92,632 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58,292 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66,584 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Depreciation and amortization </w:t>
            </w:r>
            <w:r>
              <w:rPr>
                <w:rFonts w:ascii="Times New Roman;serif" w:hAnsi="Times New Roman;serif"/>
                <w:b w:val="false"/>
                <w:color w:val="000000"/>
                <w:sz w:val="10"/>
              </w:rPr>
              <w:t>(1)</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Stock-based compensation expense </w:t>
            </w:r>
            <w:r>
              <w:rPr>
                <w:rFonts w:ascii="Times New Roman;serif" w:hAnsi="Times New Roman;serif"/>
                <w:b w:val="false"/>
                <w:color w:val="000000"/>
                <w:sz w:val="10"/>
              </w:rPr>
              <w:t>(1)</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Other segment items </w:t>
            </w:r>
            <w:r>
              <w:rPr>
                <w:rFonts w:ascii="Times New Roman;serif" w:hAnsi="Times New Roman;serif"/>
                <w:b w:val="false"/>
                <w:color w:val="000000"/>
                <w:sz w:val="10"/>
              </w:rPr>
              <w:t>(2)</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 of sales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59,269 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35,934 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42,470 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33,363 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22,358 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expenses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43,019 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(loss)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(18,905)</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(18,079)</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(18,121)</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significant segment expense categories and amounts align with the segment-level information regularly provided to the CODM.</w:t>
      </w:r>
    </w:p>
    <w:p>
      <w:pPr>
        <w:pStyle w:val="TextBody"/>
        <w:bidi w:val="0"/>
        <w:spacing w:lineRule="auto" w:line="288" w:before="120" w:after="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Other segment items for each reportable segment include direct labor, direct subcontractor costs, direct materials and inventory, other direct non-labor costs, fringes, overhead, and facility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16. SUPPLEMENTAL CASH FLOW INFORMATION</w:t>
      </w:r>
    </w:p>
    <w:tbl>
      <w:tblPr>
        <w:tblW w:w="7772" w:type="dxa"/>
        <w:jc w:val="left"/>
        <w:tblInd w:w="0" w:type="dxa"/>
        <w:tblLayout w:type="fixed"/>
        <w:tblCellMar>
          <w:top w:w="28" w:type="dxa"/>
          <w:left w:w="28" w:type="dxa"/>
          <w:bottom w:w="28" w:type="dxa"/>
          <w:right w:w="28" w:type="dxa"/>
        </w:tblCellMar>
      </w:tblPr>
      <w:tblGrid>
        <w:gridCol w:w="1131"/>
        <w:gridCol w:w="991"/>
        <w:gridCol w:w="997"/>
        <w:gridCol w:w="401"/>
        <w:gridCol w:w="1322"/>
        <w:gridCol w:w="223"/>
        <w:gridCol w:w="223"/>
        <w:gridCol w:w="223"/>
        <w:gridCol w:w="223"/>
        <w:gridCol w:w="401"/>
        <w:gridCol w:w="1322"/>
        <w:gridCol w:w="315"/>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777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16.1: Details of Cash, Cash Equivalents, and Restricted Cash</w:t>
            </w:r>
          </w:p>
        </w:tc>
      </w:tr>
      <w:tr>
        <w:trPr/>
        <w:tc>
          <w:tcPr>
            <w:tcW w:w="3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50,647 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53,180 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Restricted cash </w:t>
            </w:r>
            <w:r>
              <w:rPr>
                <w:rFonts w:ascii="Times New Roman;serif" w:hAnsi="Times New Roman;serif"/>
                <w:b w:val="false"/>
                <w:color w:val="000000"/>
                <w:sz w:val="12"/>
              </w:rPr>
              <w:t>(1)</w:t>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50,788 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53,320 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Restricted cash consists of a commercial money market account held as a deposit on the Ashburn lease and is included within "Other assets" on the unaudited consolidated balance sheets.</w:t>
      </w:r>
    </w:p>
    <w:tbl>
      <w:tblPr>
        <w:tblW w:w="8855" w:type="dxa"/>
        <w:jc w:val="left"/>
        <w:tblInd w:w="0" w:type="dxa"/>
        <w:tblLayout w:type="fixed"/>
        <w:tblCellMar>
          <w:top w:w="28" w:type="dxa"/>
          <w:left w:w="28" w:type="dxa"/>
          <w:bottom w:w="28" w:type="dxa"/>
          <w:right w:w="28" w:type="dxa"/>
        </w:tblCellMar>
      </w:tblPr>
      <w:tblGrid>
        <w:gridCol w:w="1965"/>
        <w:gridCol w:w="1723"/>
        <w:gridCol w:w="1741"/>
        <w:gridCol w:w="321"/>
        <w:gridCol w:w="910"/>
        <w:gridCol w:w="178"/>
        <w:gridCol w:w="178"/>
        <w:gridCol w:w="178"/>
        <w:gridCol w:w="178"/>
        <w:gridCol w:w="321"/>
        <w:gridCol w:w="910"/>
        <w:gridCol w:w="252"/>
      </w:tblGrid>
      <w:tr>
        <w:trPr/>
        <w:tc>
          <w:tcPr>
            <w:tcW w:w="1965"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885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16.2: Supplemental Cash Flow Information</w:t>
            </w:r>
          </w:p>
        </w:tc>
      </w:tr>
      <w:tr>
        <w:trPr/>
        <w:tc>
          <w:tcPr>
            <w:tcW w:w="5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w:t>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401(k) match</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 activity in accounts payable and other accrued liabilities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AIP payment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9"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17. COMMITMENTS AND CONTINGENCIES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a party to litigation or claims arising in the ordinary course of business, including those relating to employment matters, relationships with clients and contractors, intellectual property disputes, and other business matters. These legal proceedings typically seek various remedies, including claims for monetary damages in varying amounts or unspecified amounts. Although the outcome of any such matter is inherently uncertain and may be materially adverse, based on current information, management believes that the outcome of any such known matters will not have a material adverse effect on the Company's business or its unaudited consolidated financial statements as of June 30, 2026.</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Other - Government Contracts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As a U.S. federal government contractor, we are subject to various audits and investigations by the U.S. federal government to determine whether our operations are being conducted in accordance with applicable regulatory requirements. U.S. federal government investigations of our operations, whether relating to government contracts or conducted for other reasons, could result in administrative, civil, or criminal liabilities, including repayments, fines or penalties being imposed upon us, suspension, proposed debarment, debarment from eligibility for future U.S. federal government contracting, or suspension of export privileges. Suspension or debarment could have a material adverse effect on us because of our dependence on contracts with the U.S. federal government. U.S. federal government investigations often take years to complete and many result in no adverse action against us. We also provide products and services to customers outside the United States, which are subject to U.S. and foreign laws and regulations and foreign procurement policies and practices. Our compliance with local regulations or applicable U.S. federal government regulations may also be audited or investigated.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Any statements contained herein that are not statements of historical fact may be deemed to be forward-looking statements. Without limiting the foregoing, the words "believes," "anticipates," "plans," "expects," and similar expressions are intended to identify forward-looking statements. Several important factors could cause the Company's actual results to differ materially from those indicated by such forward-looking statements. These factors include, without limitation, those set forth in the risk factors section included in the Company's Form 10-K for the year ended December 31, 2025, as filed with the SEC on March 16,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Overview and Business Environment</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Telos Corporation empowers and protects the world’s most security-conscious organizations with efficient, adaptable, and secure solutions that safeguard people, systems, and information. We deliver advanced capabilities across cyber governance, risk, and compliance ("GRC") with Xacta; identity and biometric solutions; secure networks and communications; and TSA PreCheck® enrollment services. Our primary customers include the U.S. federal government, large commercial organizations, state and local governments, and global enterprises. Telos helps customers stay ahead of evolving threats, accelerate compliance, and achieve mission success. Driven by purpose and guided by our core values, we build trusted partnerships, deliver superior solutions, and help create a more secure, interconnected world.</w:t>
      </w:r>
    </w:p>
    <w:p>
      <w:pPr>
        <w:pStyle w:val="TextBody"/>
        <w:bidi w:val="0"/>
        <w:spacing w:lineRule="auto" w:line="288" w:before="120" w:after="180"/>
        <w:jc w:val="left"/>
        <w:rPr/>
      </w:pPr>
      <w:r>
        <w:rPr>
          <w:rFonts w:ascii="Times New Roman;serif" w:hAnsi="Times New Roman;serif"/>
          <w:b w:val="false"/>
          <w:color w:val="000000"/>
          <w:sz w:val="20"/>
        </w:rPr>
        <w:t>In the fourth quarter of FY2025, Telos launched Xacta.ai</w:t>
      </w:r>
      <w:r>
        <w:rPr>
          <w:rFonts w:ascii="Times New Roman;serif" w:hAnsi="Times New Roman;serif"/>
          <w:b w:val="false"/>
          <w:color w:val="000000"/>
          <w:sz w:val="13"/>
        </w:rPr>
        <w:t>TM</w:t>
      </w:r>
      <w:r>
        <w:rPr>
          <w:rFonts w:ascii="Times New Roman;serif" w:hAnsi="Times New Roman;serif"/>
          <w:b w:val="false"/>
          <w:color w:val="000000"/>
          <w:sz w:val="20"/>
        </w:rPr>
        <w:t>, the artificial intelligence ("AI") capability at the core of the Xacta cyber GRC platform, dramatically reducing compliance time and effort. Xacta.ai delivers expert-level guidance and real-time insights, empowering organizations to move from reactive compliance to proactive risk management.</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Business Environment</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U.S. Federal Government</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consolidated revenue is largely attributable to prime contracts or to subcontracts with prime contractors engaged in work for the U.S. federal government, with the remaining revenue attributable to state and local governments, and commercial markets. We generated approximately 92% and 90% of our total revenues from contracts with U.S. government agencies in the first half of fiscal year ("FY") 2026 and 2025, respectively.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Our business performance is affected by the overall level of U.S. government spending and the alignment of our offerings and capabilities with the budget priorities of the U.S. government. While certain administration priorities, such as cybersecurity, national security and AI, present greater opportunity for our products and services, turmoil within the federal government, including personnel and leadership turnover and budgetary uncertainty, has had the effect of lengthening our sales cycle in certain cases. We continuously monitor U.S. federal budget, legislative, and contracting trends and activities, and align our capabilities in response to these developments.</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Macroeconomic Conditions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first half of FY2026, the global economy has continued to experience volatility arising from geopolitical developments and broader economic and financial factors, specifically including the ongoing conflict in the Middle East. This volatility has resulted in, and may be expected to continue to result in, rising energy prices, supply chain disruptions, and inflationary pressures, among other consequences. However, in part due to the importance of our offerings to our customers, the type of solutions we provide, and the nature of our largest customers, to date our business has not been materially impacted by these consequences. If global volatility continues to increase and the conflict in the Middle East is prolonged or intensifies, the economic uncertainty inherent in such global instability may affect our results of operations. Management continues to monitor this evolving geopolitical situation.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Financial Overview</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Several key highlights of our financial performance in the second quarter of 2026 are described below. More details are presented in our "Results of Operations" section.</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0"/>
        </w:rPr>
        <w:t>Revenue increased 32.7% due to 43.7% growth in Security Solutions, driven primarily by the expansion of multiple large programs in Telos ID.</w:t>
      </w:r>
    </w:p>
    <w:p>
      <w:pPr>
        <w:pStyle w:val="TextBody"/>
        <w:bidi w:val="0"/>
        <w:spacing w:lineRule="auto" w:line="268" w:before="120" w:after="180"/>
        <w:ind w:left="0" w:right="0" w:hanging="360"/>
        <w:jc w:val="left"/>
        <w:rPr/>
      </w:pPr>
      <w:r>
        <w:rPr>
          <w:color w:val="000000"/>
        </w:rPr>
        <w:t>•</w:t>
      </w:r>
      <w:r>
        <w:rPr>
          <w:rFonts w:ascii="Times New Roman;serif" w:hAnsi="Times New Roman;serif"/>
          <w:b w:val="false"/>
          <w:color w:val="000000"/>
          <w:sz w:val="20"/>
        </w:rPr>
        <w:t>Operating expenses decreased by $5.4 million, or 24.9%, year-over-year due to lower stock-based compensation and ongoing disciplined cost management.</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0"/>
        </w:rPr>
        <w:t>Net income expanded by $10.2 million, from a net loss of $9.5 million in the second quarter of 2025 to a net income of $0.7 million in the current quarter.</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0"/>
        </w:rPr>
        <w:t>Cash flow from operations improved by $1.9 million year-over-year, increasing from a $6.9 million inflow in the second quarter of 2025 to an $8.8 million inflow in the second quarter of 2026, primarily due to improved revenue and profitability.</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0"/>
        </w:rPr>
        <w:t>Deployed $4.7 million to repurchase approximately 1.0 million shares of the Company's common stock during the quarter at an average share price of $4.50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tbl>
      <w:tblPr>
        <w:tblW w:w="10205" w:type="dxa"/>
        <w:jc w:val="left"/>
        <w:tblInd w:w="0" w:type="dxa"/>
        <w:tblLayout w:type="fixed"/>
        <w:tblCellMar>
          <w:top w:w="28" w:type="dxa"/>
          <w:left w:w="28" w:type="dxa"/>
          <w:bottom w:w="28" w:type="dxa"/>
          <w:right w:w="28" w:type="dxa"/>
        </w:tblCellMar>
      </w:tblPr>
      <w:tblGrid>
        <w:gridCol w:w="801"/>
        <w:gridCol w:w="630"/>
        <w:gridCol w:w="637"/>
        <w:gridCol w:w="197"/>
        <w:gridCol w:w="649"/>
        <w:gridCol w:w="242"/>
        <w:gridCol w:w="109"/>
        <w:gridCol w:w="109"/>
        <w:gridCol w:w="109"/>
        <w:gridCol w:w="197"/>
        <w:gridCol w:w="649"/>
        <w:gridCol w:w="242"/>
        <w:gridCol w:w="109"/>
        <w:gridCol w:w="109"/>
        <w:gridCol w:w="109"/>
        <w:gridCol w:w="212"/>
        <w:gridCol w:w="700"/>
        <w:gridCol w:w="118"/>
        <w:gridCol w:w="109"/>
        <w:gridCol w:w="109"/>
        <w:gridCol w:w="109"/>
        <w:gridCol w:w="197"/>
        <w:gridCol w:w="649"/>
        <w:gridCol w:w="242"/>
        <w:gridCol w:w="109"/>
        <w:gridCol w:w="109"/>
        <w:gridCol w:w="109"/>
        <w:gridCol w:w="196"/>
        <w:gridCol w:w="691"/>
        <w:gridCol w:w="241"/>
        <w:gridCol w:w="109"/>
        <w:gridCol w:w="109"/>
        <w:gridCol w:w="109"/>
        <w:gridCol w:w="211"/>
        <w:gridCol w:w="697"/>
        <w:gridCol w:w="172"/>
      </w:tblGrid>
      <w:tr>
        <w:trPr/>
        <w:tc>
          <w:tcPr>
            <w:tcW w:w="80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Table MD&amp;A 1: Consolidated Results of Operations</w:t>
            </w:r>
          </w:p>
        </w:tc>
      </w:tr>
      <w:tr>
        <w:trPr/>
        <w:tc>
          <w:tcPr>
            <w:tcW w:w="2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Six Months Ended</w:t>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 Change</w:t>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47,745 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35,968 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95,487 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31,053 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24,036 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61,420 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16,692 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11,932 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34,067 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Gross margin</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35.0 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33.2 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35.7 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36.2 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32,302 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Operating expenses as percentage of revenue</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34.3 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60.7 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33.8 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64.6 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(loss)</w:t>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(9,883)</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(18,905)</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20,670 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(9,471)</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2,745 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(18,079)</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20,824 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(9,517)</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2,683 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(18,121)</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20,804 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Consolidated Results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Our business segments have different factors driving revenue fluctuations and profitability. The changes in our revenue and profitability are discussed in greater detail in the following section, "Segment Results." We generate revenue from the delivery of products and services to our customers. Cost of sales, for both products and services, consists of labor, materials, subcontracting costs and an allocation of indirect costs.</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2026, operating expenses decreased by $5.4 million, or 24.9%, compared to the same quarter in 2025. Research and development ("R&amp;D") expenses slightly decreased by $0.2 million, or 11.0%, in the second quarter of 2026, compared to the same period in 2025. Selling, general and administrative ("SG&amp;A") expenses decreased by $5.3 million, or 25.9%, in the second quarter of 2026, compared to the same period in 2025, primarily due to lower stock-based compensation expenses. Reductions in SG&amp;A expenses, other than stock-based compensation, were due to ongoing cost discipline and restructuring. As a percentage of revenue, overall operating expenses were 34.3% and 60.7% for the three months ended June 30, 2026, and 2025, respectively.</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operating expenses decreased by $10.7 million, or 24.9%, compared with the same period in 2025. R&amp;D expenses slightly declined by $0.4 million, or 12.4%, in the first half of 2026, compared to the same period in 2025. SG&amp;A expenses decreased by $10.3 million, or 25.9%, in the first half of 2026, compared to the same period in 2025, primarily due to lower stock-based compensation expenses. Reductions in SG&amp;A expenses, other than stock-based compensation, were due to ongoing cost discipline and restructuring. As a percentage of revenue, overall operating expenses were 33.8% and 64.6%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Other income</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decreased by 9.4% in the second quarter of 2026, compared to the same period in 2025, primarily due to changes in dividend income from money market placements. However, other income for the six months ended June 30, 2026, increased by 7.5%, compared to the same period in 2025, primarily due to the refund in 2026 of a prior-year VAT claim that was previously determined to be uncollectible.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Segment Results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accounting policies of each business segment are the same as those followed by the Company as a whole. Management evaluates business segment performance based on gross profit.</w:t>
      </w:r>
    </w:p>
    <w:tbl>
      <w:tblPr>
        <w:tblW w:w="10205" w:type="dxa"/>
        <w:jc w:val="left"/>
        <w:tblInd w:w="0" w:type="dxa"/>
        <w:tblLayout w:type="fixed"/>
        <w:tblCellMar>
          <w:top w:w="28" w:type="dxa"/>
          <w:left w:w="28" w:type="dxa"/>
          <w:bottom w:w="28" w:type="dxa"/>
          <w:right w:w="28" w:type="dxa"/>
        </w:tblCellMar>
      </w:tblPr>
      <w:tblGrid>
        <w:gridCol w:w="763"/>
        <w:gridCol w:w="654"/>
        <w:gridCol w:w="661"/>
        <w:gridCol w:w="196"/>
        <w:gridCol w:w="648"/>
        <w:gridCol w:w="257"/>
        <w:gridCol w:w="109"/>
        <w:gridCol w:w="109"/>
        <w:gridCol w:w="109"/>
        <w:gridCol w:w="196"/>
        <w:gridCol w:w="648"/>
        <w:gridCol w:w="257"/>
        <w:gridCol w:w="109"/>
        <w:gridCol w:w="109"/>
        <w:gridCol w:w="109"/>
        <w:gridCol w:w="209"/>
        <w:gridCol w:w="691"/>
        <w:gridCol w:w="116"/>
        <w:gridCol w:w="109"/>
        <w:gridCol w:w="109"/>
        <w:gridCol w:w="109"/>
        <w:gridCol w:w="196"/>
        <w:gridCol w:w="648"/>
        <w:gridCol w:w="257"/>
        <w:gridCol w:w="109"/>
        <w:gridCol w:w="109"/>
        <w:gridCol w:w="109"/>
        <w:gridCol w:w="196"/>
        <w:gridCol w:w="648"/>
        <w:gridCol w:w="257"/>
        <w:gridCol w:w="109"/>
        <w:gridCol w:w="109"/>
        <w:gridCol w:w="109"/>
        <w:gridCol w:w="209"/>
        <w:gridCol w:w="689"/>
        <w:gridCol w:w="174"/>
      </w:tblGrid>
      <w:tr>
        <w:trPr/>
        <w:tc>
          <w:tcPr>
            <w:tcW w:w="76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8806"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MD&amp;A 2: Security Solutions Segment - Financial Results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 Change</w:t>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46,662 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32,474 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92,632 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58,292 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(excluding depreciation and amortization)</w:t>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27,651 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19,462 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54,165 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32,719 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21,446 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sales</w:t>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30,162 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21,176 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59,269 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35,934 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23,335 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16,500 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11,298 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33,363 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22,358 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8"/>
              </w:rPr>
            </w:pPr>
            <w:r>
              <w:rPr>
                <w:rFonts w:ascii="Times New Roman;serif" w:hAnsi="Times New Roman;serif"/>
                <w:b w:val="false"/>
                <w:i/>
                <w:color w:val="000000"/>
                <w:sz w:val="18"/>
              </w:rPr>
              <w:t>Gross margin</w:t>
            </w:r>
          </w:p>
        </w:tc>
        <w:tc>
          <w:tcPr>
            <w:tcW w:w="8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35.4 </w:t>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34.8 </w:t>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36.0 </w:t>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38.4 </w:t>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Three Months Ended June 30, 2026, Compared with Three Months Ended June 30, 2025</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Security Solutions segment revenue for the second quarter of 2026 increased by 43.7%, compared to the same period in 2025, primarily due to the expansion of multiple large programs in Telos ID.</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Security Solutions gross profit for the second quarter of 2026 increased by 46.0%, compared with the same period in 2025, primarily due to higher segment revenues. Likewise, segment gross margin increased from 34.8% to 35.4% for the second quarter of 2026, compared with the same period in 2025.</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Six Months Ended June 30, 2026, Compared with Six Months Ended June 30, 2025</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Security Solutions segment revenue for the six months ended June 30, 2026, increased by 58.9%, compared to the same period in 2025, primarily due to the expansion of multiple large programs in Telos ID.</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Segment gross profit for the six months ended June 30, 2026, increased by 49.2%, compared to the same period in 2025, due to higher segment revenues. By contrast, segment gross margin decreased from 38.4% in 2025 to 36.0% in 2026, primarily due to higher non-cash infrastructure costs.</w:t>
      </w:r>
    </w:p>
    <w:tbl>
      <w:tblPr>
        <w:tblW w:w="10205" w:type="dxa"/>
        <w:jc w:val="left"/>
        <w:tblInd w:w="0" w:type="dxa"/>
        <w:tblLayout w:type="fixed"/>
        <w:tblCellMar>
          <w:top w:w="28" w:type="dxa"/>
          <w:left w:w="28" w:type="dxa"/>
          <w:bottom w:w="28" w:type="dxa"/>
          <w:right w:w="28" w:type="dxa"/>
        </w:tblCellMar>
      </w:tblPr>
      <w:tblGrid>
        <w:gridCol w:w="852"/>
        <w:gridCol w:w="735"/>
        <w:gridCol w:w="742"/>
        <w:gridCol w:w="204"/>
        <w:gridCol w:w="580"/>
        <w:gridCol w:w="267"/>
        <w:gridCol w:w="109"/>
        <w:gridCol w:w="109"/>
        <w:gridCol w:w="109"/>
        <w:gridCol w:w="204"/>
        <w:gridCol w:w="580"/>
        <w:gridCol w:w="267"/>
        <w:gridCol w:w="109"/>
        <w:gridCol w:w="109"/>
        <w:gridCol w:w="109"/>
        <w:gridCol w:w="214"/>
        <w:gridCol w:w="657"/>
        <w:gridCol w:w="119"/>
        <w:gridCol w:w="109"/>
        <w:gridCol w:w="109"/>
        <w:gridCol w:w="109"/>
        <w:gridCol w:w="204"/>
        <w:gridCol w:w="580"/>
        <w:gridCol w:w="267"/>
        <w:gridCol w:w="109"/>
        <w:gridCol w:w="109"/>
        <w:gridCol w:w="109"/>
        <w:gridCol w:w="204"/>
        <w:gridCol w:w="580"/>
        <w:gridCol w:w="267"/>
        <w:gridCol w:w="109"/>
        <w:gridCol w:w="109"/>
        <w:gridCol w:w="109"/>
        <w:gridCol w:w="213"/>
        <w:gridCol w:w="654"/>
        <w:gridCol w:w="180"/>
      </w:tblGrid>
      <w:tr>
        <w:trPr/>
        <w:tc>
          <w:tcPr>
            <w:tcW w:w="85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8831"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MD&amp;A 3: Secure Networks Segment - Financial Results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 Change</w:t>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2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(excluding depreciation and amortization)</w:t>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2,859 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2,145 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6,533 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(4,388)</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2,860 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6,536 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8"/>
              </w:rPr>
            </w:pPr>
            <w:r>
              <w:rPr>
                <w:rFonts w:ascii="Times New Roman;serif" w:hAnsi="Times New Roman;serif"/>
                <w:b w:val="false"/>
                <w:i/>
                <w:color w:val="000000"/>
                <w:sz w:val="18"/>
              </w:rPr>
              <w:t>Gross margin</w:t>
            </w:r>
          </w:p>
        </w:tc>
        <w:tc>
          <w:tcPr>
            <w:tcW w:w="7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17.7 </w:t>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18.1 </w:t>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24.7 </w:t>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21.2 </w:t>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Three Months Ended June 30, 2026, Compared with Three Months Ended June 30, 2025</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Secure Networks segment revenue for the three months ended June 30, 2026, decreased by 69.0%, compared to the same period in 2025, primarily due to the continued ramp down of several programs within the portfolio without corresponding new business wins to backfill completed programs.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Segment gross profit for Secure Networks for the second quarter of 2026, decreased by 69.7%, compared with the same period in 2025, primarily due to lower segment revenues. Likewise, segment gross margin decreased from 18.1% to 17.7% for the second quarter of 2026, compared with the same period in 2025. </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Six Months Ended June 30, 2026, Compared with Six Months Ended June 30, 2025</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Secure Networks segment revenue for the six months ended June 30, 2026, decreased by 65.6%, compared to the same period in 2025, primarily due to the continued ramp down of several programs within the portfolio without corresponding new business wins to backfill completed programs.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Segment gross profit for the six months ended June 30, 2026, decreased by 59.9%, compared to the same period in 2025, due to lower segment revenues. By contrast, segment gross margin expanded from 21.2% in 2025 to 24.7% in 2026, primarily due to program mix.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Our primary sources of liquidity are cash on hand, future operating cash flows, and, if needed, sale of receivables under the Factoring Agreement and/or borrowings under our $15.0 million revolving credit facility with a maturity date of December 30, 2026, and with an available expansion feature of up to $15.0 million of additional revolver facility. A variety of factors related to sources and uses of cash, such as timeliness of accounts receivable collections, vendor credit terms, or significant collateral requirements, ultimately impact our liquidity.</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of $50.6 million and our working capital was $56.2 million.</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We place a strong emphasis on liquidity management. This focus gives us the flexibility to deploy capital while preserving a strong balance sheet to position us for future opportunities. We believe we have adequate funds on hand to execute our financial and operating strategy. Our overall financial position and liquidity are strong. Although no assurances can be given, we believe available cash balances and access to our revolving credit facility and Factoring Agreement are sufficient to maintain the liquidity we require to meet our operating, investing and financing needs for the next 12 months.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Cash Flow</w:t>
      </w:r>
    </w:p>
    <w:tbl>
      <w:tblPr>
        <w:tblW w:w="8695" w:type="dxa"/>
        <w:jc w:val="left"/>
        <w:tblInd w:w="0" w:type="dxa"/>
        <w:tblLayout w:type="fixed"/>
        <w:tblCellMar>
          <w:top w:w="28" w:type="dxa"/>
          <w:left w:w="28" w:type="dxa"/>
          <w:bottom w:w="28" w:type="dxa"/>
          <w:right w:w="28" w:type="dxa"/>
        </w:tblCellMar>
      </w:tblPr>
      <w:tblGrid>
        <w:gridCol w:w="2208"/>
        <w:gridCol w:w="1943"/>
        <w:gridCol w:w="1954"/>
        <w:gridCol w:w="228"/>
        <w:gridCol w:w="754"/>
        <w:gridCol w:w="127"/>
        <w:gridCol w:w="109"/>
        <w:gridCol w:w="109"/>
        <w:gridCol w:w="109"/>
        <w:gridCol w:w="227"/>
        <w:gridCol w:w="749"/>
        <w:gridCol w:w="178"/>
      </w:tblGrid>
      <w:tr>
        <w:trPr/>
        <w:tc>
          <w:tcPr>
            <w:tcW w:w="2208"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MD&amp;A 4: Net Change in Cash, Cash Equivalents, and Restricted Cash</w:t>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restricted cash</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six months ended June 30, 2026, was $17.5 million, an increase of $4.4 million, compared to the same period in 2025. The change is attributable to favorable changes in working capital, primarily driven by higher cash earnings (i.e., net income (loss), excluding non-cash items that do not impact cash flows from operating activities), coupled with the timing of receipts from customers and the timing of payments to vendors.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for the six months ended June 30, 2026, slightly decreased by $0.2 million, compared to the same period of the prior year, primarily due to the decreases in capital expenditures in 2026. </w:t>
      </w:r>
    </w:p>
    <w:p>
      <w:pPr>
        <w:pStyle w:val="TextBody"/>
        <w:bidi w:val="0"/>
        <w:spacing w:lineRule="auto" w:line="288" w:before="120" w:after="180"/>
        <w:jc w:val="left"/>
        <w:rPr/>
      </w:pPr>
      <w:r>
        <w:rPr>
          <w:rFonts w:ascii="Times New Roman;serif" w:hAnsi="Times New Roman;serif"/>
          <w:b w:val="false"/>
          <w:color w:val="000000"/>
          <w:sz w:val="20"/>
        </w:rPr>
        <w:t xml:space="preserve">Net cash used in financing activities for the six months ended June 30, 2026, increased by $9.6 million, compared to the same period in 2025. This is primarily attributable to the increases in payment of tax withholding related to net share settlement of equity awards of $7.6 million in the first half of 2026, compared with $1.1 million in the same period of 2025, and the repurchase of common stock of $6.9 million in 2026 under the share repurchase program (See </w:t>
      </w:r>
      <w:hyperlink w:anchor="i703a971a6f76471bbb862f7c1f00bd5c_73">
        <w:r>
          <w:rPr>
            <w:rStyle w:val="InternetLink"/>
          </w:rPr>
          <w:t>Note 1</w:t>
        </w:r>
      </w:hyperlink>
      <w:hyperlink w:anchor="i703a971a6f76471bbb862f7c1f00bd5c_73">
        <w:r>
          <w:rPr>
            <w:rStyle w:val="InternetLink"/>
          </w:rPr>
          <w:t>2</w:t>
        </w:r>
      </w:hyperlink>
      <w:hyperlink w:anchor="i703a971a6f76471bbb862f7c1f00bd5c_73">
        <w:r>
          <w:rPr>
            <w:rStyle w:val="InternetLink"/>
          </w:rPr>
          <w:t xml:space="preserve"> – Share Repurchases</w:t>
        </w:r>
      </w:hyperlink>
      <w:r>
        <w:rPr>
          <w:rFonts w:ascii="Times New Roman;serif" w:hAnsi="Times New Roman;serif"/>
          <w:b w:val="false"/>
          <w:color w:val="000000"/>
          <w:sz w:val="20"/>
        </w:rPr>
        <w:t>), compared with $4.0 million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requires us to make estimates, judgments, and assumptions that affect the amounts reported. Actual results could differ from those estimates. The 2025 Form 10-K, as filed with the SEC on March 16, 2026, includes a summary of the critical accounting policies we believe are the most important to aid in understanding our financial results. There have been no changes to those critical accounting policies that have had a material impact on our reported amounts of assets, liabilities, revenues, or expenses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are exposed to a variety of financial risks, such as interest rate risk, foreign currency translation risk, and counterparty risk, which can affect our operations and profitability. The Company's market risk disclosure set forth in "Part II, Item 7A – Quantitative and Qualitative Disclosure about Market Risk," in the 2025 Form 10-K, as filed with the SEC on March 16, 2026, has not changed materially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(as defined in Rules 13a-15(e) and 15d-15(e) under the Securities Exchange Act of 1934, as amended (the "Exchange Act")), which are designed to ensure that information required to be disclosed by the Company in reports that it files or submits under the Exchange Act, including this Report, are recorded, processed, summarized and reported within the time periods specified in the SEC's rules and forms. These disclosure controls and procedures include controls and procedures designed to ensure that information required to be disclosed by the Company under the Exchange Act is accumulated and communicated to the Company's management, including its principal executive officer ("CEO") and principal financial officer ("CFO"), as appropriate to allow timely decisions regarding required disclosure.</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Company's management, including the Company's CEO and CFO, has evaluated the effectiveness of the Company's disclosure controls and procedures as of the end of the period covered by this Report and, based on that evaluation, the Company's CEO and CFO concluded that the Company’s disclosure controls and procedures were effective at the reasonable assurance level as of June 30, 2026.</w:t>
      </w:r>
    </w:p>
    <w:p>
      <w:pPr>
        <w:pStyle w:val="TextBody"/>
        <w:bidi w:val="0"/>
        <w:spacing w:lineRule="auto" w:line="288" w:before="120" w:after="18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over financial reporting during the quarter ended June 30, 2026, identified in connection with management’s evaluation required by paragraph (d) of Rules 13a-15 and 15d-15 under the Exchange Act, that have materially affected, or are reasonably likely to materially affect, the Company’s internal control over financial reporting.</w:t>
      </w:r>
    </w:p>
    <w:p>
      <w:pPr>
        <w:pStyle w:val="TextBody"/>
        <w:bidi w:val="0"/>
        <w:spacing w:before="12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80"/>
        <w:jc w:val="left"/>
        <w:rPr/>
      </w:pPr>
      <w:r>
        <w:rPr>
          <w:rFonts w:ascii="Times New Roman;serif" w:hAnsi="Times New Roman;serif"/>
          <w:b w:val="false"/>
          <w:color w:val="000000"/>
          <w:sz w:val="20"/>
        </w:rPr>
        <w:t xml:space="preserve">Information regarding legal proceedings is included under </w:t>
      </w:r>
      <w:hyperlink w:anchor="i703a971a6f76471bbb862f7c1f00bd5c_85">
        <w:r>
          <w:rPr>
            <w:rStyle w:val="InternetLink"/>
          </w:rPr>
          <w:t>Note 1</w:t>
        </w:r>
      </w:hyperlink>
      <w:hyperlink w:anchor="i703a971a6f76471bbb862f7c1f00bd5c_85">
        <w:r>
          <w:rPr>
            <w:rStyle w:val="InternetLink"/>
          </w:rPr>
          <w:t>7</w:t>
        </w:r>
      </w:hyperlink>
      <w:hyperlink w:anchor="i703a971a6f76471bbb862f7c1f00bd5c_85">
        <w:r>
          <w:rPr>
            <w:rStyle w:val="InternetLink"/>
          </w:rPr>
          <w:t xml:space="preserve"> – Commitments and Contingencies</w:t>
        </w:r>
      </w:hyperlink>
      <w:r>
        <w:rPr>
          <w:color w:val="000000"/>
        </w:rPr>
        <w:t xml:space="preserve"> </w:t>
      </w:r>
      <w:r>
        <w:rPr>
          <w:rFonts w:ascii="Times New Roman;serif" w:hAnsi="Times New Roman;serif"/>
          <w:b w:val="false"/>
          <w:color w:val="000000"/>
          <w:sz w:val="20"/>
        </w:rPr>
        <w:t>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There were no material changes to the risk factors previously disclosed under "Part I, Item 1A – Risk Factors"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 Unregistered Sales of Securities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(b) Use of Proceeds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(c) Issuer Purchases of Equity Securities</w:t>
      </w:r>
    </w:p>
    <w:tbl>
      <w:tblPr>
        <w:tblW w:w="10205" w:type="dxa"/>
        <w:jc w:val="left"/>
        <w:tblInd w:w="0" w:type="dxa"/>
        <w:tblLayout w:type="fixed"/>
        <w:tblCellMar>
          <w:top w:w="28" w:type="dxa"/>
          <w:left w:w="28" w:type="dxa"/>
          <w:bottom w:w="28" w:type="dxa"/>
          <w:right w:w="28" w:type="dxa"/>
        </w:tblCellMar>
      </w:tblPr>
      <w:tblGrid>
        <w:gridCol w:w="370"/>
        <w:gridCol w:w="324"/>
        <w:gridCol w:w="331"/>
        <w:gridCol w:w="121"/>
        <w:gridCol w:w="121"/>
        <w:gridCol w:w="121"/>
        <w:gridCol w:w="676"/>
        <w:gridCol w:w="444"/>
        <w:gridCol w:w="446"/>
        <w:gridCol w:w="121"/>
        <w:gridCol w:w="121"/>
        <w:gridCol w:w="121"/>
        <w:gridCol w:w="300"/>
        <w:gridCol w:w="713"/>
        <w:gridCol w:w="166"/>
        <w:gridCol w:w="121"/>
        <w:gridCol w:w="121"/>
        <w:gridCol w:w="121"/>
        <w:gridCol w:w="952"/>
        <w:gridCol w:w="764"/>
        <w:gridCol w:w="767"/>
        <w:gridCol w:w="121"/>
        <w:gridCol w:w="121"/>
        <w:gridCol w:w="121"/>
        <w:gridCol w:w="371"/>
        <w:gridCol w:w="1822"/>
        <w:gridCol w:w="307"/>
      </w:tblGrid>
      <w:tr>
        <w:trPr/>
        <w:tc>
          <w:tcPr>
            <w:tcW w:w="37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Common Stock Purchase Activity During the Three Months Ended June 30, 2026</w:t>
            </w:r>
          </w:p>
        </w:tc>
      </w:tr>
      <w:tr>
        <w:trPr/>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Period</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Total Number of Shares Purchased </w:t>
            </w:r>
            <w:r>
              <w:rPr>
                <w:rFonts w:ascii="Times New Roman;serif" w:hAnsi="Times New Roman;serif"/>
                <w:b w:val="false"/>
                <w:color w:val="000000"/>
                <w:sz w:val="12"/>
              </w:rPr>
              <w:t>(1)</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Average Price Paid per Share </w:t>
            </w:r>
            <w:r>
              <w:rPr>
                <w:rFonts w:ascii="Times New Roman;serif" w:hAnsi="Times New Roman;serif"/>
                <w:b w:val="false"/>
                <w:color w:val="000000"/>
                <w:sz w:val="12"/>
              </w:rPr>
              <w:t>(1)</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Total Number of Shares Purchased as Part of Publicly Announced Repurchase Plans </w:t>
            </w:r>
            <w:r>
              <w:rPr>
                <w:rFonts w:ascii="Times New Roman;serif" w:hAnsi="Times New Roman;serif"/>
                <w:b w:val="false"/>
                <w:color w:val="000000"/>
                <w:sz w:val="12"/>
              </w:rPr>
              <w:t>(1)</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Maximum Dollar Value of Shares that May Yet Be Purchased Under the Plans </w:t>
            </w:r>
            <w:r>
              <w:rPr>
                <w:rFonts w:ascii="Times New Roman;serif" w:hAnsi="Times New Roman;serif"/>
                <w:b w:val="false"/>
                <w:color w:val="000000"/>
                <w:sz w:val="12"/>
              </w:rPr>
              <w:t>(1)</w:t>
            </w:r>
          </w:p>
        </w:tc>
      </w:tr>
      <w:tr>
        <w:trPr/>
        <w:tc>
          <w:tcPr>
            <w:tcW w:w="1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1, 2026 - April 30, 2026</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47,890,350 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 2026 - May 31, 2026</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309,250 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309,250 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46,524,310 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 2026 - June 30, 2026</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733,100 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733,100 </w:t>
            </w:r>
          </w:p>
        </w:tc>
        <w:tc>
          <w:tcPr>
            <w:tcW w:w="7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43,199,457 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1,042,350 </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1,042,350 </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On May 24, 2022, the Board of Directors ("Board") authorized a Share Repurchase Program, pursuant to which the Company can repurchase up to $50.0 million of issued and outstanding common stock. On March 12, 2026, the Board authorized an increase to the existing stock purchase program whereby the Company may purchase, at management's discretion, up to an additional $25.0 million of its common stock. The repurchase program has no expiration date and may be modified, suspended, or terminated at any time. For the second quarter of 2026, the Company repurchased 1,042,350 shares of common stock under the program for an aggregate price of $4.7 million on the open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(b) 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 During the three months ended June 30, 2026, no director or officer of the Company adopted or terminated a "Rule 10b5-1 trading arrangement" or "non-Rule 10b5-1 trading arrangement," as each term is defined in Item 408(a)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4"/>
        <w:gridCol w:w="250"/>
        <w:gridCol w:w="251"/>
        <w:gridCol w:w="109"/>
        <w:gridCol w:w="109"/>
        <w:gridCol w:w="109"/>
        <w:gridCol w:w="2706"/>
        <w:gridCol w:w="2638"/>
        <w:gridCol w:w="3749"/>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ex-191insidertradingpolicy.htm">
              <w:r>
                <w:rPr>
                  <w:rStyle w:val="InternetLink"/>
                  <w:rFonts w:ascii="Times New Roman;serif" w:hAnsi="Times New Roman;serif"/>
                  <w:b w:val="false"/>
                  <w:color w:val="0000FF"/>
                  <w:sz w:val="18"/>
                  <w:u w:val="single"/>
                </w:rPr>
                <w:t>19.1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ex-191insidertradingpolicy.htm">
              <w:r>
                <w:rPr>
                  <w:rStyle w:val="InternetLink"/>
                  <w:rFonts w:ascii="Times New Roman;serif" w:hAnsi="Times New Roman;serif"/>
                  <w:b w:val="false"/>
                  <w:color w:val="0000FF"/>
                  <w:sz w:val="18"/>
                  <w:u w:val="single"/>
                </w:rPr>
                <w:t>Insider Trading Policy (August 2026)</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tls-20260630xexhibit311q226.htm">
              <w:r>
                <w:rPr>
                  <w:rStyle w:val="InternetLink"/>
                  <w:rFonts w:ascii="Times New Roman;serif" w:hAnsi="Times New Roman;serif"/>
                  <w:b w:val="false"/>
                  <w:color w:val="0000FF"/>
                  <w:sz w:val="18"/>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ls-20260630xexhibit311q226.htm">
              <w:r>
                <w:rPr>
                  <w:rStyle w:val="InternetLink"/>
                  <w:rFonts w:ascii="Times New Roman;serif" w:hAnsi="Times New Roman;serif"/>
                  <w:b w:val="false"/>
                  <w:color w:val="0000FF"/>
                  <w:sz w:val="18"/>
                  <w:u w:val="single"/>
                </w:rPr>
                <w:t>Certification of Chief Executive Officer pursuant to Section 302 of the Sarbanes-Oxley Act of 2002</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tls-20260630xexhibit312q226.htm">
              <w:r>
                <w:rPr>
                  <w:rStyle w:val="InternetLink"/>
                  <w:rFonts w:ascii="Times New Roman;serif" w:hAnsi="Times New Roman;serif"/>
                  <w:b w:val="false"/>
                  <w:color w:val="0000FF"/>
                  <w:sz w:val="18"/>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ls-20260630xexhibit312q226.htm">
              <w:r>
                <w:rPr>
                  <w:rStyle w:val="InternetLink"/>
                  <w:rFonts w:ascii="Times New Roman;serif" w:hAnsi="Times New Roman;serif"/>
                  <w:b w:val="false"/>
                  <w:color w:val="0000FF"/>
                  <w:sz w:val="18"/>
                  <w:u w:val="single"/>
                </w:rPr>
                <w:t>Certification of Chief Financial Officer pursuant to Section 302 of the Sarbanes-Oxley Act of 2002</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tls-20260630xexhibit32q226.htm">
              <w:r>
                <w:rPr>
                  <w:rStyle w:val="InternetLink"/>
                  <w:rFonts w:ascii="Times New Roman;serif" w:hAnsi="Times New Roman;serif"/>
                  <w:b w:val="false"/>
                  <w:color w:val="0000FF"/>
                  <w:sz w:val="18"/>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ls-20260630xexhibit32q226.htm">
              <w:r>
                <w:rPr>
                  <w:rStyle w:val="InternetLink"/>
                  <w:rFonts w:ascii="Times New Roman;serif" w:hAnsi="Times New Roman;serif"/>
                  <w:b w:val="false"/>
                  <w:color w:val="0000FF"/>
                  <w:sz w:val="18"/>
                  <w:u w:val="single"/>
                </w:rPr>
                <w:t>Certification pursuant to 18 U.S.C. Section 1350, as Adopted pursuant to Section 906 of the Sarbanes-Oxley Act of 2002</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Instance Document - the instance document does not appear in the Interactive Data File because its XBRL tags are embedded within the Inline XBRL document</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Definition Linkbase Document</w:t>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Label Linkbase Document</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 the cover page iXBRL tags are embedded within the Inline XBRL document contained in Exhibit 101</w:t>
            </w:r>
          </w:p>
        </w:tc>
      </w:tr>
    </w:tbl>
    <w:tbl>
      <w:tblPr>
        <w:tblW w:w="1871" w:type="dxa"/>
        <w:jc w:val="left"/>
        <w:tblInd w:w="0" w:type="dxa"/>
        <w:tblLayout w:type="fixed"/>
        <w:tblCellMar>
          <w:top w:w="28" w:type="dxa"/>
          <w:left w:w="28" w:type="dxa"/>
          <w:bottom w:w="28" w:type="dxa"/>
          <w:right w:w="28" w:type="dxa"/>
        </w:tblCellMar>
      </w:tblPr>
      <w:tblGrid>
        <w:gridCol w:w="124"/>
        <w:gridCol w:w="109"/>
        <w:gridCol w:w="109"/>
        <w:gridCol w:w="447"/>
        <w:gridCol w:w="447"/>
        <w:gridCol w:w="6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Furnished herewith</w:t>
            </w:r>
          </w:p>
        </w:tc>
      </w:tr>
    </w:tbl>
    <w:p>
      <w:pPr>
        <w:pStyle w:val="TextBody"/>
        <w:bidi w:val="0"/>
        <w:spacing w:before="12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03a971a6f76471bbb862f7c1f00bd5c_7">
        <w:r>
          <w:rPr>
            <w:rStyle w:val="InternetLink"/>
            <w:rFonts w:ascii="Times New Roman;serif" w:hAnsi="Times New Roman;serif"/>
            <w:b w:val="false"/>
            <w:i/>
            <w:color w:val="000000"/>
            <w:sz w:val="20"/>
            <w:u w:val="single"/>
          </w:rPr>
          <w:t>Table of Contents</w:t>
        </w:r>
      </w:hyperlink>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736" w:type="dxa"/>
        <w:jc w:val="left"/>
        <w:tblInd w:w="0" w:type="dxa"/>
        <w:tblLayout w:type="fixed"/>
        <w:tblCellMar>
          <w:top w:w="28" w:type="dxa"/>
          <w:left w:w="28" w:type="dxa"/>
          <w:bottom w:w="28" w:type="dxa"/>
          <w:right w:w="28" w:type="dxa"/>
        </w:tblCellMar>
      </w:tblPr>
      <w:tblGrid>
        <w:gridCol w:w="2141"/>
        <w:gridCol w:w="1881"/>
        <w:gridCol w:w="1887"/>
        <w:gridCol w:w="109"/>
        <w:gridCol w:w="109"/>
        <w:gridCol w:w="109"/>
        <w:gridCol w:w="438"/>
        <w:gridCol w:w="438"/>
        <w:gridCol w:w="624"/>
      </w:tblGrid>
      <w:tr>
        <w:trPr/>
        <w:tc>
          <w:tcPr>
            <w:tcW w:w="2141"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TELOS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B. 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John B. 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Bendza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Mark Bendza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DJ Terreri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DJ Terreri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Controller and Chief Accounting Officer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19.1</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center"/>
        <w:rPr/>
      </w:pPr>
      <w:r>
        <w:rPr/>
        <w:drawing>
          <wp:inline distT="0" distB="0" distL="0" distR="0">
            <wp:extent cx="1990725" cy="685800"/>
            <wp:effectExtent l="0" t="0" r="0" b="0"/>
            <wp:docPr id="2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 descr=""/>
                    <pic:cNvPicPr>
                      <a:picLocks noChangeAspect="1" noChangeArrowheads="1"/>
                    </pic:cNvPicPr>
                  </pic:nvPicPr>
                  <pic:blipFill>
                    <a:blip r:embed="rId3"/>
                    <a:stretch>
                      <a:fillRect/>
                    </a:stretch>
                  </pic:blipFill>
                  <pic:spPr bwMode="auto">
                    <a:xfrm>
                      <a:off x="0" y="0"/>
                      <a:ext cx="1990725" cy="6858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TELOS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INSIDER TRADING POLICY</w:t>
      </w:r>
    </w:p>
    <w:p>
      <w:pPr>
        <w:pStyle w:val="TextBody"/>
        <w:bidi w:val="0"/>
        <w:spacing w:before="0" w:after="0"/>
        <w:jc w:val="left"/>
        <w:rPr/>
      </w:pPr>
      <w:r>
        <w:rPr/>
      </w:r>
    </w:p>
    <w:p>
      <w:pPr>
        <w:pStyle w:val="TextBody"/>
        <w:bidi w:val="0"/>
        <w:spacing w:lineRule="auto" w:line="288" w:before="120" w:after="180"/>
        <w:jc w:val="left"/>
        <w:rPr>
          <w:rFonts w:ascii="Times New Roman;serif" w:hAnsi="Times New Roman;serif"/>
          <w:b w:val="false"/>
          <w:color w:val="000000"/>
          <w:sz w:val="22"/>
        </w:rPr>
      </w:pPr>
      <w:r>
        <w:rPr>
          <w:rFonts w:ascii="Times New Roman;serif" w:hAnsi="Times New Roman;serif"/>
          <w:b w:val="false"/>
          <w:color w:val="000000"/>
          <w:sz w:val="22"/>
        </w:rPr>
        <w:t>The Insider Trading Policy (“Policy”) describes the requirements of Telos Corporation, a Maryland corporation, and its subsidiaries (collectively, the “Company” or “Telos”) related to trading, and causing the trading of, the Company’s securities or securities of certain other publicly traded companies while in possession of “material” and “non-public” information. This Policy applies to all officers of the Company, all members of the Company’s Board of Directors and all employees of the Company. The Company may also determine that other persons should be subject to this Policy, such as contractors or consultants who have access to material non-public information. This Policy also applies to family members, other members of a person’s household and entities controlled by a person covered by this Policy, as described below. Certain capitalized terms are defined In Section 5 of this Policy.</w:t>
      </w:r>
    </w:p>
    <w:p>
      <w:pPr>
        <w:pStyle w:val="TextBody"/>
        <w:bidi w:val="0"/>
        <w:spacing w:lineRule="auto" w:line="288" w:before="120" w:after="180"/>
        <w:jc w:val="left"/>
        <w:rPr/>
      </w:pPr>
      <w:r>
        <w:rPr>
          <w:rFonts w:ascii="Times New Roman;serif" w:hAnsi="Times New Roman;serif"/>
          <w:b w:val="false"/>
          <w:color w:val="000000"/>
          <w:sz w:val="22"/>
        </w:rPr>
        <w:t>1.</w:t>
      </w:r>
      <w:r>
        <w:rPr>
          <w:rFonts w:ascii="Times New Roman;serif" w:hAnsi="Times New Roman;serif"/>
          <w:b/>
          <w:color w:val="000000"/>
          <w:sz w:val="22"/>
        </w:rPr>
        <w:t>GENERAL</w:t>
      </w:r>
    </w:p>
    <w:p>
      <w:pPr>
        <w:pStyle w:val="TextBody"/>
        <w:bidi w:val="0"/>
        <w:spacing w:lineRule="auto" w:line="288" w:before="120" w:after="180"/>
        <w:jc w:val="left"/>
        <w:rPr>
          <w:rFonts w:ascii="Times New Roman;serif" w:hAnsi="Times New Roman;serif"/>
          <w:b w:val="false"/>
          <w:color w:val="000000"/>
          <w:sz w:val="22"/>
        </w:rPr>
      </w:pPr>
      <w:r>
        <w:rPr>
          <w:rFonts w:ascii="Times New Roman;serif" w:hAnsi="Times New Roman;serif"/>
          <w:b w:val="false"/>
          <w:color w:val="000000"/>
          <w:sz w:val="22"/>
        </w:rPr>
        <w:t xml:space="preserve">A major purpose of the Federal securities law is to prohibit “insider trading”. Insider trading occurs when a person uses material non-public information obtained through involvement with a company to make decisions to purchase, sell, give away, or otherwise trade that company’s securities, or provide that information to others outside the company. The prohibitions against insider trading apply to trades, tips, and recommendations by virtually any person, including all persons associated with the subject company, when “material” and “non-public” information is involved. Anyone violating the insider trading prohibition is subject to personal liability and could face criminal penalties. </w:t>
      </w:r>
    </w:p>
    <w:p>
      <w:pPr>
        <w:pStyle w:val="TextBody"/>
        <w:bidi w:val="0"/>
        <w:spacing w:lineRule="auto" w:line="288" w:before="120" w:after="180"/>
        <w:jc w:val="left"/>
        <w:rPr>
          <w:rFonts w:ascii="Times New Roman;serif" w:hAnsi="Times New Roman;serif"/>
          <w:b w:val="false"/>
          <w:color w:val="000000"/>
          <w:sz w:val="22"/>
        </w:rPr>
      </w:pPr>
      <w:r>
        <w:rPr>
          <w:rFonts w:ascii="Times New Roman;serif" w:hAnsi="Times New Roman;serif"/>
          <w:b w:val="false"/>
          <w:color w:val="000000"/>
          <w:sz w:val="22"/>
        </w:rPr>
        <w:t xml:space="preserve">Telos takes seriously its obligation, and that of its associates, to prevent insider trading violations. In light of the severity of the possible sanctions, both to individuals and to the Company, Telos has established this Policy to assist all Company personnel in understanding and complying with these obligations. Violations of this Policy or any other Company policy could subject the violator to disciplinary action, up to and including termination of employment or any relationship with the Company. This Policy does not supersede or replace each person’s responsibility to understand and comply with the legal prohibitions on insider trading. For answers to specific questions regarding this Policy or applicable law, contact the Compliance Officer. </w:t>
      </w:r>
    </w:p>
    <w:p>
      <w:pPr>
        <w:pStyle w:val="TextBody"/>
        <w:bidi w:val="0"/>
        <w:spacing w:lineRule="auto" w:line="288" w:before="120" w:after="180"/>
        <w:jc w:val="left"/>
        <w:rPr>
          <w:rFonts w:ascii="Times New Roman;serif" w:hAnsi="Times New Roman;serif"/>
          <w:b w:val="false"/>
          <w:color w:val="000000"/>
          <w:sz w:val="22"/>
        </w:rPr>
      </w:pPr>
      <w:r>
        <w:rPr>
          <w:rFonts w:ascii="Times New Roman;serif" w:hAnsi="Times New Roman;serif"/>
          <w:b w:val="false"/>
          <w:color w:val="000000"/>
          <w:sz w:val="22"/>
        </w:rPr>
        <w:t>For purposes of this Policy, Telos securities includes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Telos securities.</w:t>
      </w:r>
    </w:p>
    <w:p>
      <w:pPr>
        <w:pStyle w:val="TextBody"/>
        <w:bidi w:val="0"/>
        <w:spacing w:lineRule="auto" w:line="288" w:before="120" w:after="180"/>
        <w:jc w:val="left"/>
        <w:rPr/>
      </w:pPr>
      <w:r>
        <w:rPr>
          <w:rFonts w:ascii="Times New Roman;serif" w:hAnsi="Times New Roman;serif"/>
          <w:b w:val="false"/>
          <w:color w:val="000000"/>
          <w:sz w:val="22"/>
        </w:rPr>
        <w:t>2.</w:t>
      </w:r>
      <w:r>
        <w:rPr>
          <w:rFonts w:ascii="Times New Roman;serif" w:hAnsi="Times New Roman;serif"/>
          <w:b/>
          <w:color w:val="000000"/>
          <w:sz w:val="22"/>
        </w:rPr>
        <w:t>STATEMENT OF POLICY</w:t>
      </w:r>
    </w:p>
    <w:p>
      <w:pPr>
        <w:pStyle w:val="TextBody"/>
        <w:bidi w:val="0"/>
        <w:spacing w:lineRule="auto" w:line="288" w:before="120" w:after="180"/>
        <w:jc w:val="left"/>
        <w:rPr>
          <w:rFonts w:ascii="Times New Roman;serif" w:hAnsi="Times New Roman;serif"/>
          <w:b w:val="false"/>
          <w:color w:val="000000"/>
          <w:sz w:val="22"/>
        </w:rPr>
      </w:pPr>
      <w:r>
        <w:rPr>
          <w:rFonts w:ascii="Times New Roman;serif" w:hAnsi="Times New Roman;serif"/>
          <w:b w:val="false"/>
          <w:color w:val="000000"/>
          <w:sz w:val="22"/>
        </w:rPr>
        <w:t>It is the policy of the Company that no director, officer or other employee of the Company (or any other person designated by this Policy or by the Compliance Officer as subject to this Policy) may, directly or indirectly through family members or other persons or entities: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Buy, sell or transfer Telos securities at any time while possessing Material Non-Public Information relating to Telos, except as otherwise specified in this Policy.</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19.1</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97840"/>
                <wp:effectExtent l="0" t="0" r="0" b="0"/>
                <wp:wrapNone/>
                <wp:docPr id="30" name="Frame28"/>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Insider Trading Policy, page 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August 6,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Insider Trading Policy, page 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August 6, 2026</w:t>
                      </w:r>
                    </w:p>
                  </w:txbxContent>
                </v:textbox>
                <w10:wrap type="none"/>
              </v:rect>
            </w:pict>
          </mc:Fallback>
        </mc:AlternateConten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 xml:space="preserve">Buy, sell or transfer securities of another company while possessing Material Non-Public Information about that company when that information was obtained in the course of employment with, or the performance of services on behalf of, Telos. </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Use Material Non-Public Information relating to Telos, or Material Non-Public Information relating to another company that was obtained in the course of employment with, or the performance of services on behalf of, Telos, to trade, wager, or otherwise participate (directly or through a pseudonymous, anonymous or blockchain-based account) in any prediction market, betting platform, event contract, or similar arrangement (whether regulated or unregulated, domestic or foreign) whose outcome, value, or payout may reasonably be expected to be affected by such information.</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Transfer Telos securities to a third party without consideration, including gifts, donations, or charitable contributions, while possessing Material Non-Public Information relating to Telos, except as otherwise specified in this Policy.</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Disclose Telos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Disclose (“tip”) Material Non-Public Information to any other person, including family members, if the person may use that information to their benefit by trading in the related securities.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Make positive or negative recommendations or express opinions on the basis of Material Non-Public Information with regard to trading in Telos securities.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Comment on stock price movements or on rumors or stories about Company developments that the investing public may consider significant, unless it is part of that employee’s job (e.g., in an Investor Relations role) or the Chief Executive Officer or Chief Financial Officer has specifically authorized that employee to speak on behalf of the Company in that instance.</w:t>
      </w:r>
    </w:p>
    <w:p>
      <w:pPr>
        <w:pStyle w:val="TextBody"/>
        <w:bidi w:val="0"/>
        <w:spacing w:lineRule="auto" w:line="288" w:before="120" w:after="180"/>
        <w:jc w:val="left"/>
        <w:rPr>
          <w:rFonts w:ascii="Times New Roman;serif" w:hAnsi="Times New Roman;serif"/>
          <w:b w:val="false"/>
          <w:color w:val="000000"/>
          <w:sz w:val="22"/>
        </w:rPr>
      </w:pPr>
      <w:r>
        <w:rPr>
          <w:rFonts w:ascii="Times New Roman;serif" w:hAnsi="Times New Roman;serif"/>
          <w:b w:val="false"/>
          <w:color w:val="000000"/>
          <w:sz w:val="22"/>
        </w:rPr>
        <w:t>It is also the policy of the Company that Insiders (as defined in Section 5) may not buy or sell Telos securities during any of the four “Quiet Periods” that occur each fiscal year (see Section 5(a)). An Insider (other than a Section 16 Individual) who terminates their employment or other relationship with the Company remains subject to this Policy until the end of the first full Quiet Period following the termination of employment or other relationship. A Section 16 Individual remains subject to this Policy for a period of six (6) months following the termination of their status as a Section 16 Individual.</w:t>
      </w:r>
    </w:p>
    <w:p>
      <w:pPr>
        <w:pStyle w:val="TextBody"/>
        <w:bidi w:val="0"/>
        <w:spacing w:lineRule="auto" w:line="288" w:before="120" w:after="180"/>
        <w:jc w:val="left"/>
        <w:rPr>
          <w:rFonts w:ascii="Times New Roman;serif" w:hAnsi="Times New Roman;serif"/>
          <w:b w:val="false"/>
          <w:color w:val="000000"/>
          <w:sz w:val="22"/>
        </w:rPr>
      </w:pPr>
      <w:r>
        <w:rPr>
          <w:rFonts w:ascii="Times New Roman;serif" w:hAnsi="Times New Roman;serif"/>
          <w:b w:val="false"/>
          <w:color w:val="000000"/>
          <w:sz w:val="22"/>
        </w:rPr>
        <w:t>Insiders may not engage in the following types of transactions in the Company’s securities unless the Compliance Officer grants advance written approval:</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i/>
          <w:color w:val="000000"/>
          <w:sz w:val="22"/>
        </w:rPr>
        <w:t>Short-term trading</w:t>
      </w:r>
      <w:r>
        <w:rPr>
          <w:rFonts w:ascii="Times New Roman;serif" w:hAnsi="Times New Roman;serif"/>
          <w:b w:val="false"/>
          <w:color w:val="000000"/>
          <w:sz w:val="22"/>
        </w:rPr>
        <w:t>. Insiders who purchase Company securities may not sell any Company securities of the same class for at least six (6) months after the purchase, and vice versa.</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i/>
          <w:color w:val="000000"/>
          <w:sz w:val="22"/>
        </w:rPr>
        <w:t>Short sale</w:t>
      </w:r>
      <w:r>
        <w:rPr>
          <w:rFonts w:ascii="Times New Roman;serif" w:hAnsi="Times New Roman;serif"/>
          <w:b w:val="false"/>
          <w:color w:val="000000"/>
          <w:sz w:val="22"/>
        </w:rPr>
        <w:t>. Insiders may not sell the Company’s securities short.</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i/>
          <w:color w:val="000000"/>
          <w:sz w:val="22"/>
        </w:rPr>
        <w:t>Options trading</w:t>
      </w:r>
      <w:r>
        <w:rPr>
          <w:rFonts w:ascii="Times New Roman;serif" w:hAnsi="Times New Roman;serif"/>
          <w:b w:val="false"/>
          <w:color w:val="000000"/>
          <w:sz w:val="22"/>
        </w:rPr>
        <w:t>. Insiders may not buy or sell puts, calls, or other option types, or otherwise trade in derivative securities related to the Company’s securities.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i/>
          <w:color w:val="000000"/>
          <w:sz w:val="22"/>
        </w:rPr>
        <w:t>Trading on margin or pledging</w:t>
      </w:r>
      <w:r>
        <w:rPr>
          <w:rFonts w:ascii="Times New Roman;serif" w:hAnsi="Times New Roman;serif"/>
          <w:b w:val="false"/>
          <w:color w:val="000000"/>
          <w:sz w:val="22"/>
        </w:rPr>
        <w:t>. Insiders may not trade Company securities on margin, hold Company securities in a margin account, or pledge Company securities as collateral for a loan, without pre-clearance from the Compliance Officer.</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19.1</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97840"/>
                <wp:effectExtent l="0" t="0" r="0" b="0"/>
                <wp:wrapNone/>
                <wp:docPr id="31" name="Frame29"/>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Insider Trading Policy, page 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August 6,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Insider Trading Policy, page 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August 6, 2026</w:t>
                      </w:r>
                    </w:p>
                  </w:txbxContent>
                </v:textbox>
                <w10:wrap type="none"/>
              </v:rect>
            </w:pict>
          </mc:Fallback>
        </mc:AlternateConten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i/>
          <w:color w:val="000000"/>
          <w:sz w:val="22"/>
        </w:rPr>
        <w:t>Hedging</w:t>
      </w:r>
      <w:r>
        <w:rPr>
          <w:rFonts w:ascii="Times New Roman;serif" w:hAnsi="Times New Roman;serif"/>
          <w:b w:val="false"/>
          <w:color w:val="000000"/>
          <w:sz w:val="22"/>
        </w:rPr>
        <w:t xml:space="preserve">. Insiders may not enter into hedging, monetization transactions, or similar arrangements with respect to Company securities. </w:t>
      </w:r>
    </w:p>
    <w:p>
      <w:pPr>
        <w:pStyle w:val="TextBody"/>
        <w:bidi w:val="0"/>
        <w:spacing w:lineRule="auto" w:line="288" w:before="120" w:after="180"/>
        <w:jc w:val="left"/>
        <w:rPr>
          <w:rFonts w:ascii="Times New Roman;serif" w:hAnsi="Times New Roman;serif"/>
          <w:b w:val="false"/>
          <w:color w:val="000000"/>
          <w:sz w:val="22"/>
        </w:rPr>
      </w:pPr>
      <w:r>
        <w:rPr>
          <w:rFonts w:ascii="Times New Roman;serif" w:hAnsi="Times New Roman;serif"/>
          <w:b w:val="false"/>
          <w:color w:val="000000"/>
          <w:sz w:val="22"/>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pStyle w:val="TextBody"/>
        <w:bidi w:val="0"/>
        <w:spacing w:lineRule="auto" w:line="288" w:before="120" w:after="180"/>
        <w:jc w:val="left"/>
        <w:rPr/>
      </w:pPr>
      <w:r>
        <w:rPr>
          <w:rFonts w:ascii="Times New Roman;serif" w:hAnsi="Times New Roman;serif"/>
          <w:b w:val="false"/>
          <w:color w:val="000000"/>
          <w:sz w:val="22"/>
        </w:rPr>
        <w:t>3.</w:t>
      </w:r>
      <w:r>
        <w:rPr>
          <w:rFonts w:ascii="Times New Roman;serif" w:hAnsi="Times New Roman;serif"/>
          <w:b/>
          <w:color w:val="000000"/>
          <w:sz w:val="22"/>
        </w:rPr>
        <w:t>CERTAIN EXCEPTIONS</w:t>
      </w:r>
    </w:p>
    <w:p>
      <w:pPr>
        <w:pStyle w:val="TextBody"/>
        <w:bidi w:val="0"/>
        <w:spacing w:lineRule="auto" w:line="288" w:before="120" w:after="180"/>
        <w:ind w:left="0" w:right="0" w:hanging="360"/>
        <w:jc w:val="left"/>
        <w:rPr/>
      </w:pPr>
      <w:r>
        <w:rPr>
          <w:rFonts w:ascii="Times New Roman;serif" w:hAnsi="Times New Roman;serif"/>
          <w:b w:val="false"/>
          <w:color w:val="000000"/>
          <w:sz w:val="22"/>
        </w:rPr>
        <w:t>(a)</w:t>
      </w:r>
      <w:r>
        <w:rPr>
          <w:rFonts w:ascii="Times New Roman;serif" w:hAnsi="Times New Roman;serif"/>
          <w:b w:val="false"/>
          <w:i/>
          <w:color w:val="000000"/>
          <w:sz w:val="22"/>
        </w:rPr>
        <w:t>Certain Stock Option and Restricted Stock Unit Transactions</w:t>
      </w:r>
      <w:r>
        <w:rPr>
          <w:rFonts w:ascii="Times New Roman;serif" w:hAnsi="Times New Roman;serif"/>
          <w:b w:val="false"/>
          <w:color w:val="000000"/>
          <w:sz w:val="22"/>
        </w:rPr>
        <w:t xml:space="preserve">. This Policy’s restrictions on transactions in Telos securities do not apply to the cash or “net” exercise of stock options, or to the surrender or the retention and withholding from delivery of shares to cover taxes owed due to vesting of restricted stock or restricted stock units (“RSUs”) in a manner permitted by the applicable equity award agreement or the Company’s long term incentive plan pursuant to which the restricted stock or RSUs were granted. The restrictions </w:t>
      </w:r>
      <w:r>
        <w:rPr>
          <w:rFonts w:ascii="Times New Roman;serif" w:hAnsi="Times New Roman;serif"/>
          <w:b w:val="false"/>
          <w:color w:val="000000"/>
          <w:sz w:val="22"/>
          <w:u w:val="single"/>
        </w:rPr>
        <w:t>do</w:t>
      </w:r>
      <w:r>
        <w:rPr>
          <w:color w:val="000000"/>
        </w:rPr>
        <w:t xml:space="preserve"> </w:t>
      </w:r>
      <w:r>
        <w:rPr>
          <w:rFonts w:ascii="Times New Roman;serif" w:hAnsi="Times New Roman;serif"/>
          <w:b w:val="false"/>
          <w:color w:val="000000"/>
          <w:sz w:val="22"/>
        </w:rPr>
        <w:t>apply to an Insider’s subsequent sale of any shares issued in connection with an option exercise or vesting of restricted stock or RSUs, however.</w:t>
      </w:r>
    </w:p>
    <w:p>
      <w:pPr>
        <w:pStyle w:val="TextBody"/>
        <w:bidi w:val="0"/>
        <w:spacing w:lineRule="auto" w:line="288" w:before="120" w:after="180"/>
        <w:ind w:left="0" w:right="0" w:hanging="360"/>
        <w:jc w:val="left"/>
        <w:rPr/>
      </w:pPr>
      <w:r>
        <w:rPr>
          <w:rFonts w:ascii="Times New Roman;serif" w:hAnsi="Times New Roman;serif"/>
          <w:b w:val="false"/>
          <w:color w:val="000000"/>
          <w:sz w:val="22"/>
        </w:rPr>
        <w:t>(b)</w:t>
      </w:r>
      <w:r>
        <w:rPr>
          <w:rFonts w:ascii="Times New Roman;serif" w:hAnsi="Times New Roman;serif"/>
          <w:b w:val="false"/>
          <w:i/>
          <w:color w:val="000000"/>
          <w:sz w:val="22"/>
        </w:rPr>
        <w:t>10b5-1 Trading Plan Exception</w:t>
      </w:r>
      <w:r>
        <w:rPr>
          <w:rFonts w:ascii="Times New Roman;serif" w:hAnsi="Times New Roman;serif"/>
          <w:b w:val="false"/>
          <w:color w:val="000000"/>
          <w:sz w:val="22"/>
        </w:rPr>
        <w:t xml:space="preserve">. These trading restrictions do not apply to transactions effectuated on behalf of an Insider under a pre-existing written plan, contract, instruction, or arrangement that complies with Rule 10b5-1 under the Securities Exchange Act of 1934 (the “1934 Act”) and all of the requirements set forth in the Company’s “Guidelines for Rule 10b5-1 Plans” attached to this Policy as </w:t>
      </w:r>
      <w:r>
        <w:rPr>
          <w:rFonts w:ascii="Times New Roman;serif" w:hAnsi="Times New Roman;serif"/>
          <w:b w:val="false"/>
          <w:color w:val="000000"/>
          <w:sz w:val="22"/>
          <w:u w:val="single"/>
        </w:rPr>
        <w:t>Appendix A</w:t>
      </w:r>
      <w:r>
        <w:rPr>
          <w:rFonts w:ascii="Times New Roman;serif" w:hAnsi="Times New Roman;serif"/>
          <w:b w:val="false"/>
          <w:color w:val="000000"/>
          <w:sz w:val="22"/>
        </w:rPr>
        <w:t>.</w:t>
      </w:r>
    </w:p>
    <w:p>
      <w:pPr>
        <w:pStyle w:val="TextBody"/>
        <w:bidi w:val="0"/>
        <w:spacing w:lineRule="auto" w:line="288" w:before="120" w:after="180"/>
        <w:jc w:val="left"/>
        <w:rPr/>
      </w:pPr>
      <w:r>
        <w:rPr>
          <w:rFonts w:ascii="Times New Roman;serif" w:hAnsi="Times New Roman;serif"/>
          <w:b w:val="false"/>
          <w:color w:val="000000"/>
          <w:sz w:val="22"/>
        </w:rPr>
        <w:t>4.</w:t>
      </w:r>
      <w:r>
        <w:rPr>
          <w:rFonts w:ascii="Times New Roman;serif" w:hAnsi="Times New Roman;serif"/>
          <w:b/>
          <w:color w:val="000000"/>
          <w:sz w:val="22"/>
        </w:rPr>
        <w:t>PRE-CLEARANCE OF TRADES AND SPECIAL SITUATIONS</w:t>
      </w:r>
    </w:p>
    <w:p>
      <w:pPr>
        <w:pStyle w:val="TextBody"/>
        <w:bidi w:val="0"/>
        <w:spacing w:lineRule="auto" w:line="288" w:before="120" w:after="180"/>
        <w:jc w:val="left"/>
        <w:rPr>
          <w:rFonts w:ascii="Times New Roman;serif" w:hAnsi="Times New Roman;serif"/>
          <w:b w:val="false"/>
          <w:color w:val="000000"/>
          <w:sz w:val="22"/>
        </w:rPr>
      </w:pPr>
      <w:r>
        <w:rPr>
          <w:rFonts w:ascii="Times New Roman;serif" w:hAnsi="Times New Roman;serif"/>
          <w:b w:val="false"/>
          <w:color w:val="000000"/>
          <w:sz w:val="22"/>
        </w:rPr>
        <w:t>The Insider must obtain “pre-clearance” at any time prior to buying or selling Telos securities. The requesting person must complete a Request for pre-clearance form and submit it to the Compliance Officer and then await the Compliance Officer’s written approval before executing the intended transaction.</w:t>
      </w:r>
    </w:p>
    <w:p>
      <w:pPr>
        <w:pStyle w:val="TextBody"/>
        <w:bidi w:val="0"/>
        <w:spacing w:lineRule="auto" w:line="288" w:before="120" w:after="180"/>
        <w:ind w:left="0" w:right="0" w:hanging="360"/>
        <w:jc w:val="left"/>
        <w:rPr/>
      </w:pPr>
      <w:r>
        <w:rPr>
          <w:rFonts w:ascii="Times New Roman;serif" w:hAnsi="Times New Roman;serif"/>
          <w:b w:val="false"/>
          <w:color w:val="000000"/>
          <w:sz w:val="22"/>
        </w:rPr>
        <w:t>(a)</w:t>
      </w:r>
      <w:r>
        <w:rPr>
          <w:rFonts w:ascii="Times New Roman;serif" w:hAnsi="Times New Roman;serif"/>
          <w:b w:val="false"/>
          <w:i/>
          <w:color w:val="000000"/>
          <w:sz w:val="22"/>
        </w:rPr>
        <w:t>Section 16 Individuals</w:t>
      </w:r>
      <w:r>
        <w:rPr>
          <w:rFonts w:ascii="Times New Roman;serif" w:hAnsi="Times New Roman;serif"/>
          <w:b w:val="false"/>
          <w:color w:val="000000"/>
          <w:sz w:val="22"/>
        </w:rPr>
        <w:t>. “Section 16 Individuals” include all members of the Telos Board of Directors, the Company’s executive officers, and certain strategic business unit leaders who must report transactions in Company securities pursuant to Section 16 of the 1934 Act. Section 16 Individuals are always Insiders for purposes of this Policy. The Compliance Officer will notify those who the Company has identified as subject to the Section 16 requirements. The individuals must comply with the pre-clearance requirement during, and for six (6) months after the termination of, their status as a Section 16 Individual.</w:t>
      </w:r>
    </w:p>
    <w:p>
      <w:pPr>
        <w:pStyle w:val="TextBody"/>
        <w:bidi w:val="0"/>
        <w:spacing w:lineRule="auto" w:line="288" w:before="120" w:after="180"/>
        <w:ind w:left="0" w:right="0" w:hanging="360"/>
        <w:jc w:val="left"/>
        <w:rPr/>
      </w:pPr>
      <w:r>
        <w:rPr>
          <w:rFonts w:ascii="Times New Roman;serif" w:hAnsi="Times New Roman;serif"/>
          <w:b w:val="false"/>
          <w:color w:val="000000"/>
          <w:sz w:val="22"/>
        </w:rPr>
        <w:t>(b)</w:t>
      </w:r>
      <w:r>
        <w:rPr>
          <w:rFonts w:ascii="Times New Roman;serif" w:hAnsi="Times New Roman;serif"/>
          <w:b w:val="false"/>
          <w:i/>
          <w:color w:val="000000"/>
          <w:sz w:val="22"/>
        </w:rPr>
        <w:t>Other Restricted Persons</w:t>
      </w:r>
      <w:r>
        <w:rPr>
          <w:rFonts w:ascii="Times New Roman;serif" w:hAnsi="Times New Roman;serif"/>
          <w:b w:val="false"/>
          <w:color w:val="000000"/>
          <w:sz w:val="22"/>
        </w:rPr>
        <w:t xml:space="preserve">. Certain Telos employees, consultants, agents, joint venture partners (or others who regularly receive or have access to Telos Material Non-Public Information), may be deemed Insiders for purposes of this Policy. Examples of persons who are most likely to be subject to this Policy by virtue of their jobs are members of the executive leadership team and their administrative staff and members of the Legal, Investor Relations, Finance and Business Development departments. The Compliance Officer will notify the individuals who will be subject to this Policy. </w:t>
      </w:r>
    </w:p>
    <w:p>
      <w:pPr>
        <w:pStyle w:val="TextBody"/>
        <w:bidi w:val="0"/>
        <w:spacing w:lineRule="auto" w:line="288" w:before="120" w:after="180"/>
        <w:jc w:val="left"/>
        <w:rPr>
          <w:rFonts w:ascii="Times New Roman;serif" w:hAnsi="Times New Roman;serif"/>
          <w:b w:val="false"/>
          <w:color w:val="000000"/>
          <w:sz w:val="22"/>
        </w:rPr>
      </w:pPr>
      <w:r>
        <w:rPr>
          <w:rFonts w:ascii="Times New Roman;serif" w:hAnsi="Times New Roman;serif"/>
          <w:b w:val="false"/>
          <w:color w:val="000000"/>
          <w:sz w:val="22"/>
        </w:rPr>
        <w:t xml:space="preserve">Telos may determine that other persons should be considered Insiders, subject to this Policy, for a period of time if Telos believes that in the normal course of their duties during that time period they are likely to have access to Material Non-Public Information. The Compliance Officer will notify these individuals of the time periods during which they are subject to the Policy. </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19.1</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97840"/>
                <wp:effectExtent l="0" t="0" r="0" b="0"/>
                <wp:wrapNone/>
                <wp:docPr id="32" name="Frame30"/>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Insider Trading Policy, page 3</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August 6,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Insider Trading Policy, page 3</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August 6, 2026</w:t>
                      </w:r>
                    </w:p>
                  </w:txbxContent>
                </v:textbox>
                <w10:wrap type="none"/>
              </v:rect>
            </w:pict>
          </mc:Fallback>
        </mc:AlternateContent>
      </w:r>
    </w:p>
    <w:p>
      <w:pPr>
        <w:pStyle w:val="TextBody"/>
        <w:bidi w:val="0"/>
        <w:spacing w:lineRule="auto" w:line="288" w:before="120" w:after="180"/>
        <w:jc w:val="left"/>
        <w:rPr>
          <w:rFonts w:ascii="Times New Roman;serif" w:hAnsi="Times New Roman;serif"/>
          <w:b w:val="false"/>
          <w:color w:val="000000"/>
          <w:sz w:val="22"/>
        </w:rPr>
      </w:pPr>
      <w:r>
        <w:rPr>
          <w:rFonts w:ascii="Times New Roman;serif" w:hAnsi="Times New Roman;serif"/>
          <w:b w:val="false"/>
          <w:color w:val="000000"/>
          <w:sz w:val="22"/>
        </w:rPr>
        <w:t>Individuals who are notified that they are Insiders subject to this Policy, whether on a permanent or temporary basis, are referred to as “Other Restricted Persons” in this Policy.</w:t>
      </w:r>
    </w:p>
    <w:p>
      <w:pPr>
        <w:pStyle w:val="TextBody"/>
        <w:bidi w:val="0"/>
        <w:spacing w:lineRule="auto" w:line="288" w:before="120" w:after="180"/>
        <w:ind w:left="0" w:right="0" w:hanging="360"/>
        <w:jc w:val="left"/>
        <w:rPr/>
      </w:pPr>
      <w:r>
        <w:rPr>
          <w:rFonts w:ascii="Times New Roman;serif" w:hAnsi="Times New Roman;serif"/>
          <w:b w:val="false"/>
          <w:color w:val="000000"/>
          <w:sz w:val="22"/>
        </w:rPr>
        <w:t>(c)</w:t>
      </w:r>
      <w:r>
        <w:rPr>
          <w:rFonts w:ascii="Times New Roman;serif" w:hAnsi="Times New Roman;serif"/>
          <w:b w:val="false"/>
          <w:i/>
          <w:color w:val="000000"/>
          <w:sz w:val="22"/>
        </w:rPr>
        <w:t>Time Limit on Pre-Clearance</w:t>
      </w:r>
      <w:r>
        <w:rPr>
          <w:rFonts w:ascii="Times New Roman;serif" w:hAnsi="Times New Roman;serif"/>
          <w:b w:val="false"/>
          <w:color w:val="000000"/>
          <w:sz w:val="22"/>
        </w:rPr>
        <w:t xml:space="preserve">. When the Compliance Officer issues pre-clearance for an Insider’s proposed trade, the pre-clearance is valid for three (3) calendar days. If the requesting Insider does not execute the trade within this timeframe, they must resubmit the pre-clearance request. </w:t>
      </w:r>
    </w:p>
    <w:p>
      <w:pPr>
        <w:pStyle w:val="TextBody"/>
        <w:bidi w:val="0"/>
        <w:spacing w:lineRule="auto" w:line="288" w:before="120" w:after="180"/>
        <w:ind w:left="0" w:right="0" w:hanging="360"/>
        <w:jc w:val="left"/>
        <w:rPr/>
      </w:pPr>
      <w:r>
        <w:rPr>
          <w:rFonts w:ascii="Times New Roman;serif" w:hAnsi="Times New Roman;serif"/>
          <w:b w:val="false"/>
          <w:color w:val="000000"/>
          <w:sz w:val="22"/>
        </w:rPr>
        <w:t>(d)</w:t>
      </w:r>
      <w:r>
        <w:rPr>
          <w:rFonts w:ascii="Times New Roman;serif" w:hAnsi="Times New Roman;serif"/>
          <w:b w:val="false"/>
          <w:i/>
          <w:color w:val="000000"/>
          <w:sz w:val="22"/>
        </w:rPr>
        <w:t>Event-Specific Trading Restrictions</w:t>
      </w:r>
      <w:r>
        <w:rPr>
          <w:rFonts w:ascii="Times New Roman;serif" w:hAnsi="Times New Roman;serif"/>
          <w:b w:val="false"/>
          <w:color w:val="000000"/>
          <w:sz w:val="22"/>
        </w:rPr>
        <w:t xml:space="preserve">. From time to time, an event may occur that is material to the Company and is known by only a few directors, officers, employees, or others. The Compliance Officer may determine that it is necessary to re-define the class of persons who may not trade Telos securities while the event remains Material Non-Public Information. In addition, the Company’s financial results may be sufficiently material for a particular fiscal quarter that, in the judgment of the Compliance Officer, either a broad class of persons should be prohibited from trading in Telos securities or the quarterly Quiet Period should commence earlier than usual, or both. In these situations, the Compliance Officer will notify the affected Insiders and Other Restricted Persons regarding the additional restrictions on trading Telos securities, without disclosing the reason for the restriction. The existence of an event-specific trading restriction period or extension of a Quiet Period will not be announced to the Company as a whole, and should be treated as confidential information not to be communicated to any other person. </w:t>
      </w:r>
    </w:p>
    <w:p>
      <w:pPr>
        <w:pStyle w:val="TextBody"/>
        <w:bidi w:val="0"/>
        <w:spacing w:lineRule="auto" w:line="288" w:before="120" w:after="180"/>
        <w:ind w:left="0" w:right="0" w:hanging="360"/>
        <w:jc w:val="left"/>
        <w:rPr/>
      </w:pPr>
      <w:r>
        <w:rPr>
          <w:rFonts w:ascii="Times New Roman;serif" w:hAnsi="Times New Roman;serif"/>
          <w:b w:val="false"/>
          <w:color w:val="000000"/>
          <w:sz w:val="22"/>
        </w:rPr>
        <w:t>(e)</w:t>
      </w:r>
      <w:r>
        <w:rPr>
          <w:rFonts w:ascii="Times New Roman;serif" w:hAnsi="Times New Roman;serif"/>
          <w:b w:val="false"/>
          <w:i/>
          <w:color w:val="000000"/>
          <w:sz w:val="22"/>
        </w:rPr>
        <w:t>Suspension of Trading</w:t>
      </w:r>
      <w:r>
        <w:rPr>
          <w:rFonts w:ascii="Times New Roman;serif" w:hAnsi="Times New Roman;serif"/>
          <w:b w:val="false"/>
          <w:color w:val="000000"/>
          <w:sz w:val="22"/>
        </w:rPr>
        <w:t xml:space="preserve">. From time to time, the Compliance Officer may recommend that all Insiders should suspend trading in Telos securities because of Material Non-Public Information or events. The Compliance Officer will communicate the suspension to all Insiders, including any additional individuals who have been designated Other Restricted Persons. All those affected may not trade in Telos securities while the suspension is in effect and should not disclose to others that Telos has suspended trading for certain individuals. </w:t>
      </w:r>
    </w:p>
    <w:p>
      <w:pPr>
        <w:pStyle w:val="TextBody"/>
        <w:bidi w:val="0"/>
        <w:spacing w:lineRule="auto" w:line="288" w:before="120" w:after="180"/>
        <w:ind w:left="0" w:right="0" w:hanging="360"/>
        <w:jc w:val="left"/>
        <w:rPr/>
      </w:pPr>
      <w:r>
        <w:rPr>
          <w:rFonts w:ascii="Times New Roman;serif" w:hAnsi="Times New Roman;serif"/>
          <w:b w:val="false"/>
          <w:color w:val="000000"/>
          <w:sz w:val="22"/>
        </w:rPr>
        <w:t>(f)</w:t>
      </w:r>
      <w:r>
        <w:rPr>
          <w:rFonts w:ascii="Times New Roman;serif" w:hAnsi="Times New Roman;serif"/>
          <w:b w:val="false"/>
          <w:i/>
          <w:color w:val="000000"/>
          <w:sz w:val="22"/>
        </w:rPr>
        <w:t>Standing and Limit Orders, Margin Accounts, and Security Pledges</w:t>
      </w:r>
      <w:r>
        <w:rPr>
          <w:rFonts w:ascii="Times New Roman;serif" w:hAnsi="Times New Roman;serif"/>
          <w:b w:val="false"/>
          <w:color w:val="000000"/>
          <w:sz w:val="22"/>
        </w:rPr>
        <w:t xml:space="preserve">. Standing and limit orders (except standing and limit orders under an approved Rule 10b5-1 Plan), the use of margin accounts, and the pledging of Company securities as collateral for a loan, each create heightened risks for insider trading violations. There can be little or no control over the timing of purchases or sales that result from standing trade instructions to a broker, and as a result the broker could execute a transaction when an Insider is in possession of Material Non-Public Information. Similarly, a margin call under a margin account or the sale of Company securities by a secured creditor could result in an involuntary sale of Company securities at a time when an Insider may be in possession of Material Non-Public Information. The Company therefore discourages placing long-term standing or limit orders on Company securities, the holding of Company securities in a margin account, and the pledging of Company securities as collateral for a loan. </w:t>
      </w:r>
    </w:p>
    <w:p>
      <w:pPr>
        <w:pStyle w:val="TextBody"/>
        <w:bidi w:val="0"/>
        <w:spacing w:lineRule="auto" w:line="288" w:before="120" w:after="180"/>
        <w:jc w:val="left"/>
        <w:rPr>
          <w:rFonts w:ascii="Times New Roman;serif" w:hAnsi="Times New Roman;serif"/>
          <w:b w:val="false"/>
          <w:color w:val="000000"/>
          <w:sz w:val="22"/>
        </w:rPr>
      </w:pPr>
      <w:r>
        <w:rPr>
          <w:rFonts w:ascii="Times New Roman;serif" w:hAnsi="Times New Roman;serif"/>
          <w:b w:val="false"/>
          <w:color w:val="000000"/>
          <w:sz w:val="22"/>
        </w:rPr>
        <w:t xml:space="preserve">If an Insider determines that they must use a standing order or limit order, trade company securities on margin, hold Company securities in a margin account, or pledge Company securities as collateral for a loan, they must disclose the circumstances to the Compliance Officer and comply with all restrictions and pre-clearance procedures outlined in this Policy. </w:t>
      </w:r>
    </w:p>
    <w:p>
      <w:pPr>
        <w:pStyle w:val="TextBody"/>
        <w:bidi w:val="0"/>
        <w:spacing w:lineRule="auto" w:line="288" w:before="120" w:after="180"/>
        <w:jc w:val="left"/>
        <w:rPr/>
      </w:pPr>
      <w:r>
        <w:rPr>
          <w:rFonts w:ascii="Times New Roman;serif" w:hAnsi="Times New Roman;serif"/>
          <w:b w:val="false"/>
          <w:color w:val="000000"/>
          <w:sz w:val="22"/>
        </w:rPr>
        <w:t>5.</w:t>
      </w:r>
      <w:r>
        <w:rPr>
          <w:rFonts w:ascii="Times New Roman;serif" w:hAnsi="Times New Roman;serif"/>
          <w:b/>
          <w:color w:val="000000"/>
          <w:sz w:val="22"/>
        </w:rPr>
        <w:t>DEFINITIONS</w:t>
      </w:r>
    </w:p>
    <w:p>
      <w:pPr>
        <w:pStyle w:val="TextBody"/>
        <w:bidi w:val="0"/>
        <w:spacing w:lineRule="auto" w:line="288" w:before="120" w:after="180"/>
        <w:ind w:left="0" w:right="0" w:hanging="360"/>
        <w:jc w:val="left"/>
        <w:rPr/>
      </w:pPr>
      <w:r>
        <w:rPr>
          <w:rFonts w:ascii="Times New Roman;serif" w:hAnsi="Times New Roman;serif"/>
          <w:b w:val="false"/>
          <w:color w:val="000000"/>
          <w:sz w:val="22"/>
        </w:rPr>
        <w:t>(a)</w:t>
      </w:r>
      <w:r>
        <w:rPr>
          <w:rFonts w:ascii="Times New Roman;serif" w:hAnsi="Times New Roman;serif"/>
          <w:b w:val="false"/>
          <w:i/>
          <w:color w:val="000000"/>
          <w:sz w:val="22"/>
        </w:rPr>
        <w:t>Quiet Periods</w:t>
      </w:r>
      <w:r>
        <w:rPr>
          <w:rFonts w:ascii="Times New Roman;serif" w:hAnsi="Times New Roman;serif"/>
          <w:b w:val="false"/>
          <w:color w:val="000000"/>
          <w:sz w:val="22"/>
        </w:rPr>
        <w:t>. The four quarterly Quiet Periods begin on March 31</w:t>
      </w:r>
      <w:r>
        <w:rPr>
          <w:rFonts w:ascii="Times New Roman;serif" w:hAnsi="Times New Roman;serif"/>
          <w:b w:val="false"/>
          <w:color w:val="000000"/>
          <w:sz w:val="14"/>
        </w:rPr>
        <w:t>st</w:t>
      </w:r>
      <w:r>
        <w:rPr>
          <w:rFonts w:ascii="Times New Roman;serif" w:hAnsi="Times New Roman;serif"/>
          <w:b w:val="false"/>
          <w:color w:val="000000"/>
          <w:sz w:val="22"/>
        </w:rPr>
        <w:t>, June 30</w:t>
      </w:r>
      <w:r>
        <w:rPr>
          <w:rFonts w:ascii="Times New Roman;serif" w:hAnsi="Times New Roman;serif"/>
          <w:b w:val="false"/>
          <w:color w:val="000000"/>
          <w:sz w:val="14"/>
        </w:rPr>
        <w:t>th</w:t>
      </w:r>
      <w:r>
        <w:rPr>
          <w:rFonts w:ascii="Times New Roman;serif" w:hAnsi="Times New Roman;serif"/>
          <w:b w:val="false"/>
          <w:color w:val="000000"/>
          <w:sz w:val="22"/>
        </w:rPr>
        <w:t>, September 30</w:t>
      </w:r>
      <w:r>
        <w:rPr>
          <w:rFonts w:ascii="Times New Roman;serif" w:hAnsi="Times New Roman;serif"/>
          <w:b w:val="false"/>
          <w:color w:val="000000"/>
          <w:sz w:val="14"/>
        </w:rPr>
        <w:t>th</w:t>
      </w:r>
      <w:r>
        <w:rPr>
          <w:rFonts w:ascii="Times New Roman;serif" w:hAnsi="Times New Roman;serif"/>
          <w:b w:val="false"/>
          <w:color w:val="000000"/>
          <w:sz w:val="22"/>
        </w:rPr>
        <w:t>, and December 31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 xml:space="preserve">of each year, and end when one full trading day has passed on the NASDAQ Stock Market after Telos announces its results for the preceding fiscal quarter. If the final day of the month falls on a weekend, the Quiet Period will start at the close of business on the last trading day prior to the weekend. </w:t>
      </w:r>
    </w:p>
    <w:p>
      <w:pPr>
        <w:pStyle w:val="TextBody"/>
        <w:bidi w:val="0"/>
        <w:spacing w:lineRule="auto" w:line="288" w:before="120" w:after="18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Assuming NASDAQ is open each day, below is an example of when trading can begin:</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19.1</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97840"/>
                <wp:effectExtent l="0" t="0" r="0" b="0"/>
                <wp:wrapNone/>
                <wp:docPr id="33" name="Frame31"/>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Insider Trading Policy, page 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August 6,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Insider Trading Policy, page 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August 6, 2026</w:t>
                      </w:r>
                    </w:p>
                  </w:txbxContent>
                </v:textbox>
                <w10:wrap type="none"/>
              </v:rect>
            </w:pict>
          </mc:Fallback>
        </mc:AlternateConten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If the Company’s earnings announcement is released before NASDAQ opens on Monday, the earliest trading day is Tuesday.</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If the Company’s earnings announcement is released while NASDAQ is open on Monday, the earliest trading day is Wednesday.</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If the Company’s earnings announcement is released after NASDAQ closes on Monday, the earliest trading day is Wednesday.</w:t>
      </w:r>
    </w:p>
    <w:p>
      <w:pPr>
        <w:pStyle w:val="TextBody"/>
        <w:bidi w:val="0"/>
        <w:spacing w:lineRule="auto" w:line="288" w:before="120" w:after="180"/>
        <w:ind w:left="0" w:right="0" w:hanging="360"/>
        <w:jc w:val="left"/>
        <w:rPr/>
      </w:pPr>
      <w:r>
        <w:rPr>
          <w:rFonts w:ascii="Times New Roman;serif" w:hAnsi="Times New Roman;serif"/>
          <w:b w:val="false"/>
          <w:color w:val="000000"/>
          <w:sz w:val="22"/>
        </w:rPr>
        <w:t>(b)</w:t>
      </w:r>
      <w:r>
        <w:rPr>
          <w:rFonts w:ascii="Times New Roman;serif" w:hAnsi="Times New Roman;serif"/>
          <w:b w:val="false"/>
          <w:i/>
          <w:color w:val="000000"/>
          <w:sz w:val="22"/>
        </w:rPr>
        <w:t>Insiders</w:t>
      </w:r>
      <w:r>
        <w:rPr>
          <w:rFonts w:ascii="Times New Roman;serif" w:hAnsi="Times New Roman;serif"/>
          <w:b w:val="false"/>
          <w:color w:val="000000"/>
          <w:sz w:val="22"/>
        </w:rPr>
        <w:t>. Insiders are (i) members of the Board of Directors of the Company and executive officers; (ii) identified Company employees whose job requirements involve them in the preparation of financial reporting, board interactions, or investor relations, or otherwise expose them to Material Non-Public Information; (iii) any other individual designated in writing by the Compliance Officer as an Insider and notified of such status including, but not limited to, employees, consultants, and other persons associated with the Company who receive or have access to the Company’s Material Non-Public Information; and (iv) household and immediate family members (parent, child, spouse, sibling) of those listed in (i) through (iii).</w:t>
      </w:r>
    </w:p>
    <w:p>
      <w:pPr>
        <w:pStyle w:val="TextBody"/>
        <w:bidi w:val="0"/>
        <w:spacing w:lineRule="auto" w:line="288" w:before="120" w:after="180"/>
        <w:ind w:left="0" w:right="0" w:hanging="360"/>
        <w:jc w:val="left"/>
        <w:rPr/>
      </w:pPr>
      <w:r>
        <w:rPr>
          <w:rFonts w:ascii="Times New Roman;serif" w:hAnsi="Times New Roman;serif"/>
          <w:b w:val="false"/>
          <w:color w:val="000000"/>
          <w:sz w:val="22"/>
        </w:rPr>
        <w:t>(c)</w:t>
      </w:r>
      <w:r>
        <w:rPr>
          <w:rFonts w:ascii="Times New Roman;serif" w:hAnsi="Times New Roman;serif"/>
          <w:b w:val="false"/>
          <w:i/>
          <w:color w:val="000000"/>
          <w:sz w:val="22"/>
        </w:rPr>
        <w:t>Material Information</w:t>
      </w:r>
      <w:r>
        <w:rPr>
          <w:rFonts w:ascii="Times New Roman;serif" w:hAnsi="Times New Roman;serif"/>
          <w:b w:val="false"/>
          <w:color w:val="000000"/>
          <w:sz w:val="22"/>
        </w:rPr>
        <w:t xml:space="preserve">. Information is deemed to be material if there is a reasonable likelihood that it would be considered important to an investor in making a decision regarding the purchase or sale of securities. While it is not possible to define all categories of material information, there are various categories of information that are particularly sensitive and, as a general rule, should always be considered material. Examples of such information include: </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Unpublished financial results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Pending restatements of previously disclosed financial results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Projections of future earnings or losses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News of a pending or proposed merger</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Establishment of a repurchase program for Telos securities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Acquisitions or divestitures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Purchase or sale of substantial assets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Impending bankruptcy or financial liquidity problems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Extraordinary borrowings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Defaults under agreements or actions by creditors, customers, or suppliers relating to a company’s credit standing</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Gain or loss of a substantial contract, customer or supplier</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Changes in dividend policy</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New product announcements of a significant nature</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Significant pricing changes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Stock splits or stock dividends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New equity or debt offerings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Significant litigation exposure due to actual or threatened litigation</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19.1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97840"/>
                <wp:effectExtent l="0" t="0" r="0" b="0"/>
                <wp:wrapNone/>
                <wp:docPr id="34" name="Frame32"/>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Insider Trading Policy, page 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August 6,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Insider Trading Policy, page 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August 6, 2026</w:t>
                      </w:r>
                    </w:p>
                  </w:txbxContent>
                </v:textbox>
                <w10:wrap type="none"/>
              </v:rect>
            </w:pict>
          </mc:Fallback>
        </mc:AlternateConten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Major changes in senior management</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Cybersecurity risks and incidents</w:t>
      </w:r>
    </w:p>
    <w:p>
      <w:pPr>
        <w:pStyle w:val="TextBody"/>
        <w:bidi w:val="0"/>
        <w:spacing w:lineRule="auto" w:line="288" w:before="120" w:after="180"/>
        <w:jc w:val="left"/>
        <w:rPr>
          <w:rFonts w:ascii="Times New Roman;serif" w:hAnsi="Times New Roman;serif"/>
          <w:b w:val="false"/>
          <w:color w:val="000000"/>
          <w:sz w:val="22"/>
        </w:rPr>
      </w:pPr>
      <w:r>
        <w:rPr>
          <w:rFonts w:ascii="Times New Roman;serif" w:hAnsi="Times New Roman;serif"/>
          <w:b w:val="false"/>
          <w:color w:val="000000"/>
          <w:sz w:val="22"/>
        </w:rPr>
        <w:t>Either positive or negative information may be material. If unsure whether information is material, consult the Compliance Officer before making any decision to disclose such information or to trade in or recommend securities to which that information relates. Assume that the information is material until there is clear reason to believe otherwise.</w:t>
      </w:r>
    </w:p>
    <w:p>
      <w:pPr>
        <w:pStyle w:val="TextBody"/>
        <w:bidi w:val="0"/>
        <w:spacing w:lineRule="auto" w:line="288" w:before="120" w:after="180"/>
        <w:ind w:left="0" w:right="0" w:hanging="360"/>
        <w:jc w:val="left"/>
        <w:rPr/>
      </w:pPr>
      <w:r>
        <w:rPr>
          <w:rFonts w:ascii="Times New Roman;serif" w:hAnsi="Times New Roman;serif"/>
          <w:b w:val="false"/>
          <w:color w:val="000000"/>
          <w:sz w:val="22"/>
        </w:rPr>
        <w:t>(d)</w:t>
      </w:r>
      <w:r>
        <w:rPr>
          <w:rFonts w:ascii="Times New Roman;serif" w:hAnsi="Times New Roman;serif"/>
          <w:b w:val="false"/>
          <w:i/>
          <w:color w:val="000000"/>
          <w:sz w:val="22"/>
        </w:rPr>
        <w:t>Non-Public Information</w:t>
      </w:r>
      <w:r>
        <w:rPr>
          <w:rFonts w:ascii="Times New Roman;serif" w:hAnsi="Times New Roman;serif"/>
          <w:b w:val="false"/>
          <w:color w:val="000000"/>
          <w:sz w:val="22"/>
        </w:rPr>
        <w:t>. Non-Public Information is information that has not been disclosed to the general public and is not available to the general public. Non-Public Information generally will be deemed to be public after one full trading day has passed on NASDAQ following the date when the information is disclosed publicly. To show that information is public, a person should be able to point to some evidence that is widely disseminated. Information would generally be deemed widely disseminated if it has been disclosed, for example, in the Dow Jones broad tape or news wire services such as Bloomberg, Business Wire, AP, UPI, or Reuters; radio or television; newspapers or magazines; or in widely circulated public disclosure documents filed with the SEC, such as prospectuses, current reports on Form 8-K, quarterly reports on Form10-Q, or annual reports on Form 10-K. As with questions of materiality, if unsure whether information is considered public, either consult with the Compliance Officer or assume that the information is non-public and treat it as confidential.</w:t>
      </w:r>
    </w:p>
    <w:p>
      <w:pPr>
        <w:pStyle w:val="TextBody"/>
        <w:bidi w:val="0"/>
        <w:spacing w:lineRule="auto" w:line="288" w:before="120" w:after="180"/>
        <w:jc w:val="left"/>
        <w:rPr/>
      </w:pPr>
      <w:r>
        <w:rPr>
          <w:rFonts w:ascii="Times New Roman;serif" w:hAnsi="Times New Roman;serif"/>
          <w:b w:val="false"/>
          <w:color w:val="000000"/>
          <w:sz w:val="22"/>
        </w:rPr>
        <w:t>6.</w:t>
      </w:r>
      <w:r>
        <w:rPr>
          <w:rFonts w:ascii="Times New Roman;serif" w:hAnsi="Times New Roman;serif"/>
          <w:b/>
          <w:color w:val="000000"/>
          <w:sz w:val="22"/>
        </w:rPr>
        <w:t>SAFEGUARDING CONFIDENTIAL INFORMATION</w:t>
      </w:r>
    </w:p>
    <w:p>
      <w:pPr>
        <w:pStyle w:val="TextBody"/>
        <w:bidi w:val="0"/>
        <w:spacing w:lineRule="auto" w:line="288" w:before="120" w:after="180"/>
        <w:jc w:val="left"/>
        <w:rPr>
          <w:rFonts w:ascii="Times New Roman;serif" w:hAnsi="Times New Roman;serif"/>
          <w:b w:val="false"/>
          <w:color w:val="000000"/>
          <w:sz w:val="22"/>
        </w:rPr>
      </w:pPr>
      <w:r>
        <w:rPr>
          <w:rFonts w:ascii="Times New Roman;serif" w:hAnsi="Times New Roman;serif"/>
          <w:b w:val="false"/>
          <w:color w:val="000000"/>
          <w:sz w:val="22"/>
        </w:rPr>
        <w:t xml:space="preserve">Determinations of materiality are complex and difficult and depend upon an analysis of complex facts and circumstances. A person should assume that any confidential information they possess, about Telos or any other public company qualifies as Non-Public Information and is material. </w:t>
      </w:r>
    </w:p>
    <w:p>
      <w:pPr>
        <w:pStyle w:val="TextBody"/>
        <w:bidi w:val="0"/>
        <w:spacing w:lineRule="auto" w:line="288" w:before="120" w:after="180"/>
        <w:jc w:val="left"/>
        <w:rPr>
          <w:rFonts w:ascii="Times New Roman;serif" w:hAnsi="Times New Roman;serif"/>
          <w:b w:val="false"/>
          <w:color w:val="000000"/>
          <w:sz w:val="22"/>
        </w:rPr>
      </w:pPr>
      <w:r>
        <w:rPr>
          <w:rFonts w:ascii="Times New Roman;serif" w:hAnsi="Times New Roman;serif"/>
          <w:b w:val="false"/>
          <w:color w:val="000000"/>
          <w:sz w:val="22"/>
        </w:rPr>
        <w:t>In order to safeguard Company confidential information, and to minimize the possibility that any employee will violate the law or this Policy, the following procedures have been adopted:</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All confidential information relating to Company business is Non-Public Information and should be handled on a need-to-know basis. Such information should not be discussed with any person who does not need to know such information for purposes of conducting Company business. Friends and relatives are among the persons with whom confidential information should not be discussed.</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Whenever confidential information must be disclosed to an employee or third party, the recipient of such information should be informed of the confidential nature of the information and that it qualifies as Non-Public Information pursuant to the Policy.</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Confidential information should not be discussed in hallways, elevators, or other public places (such as airplanes, restaurants, or public restrooms) where conversations might be overheard, and inadvertent disclosure should not be made through speaker phone discussions that can be overhead by others.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In order to prevent unauthorized access, confidential documents should be stored appropriately when not being used, and other appropriate precautions should be taken. These may include storage in locked drawers, use of sealed envelopes, marking documents “Confidential”, shredding documents, and using secret access codes and other appropriate computer security measures.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Persons who have any doubt about whether they possess Non-Public Information regarding Telos or any other company should not disseminate such information to anyone outside the Company until after consulting the Compliance Officer and receiving clearance.</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19.1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97840"/>
                <wp:effectExtent l="0" t="0" r="0" b="0"/>
                <wp:wrapNone/>
                <wp:docPr id="35" name="Frame33"/>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Insider Trading Policy, page 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August 6,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Insider Trading Policy, page 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August 6, 2026</w:t>
                      </w:r>
                    </w:p>
                  </w:txbxContent>
                </v:textbox>
                <w10:wrap type="none"/>
              </v:rect>
            </w:pict>
          </mc:Fallback>
        </mc:AlternateContent>
      </w:r>
    </w:p>
    <w:p>
      <w:pPr>
        <w:pStyle w:val="TextBody"/>
        <w:bidi w:val="0"/>
        <w:spacing w:lineRule="auto" w:line="288" w:before="120" w:after="180"/>
        <w:jc w:val="left"/>
        <w:rPr/>
      </w:pPr>
      <w:r>
        <w:rPr>
          <w:rFonts w:ascii="Times New Roman;serif" w:hAnsi="Times New Roman;serif"/>
          <w:b w:val="false"/>
          <w:color w:val="000000"/>
          <w:sz w:val="22"/>
        </w:rPr>
        <w:t>7.</w:t>
      </w:r>
      <w:r>
        <w:rPr>
          <w:rFonts w:ascii="Times New Roman;serif" w:hAnsi="Times New Roman;serif"/>
          <w:b/>
          <w:color w:val="000000"/>
          <w:sz w:val="22"/>
        </w:rPr>
        <w:t>POTENTIAL CRIMINAL AND CIVIL LIABILITY; DISCIPLINARY ACTION</w:t>
      </w:r>
    </w:p>
    <w:p>
      <w:pPr>
        <w:pStyle w:val="TextBody"/>
        <w:bidi w:val="0"/>
        <w:spacing w:lineRule="auto" w:line="288" w:before="120" w:after="180"/>
        <w:ind w:left="0" w:right="0" w:hanging="360"/>
        <w:jc w:val="left"/>
        <w:rPr/>
      </w:pPr>
      <w:r>
        <w:rPr>
          <w:rFonts w:ascii="Times New Roman;serif" w:hAnsi="Times New Roman;serif"/>
          <w:b w:val="false"/>
          <w:color w:val="000000"/>
          <w:sz w:val="22"/>
        </w:rPr>
        <w:t>(a)</w:t>
      </w:r>
      <w:r>
        <w:rPr>
          <w:rFonts w:ascii="Times New Roman;serif" w:hAnsi="Times New Roman;serif"/>
          <w:b w:val="false"/>
          <w:i/>
          <w:color w:val="000000"/>
          <w:sz w:val="22"/>
        </w:rPr>
        <w:t>Individual Responsibility</w:t>
      </w:r>
      <w:r>
        <w:rPr>
          <w:rFonts w:ascii="Times New Roman;serif" w:hAnsi="Times New Roman;serif"/>
          <w:b w:val="false"/>
          <w:color w:val="000000"/>
          <w:sz w:val="22"/>
        </w:rPr>
        <w:t>. Each person is individually responsible for complying with the securities laws and this Policy, regardless of whether Telos has notified that person of a trading prohibition. The fact that no Quiet Period or suspension period is currently in effect should not be considered a “safe harbor” for trading. Each person must still consider whether they are then in possession of Material Non-Pubic Information before executing a trade. The matters set forth in this Policy are guidelines only, and each person must exercise appropriate judgment in connection with all securities trading. Any Insider who believes that a violation of this Policy has taken place must report that violation to the Compliance Officer.</w:t>
      </w:r>
    </w:p>
    <w:p>
      <w:pPr>
        <w:pStyle w:val="TextBody"/>
        <w:bidi w:val="0"/>
        <w:spacing w:lineRule="auto" w:line="288" w:before="120" w:after="180"/>
        <w:ind w:left="0" w:right="0" w:hanging="360"/>
        <w:jc w:val="left"/>
        <w:rPr/>
      </w:pPr>
      <w:r>
        <w:rPr>
          <w:rFonts w:ascii="Times New Roman;serif" w:hAnsi="Times New Roman;serif"/>
          <w:b w:val="false"/>
          <w:color w:val="000000"/>
          <w:sz w:val="22"/>
        </w:rPr>
        <w:t>(b)</w:t>
      </w:r>
      <w:r>
        <w:rPr>
          <w:rFonts w:ascii="Times New Roman;serif" w:hAnsi="Times New Roman;serif"/>
          <w:b w:val="false"/>
          <w:i/>
          <w:color w:val="000000"/>
          <w:sz w:val="22"/>
        </w:rPr>
        <w:t>Potential Sanctions</w:t>
      </w:r>
      <w:r>
        <w:rPr>
          <w:rFonts w:ascii="Times New Roman;serif" w:hAnsi="Times New Roman;serif"/>
          <w:b w:val="false"/>
          <w:color w:val="000000"/>
          <w:sz w:val="22"/>
        </w:rPr>
        <w:t>.</w:t>
      </w:r>
    </w:p>
    <w:p>
      <w:pPr>
        <w:pStyle w:val="TextBody"/>
        <w:bidi w:val="0"/>
        <w:spacing w:lineRule="auto" w:line="288" w:before="120" w:after="180"/>
        <w:ind w:left="0" w:right="0" w:hanging="360"/>
        <w:jc w:val="left"/>
        <w:rPr/>
      </w:pPr>
      <w:r>
        <w:rPr>
          <w:rFonts w:ascii="Times New Roman;serif" w:hAnsi="Times New Roman;serif"/>
          <w:b w:val="false"/>
          <w:color w:val="000000"/>
          <w:sz w:val="22"/>
        </w:rPr>
        <w:t>1.</w:t>
      </w:r>
      <w:r>
        <w:rPr>
          <w:rFonts w:ascii="Times New Roman;serif" w:hAnsi="Times New Roman;serif"/>
          <w:b w:val="false"/>
          <w:i/>
          <w:color w:val="000000"/>
          <w:sz w:val="22"/>
        </w:rPr>
        <w:t>Liability for Insider Trading</w:t>
      </w:r>
      <w:r>
        <w:rPr>
          <w:rFonts w:ascii="Times New Roman;serif" w:hAnsi="Times New Roman;serif"/>
          <w:b w:val="false"/>
          <w:color w:val="000000"/>
          <w:sz w:val="22"/>
        </w:rPr>
        <w:t>. Insiders may be subject to significant financial penalties and jail terms for trading in securities when they have Material Non-Public Information. In addition to the potential civil and criminal liabilities, in certain circumstances, the Company may be able to recover all profits made by an Insider who traded illegally and collect other damages. Further, the Company (and its directors and executive officers) could face significant civil penalties as a result of an employee’s violation and/or a criminal penalty for failing to take steps to prevent insider trading.</w:t>
      </w:r>
    </w:p>
    <w:p>
      <w:pPr>
        <w:pStyle w:val="TextBody"/>
        <w:bidi w:val="0"/>
        <w:spacing w:lineRule="auto" w:line="288" w:before="120" w:after="180"/>
        <w:ind w:left="0" w:right="0" w:hanging="360"/>
        <w:jc w:val="left"/>
        <w:rPr/>
      </w:pPr>
      <w:r>
        <w:rPr>
          <w:rFonts w:ascii="Times New Roman;serif" w:hAnsi="Times New Roman;serif"/>
          <w:b w:val="false"/>
          <w:color w:val="000000"/>
          <w:sz w:val="22"/>
        </w:rPr>
        <w:t>2.</w:t>
      </w:r>
      <w:r>
        <w:rPr>
          <w:rFonts w:ascii="Times New Roman;serif" w:hAnsi="Times New Roman;serif"/>
          <w:b w:val="false"/>
          <w:i/>
          <w:color w:val="000000"/>
          <w:sz w:val="22"/>
        </w:rPr>
        <w:t>Liability for Tipping</w:t>
      </w:r>
      <w:r>
        <w:rPr>
          <w:rFonts w:ascii="Times New Roman;serif" w:hAnsi="Times New Roman;serif"/>
          <w:b w:val="false"/>
          <w:color w:val="000000"/>
          <w:sz w:val="22"/>
        </w:rPr>
        <w:t>. Insiders may also be liable for improper transactions by any person to whom they have disclosed Material Non-public Information (commonly referred to as a “tippee”), or to whom they have made recommendations or expressed opinions on the basis of such information about trading securities. The Securities and Exchange Commission (“SEC”) has imposed large penalties even when the disclosing person did not profit from the trading. The SEC, the stock exchanges, the Financial Industry Regulatory Authority, and law enforcement bodies all use sophisticated electronic surveillance techniques to uncover insider trading and other illegal activity.</w:t>
      </w:r>
    </w:p>
    <w:p>
      <w:pPr>
        <w:pStyle w:val="TextBody"/>
        <w:bidi w:val="0"/>
        <w:spacing w:lineRule="auto" w:line="288" w:before="120" w:after="180"/>
        <w:ind w:left="0" w:right="0" w:hanging="360"/>
        <w:jc w:val="left"/>
        <w:rPr/>
      </w:pPr>
      <w:r>
        <w:rPr>
          <w:rFonts w:ascii="Times New Roman;serif" w:hAnsi="Times New Roman;serif"/>
          <w:b w:val="false"/>
          <w:color w:val="000000"/>
          <w:sz w:val="22"/>
        </w:rPr>
        <w:t>3.</w:t>
      </w:r>
      <w:r>
        <w:rPr>
          <w:rFonts w:ascii="Times New Roman;serif" w:hAnsi="Times New Roman;serif"/>
          <w:b w:val="false"/>
          <w:i/>
          <w:color w:val="000000"/>
          <w:sz w:val="22"/>
        </w:rPr>
        <w:t>Possible Disciplinary Action</w:t>
      </w:r>
      <w:r>
        <w:rPr>
          <w:rFonts w:ascii="Times New Roman;serif" w:hAnsi="Times New Roman;serif"/>
          <w:b w:val="false"/>
          <w:color w:val="000000"/>
          <w:sz w:val="22"/>
        </w:rPr>
        <w:t>. Individuals who violate this Policy will be subject to disciplinary action, which may include up to ineligibility for future participation in Telos equity incentive plans or termination of employment or other relationship with Telos.</w:t>
      </w:r>
    </w:p>
    <w:p>
      <w:pPr>
        <w:pStyle w:val="TextBody"/>
        <w:bidi w:val="0"/>
        <w:spacing w:lineRule="auto" w:line="288" w:before="120" w:after="180"/>
        <w:jc w:val="left"/>
        <w:rPr/>
      </w:pPr>
      <w:r>
        <w:rPr>
          <w:rFonts w:ascii="Times New Roman;serif" w:hAnsi="Times New Roman;serif"/>
          <w:b w:val="false"/>
          <w:color w:val="000000"/>
          <w:sz w:val="22"/>
        </w:rPr>
        <w:t>8.</w:t>
      </w:r>
      <w:r>
        <w:rPr>
          <w:rFonts w:ascii="Times New Roman;serif" w:hAnsi="Times New Roman;serif"/>
          <w:b/>
          <w:color w:val="000000"/>
          <w:sz w:val="22"/>
        </w:rPr>
        <w:t>COMPLIANCE OFFICER</w:t>
      </w:r>
    </w:p>
    <w:p>
      <w:pPr>
        <w:pStyle w:val="TextBody"/>
        <w:bidi w:val="0"/>
        <w:spacing w:lineRule="auto" w:line="288" w:before="120" w:after="180"/>
        <w:ind w:left="0" w:right="0" w:hanging="360"/>
        <w:jc w:val="left"/>
        <w:rPr/>
      </w:pPr>
      <w:r>
        <w:rPr>
          <w:rFonts w:ascii="Times New Roman;serif" w:hAnsi="Times New Roman;serif"/>
          <w:b w:val="false"/>
          <w:color w:val="000000"/>
          <w:sz w:val="22"/>
        </w:rPr>
        <w:t>(a)</w:t>
      </w:r>
      <w:r>
        <w:rPr>
          <w:rFonts w:ascii="Times New Roman;serif" w:hAnsi="Times New Roman;serif"/>
          <w:b w:val="false"/>
          <w:i/>
          <w:color w:val="000000"/>
          <w:sz w:val="22"/>
        </w:rPr>
        <w:t>Identity of Compliance Officer</w:t>
      </w:r>
      <w:r>
        <w:rPr>
          <w:rFonts w:ascii="Times New Roman;serif" w:hAnsi="Times New Roman;serif"/>
          <w:b w:val="false"/>
          <w:color w:val="000000"/>
          <w:sz w:val="22"/>
        </w:rPr>
        <w:t>. The Compliance Officer is its General Counsel. Telos may, in its sole discretion, change the Compliance Officer from time to time.</w:t>
      </w:r>
    </w:p>
    <w:p>
      <w:pPr>
        <w:pStyle w:val="TextBody"/>
        <w:bidi w:val="0"/>
        <w:spacing w:lineRule="auto" w:line="288" w:before="120" w:after="180"/>
        <w:ind w:left="0" w:right="0" w:hanging="360"/>
        <w:jc w:val="left"/>
        <w:rPr/>
      </w:pPr>
      <w:r>
        <w:rPr>
          <w:rFonts w:ascii="Times New Roman;serif" w:hAnsi="Times New Roman;serif"/>
          <w:b w:val="false"/>
          <w:color w:val="000000"/>
          <w:sz w:val="22"/>
        </w:rPr>
        <w:t>(b)</w:t>
      </w:r>
      <w:r>
        <w:rPr>
          <w:rFonts w:ascii="Times New Roman;serif" w:hAnsi="Times New Roman;serif"/>
          <w:b w:val="false"/>
          <w:i/>
          <w:color w:val="000000"/>
          <w:sz w:val="22"/>
        </w:rPr>
        <w:t>Duties of the Compliance Officer</w:t>
      </w:r>
      <w:r>
        <w:rPr>
          <w:rFonts w:ascii="Times New Roman;serif" w:hAnsi="Times New Roman;serif"/>
          <w:b w:val="false"/>
          <w:color w:val="000000"/>
          <w:sz w:val="22"/>
        </w:rPr>
        <w:t>. The duties of the Compliance Officer, or their designee, which may be executed on the advice of counsel, shall include, but not be limited to:</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Determining who the Section 16 Individuals are and notifying them.</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Determining who the Other Restricted Persons are and notifying them.</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Pre-clearing all securities transactions by Insiders to determine compliance with this Policy, insider trading laws, and other applicable securities laws and regulations.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Assisting Section 16 Individuals in the preparation and filing of Section 16 reports (Form 3, 4 and 5).</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Serving as the Company’s designated recipient of copies of reports that Section 16 Individuals file with the SEC.</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19.1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97840"/>
                <wp:effectExtent l="0" t="0" r="0" b="0"/>
                <wp:wrapNone/>
                <wp:docPr id="36" name="Frame34"/>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Insider Trading Policy, page 7</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August 6,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Insider Trading Policy, page 7</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August 6, 2026</w:t>
                      </w:r>
                    </w:p>
                  </w:txbxContent>
                </v:textbox>
                <w10:wrap type="none"/>
              </v:rect>
            </w:pict>
          </mc:Fallback>
        </mc:AlternateConten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Reminding all Section 16 Individuals periodically of their reporting obligations.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Performing periodic cross-checking of available materials, which may include Forms 3, 4 and 5, Forms 144, Schedules 13D and 13G, D&amp;O questionnaires, and reports received from the Company’s stock administrator and transfer agent, to determine insider trading activity.</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Circulating this Policy or a summary to all employees, including Insiders such as Section 16 Individuals and Other Restricted Persons, and providing this Policy and other appropriate materials to new directors, officers, and other employees who have, or may have, access to Material Non-Public Information.</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Assisting the Company’s Board of Directors in implementation of this Policy.</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Compliance activities with respect to Rule 144 sales of Telos securities.</w:t>
      </w:r>
    </w:p>
    <w:p>
      <w:pPr>
        <w:pStyle w:val="TextBody"/>
        <w:bidi w:val="0"/>
        <w:spacing w:lineRule="auto" w:line="288" w:before="120" w:after="180"/>
        <w:jc w:val="left"/>
        <w:rPr/>
      </w:pPr>
      <w:r>
        <w:rPr>
          <w:rFonts w:ascii="Times New Roman;serif" w:hAnsi="Times New Roman;serif"/>
          <w:b w:val="false"/>
          <w:color w:val="000000"/>
          <w:sz w:val="22"/>
        </w:rPr>
        <w:t>9.</w:t>
      </w:r>
      <w:r>
        <w:rPr>
          <w:rFonts w:ascii="Times New Roman;serif" w:hAnsi="Times New Roman;serif"/>
          <w:b/>
          <w:color w:val="000000"/>
          <w:sz w:val="22"/>
        </w:rPr>
        <w:t>ADDITIONAL INFORMATION – FOR SECTION 16 INDIVIDUALS</w:t>
      </w:r>
    </w:p>
    <w:p>
      <w:pPr>
        <w:pStyle w:val="TextBody"/>
        <w:bidi w:val="0"/>
        <w:spacing w:lineRule="auto" w:line="288" w:before="120" w:after="180"/>
        <w:jc w:val="left"/>
        <w:rPr>
          <w:rFonts w:ascii="Times New Roman;serif" w:hAnsi="Times New Roman;serif"/>
          <w:b w:val="false"/>
          <w:color w:val="000000"/>
          <w:sz w:val="22"/>
        </w:rPr>
      </w:pPr>
      <w:r>
        <w:rPr>
          <w:rFonts w:ascii="Times New Roman;serif" w:hAnsi="Times New Roman;serif"/>
          <w:b w:val="false"/>
          <w:color w:val="000000"/>
          <w:sz w:val="22"/>
        </w:rPr>
        <w:t>Section 16 Individuals must also comply with the reporting obligations and limitations on “short-swing” transactions set forth in the Federal securities laws. The practical effect of these provisions is that Section 16 Individuals who both purchase and sell the Company’s securities within a six-month period must refund all profits from the sale to the Company, whether or not they had knowledge of any Material Non-Public Information.</w:t>
      </w:r>
    </w:p>
    <w:p>
      <w:pPr>
        <w:pStyle w:val="TextBody"/>
        <w:bidi w:val="0"/>
        <w:spacing w:lineRule="auto" w:line="288" w:before="120" w:after="180"/>
        <w:jc w:val="left"/>
        <w:rPr>
          <w:rFonts w:ascii="Times New Roman;serif" w:hAnsi="Times New Roman;serif"/>
          <w:b w:val="false"/>
          <w:color w:val="000000"/>
          <w:sz w:val="22"/>
        </w:rPr>
      </w:pPr>
      <w:r>
        <w:rPr>
          <w:rFonts w:ascii="Times New Roman;serif" w:hAnsi="Times New Roman;serif"/>
          <w:b w:val="false"/>
          <w:color w:val="000000"/>
          <w:sz w:val="22"/>
        </w:rPr>
        <w:t>Under these provisions, and so long as certain other criteria are met, the receipt of options under the Company’s option plans and the exercise of that option is not subject to these restrictions; however, the sale of any such shares is subject to this six-month rule. Additionally, Section 16 Individuals may never make a short sale of the Company’s securities.</w:t>
      </w:r>
    </w:p>
    <w:p>
      <w:pPr>
        <w:pStyle w:val="TextBody"/>
        <w:bidi w:val="0"/>
        <w:spacing w:before="120" w:after="18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19.1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97840"/>
                <wp:effectExtent l="0" t="0" r="0" b="0"/>
                <wp:wrapNone/>
                <wp:docPr id="37" name="Frame35"/>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Insider Trading Policy, page 8</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August 6,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Insider Trading Policy, page 8</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August 6, 2026</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4"/>
          <w:u w:val="single"/>
        </w:rPr>
      </w:pPr>
      <w:r>
        <w:rPr>
          <w:rFonts w:ascii="Times New Roman;serif" w:hAnsi="Times New Roman;serif"/>
          <w:b/>
          <w:color w:val="000000"/>
          <w:sz w:val="24"/>
          <w:u w:val="single"/>
        </w:rPr>
        <w:t>Appendix A</w:t>
      </w:r>
    </w:p>
    <w:p>
      <w:pPr>
        <w:pStyle w:val="TextBody"/>
        <w:bidi w:val="0"/>
        <w:spacing w:lineRule="auto" w:line="288" w:before="120" w:after="180"/>
        <w:jc w:val="center"/>
        <w:rPr>
          <w:rFonts w:ascii="Times New Roman;serif" w:hAnsi="Times New Roman;serif"/>
          <w:b/>
          <w:color w:val="000000"/>
          <w:sz w:val="24"/>
        </w:rPr>
      </w:pPr>
      <w:r>
        <w:rPr>
          <w:rFonts w:ascii="Times New Roman;serif" w:hAnsi="Times New Roman;serif"/>
          <w:b/>
          <w:color w:val="000000"/>
          <w:sz w:val="24"/>
        </w:rPr>
        <w:t>Guidelines for Rule 10b5-1 Plans</w:t>
      </w:r>
    </w:p>
    <w:p>
      <w:pPr>
        <w:pStyle w:val="TextBody"/>
        <w:bidi w:val="0"/>
        <w:spacing w:lineRule="auto" w:line="288" w:before="120" w:after="180"/>
        <w:jc w:val="left"/>
        <w:rPr>
          <w:rFonts w:ascii="Times New Roman;serif" w:hAnsi="Times New Roman;serif"/>
          <w:b w:val="false"/>
          <w:color w:val="000000"/>
          <w:sz w:val="22"/>
        </w:rPr>
      </w:pPr>
      <w:r>
        <w:rPr>
          <w:rFonts w:ascii="Times New Roman;serif" w:hAnsi="Times New Roman;serif"/>
          <w:b w:val="false"/>
          <w:color w:val="000000"/>
          <w:sz w:val="22"/>
        </w:rPr>
        <w:t>These guidelines apply to the entry of Rule 10b5-1 plans by directors and officers of Telos Corporation, a Maryland corporation, and its subsidiaries (collectively, the “Company” or “Telos”). Rule 10b5-1 under the Securities Exchange Act of 1934 (the “1934 Act”) provides a defense from insider trading liability under Rule 10b5. In order to be eligible to rely on this defense, a person must enter into a Rule 10b5-1 plan for transactions in Telos securities (as defined in the Telos Corporation Insider Trading Policy (the “Policy”)) that meets certain conditions specified in the Rule (a “Rule 10b5-1 Plan”). If the plan meets the requirements of Rule 10b5-1, transactions in Telos securities may occur without regard to certain insider trading restrictions. In general, a Rule 10b5-1 Plan must be entered into at a time when the person entering into the plan is not aware of Material Non-Public Information (as defined in the Policy).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pStyle w:val="TextBody"/>
        <w:bidi w:val="0"/>
        <w:spacing w:lineRule="auto" w:line="288" w:before="120" w:after="180"/>
        <w:jc w:val="left"/>
        <w:rPr>
          <w:rFonts w:ascii="Times New Roman;serif" w:hAnsi="Times New Roman;serif"/>
          <w:b w:val="false"/>
          <w:color w:val="000000"/>
          <w:sz w:val="22"/>
        </w:rPr>
      </w:pPr>
      <w:r>
        <w:rPr>
          <w:rFonts w:ascii="Times New Roman;serif" w:hAnsi="Times New Roman;serif"/>
          <w:b w:val="false"/>
          <w:color w:val="000000"/>
          <w:sz w:val="22"/>
        </w:rPr>
        <w:t>A Rule 10b5-1 plan must include a cooling-off period before trading can commence that, for directors or officers, ends on the later of 90 days after the adoption of the Rule 10b5-1 plan or two business days following the disclosure of the financial results in a periodic report filed with the Securities and Exchange Commission (“SEC”) for the fiscal quarter in which the plan was adopted (but in any event, the required cooling-off period is subject to a maximum of 120 days after adoption of the plan), and for persons other than directors or officers, 30 days following the adoption or modification of a Rule 10b5-1 plan. A person may not enter into overlapping Rule 10b5-1 plans (subject to certain exceptions) and may only enter into one single-trade Rule 10b5-1 plan during any 12-month period (subject to certain exceptions). Directors and officers must include a representation in their Rule 10b5-1 plan certifying that: (i) they are not aware of any Material Non-Public Information; and (ii) they are adopting the plan in good faith and not as part of a plan or scheme to evade the prohibitions in Rule 10b5. All persons entering into a Rule 10b5-1 plan must act in good faith with respect to that plan.</w:t>
      </w:r>
    </w:p>
    <w:p>
      <w:pPr>
        <w:pStyle w:val="TextBody"/>
        <w:bidi w:val="0"/>
        <w:spacing w:lineRule="auto" w:line="288" w:before="120" w:after="180"/>
        <w:jc w:val="left"/>
        <w:rPr>
          <w:rFonts w:ascii="Times New Roman;serif" w:hAnsi="Times New Roman;serif"/>
          <w:b w:val="false"/>
          <w:color w:val="000000"/>
          <w:sz w:val="22"/>
        </w:rPr>
      </w:pPr>
      <w:r>
        <w:rPr>
          <w:rFonts w:ascii="Times New Roman;serif" w:hAnsi="Times New Roman;serif"/>
          <w:b w:val="false"/>
          <w:color w:val="000000"/>
          <w:sz w:val="22"/>
        </w:rPr>
        <w:t>As specified in the Policy, a Rule 10b5-1 Plan must be approved by the Compliance Officer and meet the requirements of Rule 10b5-1 and these guidelines. Any Rule 10b5-1 Plan must be submitted for approval five days prior to the entry into the Rule 10b5-1 Plan. No further pre-approval of transactions conducted pursuant to the Rule 10b5-1 Plan will be required.</w:t>
      </w:r>
    </w:p>
    <w:p>
      <w:pPr>
        <w:pStyle w:val="TextBody"/>
        <w:bidi w:val="0"/>
        <w:spacing w:lineRule="auto" w:line="288" w:before="120" w:after="180"/>
        <w:jc w:val="left"/>
        <w:rPr>
          <w:rFonts w:ascii="Times New Roman;serif" w:hAnsi="Times New Roman;serif"/>
          <w:b w:val="false"/>
          <w:color w:val="000000"/>
          <w:sz w:val="22"/>
        </w:rPr>
      </w:pPr>
      <w:r>
        <w:rPr>
          <w:rFonts w:ascii="Times New Roman;serif" w:hAnsi="Times New Roman;serif"/>
          <w:b w:val="false"/>
          <w:color w:val="000000"/>
          <w:sz w:val="22"/>
        </w:rPr>
        <w:t>The following guidelines apply to all Rule 10b5-1 Plans: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You may not enter into, modify or terminate a Rule 10b5-1 Plan during a Quiet Period (as defined in the Policy), an event-specific trading restriction period or otherwise while you are aware of Material Non-Public Information.</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All Rule 10b5-1 Plans must have a duration of at least six months and no more than two years.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For officers and directors, no transaction may take place under a Rule 10b5-1 Plan until the later of (a) 90 days after adoption or modification (as specified in Rule 10b5-1) of the Rule 10b5-1 Plan or (b) two business days following the disclosure of the Company’s financial results in a Form 10-Q or Form 10-K for the fiscal quarter (the Company’s fourth fiscal quarter in the case of a Form 10-K) in which the Rule 10b5-1 Plan was adopted or modified (as specified in Rule 10b5-1). In any event, the cooling-off period is subject to a maximum of 120 days after adoption of the plan.</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19.1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97840"/>
                <wp:effectExtent l="0" t="0" r="0" b="0"/>
                <wp:wrapNone/>
                <wp:docPr id="38" name="Frame36"/>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Insider Trading Policy, page 9</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August 6,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Insider Trading Policy, page 9</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August 6, 2026</w:t>
                      </w:r>
                    </w:p>
                  </w:txbxContent>
                </v:textbox>
                <w10:wrap type="none"/>
              </v:rect>
            </w:pict>
          </mc:Fallback>
        </mc:AlternateConten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For persons other than officers and directors, no transaction may take place under a Rule 10b5-1 Plan until 30 days following the adoption or modification (as specified in Rule 10b5-1) of a Rule 10b5-1 Plan.</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Subject to certain limited exceptions specified in Rule 10b5-1, you may not enter into more than one Rule 10b5-1 Plan at the same time.</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Subject to certain limited exceptions specified in Rule 10b5-1, you are limited to only one Rule 10b5-1 designed to effect an open market purchase or sale of the total amount of securities subject to the Rule 10b5-1 Plan as a single transaction in any 12-month period.</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You must act in good faith with respect to a Rule 10b5-1 Plan. A Rule 10b5-1 Plan cannot be entered into as part of a plan or scheme to evade the prohibition of Rule 10b</w:t>
        <w:softHyphen/>
        <w:t>5. Therefore, although modifications to an existing Rule 10b5-1 Plan are not prohibited, a Rule 10b5-1 Plan should be adopted with the intention that it will not be amended or terminated prior to its expiration.</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2"/>
        </w:rPr>
        <w:t>Officer and directors must include a representation to the Company at the time of adoption or modification of a Rule 10b5-1 Plan that (i) the person is not aware of Material Non-Public Information and (ii) the person is adopting the plan in good faith and not as part of plan or scheme to evade the prohibitions of Rule 10b5.</w:t>
      </w:r>
    </w:p>
    <w:p>
      <w:pPr>
        <w:pStyle w:val="TextBody"/>
        <w:bidi w:val="0"/>
        <w:spacing w:lineRule="auto" w:line="288" w:before="120" w:after="180"/>
        <w:jc w:val="left"/>
        <w:rPr>
          <w:rFonts w:ascii="Times New Roman;serif" w:hAnsi="Times New Roman;serif"/>
          <w:b w:val="false"/>
          <w:color w:val="000000"/>
          <w:sz w:val="22"/>
        </w:rPr>
      </w:pPr>
      <w:r>
        <w:rPr>
          <w:rFonts w:ascii="Times New Roman;serif" w:hAnsi="Times New Roman;serif"/>
          <w:b w:val="false"/>
          <w:color w:val="000000"/>
          <w:sz w:val="22"/>
        </w:rPr>
        <w:t>The Company and the Company’s officers and directors must make certain disclosures in SEC filings concerning Rule 10b5-1 Plans. Officers and directors of the Company must undertake to provide any information requested by the Company regarding Rule 10b5-1 Plans for the purpose of providing the required disclosures or any other disclosures that the Company deems to be appropriate under the circumstances.</w:t>
      </w:r>
    </w:p>
    <w:p>
      <w:pPr>
        <w:pStyle w:val="TextBody"/>
        <w:bidi w:val="0"/>
        <w:spacing w:lineRule="auto" w:line="288" w:before="120" w:after="180"/>
        <w:jc w:val="left"/>
        <w:rPr/>
      </w:pPr>
      <w:r>
        <w:rPr>
          <w:rFonts w:ascii="Times New Roman;serif" w:hAnsi="Times New Roman;serif"/>
          <w:b w:val="false"/>
          <w:color w:val="000000"/>
          <w:sz w:val="22"/>
        </w:rPr>
        <w:t xml:space="preserve">Each director, officer and other Section 16 Individual (as defined in the Policy) understands that the approval or adoption of a pre-planned selling program in no way reduces or eliminates such person’s obligations under Section 16 of the 1934 Act, including such person’s disclosure and short-swing trading liabilities thereunder. If any questions </w:t>
      </w:r>
      <w:r>
        <w:rPr>
          <w:rFonts w:ascii="Times New Roman;serif" w:hAnsi="Times New Roman;serif"/>
          <w:b w:val="false"/>
          <w:color w:val="000000"/>
          <w:sz w:val="20"/>
        </w:rPr>
        <w:t>arise, such person should consult with their own counsel in implementing a Rule 10b5-1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97840"/>
                <wp:effectExtent l="0" t="0" r="0" b="0"/>
                <wp:wrapNone/>
                <wp:docPr id="39" name="Frame37"/>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Insider Trading Policy, page 10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August 6,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Insider Trading Policy, page 10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August 6, 2026</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John B. Wood, certify that: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Telos Corporation;</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to the audit committee of registrant's board of directors (or persons performing the equivalent functions):</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00" w:after="283"/>
        <w:jc w:val="left"/>
        <w:rPr/>
      </w:pPr>
      <w:r>
        <w:rPr/>
      </w:r>
    </w:p>
    <w:p>
      <w:pPr>
        <w:pStyle w:val="TextBody"/>
        <w:bidi w:val="0"/>
        <w:spacing w:before="200" w:after="283"/>
        <w:jc w:val="left"/>
        <w:rPr/>
      </w:pPr>
      <w:r>
        <w:rPr/>
      </w:r>
    </w:p>
    <w:tbl>
      <w:tblPr>
        <w:tblW w:w="4782" w:type="dxa"/>
        <w:jc w:val="left"/>
        <w:tblInd w:w="0" w:type="dxa"/>
        <w:tblLayout w:type="fixed"/>
        <w:tblCellMar>
          <w:top w:w="28" w:type="dxa"/>
          <w:left w:w="28" w:type="dxa"/>
          <w:bottom w:w="28" w:type="dxa"/>
          <w:right w:w="28" w:type="dxa"/>
        </w:tblCellMar>
      </w:tblPr>
      <w:tblGrid>
        <w:gridCol w:w="124"/>
        <w:gridCol w:w="109"/>
        <w:gridCol w:w="109"/>
        <w:gridCol w:w="1296"/>
        <w:gridCol w:w="1296"/>
        <w:gridCol w:w="18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 Mark Bendza, certify that: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Telos Corporation;</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to the audit committee of registrant's board of directors (or persons performing the equivalent functions):</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00" w:after="283"/>
        <w:jc w:val="left"/>
        <w:rPr/>
      </w:pPr>
      <w:r>
        <w:rPr/>
      </w:r>
    </w:p>
    <w:tbl>
      <w:tblPr>
        <w:tblW w:w="4662" w:type="dxa"/>
        <w:jc w:val="left"/>
        <w:tblInd w:w="0" w:type="dxa"/>
        <w:tblLayout w:type="fixed"/>
        <w:tblCellMar>
          <w:top w:w="28" w:type="dxa"/>
          <w:left w:w="28" w:type="dxa"/>
          <w:bottom w:w="28" w:type="dxa"/>
          <w:right w:w="28" w:type="dxa"/>
        </w:tblCellMar>
      </w:tblPr>
      <w:tblGrid>
        <w:gridCol w:w="124"/>
        <w:gridCol w:w="109"/>
        <w:gridCol w:w="109"/>
        <w:gridCol w:w="1261"/>
        <w:gridCol w:w="1261"/>
        <w:gridCol w:w="17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w:t>
      </w:r>
    </w:p>
    <w:p>
      <w:pPr>
        <w:pStyle w:val="TextBody"/>
        <w:bidi w:val="0"/>
        <w:spacing w:lineRule="auto" w:line="288" w:before="12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CERTIFICATION PURSUANT TO 18 U.S.C. SECTION 1350, </w:t>
        <w:br/>
        <w:t>AS ADOPTED PURSUANT TO SECTION 906 OF THE SARBANES-OXLEY ACT OF 2002</w:t>
      </w:r>
    </w:p>
    <w:p>
      <w:pPr>
        <w:pStyle w:val="TextBody"/>
        <w:bidi w:val="0"/>
        <w:spacing w:lineRule="auto" w:line="288" w:before="120" w:after="180"/>
        <w:jc w:val="left"/>
        <w:rPr/>
      </w:pPr>
      <w:r>
        <w:rPr>
          <w:rFonts w:ascii="Times New Roman;serif" w:hAnsi="Times New Roman;serif"/>
          <w:b w:val="false"/>
          <w:color w:val="000000"/>
          <w:sz w:val="20"/>
          <w:shd w:fill="FFFFFF" w:val="clear"/>
        </w:rPr>
        <w:t xml:space="preserve">In connection with the Quarterly Report of Telos Corporation (the "Company") on </w:t>
      </w:r>
      <w:r>
        <w:rPr>
          <w:rFonts w:ascii="Times New Roman;serif" w:hAnsi="Times New Roman;serif"/>
          <w:b w:val="false"/>
          <w:color w:val="000000"/>
          <w:sz w:val="20"/>
        </w:rPr>
        <w:t>Form 10-Q for the period ended June 30, 2026, as filed with the Securities and Exchange Commission on the date hereof (the "Report"), we, John B. Wood and Mark Bendza, certify, pursuant to 18 U.S.C. § 1350, as adopted pursuant to § 906 of the Sarbanes-Oxley Act of 2002, that to our knowledge:</w:t>
      </w:r>
    </w:p>
    <w:p>
      <w:pPr>
        <w:pStyle w:val="TextBody"/>
        <w:bidi w:val="0"/>
        <w:spacing w:lineRule="auto" w:line="288" w:before="120" w:after="180"/>
        <w:jc w:val="left"/>
        <w:rPr/>
      </w:pPr>
      <w:r>
        <w:rPr>
          <w:rFonts w:ascii="Times New Roman;serif" w:hAnsi="Times New Roman;serif"/>
          <w:b w:val="false"/>
          <w:color w:val="000000"/>
          <w:sz w:val="20"/>
        </w:rPr>
        <w:t>(1)The Report fully complies with the requirements of section 13(a) or 15(d) of the Securities Exchang</w:t>
      </w:r>
      <w:r>
        <w:rPr>
          <w:rFonts w:ascii="Times New Roman;serif" w:hAnsi="Times New Roman;serif"/>
          <w:b w:val="false"/>
          <w:color w:val="000000"/>
          <w:sz w:val="20"/>
          <w:shd w:fill="FFFFFF" w:val="clear"/>
        </w:rPr>
        <w:t>e Act of 1934, as amended; and</w:t>
      </w:r>
    </w:p>
    <w:p>
      <w:pPr>
        <w:pStyle w:val="TextBody"/>
        <w:bidi w:val="0"/>
        <w:spacing w:lineRule="auto" w:line="288" w:before="120" w:after="180"/>
        <w:jc w:val="left"/>
        <w:rPr/>
      </w:pPr>
      <w:r>
        <w:rPr>
          <w:rFonts w:ascii="Times New Roman;serif" w:hAnsi="Times New Roman;serif"/>
          <w:b w:val="false"/>
          <w:color w:val="000000"/>
          <w:sz w:val="20"/>
          <w:shd w:fill="FFFFFF" w:val="clear"/>
        </w:rPr>
        <w:t xml:space="preserve">(2)The information </w:t>
      </w:r>
      <w:r>
        <w:rPr>
          <w:rFonts w:ascii="Times New Roman;serif" w:hAnsi="Times New Roman;serif"/>
          <w:b w:val="false"/>
          <w:color w:val="000000"/>
          <w:sz w:val="20"/>
        </w:rPr>
        <w:t>contained</w:t>
      </w:r>
      <w:r>
        <w:rPr>
          <w:color w:val="000000"/>
          <w:shd w:fill="FFFFFF" w:val="clear"/>
        </w:rPr>
        <w:t xml:space="preserve"> </w:t>
      </w:r>
      <w:r>
        <w:rPr>
          <w:rFonts w:ascii="Times New Roman;serif" w:hAnsi="Times New Roman;serif"/>
          <w:b w:val="false"/>
          <w:color w:val="000000"/>
          <w:sz w:val="20"/>
          <w:shd w:fill="FFFFFF" w:val="clear"/>
        </w:rPr>
        <w:t>in the Report fairly presents, in all material respects, the financial condition and results of operations of the Company.</w:t>
      </w:r>
    </w:p>
    <w:tbl>
      <w:tblPr>
        <w:tblW w:w="4782" w:type="dxa"/>
        <w:jc w:val="right"/>
        <w:tblInd w:w="0" w:type="dxa"/>
        <w:tblLayout w:type="fixed"/>
        <w:tblCellMar>
          <w:top w:w="28" w:type="dxa"/>
          <w:left w:w="28" w:type="dxa"/>
          <w:bottom w:w="28" w:type="dxa"/>
          <w:right w:w="28" w:type="dxa"/>
        </w:tblCellMar>
      </w:tblPr>
      <w:tblGrid>
        <w:gridCol w:w="124"/>
        <w:gridCol w:w="109"/>
        <w:gridCol w:w="109"/>
        <w:gridCol w:w="1296"/>
        <w:gridCol w:w="1296"/>
        <w:gridCol w:w="18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r>
    </w:tbl>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17896</Words>
  <Characters>98590</Characters>
  <CharactersWithSpaces>114994</CharactersWithSpaces>
  <Paragraphs>2448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