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412750</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59" w:lineRule="exact"/>
        <w:rPr>
          <w:sz w:val="24"/>
          <w:szCs w:val="24"/>
          <w:color w:val="auto"/>
        </w:rPr>
      </w:pPr>
    </w:p>
    <w:p>
      <w:pPr>
        <w:ind w:left="640" w:hanging="32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December 31, 2023</w:t>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4240" w:right="1640" w:hanging="3924"/>
        <w:spacing w:after="0" w:line="537" w:lineRule="auto"/>
        <w:tabs>
          <w:tab w:leader="none" w:pos="6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THE SECURITIES EXCHANGE ACT OF 1934 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-84455</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52-0880974</w:t>
            </w:r>
          </w:p>
        </w:tc>
      </w:tr>
      <w:tr>
        <w:trPr>
          <w:trHeight w:val="225"/>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3"/>
        </w:trPr>
        <w:tc>
          <w:tcPr>
            <w:tcW w:w="5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20147-2358</w:t>
            </w:r>
          </w:p>
        </w:tc>
      </w:t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724-3800</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227" w:right="399" w:bottom="41" w:gutter="0" w:footer="0" w:header="0"/>
        </w:sectPr>
      </w:pPr>
    </w:p>
    <w:p>
      <w:pPr>
        <w:spacing w:after="0" w:line="144"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40" w:space="720"/>
            <w:col w:w="1580" w:space="720"/>
            <w:col w:w="3920"/>
          </w:cols>
          <w:pgMar w:left="320" w:top="227" w:right="399" w:bottom="41" w:gutter="0" w:footer="0" w:header="0"/>
          <w:type w:val="continuous"/>
        </w:sectPr>
      </w:pP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ectPr>
          <w:pgSz w:w="11900" w:h="16838" w:orient="portrait"/>
          <w:cols w:equalWidth="0" w:num="1">
            <w:col w:w="11180"/>
          </w:cols>
          <w:pgMar w:left="320" w:top="227" w:right="399" w:bottom="41" w:gutter="0" w:footer="0" w:header="0"/>
          <w:type w:val="continuous"/>
        </w:sectPr>
      </w:pP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8760" w:space="100"/>
            <w:col w:w="160" w:space="180"/>
            <w:col w:w="220" w:space="120"/>
            <w:col w:w="1640"/>
          </w:cols>
          <w:pgMar w:left="320" w:top="227" w:right="399" w:bottom="41"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8920" w:space="100"/>
            <w:col w:w="160" w:space="180"/>
            <w:col w:w="220" w:space="80"/>
            <w:col w:w="1520"/>
          </w:cols>
          <w:pgMar w:left="320" w:top="227" w:right="399" w:bottom="41" w:gutter="0" w:footer="0" w:header="0"/>
          <w:type w:val="continuous"/>
        </w:sect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4"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360" w:type="dxa"/>
        <w:tblCellMar>
          <w:top w:w="0" w:type="dxa"/>
          <w:left w:w="0" w:type="dxa"/>
          <w:bottom w:w="0" w:type="dxa"/>
          <w:right w:w="0" w:type="dxa"/>
        </w:tblCellMar>
      </w:tblPr>
      <w:tr>
        <w:trPr>
          <w:trHeight w:val="3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180"/>
          </w:cols>
          <w:pgMar w:left="320" w:top="227" w:right="399" w:bottom="41"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5" w:lineRule="exact"/>
        <w:rPr>
          <w:sz w:val="20"/>
          <w:szCs w:val="20"/>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June 30, 2023 was approximately $134.7 million based upon the last reported sale price of the registrant's common stock on The Nasdaq Stock Market LLC as of the close of business on that day.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8, 2024, the registrant had outstanding 70,319,620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080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2024 Annual Meeting of Stockholders to be filed with the Securities and Exchange Commission within 120 days after the end of the registrant's fiscal year ended December 31, 2023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46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046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 to 2023 Form 10-K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
        </w:trPr>
        <w:tc>
          <w:tcPr>
            <w:tcW w:w="10540" w:type="dxa"/>
            <w:vAlign w:val="bottom"/>
            <w:gridSpan w:val="54"/>
          </w:tcPr>
          <w:p>
            <w:pPr>
              <w:spacing w:after="0" w:line="20" w:lineRule="exact"/>
              <w:rPr>
                <w:sz w:val="1"/>
                <w:szCs w:val="1"/>
                <w:color w:val="auto"/>
              </w:rPr>
            </w:pPr>
          </w:p>
        </w:tc>
        <w:tc>
          <w:tcPr>
            <w:tcW w:w="340" w:type="dxa"/>
            <w:vAlign w:val="bottom"/>
            <w:tcBorders>
              <w:top w:val="single" w:sz="8" w:color="auto"/>
            </w:tcBorders>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Special Note Regarding Forward-Looking Statements</w:t>
            </w:r>
          </w:p>
        </w:tc>
        <w:tc>
          <w:tcPr>
            <w:tcW w:w="20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76"/>
        </w:trPr>
        <w:tc>
          <w:tcPr>
            <w:tcW w:w="128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3500" w:type="dxa"/>
            <w:vAlign w:val="bottom"/>
            <w:tcBorders>
              <w:top w:val="single" w:sz="8" w:color="0000FF"/>
            </w:tcBorders>
            <w:gridSpan w:val="39"/>
          </w:tcPr>
          <w:p>
            <w:pPr>
              <w:spacing w:after="0"/>
              <w:rPr>
                <w:sz w:val="15"/>
                <w:szCs w:val="15"/>
                <w:color w:val="auto"/>
              </w:rPr>
            </w:pPr>
          </w:p>
        </w:tc>
        <w:tc>
          <w:tcPr>
            <w:tcW w:w="5880" w:type="dxa"/>
            <w:vAlign w:val="bottom"/>
            <w:tcBorders>
              <w:top w:val="single" w:sz="8" w:color="CCEEFF"/>
            </w:tcBorders>
            <w:gridSpan w:val="10"/>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60" w:type="dxa"/>
            <w:vAlign w:val="bottom"/>
            <w:tcBorders>
              <w:top w:val="single" w:sz="8" w:color="CCEEFF"/>
            </w:tcBorders>
            <w:gridSpan w:val="3"/>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gridSpan w:val="2"/>
          </w:tcPr>
          <w:p>
            <w:pPr>
              <w:spacing w:after="0" w:line="20" w:lineRule="exact"/>
              <w:rPr>
                <w:sz w:val="1"/>
                <w:szCs w:val="1"/>
                <w:color w:val="auto"/>
              </w:rPr>
            </w:pPr>
          </w:p>
        </w:tc>
        <w:tc>
          <w:tcPr>
            <w:tcW w:w="10640" w:type="dxa"/>
            <w:vAlign w:val="bottom"/>
            <w:gridSpan w:val="57"/>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Business</w:t>
            </w:r>
          </w:p>
        </w:tc>
        <w:tc>
          <w:tcPr>
            <w:tcW w:w="20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8800" w:type="dxa"/>
            <w:vAlign w:val="bottom"/>
            <w:tcBorders>
              <w:top w:val="single" w:sz="8" w:color="CCEEFF"/>
            </w:tcBorders>
            <w:gridSpan w:val="46"/>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gridSpan w:val="3"/>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9600" w:type="dxa"/>
            <w:vAlign w:val="bottom"/>
            <w:gridSpan w:val="48"/>
          </w:tcPr>
          <w:p>
            <w:pPr>
              <w:ind w:left="340"/>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13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tcBorders>
              <w:top w:val="single" w:sz="8" w:color="0000FF"/>
            </w:tcBorders>
            <w:gridSpan w:val="8"/>
          </w:tcPr>
          <w:p>
            <w:pPr>
              <w:spacing w:after="0" w:line="20" w:lineRule="exact"/>
              <w:rPr>
                <w:sz w:val="1"/>
                <w:szCs w:val="1"/>
                <w:color w:val="auto"/>
              </w:rPr>
            </w:pPr>
          </w:p>
        </w:tc>
        <w:tc>
          <w:tcPr>
            <w:tcW w:w="8520" w:type="dxa"/>
            <w:vAlign w:val="bottom"/>
            <w:gridSpan w:val="4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1B.</w:t>
            </w:r>
          </w:p>
        </w:tc>
        <w:tc>
          <w:tcPr>
            <w:tcW w:w="34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Unresolved Staff Comments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26</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1840" w:type="dxa"/>
            <w:vAlign w:val="bottom"/>
            <w:tcBorders>
              <w:top w:val="single" w:sz="8" w:color="0000FF"/>
            </w:tcBorders>
            <w:gridSpan w:val="21"/>
            <w:shd w:val="clear" w:color="auto" w:fill="CCEEFF"/>
          </w:tcPr>
          <w:p>
            <w:pPr>
              <w:spacing w:after="0" w:line="20" w:lineRule="exact"/>
              <w:rPr>
                <w:sz w:val="1"/>
                <w:szCs w:val="1"/>
                <w:color w:val="auto"/>
              </w:rPr>
            </w:pPr>
          </w:p>
        </w:tc>
        <w:tc>
          <w:tcPr>
            <w:tcW w:w="7500" w:type="dxa"/>
            <w:vAlign w:val="bottom"/>
            <w:tcBorders>
              <w:top w:val="single" w:sz="8" w:color="CCEEFF"/>
            </w:tcBorders>
            <w:gridSpan w:val="2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w w:val="99"/>
              </w:rPr>
              <w:t>Item 1C.</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1"/>
          </w:tcPr>
          <w:p>
            <w:pPr>
              <w:spacing w:after="0" w:line="175" w:lineRule="exact"/>
              <w:rPr>
                <w:sz w:val="20"/>
                <w:szCs w:val="20"/>
                <w:color w:val="auto"/>
              </w:rPr>
            </w:pPr>
            <w:r>
              <w:rPr>
                <w:rFonts w:ascii="Times New Roman" w:cs="Times New Roman" w:eastAsia="Times New Roman" w:hAnsi="Times New Roman"/>
                <w:sz w:val="16"/>
                <w:szCs w:val="16"/>
                <w:color w:val="0000FF"/>
              </w:rPr>
              <w:t>Cybersecurity</w:t>
            </w:r>
          </w:p>
        </w:tc>
        <w:tc>
          <w:tcPr>
            <w:tcW w:w="7420" w:type="dxa"/>
            <w:vAlign w:val="bottom"/>
            <w:gridSpan w:val="26"/>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26</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20" w:type="dxa"/>
            <w:vAlign w:val="bottom"/>
            <w:tcBorders>
              <w:top w:val="single" w:sz="8" w:color="0000FF"/>
            </w:tcBorders>
            <w:gridSpan w:val="9"/>
          </w:tcPr>
          <w:p>
            <w:pPr>
              <w:spacing w:after="0" w:line="20" w:lineRule="exact"/>
              <w:rPr>
                <w:sz w:val="1"/>
                <w:szCs w:val="1"/>
                <w:color w:val="auto"/>
              </w:rPr>
            </w:pPr>
          </w:p>
        </w:tc>
        <w:tc>
          <w:tcPr>
            <w:tcW w:w="8420" w:type="dxa"/>
            <w:vAlign w:val="bottom"/>
            <w:gridSpan w:val="3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Properties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660" w:type="dxa"/>
            <w:vAlign w:val="bottom"/>
            <w:tcBorders>
              <w:top w:val="single" w:sz="8" w:color="0000FF"/>
            </w:tcBorders>
            <w:gridSpan w:val="4"/>
            <w:shd w:val="clear" w:color="auto" w:fill="CCEEFF"/>
          </w:tcPr>
          <w:p>
            <w:pPr>
              <w:spacing w:after="0" w:line="20" w:lineRule="exact"/>
              <w:rPr>
                <w:sz w:val="1"/>
                <w:szCs w:val="1"/>
                <w:color w:val="auto"/>
              </w:rPr>
            </w:pPr>
          </w:p>
        </w:tc>
        <w:tc>
          <w:tcPr>
            <w:tcW w:w="8680" w:type="dxa"/>
            <w:vAlign w:val="bottom"/>
            <w:tcBorders>
              <w:top w:val="single" w:sz="8" w:color="CCEEFF"/>
            </w:tcBorders>
            <w:gridSpan w:val="4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600" w:type="dxa"/>
            <w:vAlign w:val="bottom"/>
            <w:gridSpan w:val="48"/>
          </w:tcPr>
          <w:p>
            <w:pPr>
              <w:ind w:left="340"/>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200" w:type="dxa"/>
            <w:vAlign w:val="bottom"/>
            <w:tcBorders>
              <w:top w:val="single" w:sz="8" w:color="0000FF"/>
            </w:tcBorders>
            <w:gridSpan w:val="12"/>
          </w:tcPr>
          <w:p>
            <w:pPr>
              <w:spacing w:after="0" w:line="20" w:lineRule="exact"/>
              <w:rPr>
                <w:sz w:val="1"/>
                <w:szCs w:val="1"/>
                <w:color w:val="auto"/>
              </w:rPr>
            </w:pPr>
          </w:p>
        </w:tc>
        <w:tc>
          <w:tcPr>
            <w:tcW w:w="8140" w:type="dxa"/>
            <w:vAlign w:val="bottom"/>
            <w:gridSpan w:val="3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1600" w:type="dxa"/>
            <w:vAlign w:val="bottom"/>
            <w:tcBorders>
              <w:top w:val="single" w:sz="8" w:color="0000FF"/>
            </w:tcBorders>
            <w:gridSpan w:val="18"/>
            <w:shd w:val="clear" w:color="auto" w:fill="CCEEFF"/>
          </w:tcPr>
          <w:p>
            <w:pPr>
              <w:spacing w:after="0" w:line="20" w:lineRule="exact"/>
              <w:rPr>
                <w:sz w:val="1"/>
                <w:szCs w:val="1"/>
                <w:color w:val="auto"/>
              </w:rPr>
            </w:pPr>
          </w:p>
        </w:tc>
        <w:tc>
          <w:tcPr>
            <w:tcW w:w="7740" w:type="dxa"/>
            <w:vAlign w:val="bottom"/>
            <w:tcBorders>
              <w:top w:val="single" w:sz="8" w:color="CCEEFF"/>
            </w:tcBorders>
            <w:gridSpan w:val="3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11200" w:type="dxa"/>
            <w:vAlign w:val="bottom"/>
            <w:gridSpan w:val="60"/>
          </w:tcPr>
          <w:p>
            <w:pPr>
              <w:spacing w:after="0"/>
              <w:rPr>
                <w:sz w:val="20"/>
                <w:szCs w:val="20"/>
                <w:color w:val="auto"/>
              </w:rPr>
            </w:pPr>
            <w:r>
              <w:rPr>
                <w:rFonts w:ascii="Times New Roman" w:cs="Times New Roman" w:eastAsia="Times New Roman" w:hAnsi="Times New Roman"/>
                <w:sz w:val="16"/>
                <w:szCs w:val="16"/>
                <w:b w:val="1"/>
                <w:bCs w:val="1"/>
                <w:color w:val="0000FF"/>
              </w:rPr>
              <w:t>PART II</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FF"/>
            </w:tcBorders>
            <w:gridSpan w:val="4"/>
          </w:tcPr>
          <w:p>
            <w:pPr>
              <w:spacing w:after="0" w:line="20" w:lineRule="exact"/>
              <w:rPr>
                <w:sz w:val="1"/>
                <w:szCs w:val="1"/>
                <w:color w:val="auto"/>
              </w:rPr>
            </w:pPr>
          </w:p>
        </w:tc>
        <w:tc>
          <w:tcPr>
            <w:tcW w:w="10580" w:type="dxa"/>
            <w:vAlign w:val="bottom"/>
            <w:gridSpan w:val="55"/>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28</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7260" w:type="dxa"/>
            <w:vAlign w:val="bottom"/>
            <w:tcBorders>
              <w:top w:val="single" w:sz="8" w:color="0000FF"/>
            </w:tcBorders>
            <w:gridSpan w:val="46"/>
            <w:shd w:val="clear" w:color="auto" w:fill="CCEEFF"/>
          </w:tcPr>
          <w:p>
            <w:pPr>
              <w:spacing w:after="0" w:line="20" w:lineRule="exact"/>
              <w:rPr>
                <w:sz w:val="1"/>
                <w:szCs w:val="1"/>
                <w:color w:val="auto"/>
              </w:rPr>
            </w:pPr>
          </w:p>
        </w:tc>
        <w:tc>
          <w:tcPr>
            <w:tcW w:w="2080" w:type="dxa"/>
            <w:vAlign w:val="bottom"/>
            <w:tcBorders>
              <w:top w:val="single" w:sz="8" w:color="CCEEFF"/>
            </w:tcBorders>
            <w:gridSpan w:val="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9600" w:type="dxa"/>
            <w:vAlign w:val="bottom"/>
            <w:gridSpan w:val="48"/>
          </w:tcPr>
          <w:p>
            <w:pPr>
              <w:ind w:left="340"/>
              <w:spacing w:after="0" w:line="175" w:lineRule="exact"/>
              <w:rPr>
                <w:sz w:val="20"/>
                <w:szCs w:val="20"/>
                <w:color w:val="auto"/>
              </w:rPr>
            </w:pPr>
            <w:r>
              <w:rPr>
                <w:rFonts w:ascii="Times New Roman" w:cs="Times New Roman" w:eastAsia="Times New Roman" w:hAnsi="Times New Roman"/>
                <w:sz w:val="16"/>
                <w:szCs w:val="16"/>
                <w:color w:val="0000FF"/>
              </w:rPr>
              <w:t>[Reserved]</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28</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720" w:type="dxa"/>
            <w:vAlign w:val="bottom"/>
            <w:tcBorders>
              <w:top w:val="single" w:sz="8" w:color="0000FF"/>
            </w:tcBorders>
            <w:gridSpan w:val="6"/>
          </w:tcPr>
          <w:p>
            <w:pPr>
              <w:spacing w:after="0" w:line="20" w:lineRule="exact"/>
              <w:rPr>
                <w:sz w:val="1"/>
                <w:szCs w:val="1"/>
                <w:color w:val="auto"/>
              </w:rPr>
            </w:pPr>
          </w:p>
        </w:tc>
        <w:tc>
          <w:tcPr>
            <w:tcW w:w="8620" w:type="dxa"/>
            <w:vAlign w:val="bottom"/>
            <w:gridSpan w:val="4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5800" w:type="dxa"/>
            <w:vAlign w:val="bottom"/>
            <w:tcBorders>
              <w:top w:val="single" w:sz="8" w:color="0000FF"/>
            </w:tcBorders>
            <w:gridSpan w:val="44"/>
            <w:shd w:val="clear" w:color="auto" w:fill="CCEEFF"/>
          </w:tcPr>
          <w:p>
            <w:pPr>
              <w:spacing w:after="0" w:line="20" w:lineRule="exact"/>
              <w:rPr>
                <w:sz w:val="1"/>
                <w:szCs w:val="1"/>
                <w:color w:val="auto"/>
              </w:rPr>
            </w:pPr>
          </w:p>
        </w:tc>
        <w:tc>
          <w:tcPr>
            <w:tcW w:w="3540" w:type="dxa"/>
            <w:vAlign w:val="bottom"/>
            <w:tcBorders>
              <w:top w:val="single" w:sz="8" w:color="CCEEFF"/>
            </w:tcBorders>
            <w:gridSpan w:val="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0" w:type="dxa"/>
            <w:vAlign w:val="bottom"/>
            <w:gridSpan w:val="44"/>
          </w:tcPr>
          <w:p>
            <w:pPr>
              <w:spacing w:after="0" w:line="175" w:lineRule="exact"/>
              <w:rPr>
                <w:sz w:val="20"/>
                <w:szCs w:val="20"/>
                <w:color w:val="auto"/>
              </w:rPr>
            </w:pPr>
            <w:r>
              <w:rPr>
                <w:rFonts w:ascii="Times New Roman" w:cs="Times New Roman" w:eastAsia="Times New Roman" w:hAnsi="Times New Roman"/>
                <w:sz w:val="16"/>
                <w:szCs w:val="16"/>
                <w:color w:val="0000FF"/>
              </w:rPr>
              <w:t>Business Overview</w:t>
            </w:r>
          </w:p>
        </w:tc>
        <w:tc>
          <w:tcPr>
            <w:tcW w:w="34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260" w:type="dxa"/>
            <w:vAlign w:val="bottom"/>
            <w:tcBorders>
              <w:top w:val="single" w:sz="8" w:color="0000FF"/>
            </w:tcBorders>
            <w:gridSpan w:val="13"/>
          </w:tcPr>
          <w:p>
            <w:pPr>
              <w:spacing w:after="0" w:line="20" w:lineRule="exact"/>
              <w:rPr>
                <w:sz w:val="1"/>
                <w:szCs w:val="1"/>
                <w:color w:val="auto"/>
              </w:rPr>
            </w:pPr>
          </w:p>
        </w:tc>
        <w:tc>
          <w:tcPr>
            <w:tcW w:w="8080" w:type="dxa"/>
            <w:vAlign w:val="bottom"/>
            <w:gridSpan w:val="3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Business Environment</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460" w:type="dxa"/>
            <w:vAlign w:val="bottom"/>
            <w:tcBorders>
              <w:top w:val="single" w:sz="8" w:color="0000FF"/>
            </w:tcBorders>
            <w:gridSpan w:val="16"/>
            <w:shd w:val="clear" w:color="auto" w:fill="CCEEFF"/>
          </w:tcPr>
          <w:p>
            <w:pPr>
              <w:spacing w:after="0" w:line="20" w:lineRule="exact"/>
              <w:rPr>
                <w:sz w:val="1"/>
                <w:szCs w:val="1"/>
                <w:color w:val="auto"/>
              </w:rPr>
            </w:pPr>
          </w:p>
        </w:tc>
        <w:tc>
          <w:tcPr>
            <w:tcW w:w="7880" w:type="dxa"/>
            <w:vAlign w:val="bottom"/>
            <w:tcBorders>
              <w:top w:val="single" w:sz="8" w:color="CCEEFF"/>
            </w:tcBorders>
            <w:gridSpan w:val="3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Backlog</w:t>
            </w:r>
          </w:p>
        </w:tc>
        <w:tc>
          <w:tcPr>
            <w:tcW w:w="7800" w:type="dxa"/>
            <w:vAlign w:val="bottom"/>
            <w:gridSpan w:val="31"/>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540" w:type="dxa"/>
            <w:vAlign w:val="bottom"/>
            <w:tcBorders>
              <w:top w:val="single" w:sz="8" w:color="0000FF"/>
            </w:tcBorders>
            <w:gridSpan w:val="2"/>
          </w:tcPr>
          <w:p>
            <w:pPr>
              <w:spacing w:after="0" w:line="20" w:lineRule="exact"/>
              <w:rPr>
                <w:sz w:val="1"/>
                <w:szCs w:val="1"/>
                <w:color w:val="auto"/>
              </w:rPr>
            </w:pPr>
          </w:p>
        </w:tc>
        <w:tc>
          <w:tcPr>
            <w:tcW w:w="8800" w:type="dxa"/>
            <w:vAlign w:val="bottom"/>
            <w:gridSpan w:val="4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Highlights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320" w:type="dxa"/>
            <w:vAlign w:val="bottom"/>
            <w:tcBorders>
              <w:top w:val="single" w:sz="8" w:color="0000FF"/>
            </w:tcBorders>
            <w:gridSpan w:val="14"/>
            <w:shd w:val="clear" w:color="auto" w:fill="CCEEFF"/>
          </w:tcPr>
          <w:p>
            <w:pPr>
              <w:spacing w:after="0" w:line="20" w:lineRule="exact"/>
              <w:rPr>
                <w:sz w:val="1"/>
                <w:szCs w:val="1"/>
                <w:color w:val="auto"/>
              </w:rPr>
            </w:pPr>
          </w:p>
        </w:tc>
        <w:tc>
          <w:tcPr>
            <w:tcW w:w="8020" w:type="dxa"/>
            <w:vAlign w:val="bottom"/>
            <w:tcBorders>
              <w:top w:val="single" w:sz="8" w:color="CCEEFF"/>
            </w:tcBorders>
            <w:gridSpan w:val="3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Results of Operations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400" w:type="dxa"/>
            <w:vAlign w:val="bottom"/>
            <w:tcBorders>
              <w:top w:val="single" w:sz="8" w:color="0000FF"/>
            </w:tcBorders>
            <w:gridSpan w:val="15"/>
          </w:tcPr>
          <w:p>
            <w:pPr>
              <w:spacing w:after="0" w:line="20" w:lineRule="exact"/>
              <w:rPr>
                <w:sz w:val="1"/>
                <w:szCs w:val="1"/>
                <w:color w:val="auto"/>
              </w:rPr>
            </w:pPr>
          </w:p>
        </w:tc>
        <w:tc>
          <w:tcPr>
            <w:tcW w:w="7940" w:type="dxa"/>
            <w:vAlign w:val="bottom"/>
            <w:gridSpan w:val="3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4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Key Performance Measure</w:t>
            </w:r>
          </w:p>
        </w:tc>
        <w:tc>
          <w:tcPr>
            <w:tcW w:w="7520" w:type="dxa"/>
            <w:vAlign w:val="bottom"/>
            <w:gridSpan w:val="27"/>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33</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740" w:type="dxa"/>
            <w:vAlign w:val="bottom"/>
            <w:tcBorders>
              <w:top w:val="single" w:sz="8" w:color="0000FF"/>
            </w:tcBorders>
            <w:gridSpan w:val="20"/>
            <w:shd w:val="clear" w:color="auto" w:fill="CCEEFF"/>
          </w:tcPr>
          <w:p>
            <w:pPr>
              <w:spacing w:after="0" w:line="20" w:lineRule="exact"/>
              <w:rPr>
                <w:sz w:val="1"/>
                <w:szCs w:val="1"/>
                <w:color w:val="auto"/>
              </w:rPr>
            </w:pPr>
          </w:p>
        </w:tc>
        <w:tc>
          <w:tcPr>
            <w:tcW w:w="7600" w:type="dxa"/>
            <w:vAlign w:val="bottom"/>
            <w:tcBorders>
              <w:top w:val="single" w:sz="8" w:color="CCEEFF"/>
            </w:tcBorders>
            <w:gridSpan w:val="2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Non-GAAP Financial Measures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33</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080" w:type="dxa"/>
            <w:vAlign w:val="bottom"/>
            <w:tcBorders>
              <w:top w:val="single" w:sz="8" w:color="0000FF"/>
            </w:tcBorders>
            <w:gridSpan w:val="28"/>
          </w:tcPr>
          <w:p>
            <w:pPr>
              <w:spacing w:after="0" w:line="20" w:lineRule="exact"/>
              <w:rPr>
                <w:sz w:val="1"/>
                <w:szCs w:val="1"/>
                <w:color w:val="auto"/>
              </w:rPr>
            </w:pPr>
          </w:p>
        </w:tc>
        <w:tc>
          <w:tcPr>
            <w:tcW w:w="7260" w:type="dxa"/>
            <w:vAlign w:val="bottom"/>
            <w:gridSpan w:val="2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00" w:type="dxa"/>
            <w:vAlign w:val="bottom"/>
            <w:gridSpan w:val="2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Liquidity and Capital Resources</w:t>
            </w:r>
          </w:p>
        </w:tc>
        <w:tc>
          <w:tcPr>
            <w:tcW w:w="7160" w:type="dxa"/>
            <w:vAlign w:val="bottom"/>
            <w:gridSpan w:val="18"/>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100" w:type="dxa"/>
            <w:vAlign w:val="bottom"/>
            <w:tcBorders>
              <w:top w:val="single" w:sz="8" w:color="0000FF"/>
            </w:tcBorders>
            <w:gridSpan w:val="29"/>
            <w:shd w:val="clear" w:color="auto" w:fill="CCEEFF"/>
          </w:tcPr>
          <w:p>
            <w:pPr>
              <w:spacing w:after="0" w:line="20" w:lineRule="exact"/>
              <w:rPr>
                <w:sz w:val="1"/>
                <w:szCs w:val="1"/>
                <w:color w:val="auto"/>
              </w:rPr>
            </w:pPr>
          </w:p>
        </w:tc>
        <w:tc>
          <w:tcPr>
            <w:tcW w:w="7240" w:type="dxa"/>
            <w:vAlign w:val="bottom"/>
            <w:tcBorders>
              <w:top w:val="single" w:sz="8" w:color="CCEEFF"/>
            </w:tcBorders>
            <w:gridSpan w:val="1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37</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780" w:type="dxa"/>
            <w:vAlign w:val="bottom"/>
            <w:tcBorders>
              <w:top w:val="single" w:sz="8" w:color="0000FF"/>
            </w:tcBorders>
            <w:gridSpan w:val="36"/>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7A.</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39</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3880" w:type="dxa"/>
            <w:vAlign w:val="bottom"/>
            <w:tcBorders>
              <w:top w:val="single" w:sz="8" w:color="0000FF"/>
            </w:tcBorders>
            <w:gridSpan w:val="41"/>
            <w:shd w:val="clear" w:color="auto" w:fill="CCEEFF"/>
          </w:tcPr>
          <w:p>
            <w:pPr>
              <w:spacing w:after="0" w:line="20" w:lineRule="exact"/>
              <w:rPr>
                <w:sz w:val="1"/>
                <w:szCs w:val="1"/>
                <w:color w:val="auto"/>
              </w:rPr>
            </w:pPr>
          </w:p>
        </w:tc>
        <w:tc>
          <w:tcPr>
            <w:tcW w:w="5460" w:type="dxa"/>
            <w:vAlign w:val="bottom"/>
            <w:tcBorders>
              <w:top w:val="single" w:sz="8" w:color="CCEEFF"/>
            </w:tcBorders>
            <w:gridSpan w:val="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8.</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Consolidated Financial Statements and Supplementary Data</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40</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900" w:type="dxa"/>
            <w:vAlign w:val="bottom"/>
            <w:tcBorders>
              <w:top w:val="single" w:sz="8" w:color="0000FF"/>
            </w:tcBorders>
            <w:gridSpan w:val="42"/>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238)</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40</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800" w:type="dxa"/>
            <w:vAlign w:val="bottom"/>
            <w:tcBorders>
              <w:top w:val="single" w:sz="8" w:color="0000FF"/>
            </w:tcBorders>
            <w:gridSpan w:val="40"/>
            <w:shd w:val="clear" w:color="auto" w:fill="CCEEFF"/>
          </w:tcPr>
          <w:p>
            <w:pPr>
              <w:spacing w:after="0" w:line="20" w:lineRule="exact"/>
              <w:rPr>
                <w:sz w:val="1"/>
                <w:szCs w:val="1"/>
                <w:color w:val="auto"/>
              </w:rPr>
            </w:pPr>
          </w:p>
        </w:tc>
        <w:tc>
          <w:tcPr>
            <w:tcW w:w="5540" w:type="dxa"/>
            <w:vAlign w:val="bottom"/>
            <w:tcBorders>
              <w:top w:val="single" w:sz="8" w:color="CCEEFF"/>
            </w:tcBorders>
            <w:gridSpan w:val="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gridSpan w:val="40"/>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5460" w:type="dxa"/>
            <w:vAlign w:val="bottom"/>
            <w:gridSpan w:val="7"/>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42</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2540" w:type="dxa"/>
            <w:vAlign w:val="bottom"/>
            <w:tcBorders>
              <w:top w:val="single" w:sz="8" w:color="0000FF"/>
            </w:tcBorders>
            <w:gridSpan w:val="33"/>
          </w:tcPr>
          <w:p>
            <w:pPr>
              <w:spacing w:after="0" w:line="20" w:lineRule="exact"/>
              <w:rPr>
                <w:sz w:val="1"/>
                <w:szCs w:val="1"/>
                <w:color w:val="auto"/>
              </w:rPr>
            </w:pPr>
          </w:p>
        </w:tc>
        <w:tc>
          <w:tcPr>
            <w:tcW w:w="6800" w:type="dxa"/>
            <w:vAlign w:val="bottom"/>
            <w:gridSpan w:val="1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Comprehensive Loss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43</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180" w:type="dxa"/>
            <w:vAlign w:val="bottom"/>
            <w:tcBorders>
              <w:top w:val="single" w:sz="8" w:color="0000FF"/>
            </w:tcBorders>
            <w:gridSpan w:val="38"/>
            <w:shd w:val="clear" w:color="auto" w:fill="CCEEFF"/>
          </w:tcPr>
          <w:p>
            <w:pPr>
              <w:spacing w:after="0" w:line="20" w:lineRule="exact"/>
              <w:rPr>
                <w:sz w:val="1"/>
                <w:szCs w:val="1"/>
                <w:color w:val="auto"/>
              </w:rPr>
            </w:pPr>
          </w:p>
        </w:tc>
        <w:tc>
          <w:tcPr>
            <w:tcW w:w="6160" w:type="dxa"/>
            <w:vAlign w:val="bottom"/>
            <w:tcBorders>
              <w:top w:val="single" w:sz="8" w:color="CCEEFF"/>
            </w:tcBorders>
            <w:gridSpan w:val="1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38"/>
          </w:tcPr>
          <w:p>
            <w:pPr>
              <w:spacing w:after="0" w:line="175"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6080" w:type="dxa"/>
            <w:vAlign w:val="bottom"/>
            <w:gridSpan w:val="9"/>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44</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880" w:type="dxa"/>
            <w:vAlign w:val="bottom"/>
            <w:tcBorders>
              <w:top w:val="single" w:sz="8" w:color="0000FF"/>
            </w:tcBorders>
            <w:gridSpan w:val="23"/>
          </w:tcPr>
          <w:p>
            <w:pPr>
              <w:spacing w:after="0" w:line="20" w:lineRule="exact"/>
              <w:rPr>
                <w:sz w:val="1"/>
                <w:szCs w:val="1"/>
                <w:color w:val="auto"/>
              </w:rPr>
            </w:pPr>
          </w:p>
        </w:tc>
        <w:tc>
          <w:tcPr>
            <w:tcW w:w="7460" w:type="dxa"/>
            <w:vAlign w:val="bottom"/>
            <w:gridSpan w:val="2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45</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580" w:type="dxa"/>
            <w:vAlign w:val="bottom"/>
            <w:tcBorders>
              <w:top w:val="single" w:sz="8" w:color="0000FF"/>
            </w:tcBorders>
            <w:gridSpan w:val="34"/>
            <w:shd w:val="clear" w:color="auto" w:fill="CCEEFF"/>
          </w:tcPr>
          <w:p>
            <w:pPr>
              <w:spacing w:after="0" w:line="20" w:lineRule="exact"/>
              <w:rPr>
                <w:sz w:val="1"/>
                <w:szCs w:val="1"/>
                <w:color w:val="auto"/>
              </w:rPr>
            </w:pPr>
          </w:p>
        </w:tc>
        <w:tc>
          <w:tcPr>
            <w:tcW w:w="6760" w:type="dxa"/>
            <w:vAlign w:val="bottom"/>
            <w:tcBorders>
              <w:top w:val="single" w:sz="8" w:color="CCEEFF"/>
            </w:tcBorders>
            <w:gridSpan w:val="1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Changes in Stockholders' Equity</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46</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3940" w:type="dxa"/>
            <w:vAlign w:val="bottom"/>
            <w:tcBorders>
              <w:top w:val="single" w:sz="8" w:color="0000FF"/>
            </w:tcBorders>
            <w:gridSpan w:val="43"/>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80" w:type="dxa"/>
            <w:vAlign w:val="bottom"/>
            <w:gridSpan w:val="3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6180" w:type="dxa"/>
            <w:vAlign w:val="bottom"/>
            <w:gridSpan w:val="10"/>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47</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080" w:type="dxa"/>
            <w:vAlign w:val="bottom"/>
            <w:tcBorders>
              <w:top w:val="single" w:sz="8" w:color="0000FF"/>
            </w:tcBorders>
            <w:gridSpan w:val="37"/>
            <w:shd w:val="clear" w:color="auto" w:fill="CCEEFF"/>
          </w:tcPr>
          <w:p>
            <w:pPr>
              <w:spacing w:after="0" w:line="20" w:lineRule="exact"/>
              <w:rPr>
                <w:sz w:val="1"/>
                <w:szCs w:val="1"/>
                <w:color w:val="auto"/>
              </w:rPr>
            </w:pPr>
          </w:p>
        </w:tc>
        <w:tc>
          <w:tcPr>
            <w:tcW w:w="6260" w:type="dxa"/>
            <w:vAlign w:val="bottom"/>
            <w:tcBorders>
              <w:top w:val="single" w:sz="8" w:color="CCEEFF"/>
            </w:tcBorders>
            <w:gridSpan w:val="1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w:t>
            </w:r>
          </w:p>
        </w:tc>
        <w:tc>
          <w:tcPr>
            <w:tcW w:w="2880" w:type="dxa"/>
            <w:vAlign w:val="bottom"/>
            <w:gridSpan w:val="36"/>
          </w:tcPr>
          <w:p>
            <w:pPr>
              <w:spacing w:after="0" w:line="175" w:lineRule="exact"/>
              <w:rPr>
                <w:sz w:val="20"/>
                <w:szCs w:val="20"/>
                <w:color w:val="auto"/>
              </w:rPr>
            </w:pPr>
            <w:r>
              <w:rPr>
                <w:rFonts w:ascii="Times New Roman" w:cs="Times New Roman" w:eastAsia="Times New Roman" w:hAnsi="Times New Roman"/>
                <w:sz w:val="16"/>
                <w:szCs w:val="16"/>
                <w:color w:val="0000FF"/>
              </w:rPr>
              <w:t>Organization</w:t>
            </w:r>
          </w:p>
        </w:tc>
        <w:tc>
          <w:tcPr>
            <w:tcW w:w="6180" w:type="dxa"/>
            <w:vAlign w:val="bottom"/>
            <w:gridSpan w:val="10"/>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47</w:t>
            </w:r>
          </w:p>
        </w:tc>
        <w:tc>
          <w:tcPr>
            <w:tcW w:w="320" w:type="dxa"/>
            <w:vAlign w:val="bottom"/>
          </w:tcPr>
          <w:p>
            <w:pPr>
              <w:spacing w:after="0"/>
              <w:rPr>
                <w:sz w:val="15"/>
                <w:szCs w:val="15"/>
                <w:color w:val="auto"/>
              </w:rPr>
            </w:pPr>
          </w:p>
        </w:tc>
      </w:tr>
      <w:tr>
        <w:trPr>
          <w:trHeight w:val="20"/>
        </w:trPr>
        <w:tc>
          <w:tcPr>
            <w:tcW w:w="1480" w:type="dxa"/>
            <w:vAlign w:val="bottom"/>
            <w:gridSpan w:val="8"/>
          </w:tcPr>
          <w:p>
            <w:pPr>
              <w:spacing w:after="0" w:line="20" w:lineRule="exact"/>
              <w:rPr>
                <w:sz w:val="1"/>
                <w:szCs w:val="1"/>
                <w:color w:val="auto"/>
              </w:rPr>
            </w:pPr>
          </w:p>
        </w:tc>
        <w:tc>
          <w:tcPr>
            <w:tcW w:w="840" w:type="dxa"/>
            <w:vAlign w:val="bottom"/>
            <w:tcBorders>
              <w:top w:val="single" w:sz="8" w:color="0000FF"/>
            </w:tcBorders>
            <w:gridSpan w:val="9"/>
          </w:tcPr>
          <w:p>
            <w:pPr>
              <w:spacing w:after="0" w:line="20" w:lineRule="exact"/>
              <w:rPr>
                <w:sz w:val="1"/>
                <w:szCs w:val="1"/>
                <w:color w:val="auto"/>
              </w:rPr>
            </w:pPr>
          </w:p>
        </w:tc>
        <w:tc>
          <w:tcPr>
            <w:tcW w:w="8300" w:type="dxa"/>
            <w:vAlign w:val="bottom"/>
            <w:gridSpan w:val="38"/>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2. Significant Accounting Policies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47</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220" w:type="dxa"/>
            <w:vAlign w:val="bottom"/>
            <w:tcBorders>
              <w:top w:val="single" w:sz="8" w:color="0000FF"/>
            </w:tcBorders>
            <w:gridSpan w:val="30"/>
            <w:shd w:val="clear" w:color="auto" w:fill="CCEEFF"/>
          </w:tcPr>
          <w:p>
            <w:pPr>
              <w:spacing w:after="0" w:line="20" w:lineRule="exact"/>
              <w:rPr>
                <w:sz w:val="1"/>
                <w:szCs w:val="1"/>
                <w:color w:val="auto"/>
              </w:rPr>
            </w:pPr>
          </w:p>
        </w:tc>
        <w:tc>
          <w:tcPr>
            <w:tcW w:w="7120" w:type="dxa"/>
            <w:vAlign w:val="bottom"/>
            <w:tcBorders>
              <w:top w:val="single" w:sz="8" w:color="CCEEFF"/>
            </w:tcBorders>
            <w:gridSpan w:val="1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30"/>
          </w:tcPr>
          <w:p>
            <w:pPr>
              <w:spacing w:after="0" w:line="175" w:lineRule="exact"/>
              <w:rPr>
                <w:sz w:val="20"/>
                <w:szCs w:val="20"/>
                <w:color w:val="auto"/>
              </w:rPr>
            </w:pPr>
            <w:r>
              <w:rPr>
                <w:rFonts w:ascii="Times New Roman" w:cs="Times New Roman" w:eastAsia="Times New Roman" w:hAnsi="Times New Roman"/>
                <w:sz w:val="16"/>
                <w:szCs w:val="16"/>
                <w:color w:val="0000FF"/>
              </w:rPr>
              <w:t>3. Revenue Recognition</w:t>
            </w:r>
          </w:p>
        </w:tc>
        <w:tc>
          <w:tcPr>
            <w:tcW w:w="7040" w:type="dxa"/>
            <w:vAlign w:val="bottom"/>
            <w:gridSpan w:val="17"/>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55</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560" w:type="dxa"/>
            <w:vAlign w:val="bottom"/>
            <w:tcBorders>
              <w:top w:val="single" w:sz="8" w:color="0000FF"/>
            </w:tcBorders>
            <w:gridSpan w:val="17"/>
          </w:tcPr>
          <w:p>
            <w:pPr>
              <w:spacing w:after="0" w:line="20" w:lineRule="exact"/>
              <w:rPr>
                <w:sz w:val="1"/>
                <w:szCs w:val="1"/>
                <w:color w:val="auto"/>
              </w:rPr>
            </w:pPr>
          </w:p>
        </w:tc>
        <w:tc>
          <w:tcPr>
            <w:tcW w:w="7780" w:type="dxa"/>
            <w:vAlign w:val="bottom"/>
            <w:gridSpan w:val="3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4. Accounts Receivable, Net</w:t>
            </w:r>
          </w:p>
        </w:tc>
        <w:tc>
          <w:tcPr>
            <w:tcW w:w="7400" w:type="dxa"/>
            <w:vAlign w:val="bottom"/>
            <w:gridSpan w:val="25"/>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58</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860" w:type="dxa"/>
            <w:vAlign w:val="bottom"/>
            <w:tcBorders>
              <w:top w:val="single" w:sz="8" w:color="0000FF"/>
            </w:tcBorders>
            <w:gridSpan w:val="22"/>
            <w:shd w:val="clear" w:color="auto" w:fill="CCEEFF"/>
          </w:tcPr>
          <w:p>
            <w:pPr>
              <w:spacing w:after="0" w:line="20" w:lineRule="exact"/>
              <w:rPr>
                <w:sz w:val="1"/>
                <w:szCs w:val="1"/>
                <w:color w:val="auto"/>
              </w:rPr>
            </w:pPr>
          </w:p>
        </w:tc>
        <w:tc>
          <w:tcPr>
            <w:tcW w:w="7480" w:type="dxa"/>
            <w:vAlign w:val="bottom"/>
            <w:tcBorders>
              <w:top w:val="single" w:sz="8" w:color="CCEEFF"/>
            </w:tcBorders>
            <w:gridSpan w:val="2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5. Inventories, Net</w:t>
            </w:r>
          </w:p>
        </w:tc>
        <w:tc>
          <w:tcPr>
            <w:tcW w:w="7400" w:type="dxa"/>
            <w:vAlign w:val="bottom"/>
            <w:gridSpan w:val="25"/>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58</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200" w:type="dxa"/>
            <w:vAlign w:val="bottom"/>
            <w:tcBorders>
              <w:top w:val="single" w:sz="8" w:color="0000FF"/>
            </w:tcBorders>
            <w:gridSpan w:val="12"/>
          </w:tcPr>
          <w:p>
            <w:pPr>
              <w:spacing w:after="0" w:line="20" w:lineRule="exact"/>
              <w:rPr>
                <w:sz w:val="1"/>
                <w:szCs w:val="1"/>
                <w:color w:val="auto"/>
              </w:rPr>
            </w:pPr>
          </w:p>
        </w:tc>
        <w:tc>
          <w:tcPr>
            <w:tcW w:w="8140" w:type="dxa"/>
            <w:vAlign w:val="bottom"/>
            <w:gridSpan w:val="3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6. Property and Equipment, Net</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58</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060" w:type="dxa"/>
            <w:vAlign w:val="bottom"/>
            <w:tcBorders>
              <w:top w:val="single" w:sz="8" w:color="0000FF"/>
            </w:tcBorders>
            <w:gridSpan w:val="27"/>
            <w:shd w:val="clear" w:color="auto" w:fill="CCEEFF"/>
          </w:tcPr>
          <w:p>
            <w:pPr>
              <w:spacing w:after="0" w:line="20" w:lineRule="exact"/>
              <w:rPr>
                <w:sz w:val="1"/>
                <w:szCs w:val="1"/>
                <w:color w:val="auto"/>
              </w:rPr>
            </w:pPr>
          </w:p>
        </w:tc>
        <w:tc>
          <w:tcPr>
            <w:tcW w:w="7280" w:type="dxa"/>
            <w:vAlign w:val="bottom"/>
            <w:tcBorders>
              <w:top w:val="single" w:sz="8" w:color="CCEEFF"/>
            </w:tcBorders>
            <w:gridSpan w:val="2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27"/>
          </w:tcPr>
          <w:p>
            <w:pPr>
              <w:spacing w:after="0" w:line="175" w:lineRule="exact"/>
              <w:rPr>
                <w:sz w:val="20"/>
                <w:szCs w:val="20"/>
                <w:color w:val="auto"/>
              </w:rPr>
            </w:pPr>
            <w:r>
              <w:rPr>
                <w:rFonts w:ascii="Times New Roman" w:cs="Times New Roman" w:eastAsia="Times New Roman" w:hAnsi="Times New Roman"/>
                <w:sz w:val="16"/>
                <w:szCs w:val="16"/>
                <w:color w:val="0000FF"/>
              </w:rPr>
              <w:t>7. Goodwill</w:t>
            </w:r>
          </w:p>
        </w:tc>
        <w:tc>
          <w:tcPr>
            <w:tcW w:w="7200" w:type="dxa"/>
            <w:vAlign w:val="bottom"/>
            <w:gridSpan w:val="20"/>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59</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780" w:type="dxa"/>
            <w:vAlign w:val="bottom"/>
            <w:tcBorders>
              <w:top w:val="single" w:sz="8" w:color="0000FF"/>
            </w:tcBorders>
            <w:gridSpan w:val="7"/>
          </w:tcPr>
          <w:p>
            <w:pPr>
              <w:spacing w:after="0" w:line="20" w:lineRule="exact"/>
              <w:rPr>
                <w:sz w:val="1"/>
                <w:szCs w:val="1"/>
                <w:color w:val="auto"/>
              </w:rPr>
            </w:pPr>
          </w:p>
        </w:tc>
        <w:tc>
          <w:tcPr>
            <w:tcW w:w="8560" w:type="dxa"/>
            <w:vAlign w:val="bottom"/>
            <w:gridSpan w:val="4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8. Intangible Assets, Net</w:t>
            </w:r>
          </w:p>
        </w:tc>
        <w:tc>
          <w:tcPr>
            <w:tcW w:w="7660" w:type="dxa"/>
            <w:vAlign w:val="bottom"/>
            <w:gridSpan w:val="29"/>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59</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600" w:type="dxa"/>
            <w:vAlign w:val="bottom"/>
            <w:tcBorders>
              <w:top w:val="single" w:sz="8" w:color="0000FF"/>
            </w:tcBorders>
            <w:gridSpan w:val="18"/>
            <w:shd w:val="clear" w:color="auto" w:fill="CCEEFF"/>
          </w:tcPr>
          <w:p>
            <w:pPr>
              <w:spacing w:after="0" w:line="20" w:lineRule="exact"/>
              <w:rPr>
                <w:sz w:val="1"/>
                <w:szCs w:val="1"/>
                <w:color w:val="auto"/>
              </w:rPr>
            </w:pPr>
          </w:p>
        </w:tc>
        <w:tc>
          <w:tcPr>
            <w:tcW w:w="7740" w:type="dxa"/>
            <w:vAlign w:val="bottom"/>
            <w:tcBorders>
              <w:top w:val="single" w:sz="8" w:color="CCEEFF"/>
            </w:tcBorders>
            <w:gridSpan w:val="3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9. Other Balance Sheet Components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60</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2360" w:type="dxa"/>
            <w:vAlign w:val="bottom"/>
            <w:tcBorders>
              <w:top w:val="single" w:sz="8" w:color="0000FF"/>
            </w:tcBorders>
            <w:gridSpan w:val="31"/>
          </w:tcPr>
          <w:p>
            <w:pPr>
              <w:spacing w:after="0" w:line="20" w:lineRule="exact"/>
              <w:rPr>
                <w:sz w:val="1"/>
                <w:szCs w:val="1"/>
                <w:color w:val="auto"/>
              </w:rPr>
            </w:pPr>
          </w:p>
        </w:tc>
        <w:tc>
          <w:tcPr>
            <w:tcW w:w="6980" w:type="dxa"/>
            <w:vAlign w:val="bottom"/>
            <w:gridSpan w:val="1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10.</w:t>
            </w:r>
          </w:p>
        </w:tc>
        <w:tc>
          <w:tcPr>
            <w:tcW w:w="1840" w:type="dxa"/>
            <w:vAlign w:val="bottom"/>
            <w:gridSpan w:val="25"/>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Debt and Other Obligations</w:t>
            </w:r>
          </w:p>
        </w:tc>
        <w:tc>
          <w:tcPr>
            <w:tcW w:w="7220" w:type="dxa"/>
            <w:vAlign w:val="bottom"/>
            <w:gridSpan w:val="21"/>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61</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040" w:type="dxa"/>
            <w:vAlign w:val="bottom"/>
            <w:tcBorders>
              <w:top w:val="single" w:sz="8" w:color="0000FF"/>
            </w:tcBorders>
            <w:gridSpan w:val="26"/>
            <w:shd w:val="clear" w:color="auto" w:fill="CCEEFF"/>
          </w:tcPr>
          <w:p>
            <w:pPr>
              <w:spacing w:after="0" w:line="20" w:lineRule="exact"/>
              <w:rPr>
                <w:sz w:val="1"/>
                <w:szCs w:val="1"/>
                <w:color w:val="auto"/>
              </w:rPr>
            </w:pPr>
          </w:p>
        </w:tc>
        <w:tc>
          <w:tcPr>
            <w:tcW w:w="7300" w:type="dxa"/>
            <w:vAlign w:val="bottom"/>
            <w:tcBorders>
              <w:top w:val="single" w:sz="8" w:color="CCEEFF"/>
            </w:tcBorders>
            <w:gridSpan w:val="2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11.</w:t>
            </w:r>
          </w:p>
        </w:tc>
        <w:tc>
          <w:tcPr>
            <w:tcW w:w="1840" w:type="dxa"/>
            <w:vAlign w:val="bottom"/>
            <w:gridSpan w:val="25"/>
          </w:tcPr>
          <w:p>
            <w:pPr>
              <w:ind w:left="40"/>
              <w:spacing w:after="0" w:line="175" w:lineRule="exact"/>
              <w:rPr>
                <w:sz w:val="20"/>
                <w:szCs w:val="20"/>
                <w:color w:val="auto"/>
              </w:rPr>
            </w:pPr>
            <w:r>
              <w:rPr>
                <w:rFonts w:ascii="Times New Roman" w:cs="Times New Roman" w:eastAsia="Times New Roman" w:hAnsi="Times New Roman"/>
                <w:sz w:val="16"/>
                <w:szCs w:val="16"/>
                <w:color w:val="0000FF"/>
              </w:rPr>
              <w:t>Stockholders' Equity</w:t>
            </w:r>
          </w:p>
        </w:tc>
        <w:tc>
          <w:tcPr>
            <w:tcW w:w="7220" w:type="dxa"/>
            <w:vAlign w:val="bottom"/>
            <w:gridSpan w:val="21"/>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62</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600" w:type="dxa"/>
            <w:vAlign w:val="bottom"/>
            <w:tcBorders>
              <w:top w:val="single" w:sz="8" w:color="0000FF"/>
            </w:tcBorders>
            <w:gridSpan w:val="18"/>
          </w:tcPr>
          <w:p>
            <w:pPr>
              <w:spacing w:after="0" w:line="20" w:lineRule="exact"/>
              <w:rPr>
                <w:sz w:val="1"/>
                <w:szCs w:val="1"/>
                <w:color w:val="auto"/>
              </w:rPr>
            </w:pPr>
          </w:p>
        </w:tc>
        <w:tc>
          <w:tcPr>
            <w:tcW w:w="7740" w:type="dxa"/>
            <w:vAlign w:val="bottom"/>
            <w:gridSpan w:val="3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12.</w:t>
            </w:r>
          </w:p>
        </w:tc>
        <w:tc>
          <w:tcPr>
            <w:tcW w:w="1840" w:type="dxa"/>
            <w:vAlign w:val="bottom"/>
            <w:gridSpan w:val="25"/>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Stock-Based Compensation</w:t>
            </w:r>
          </w:p>
        </w:tc>
        <w:tc>
          <w:tcPr>
            <w:tcW w:w="7220" w:type="dxa"/>
            <w:vAlign w:val="bottom"/>
            <w:gridSpan w:val="21"/>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62</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040" w:type="dxa"/>
            <w:vAlign w:val="bottom"/>
            <w:tcBorders>
              <w:top w:val="single" w:sz="8" w:color="0000FF"/>
            </w:tcBorders>
            <w:gridSpan w:val="26"/>
            <w:shd w:val="clear" w:color="auto" w:fill="CCEEFF"/>
          </w:tcPr>
          <w:p>
            <w:pPr>
              <w:spacing w:after="0" w:line="20" w:lineRule="exact"/>
              <w:rPr>
                <w:sz w:val="1"/>
                <w:szCs w:val="1"/>
                <w:color w:val="auto"/>
              </w:rPr>
            </w:pPr>
          </w:p>
        </w:tc>
        <w:tc>
          <w:tcPr>
            <w:tcW w:w="7300" w:type="dxa"/>
            <w:vAlign w:val="bottom"/>
            <w:tcBorders>
              <w:top w:val="single" w:sz="8" w:color="CCEEFF"/>
            </w:tcBorders>
            <w:gridSpan w:val="2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13.</w:t>
            </w:r>
          </w:p>
        </w:tc>
        <w:tc>
          <w:tcPr>
            <w:tcW w:w="1840" w:type="dxa"/>
            <w:vAlign w:val="bottom"/>
            <w:gridSpan w:val="25"/>
          </w:tcPr>
          <w:p>
            <w:pPr>
              <w:ind w:left="40"/>
              <w:spacing w:after="0" w:line="175" w:lineRule="exact"/>
              <w:rPr>
                <w:sz w:val="20"/>
                <w:szCs w:val="20"/>
                <w:color w:val="auto"/>
              </w:rPr>
            </w:pPr>
            <w:r>
              <w:rPr>
                <w:rFonts w:ascii="Times New Roman" w:cs="Times New Roman" w:eastAsia="Times New Roman" w:hAnsi="Times New Roman"/>
                <w:sz w:val="16"/>
                <w:szCs w:val="16"/>
                <w:color w:val="0000FF"/>
              </w:rPr>
              <w:t>Leases</w:t>
            </w:r>
          </w:p>
        </w:tc>
        <w:tc>
          <w:tcPr>
            <w:tcW w:w="7220" w:type="dxa"/>
            <w:vAlign w:val="bottom"/>
            <w:gridSpan w:val="21"/>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64</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680" w:type="dxa"/>
            <w:vAlign w:val="bottom"/>
            <w:tcBorders>
              <w:top w:val="single" w:sz="8" w:color="0000FF"/>
            </w:tcBorders>
            <w:gridSpan w:val="5"/>
          </w:tcPr>
          <w:p>
            <w:pPr>
              <w:spacing w:after="0" w:line="20" w:lineRule="exact"/>
              <w:rPr>
                <w:sz w:val="1"/>
                <w:szCs w:val="1"/>
                <w:color w:val="auto"/>
              </w:rPr>
            </w:pPr>
          </w:p>
        </w:tc>
        <w:tc>
          <w:tcPr>
            <w:tcW w:w="8660" w:type="dxa"/>
            <w:vAlign w:val="bottom"/>
            <w:gridSpan w:val="4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14.</w:t>
            </w:r>
          </w:p>
        </w:tc>
        <w:tc>
          <w:tcPr>
            <w:tcW w:w="9060" w:type="dxa"/>
            <w:vAlign w:val="bottom"/>
            <w:gridSpan w:val="46"/>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Employee Benefit Plan</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65</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740" w:type="dxa"/>
            <w:vAlign w:val="bottom"/>
            <w:tcBorders>
              <w:top w:val="single" w:sz="8" w:color="0000FF"/>
            </w:tcBorders>
            <w:gridSpan w:val="20"/>
            <w:shd w:val="clear" w:color="auto" w:fill="CCEEFF"/>
          </w:tcPr>
          <w:p>
            <w:pPr>
              <w:spacing w:after="0" w:line="20" w:lineRule="exact"/>
              <w:rPr>
                <w:sz w:val="1"/>
                <w:szCs w:val="1"/>
                <w:color w:val="auto"/>
              </w:rPr>
            </w:pPr>
          </w:p>
        </w:tc>
        <w:tc>
          <w:tcPr>
            <w:tcW w:w="7600" w:type="dxa"/>
            <w:vAlign w:val="bottom"/>
            <w:tcBorders>
              <w:top w:val="single" w:sz="8" w:color="CCEEFF"/>
            </w:tcBorders>
            <w:gridSpan w:val="2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15.</w:t>
            </w:r>
          </w:p>
        </w:tc>
        <w:tc>
          <w:tcPr>
            <w:tcW w:w="1540" w:type="dxa"/>
            <w:vAlign w:val="bottom"/>
            <w:gridSpan w:val="19"/>
          </w:tcPr>
          <w:p>
            <w:pPr>
              <w:ind w:left="40"/>
              <w:spacing w:after="0" w:line="175" w:lineRule="exact"/>
              <w:rPr>
                <w:sz w:val="20"/>
                <w:szCs w:val="20"/>
                <w:color w:val="auto"/>
              </w:rPr>
            </w:pPr>
            <w:r>
              <w:rPr>
                <w:rFonts w:ascii="Times New Roman" w:cs="Times New Roman" w:eastAsia="Times New Roman" w:hAnsi="Times New Roman"/>
                <w:sz w:val="16"/>
                <w:szCs w:val="16"/>
                <w:color w:val="0000FF"/>
              </w:rPr>
              <w:t>Income Taxes</w:t>
            </w:r>
          </w:p>
        </w:tc>
        <w:tc>
          <w:tcPr>
            <w:tcW w:w="7520" w:type="dxa"/>
            <w:vAlign w:val="bottom"/>
            <w:gridSpan w:val="27"/>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66</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140" w:type="dxa"/>
            <w:vAlign w:val="bottom"/>
            <w:tcBorders>
              <w:top w:val="single" w:sz="8" w:color="0000FF"/>
            </w:tcBorders>
            <w:gridSpan w:val="11"/>
          </w:tcPr>
          <w:p>
            <w:pPr>
              <w:spacing w:after="0" w:line="20" w:lineRule="exact"/>
              <w:rPr>
                <w:sz w:val="1"/>
                <w:szCs w:val="1"/>
                <w:color w:val="auto"/>
              </w:rPr>
            </w:pPr>
          </w:p>
        </w:tc>
        <w:tc>
          <w:tcPr>
            <w:tcW w:w="8200" w:type="dxa"/>
            <w:vAlign w:val="bottom"/>
            <w:gridSpan w:val="3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16.</w:t>
            </w:r>
          </w:p>
        </w:tc>
        <w:tc>
          <w:tcPr>
            <w:tcW w:w="9060" w:type="dxa"/>
            <w:vAlign w:val="bottom"/>
            <w:gridSpan w:val="46"/>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(Loss)/Earnings Per Share</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68</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940" w:type="dxa"/>
            <w:vAlign w:val="bottom"/>
            <w:tcBorders>
              <w:top w:val="single" w:sz="8" w:color="0000FF"/>
            </w:tcBorders>
            <w:gridSpan w:val="24"/>
            <w:shd w:val="clear" w:color="auto" w:fill="CCEEFF"/>
          </w:tcPr>
          <w:p>
            <w:pPr>
              <w:spacing w:after="0" w:line="20" w:lineRule="exact"/>
              <w:rPr>
                <w:sz w:val="1"/>
                <w:szCs w:val="1"/>
                <w:color w:val="auto"/>
              </w:rPr>
            </w:pPr>
          </w:p>
        </w:tc>
        <w:tc>
          <w:tcPr>
            <w:tcW w:w="7400" w:type="dxa"/>
            <w:vAlign w:val="bottom"/>
            <w:tcBorders>
              <w:top w:val="single" w:sz="8" w:color="CCEEFF"/>
            </w:tcBorders>
            <w:gridSpan w:val="2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17.</w:t>
            </w:r>
          </w:p>
        </w:tc>
        <w:tc>
          <w:tcPr>
            <w:tcW w:w="9060" w:type="dxa"/>
            <w:vAlign w:val="bottom"/>
            <w:gridSpan w:val="46"/>
          </w:tcPr>
          <w:p>
            <w:pPr>
              <w:ind w:left="40"/>
              <w:spacing w:after="0" w:line="175" w:lineRule="exact"/>
              <w:rPr>
                <w:sz w:val="20"/>
                <w:szCs w:val="20"/>
                <w:color w:val="auto"/>
              </w:rPr>
            </w:pPr>
            <w:r>
              <w:rPr>
                <w:rFonts w:ascii="Times New Roman" w:cs="Times New Roman" w:eastAsia="Times New Roman" w:hAnsi="Times New Roman"/>
                <w:sz w:val="16"/>
                <w:szCs w:val="16"/>
                <w:color w:val="0000FF"/>
              </w:rPr>
              <w:t>Related Party Transactions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68</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980" w:type="dxa"/>
            <w:vAlign w:val="bottom"/>
            <w:tcBorders>
              <w:top w:val="single" w:sz="8" w:color="0000FF"/>
            </w:tcBorders>
            <w:gridSpan w:val="25"/>
          </w:tcPr>
          <w:p>
            <w:pPr>
              <w:spacing w:after="0" w:line="20" w:lineRule="exact"/>
              <w:rPr>
                <w:sz w:val="1"/>
                <w:szCs w:val="1"/>
                <w:color w:val="auto"/>
              </w:rPr>
            </w:pPr>
          </w:p>
        </w:tc>
        <w:tc>
          <w:tcPr>
            <w:tcW w:w="7360" w:type="dxa"/>
            <w:vAlign w:val="bottom"/>
            <w:gridSpan w:val="2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18.</w:t>
            </w:r>
          </w:p>
        </w:tc>
        <w:tc>
          <w:tcPr>
            <w:tcW w:w="9060" w:type="dxa"/>
            <w:vAlign w:val="bottom"/>
            <w:gridSpan w:val="46"/>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Segment Information</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69</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620" w:type="dxa"/>
            <w:vAlign w:val="bottom"/>
            <w:tcBorders>
              <w:top w:val="single" w:sz="8" w:color="0000FF"/>
            </w:tcBorders>
            <w:gridSpan w:val="19"/>
            <w:shd w:val="clear" w:color="auto" w:fill="CCEEFF"/>
          </w:tcPr>
          <w:p>
            <w:pPr>
              <w:spacing w:after="0" w:line="20" w:lineRule="exact"/>
              <w:rPr>
                <w:sz w:val="1"/>
                <w:szCs w:val="1"/>
                <w:color w:val="auto"/>
              </w:rPr>
            </w:pPr>
          </w:p>
        </w:tc>
        <w:tc>
          <w:tcPr>
            <w:tcW w:w="7720" w:type="dxa"/>
            <w:vAlign w:val="bottom"/>
            <w:tcBorders>
              <w:top w:val="single" w:sz="8" w:color="CCEEFF"/>
            </w:tcBorders>
            <w:gridSpan w:val="2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89"/>
              </w:rPr>
              <w:t>19.</w:t>
            </w:r>
          </w:p>
        </w:tc>
        <w:tc>
          <w:tcPr>
            <w:tcW w:w="9060" w:type="dxa"/>
            <w:vAlign w:val="bottom"/>
            <w:gridSpan w:val="46"/>
          </w:tcPr>
          <w:p>
            <w:pPr>
              <w:ind w:left="40"/>
              <w:spacing w:after="0" w:line="175" w:lineRule="exact"/>
              <w:rPr>
                <w:sz w:val="20"/>
                <w:szCs w:val="20"/>
                <w:color w:val="auto"/>
              </w:rPr>
            </w:pPr>
            <w:r>
              <w:rPr>
                <w:rFonts w:ascii="Times New Roman" w:cs="Times New Roman" w:eastAsia="Times New Roman" w:hAnsi="Times New Roman"/>
                <w:sz w:val="16"/>
                <w:szCs w:val="16"/>
                <w:color w:val="0000FF"/>
              </w:rPr>
              <w:t>Commitments and Contingencies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70</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2400" w:type="dxa"/>
            <w:vAlign w:val="bottom"/>
            <w:tcBorders>
              <w:top w:val="single" w:sz="8" w:color="0000FF"/>
            </w:tcBorders>
            <w:gridSpan w:val="32"/>
          </w:tcPr>
          <w:p>
            <w:pPr>
              <w:spacing w:after="0" w:line="20" w:lineRule="exact"/>
              <w:rPr>
                <w:sz w:val="1"/>
                <w:szCs w:val="1"/>
                <w:color w:val="auto"/>
              </w:rPr>
            </w:pPr>
          </w:p>
        </w:tc>
        <w:tc>
          <w:tcPr>
            <w:tcW w:w="6940" w:type="dxa"/>
            <w:vAlign w:val="bottom"/>
            <w:gridSpan w:val="1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89"/>
              </w:rPr>
              <w:t>20.</w:t>
            </w:r>
          </w:p>
        </w:tc>
        <w:tc>
          <w:tcPr>
            <w:tcW w:w="9060" w:type="dxa"/>
            <w:vAlign w:val="bottom"/>
            <w:gridSpan w:val="46"/>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Supplemental Cash Flow Information</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70</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680" w:type="dxa"/>
            <w:vAlign w:val="bottom"/>
            <w:tcBorders>
              <w:top w:val="single" w:sz="8" w:color="0000FF"/>
            </w:tcBorders>
            <w:gridSpan w:val="35"/>
            <w:shd w:val="clear" w:color="auto" w:fill="CCEEFF"/>
          </w:tcPr>
          <w:p>
            <w:pPr>
              <w:spacing w:after="0" w:line="20" w:lineRule="exact"/>
              <w:rPr>
                <w:sz w:val="1"/>
                <w:szCs w:val="1"/>
                <w:color w:val="auto"/>
              </w:rPr>
            </w:pPr>
          </w:p>
        </w:tc>
        <w:tc>
          <w:tcPr>
            <w:tcW w:w="6660" w:type="dxa"/>
            <w:vAlign w:val="bottom"/>
            <w:tcBorders>
              <w:top w:val="single" w:sz="8" w:color="CCEEFF"/>
            </w:tcBorders>
            <w:gridSpan w:val="1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9.</w:t>
            </w: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71</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840" w:type="dxa"/>
            <w:vAlign w:val="bottom"/>
            <w:tcBorders>
              <w:top w:val="single" w:sz="8" w:color="0000FF"/>
            </w:tcBorders>
            <w:gridSpan w:val="4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9A</w:t>
            </w:r>
            <w:r>
              <w:rPr>
                <w:rFonts w:ascii="Times New Roman" w:cs="Times New Roman" w:eastAsia="Times New Roman" w:hAnsi="Times New Roman"/>
                <w:sz w:val="16"/>
                <w:szCs w:val="16"/>
                <w:color w:val="000000"/>
              </w:rPr>
              <w:t>.</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71</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gridSpan w:val="2"/>
            <w:shd w:val="clear" w:color="auto" w:fill="CCEEFF"/>
          </w:tcPr>
          <w:p>
            <w:pPr>
              <w:spacing w:after="0" w:line="20" w:lineRule="exact"/>
              <w:rPr>
                <w:sz w:val="1"/>
                <w:szCs w:val="1"/>
                <w:color w:val="auto"/>
              </w:rPr>
            </w:pPr>
          </w:p>
        </w:tc>
        <w:tc>
          <w:tcPr>
            <w:tcW w:w="720" w:type="dxa"/>
            <w:vAlign w:val="bottom"/>
            <w:tcBorders>
              <w:top w:val="single" w:sz="8" w:color="CCEEFF"/>
            </w:tcBorders>
            <w:gridSpan w:val="4"/>
            <w:shd w:val="clear" w:color="auto" w:fill="CCEEFF"/>
          </w:tcPr>
          <w:p>
            <w:pPr>
              <w:spacing w:after="0" w:line="20" w:lineRule="exact"/>
              <w:rPr>
                <w:sz w:val="1"/>
                <w:szCs w:val="1"/>
                <w:color w:val="auto"/>
              </w:rPr>
            </w:pPr>
          </w:p>
        </w:tc>
        <w:tc>
          <w:tcPr>
            <w:tcW w:w="1600" w:type="dxa"/>
            <w:vAlign w:val="bottom"/>
            <w:tcBorders>
              <w:top w:val="single" w:sz="8" w:color="0000FF"/>
            </w:tcBorders>
            <w:gridSpan w:val="18"/>
            <w:shd w:val="clear" w:color="auto" w:fill="CCEEFF"/>
          </w:tcPr>
          <w:p>
            <w:pPr>
              <w:spacing w:after="0" w:line="20" w:lineRule="exact"/>
              <w:rPr>
                <w:sz w:val="1"/>
                <w:szCs w:val="1"/>
                <w:color w:val="auto"/>
              </w:rPr>
            </w:pPr>
          </w:p>
        </w:tc>
        <w:tc>
          <w:tcPr>
            <w:tcW w:w="7740" w:type="dxa"/>
            <w:vAlign w:val="bottom"/>
            <w:tcBorders>
              <w:top w:val="single" w:sz="8" w:color="CCEEFF"/>
            </w:tcBorders>
            <w:gridSpan w:val="3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9B.</w:t>
            </w:r>
          </w:p>
        </w:tc>
        <w:tc>
          <w:tcPr>
            <w:tcW w:w="9640" w:type="dxa"/>
            <w:vAlign w:val="bottom"/>
            <w:gridSpan w:val="12"/>
          </w:tcPr>
          <w:p>
            <w:pPr>
              <w:ind w:left="300"/>
              <w:spacing w:after="0"/>
              <w:rPr>
                <w:sz w:val="20"/>
                <w:szCs w:val="20"/>
                <w:color w:val="auto"/>
              </w:rPr>
            </w:pPr>
            <w:r>
              <w:rPr>
                <w:rFonts w:ascii="Times New Roman" w:cs="Times New Roman" w:eastAsia="Times New Roman" w:hAnsi="Times New Roman"/>
                <w:sz w:val="16"/>
                <w:szCs w:val="16"/>
                <w:color w:val="0000FF"/>
              </w:rPr>
              <w:t>Other Information</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0000FF"/>
                <w:w w:val="87"/>
              </w:rPr>
              <w:t>72</w:t>
            </w: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9C.</w:t>
            </w:r>
          </w:p>
        </w:tc>
        <w:tc>
          <w:tcPr>
            <w:tcW w:w="38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340" w:type="dxa"/>
            <w:vAlign w:val="bottom"/>
            <w:gridSpan w:val="1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III</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10.</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97"/>
              </w:rPr>
              <w:t>Item 11.</w:t>
            </w:r>
          </w:p>
        </w:tc>
        <w:tc>
          <w:tcPr>
            <w:tcW w:w="42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368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FF"/>
              </w:rPr>
              <w:t>Executive Compensation</w:t>
            </w:r>
          </w:p>
        </w:tc>
        <w:tc>
          <w:tcPr>
            <w:tcW w:w="5660" w:type="dxa"/>
            <w:vAlign w:val="bottom"/>
            <w:gridSpan w:val="4"/>
          </w:tcPr>
          <w:p>
            <w:pPr>
              <w:spacing w:after="0"/>
              <w:rPr>
                <w:sz w:val="15"/>
                <w:szCs w:val="15"/>
                <w:color w:val="auto"/>
              </w:rPr>
            </w:pP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73</w:t>
            </w: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12.</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13.</w:t>
            </w:r>
          </w:p>
        </w:tc>
        <w:tc>
          <w:tcPr>
            <w:tcW w:w="9640" w:type="dxa"/>
            <w:vAlign w:val="bottom"/>
            <w:gridSpan w:val="12"/>
          </w:tcPr>
          <w:p>
            <w:pPr>
              <w:ind w:left="300"/>
              <w:spacing w:after="0" w:line="175"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73</w:t>
            </w: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14.</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IV</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15.</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16.</w:t>
            </w:r>
          </w:p>
        </w:tc>
        <w:tc>
          <w:tcPr>
            <w:tcW w:w="9640" w:type="dxa"/>
            <w:vAlign w:val="bottom"/>
            <w:gridSpan w:val="12"/>
          </w:tcPr>
          <w:p>
            <w:pPr>
              <w:ind w:left="300"/>
              <w:spacing w:after="0" w:line="175" w:lineRule="exact"/>
              <w:rPr>
                <w:sz w:val="20"/>
                <w:szCs w:val="20"/>
                <w:color w:val="auto"/>
              </w:rPr>
            </w:pPr>
            <w:r>
              <w:rPr>
                <w:rFonts w:ascii="Times New Roman" w:cs="Times New Roman" w:eastAsia="Times New Roman" w:hAnsi="Times New Roman"/>
                <w:sz w:val="16"/>
                <w:szCs w:val="16"/>
                <w:color w:val="0000FF"/>
              </w:rPr>
              <w:t>Form 10-K Summary</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Signatures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within the meaning of Section 27A of the Securities Act of 1933 and Section 21E of the Securities Exchange Act of 1934. In addition, in the future the Company, and others on its behalf, may make statements that constitute forward-looking statements. Such forward-looking statements may include, without limitation, statements relating to the Company's plans, objectives or goals; future economic performance or prospects; the potential effect on the Company's future performance of certain contingencies; and assumptions underlying any such statements. You are cautioned not to place undue reliance on the Company's forward-looking statements.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Words such as "believes," "anticipates," "expects," "intends" and "plans" and similar expressions are intended to identify forward-looking statements but are not the exclusive means of identifying such statements. The forward-looking statements are and will be based upon management's then current views and assumptions regarding future events and operating performance and are only applicable as of the dates of such statements. The Company does not intend to update these forward-looking statements except as may be required by applicable laws.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By their very nature, forward-looking statements involve inherent risks and uncertainties, both general and specific, and risks exist that predictions, forecasts, projections and other outcomes described or implied in forward-looking statements will not be achieved. The Company cautions you that these important factors could cause results to differ materially from the plans, objectives, expectations, estimates and intentions expressed in such forward-looking statements, including the risks described under the caption "Risk Factors" in this Annual Report on Form 10-K.</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Given these risks, uncertainties and other factors, many of which are beyond our control, we caution you not to place undue reliance on these forward-looking statements.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175"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Telos Corporation is a Maryland corporation headquartered in Ashburn, Virginia. Telos Corporation, together with its subsidiaries (the "Company" or "Telos" or "We"), offers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with confidence in their security and privacy.</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mission is to protect our customers' people, information, and digital assets with offerings for cybersecurity, cloud security, and enterprise security. In the current global environment, our mission is more critical than ever. The emergence of each new information and communications technology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 Our security solutions span these three domains: cybersecurity, cloud security and enterprise security.</w:t>
      </w:r>
    </w:p>
    <w:p>
      <w:pPr>
        <w:spacing w:after="0" w:line="1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Fiscal year 2023 was a transition year for Telos, with a focus on streamlining our operations while rebuilding and growing our revenue base by generating new business wins. Our 2023 business development priorities were to:</w:t>
      </w:r>
    </w:p>
    <w:p>
      <w:pPr>
        <w:spacing w:after="0" w:line="1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internally to consolidate and centralize business development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talent to drive execution of solution development and new business generation;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existing strategic partnerships for market expansion;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opportunity portfolio and quality of contract vehicles.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improve our path forward, we planned to:</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our solution portfolio through accelerated plays on various programs and enhance program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pipeline and strengthen proposals for new businesses;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all employees through synergy, setting performance goals, and improving benefits.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conduct our business through two reportable and operating segments: Security Solutions and Secure Networks. These segments enable the alignment of our strategies and objectives and provide a framework for the timely and rational allocation of resources within the line of business.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our segments is presented in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xml:space="preserve"> to the consolidated financial statements at Item 8 of this Form 10-K.</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Solutions Segment:</w:t>
      </w:r>
    </w:p>
    <w:p>
      <w:pPr>
        <w:spacing w:after="0" w:line="16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The Security Solutions segment focuses on cybersecurity, cloud, identity solutions, and secure messaging. Cybersecurity solutions help our customers ensure the ongoing security, integrity and compliance of their on-premises and related cloud-based systems by reducing threats and vulnerabilities to foil cyber adversaries before they can attack. Our security engineers and subject matter experts assess our customers' cybersecurity environments and design, engineer, and operate systems needed to strengthen their cybersecurity postures. Our cloud solutions leverage the specialized skills and experience needed to help our customers plan, engineer, execute, and accelerate secure cloud migrations while assuring ongoing management and security of enterprise cloud technology environments. Our identity solutions deliver digital identity, biometric, and nationwide enrollment services and address Know Your Customer and identity management challenges for enterprises working within regulated and critical infrastructure environments. Our secure messaging services are used to securely transmit messages that provide direction and establish a formal position, commitment, or responses requiring the authority of an organization. Security Solutions represented 53.3% and 55.5% of total revenues for fiscal years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Solutions segment offers the following solutions and services:</w:t>
      </w:r>
    </w:p>
    <w:p>
      <w:pPr>
        <w:spacing w:after="0" w:line="16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Information Assurance:</w:t>
      </w:r>
    </w:p>
    <w:p>
      <w:pPr>
        <w:spacing w:after="0" w:line="173" w:lineRule="exact"/>
        <w:rPr>
          <w:rFonts w:ascii="Times New Roman" w:cs="Times New Roman" w:eastAsia="Times New Roman" w:hAnsi="Times New Roman"/>
          <w:sz w:val="18"/>
          <w:szCs w:val="18"/>
          <w:b w:val="1"/>
          <w:bCs w:val="1"/>
          <w:color w:val="auto"/>
        </w:rPr>
      </w:pPr>
    </w:p>
    <w:p>
      <w:pPr>
        <w:ind w:left="1300" w:right="60" w:hanging="320"/>
        <w:spacing w:after="0" w:line="246" w:lineRule="auto"/>
        <w:tabs>
          <w:tab w:leader="none" w:pos="1296"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Xacta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a premier platform for enterprise cyber risk management and security compliance automation, delivering security awareness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 the cloud, on-premises, and in hybrid and multi-cloud environments. Xacta delivers automated cyber risk and compliance management solutions to large commercial and government enterprises. Across the United States ("U.S.") federal government, Xacta is a leading commercial cyber risk and compliance management solution. With use cases including cyber risk management, risk remediation management, security authorization, compliance management, audit management, inventory management, vulnerability management, continuous compliance monitoring, and vendor and supply chain risk management, Xacta administers the key elements of more than 100 leading regulations and policies for IT security compliance, including the National Institute of Standards and Technology ("NIST") Risk Management Framework ("RMF"), RMF for Department of Defense ("DoD") IT, Committee on National Security Systems Instruction No. 1253, NIST Cybersecurity Framework, the Federal Risk and Authorization Management Program and the DoD's Cybersecurity Maturity Model Certification ("CMMC") program.</w:t>
      </w:r>
    </w:p>
    <w:p>
      <w:pPr>
        <w:spacing w:after="0" w:line="141" w:lineRule="exact"/>
        <w:rPr>
          <w:rFonts w:ascii="Times New Roman" w:cs="Times New Roman" w:eastAsia="Times New Roman" w:hAnsi="Times New Roman"/>
          <w:sz w:val="18"/>
          <w:szCs w:val="18"/>
          <w:b w:val="1"/>
          <w:bCs w:val="1"/>
          <w:color w:val="auto"/>
        </w:rPr>
      </w:pPr>
    </w:p>
    <w:p>
      <w:pPr>
        <w:ind w:left="1300" w:hanging="320"/>
        <w:spacing w:after="0" w:line="261"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 services</w:t>
      </w:r>
      <w:r>
        <w:rPr>
          <w:rFonts w:ascii="Times New Roman" w:cs="Times New Roman" w:eastAsia="Times New Roman" w:hAnsi="Times New Roman"/>
          <w:sz w:val="18"/>
          <w:szCs w:val="18"/>
          <w:color w:val="auto"/>
        </w:rPr>
        <w:t>: proven solutions and services for the full cybersecurity lifecycle, including consulting services, assessment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engineering and evaluation, operations, and penetration testing. With a pedigree in information and cybersecurity that spans three decades, our certified cybersecurity personnel provide services and solutions that deliver continuous security assurance for business, government, and critical infrastructure.</w:t>
      </w:r>
    </w:p>
    <w:p>
      <w:pPr>
        <w:spacing w:after="0" w:line="1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Secure Communications:</w:t>
      </w:r>
    </w:p>
    <w:p>
      <w:pPr>
        <w:spacing w:after="0" w:line="173" w:lineRule="exact"/>
        <w:rPr>
          <w:rFonts w:ascii="Times New Roman" w:cs="Times New Roman" w:eastAsia="Times New Roman" w:hAnsi="Times New Roman"/>
          <w:sz w:val="18"/>
          <w:szCs w:val="18"/>
          <w:b w:val="1"/>
          <w:bCs w:val="1"/>
          <w:i w:val="1"/>
          <w:iCs w:val="1"/>
          <w:color w:val="auto"/>
        </w:rPr>
      </w:pPr>
    </w:p>
    <w:p>
      <w:pPr>
        <w:ind w:left="1300" w:right="60" w:hanging="320"/>
        <w:spacing w:after="0" w:line="254"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Telos Automated Message Handling System ("Telos AMHS"): </w:t>
      </w:r>
      <w:r>
        <w:rPr>
          <w:rFonts w:ascii="Times New Roman" w:cs="Times New Roman" w:eastAsia="Times New Roman" w:hAnsi="Times New Roman"/>
          <w:sz w:val="18"/>
          <w:szCs w:val="18"/>
          <w:color w:val="auto"/>
        </w:rPr>
        <w:t>web-based organizational message distribution and management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communications; the recognized gold standard for organizational messaging in the U.S. government. Telos AMHS™ is used by military field operatives for critical communications on the battlefield using the Defense Information System Agency's Organizational Messaging Service and its specialized communications protocols. Telos AMHS is also used by the Intelligence Community ("IC") for timely situational awareness and assessment reporting utilizing the Director of National Intelligence's Information Transport Service, Organizational Messaging data standards and computing infrastructure. Because Telos AMHS supports timely and reliable delivery for authoritative communications, its uses include terrorist warnings, "eyes-only" messages, military execution orders, intelligence information, overflight clearances, and Emergency Action Messages for nuclear command and control. Information exchanged at this level and for these purposes requires operational requirements for time-sensitive, guaranteed delivery, precedence, high availability, and reliability.</w:t>
      </w:r>
    </w:p>
    <w:p>
      <w:pPr>
        <w:spacing w:after="0" w:line="131" w:lineRule="exact"/>
        <w:rPr>
          <w:rFonts w:ascii="Times New Roman" w:cs="Times New Roman" w:eastAsia="Times New Roman" w:hAnsi="Times New Roman"/>
          <w:sz w:val="18"/>
          <w:szCs w:val="18"/>
          <w:color w:val="auto"/>
        </w:rPr>
      </w:pPr>
    </w:p>
    <w:p>
      <w:pPr>
        <w:ind w:left="1300" w:right="300" w:hanging="320"/>
        <w:spacing w:after="0" w:line="258"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Telos Advanced Cyber Analytics ("Telos ACA")</w:t>
      </w:r>
      <w:r>
        <w:rPr>
          <w:rFonts w:ascii="Times New Roman" w:cs="Times New Roman" w:eastAsia="Times New Roman" w:hAnsi="Times New Roman"/>
          <w:sz w:val="18"/>
          <w:szCs w:val="18"/>
          <w:color w:val="auto"/>
        </w:rPr>
        <w:t>: a solution that is a dynamic, proprietary threat feed source of global Internet Protocol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("IP") addresses known to engage in potentially malicious activity, including mass scanning and generic opportunistic attacks. Telos ACA™ allows security operation centers the advantage of being able to reduce "noisy" IP security threat alerts and thereby increase operational efficiency, the ability to potentially identify forthcoming mass exploitation events, and the ability to improve the focus of ongoing threat hunts.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left="1300" w:right="100"/>
        <w:spacing w:after="0" w:line="255" w:lineRule="auto"/>
        <w:rPr>
          <w:sz w:val="20"/>
          <w:szCs w:val="20"/>
          <w:color w:val="auto"/>
        </w:rPr>
      </w:pPr>
      <w:r>
        <w:rPr>
          <w:rFonts w:ascii="Times New Roman" w:cs="Times New Roman" w:eastAsia="Times New Roman" w:hAnsi="Times New Roman"/>
          <w:sz w:val="18"/>
          <w:szCs w:val="18"/>
          <w:color w:val="auto"/>
        </w:rPr>
        <w:t>Telos ACA leverages a sophisticated global sensor network of nodes that run 24/7/365 and analyzes and aggregates anomalous Internet activity in near real time. Telos ACA intelligence is seamlessly and conveniently delivered as an industry-standard Structured Threat Information eXpression/Trusted Automated eXchange of Intelligence Information ("STIX/TAXII") based threat feed. STIX states the "what" of threat intelligence, while TAXII defines "how" that information is relayed. STIX and TAXII are machine-readable and, therefore, easily automated. This allows for easy consumption into third-party security tools, where the threat feed can be used to enrich and provide relevant information related to potential malicious network activity within environments. Telos ACA provides the IP, metadata, and raw data elements to improve threat hunting and eliminate threat noise.</w:t>
      </w:r>
    </w:p>
    <w:p>
      <w:pPr>
        <w:spacing w:after="0" w:line="129" w:lineRule="exact"/>
        <w:rPr>
          <w:sz w:val="20"/>
          <w:szCs w:val="20"/>
          <w:color w:val="auto"/>
        </w:rPr>
      </w:pPr>
    </w:p>
    <w:p>
      <w:pPr>
        <w:ind w:left="1300" w:hanging="320"/>
        <w:spacing w:after="0" w:line="245" w:lineRule="auto"/>
        <w:tabs>
          <w:tab w:leader="none" w:pos="129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Telos Ghost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virtual obfuscation network-as-a-service with encryption and managed attribution capabilities to ensure the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a single error in security can jeopardize operations, property, and even lives. Telos Ghost is used for a variety of highly sensitive applications, including cyber threat research, open-source intelligence, supply chain security vulnerability assessment, worldwide investigative and recovery services, and hiding critical assets.</w:t>
      </w:r>
    </w:p>
    <w:p>
      <w:pPr>
        <w:spacing w:after="0" w:line="13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 Identity Solutions:</w:t>
      </w:r>
    </w:p>
    <w:p>
      <w:pPr>
        <w:spacing w:after="0" w:line="169" w:lineRule="exact"/>
        <w:rPr>
          <w:rFonts w:ascii="Times New Roman" w:cs="Times New Roman" w:eastAsia="Times New Roman" w:hAnsi="Times New Roman"/>
          <w:sz w:val="18"/>
          <w:szCs w:val="18"/>
          <w:color w:val="auto"/>
        </w:rPr>
      </w:pPr>
    </w:p>
    <w:p>
      <w:pPr>
        <w:ind w:left="1300" w:right="20" w:hanging="320"/>
        <w:spacing w:after="0" w:line="246" w:lineRule="auto"/>
        <w:tabs>
          <w:tab w:leader="none" w:pos="129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IDTrust360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an enterprise digital trusted identity risk platform for extending flexible hybrid cloud identity services. This platform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enabled for mobile, enterprise environments and custom digital identity services that mitigate threats by integrating advanced technologies that fuse biometrics, credentials, and other identity-centric data used to continuously monitor trust. IDTrust360 is a commercially owned and operated platform with direct interfaces to the Federal Bureau of Investigation's ("FBI") criminal records, Department of Homeland Security's ("DHS") terrorist watch list service, U.S. Department of Treasury's pay.gov, other government identity risk management systems, and numerous commercial identity, intelligence, and risk-based data sources. We actively engage with federal customers to integrate vital event records, government identification document records, and other fingerprint-based biometric records hosted across multiple agencies. This enables Telos to offer NIST-compliant digital identity services aligned with federal security mandates.</w:t>
      </w:r>
    </w:p>
    <w:p>
      <w:pPr>
        <w:spacing w:after="0" w:line="139" w:lineRule="exact"/>
        <w:rPr>
          <w:rFonts w:ascii="Times New Roman" w:cs="Times New Roman" w:eastAsia="Times New Roman" w:hAnsi="Times New Roman"/>
          <w:sz w:val="18"/>
          <w:szCs w:val="18"/>
          <w:b w:val="1"/>
          <w:bCs w:val="1"/>
          <w:color w:val="auto"/>
        </w:rPr>
      </w:pPr>
    </w:p>
    <w:p>
      <w:pPr>
        <w:ind w:left="1300" w:right="180" w:hanging="320"/>
        <w:spacing w:after="0" w:line="242"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ONYX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world's first and most accurate touchless fingerprint biometric solution for mobile devices. Powered by state-of-the-art machine learning, ONYX eases deployment in a variety of industries, including financial services and healthcare, and applications like consumer authentication and physical access and security. Acquired by Telos in 2021, the patented and award-winning ONYX solution delivers touchless fingerprint biometrics that people can submit simply by using their mobile phones. In June 2022, ONYX won first place in the overall competition of the Mobile Fingerprint Information Technology Challenge hosted by the NIST.</w:t>
      </w:r>
    </w:p>
    <w:p>
      <w:pPr>
        <w:spacing w:after="0" w:line="140" w:lineRule="exact"/>
        <w:rPr>
          <w:rFonts w:ascii="Times New Roman" w:cs="Times New Roman" w:eastAsia="Times New Roman" w:hAnsi="Times New Roman"/>
          <w:sz w:val="18"/>
          <w:szCs w:val="18"/>
          <w:color w:val="auto"/>
        </w:rPr>
      </w:pPr>
    </w:p>
    <w:p>
      <w:pPr>
        <w:jc w:val="both"/>
        <w:ind w:left="1300" w:right="48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government certifications and designations that distinguish Telos ID, including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provider, Aviation Channeling Services ("ACS") provider, FBI-approved Channeler, and Financial Industry Regulatory Authority Electronic Fingerprint Submission provider.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 Networks Segment: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a focus on enterprise security, the Secure Networks segment provides secure networking architectures and solutions to our customers through secure mobility solutions and network management and defense services. Our net-centric solutions enable collaboration and connectivity to increase efficiency, reduce costs, and improve mission outcomes. Telos provides an extensive range of wired and wireless, fixed and deployable, classified and unclassified voice, data, and video secure network solutions and services to support defense and civilian missions. Capabilities include network design, operations, and sustainment, system integration and engineering, network security and compliance, deployable comms, service desk, defensive cyber operations, and program management. Secure Networks represented 46.7% and 44.5% of total revenues for the years ended December 31, 2023 and 2022,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our solutions and services in our Secure Networks segment:</w:t>
      </w:r>
    </w:p>
    <w:p>
      <w:pPr>
        <w:spacing w:after="0" w:line="167" w:lineRule="exact"/>
        <w:rPr>
          <w:sz w:val="20"/>
          <w:szCs w:val="20"/>
          <w:color w:val="auto"/>
        </w:rPr>
      </w:pPr>
    </w:p>
    <w:p>
      <w:pPr>
        <w:ind w:left="660" w:right="42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Secure Mobility: </w:t>
      </w:r>
      <w:r>
        <w:rPr>
          <w:rFonts w:ascii="Times New Roman" w:cs="Times New Roman" w:eastAsia="Times New Roman" w:hAnsi="Times New Roman"/>
          <w:sz w:val="18"/>
          <w:szCs w:val="18"/>
          <w:color w:val="auto"/>
        </w:rPr>
        <w:t>solutions for business and government that enable remote work and minimize operational and security concerns across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the enterprise. Our secure mobility team brings credentials to every engagement, supplying deep expertise and experience, highly desirable clearances and industry-recognized certifications for network engineering, mobility, and security. We also offer secure mobility professional services, such as consulting and deployment services, to deliver integrated communications solutions that meet even the most complex needs of civilian, defense, and commercial customers.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left="660" w:right="2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Management and Defense: </w:t>
      </w:r>
      <w:r>
        <w:rPr>
          <w:rFonts w:ascii="Times New Roman" w:cs="Times New Roman" w:eastAsia="Times New Roman" w:hAnsi="Times New Roman"/>
          <w:sz w:val="18"/>
          <w:szCs w:val="18"/>
          <w:color w:val="auto"/>
        </w:rPr>
        <w:t>services for operating, administrating, and defending complex enterprise networks and services for defensive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 operations. Our diverse network management and defense capabilities address common and uncommon requirements in many industries and disciplines, from military to government agencies. Telos network engineers, security specialists, and program managers are experienced with advanced DoD and federal networks and are certified in the leading tools, technologies, and best practices for network management and administration. We ensure the consistency and continuity of network management services required in today's mission-critical network environments.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pursuing multiple strategies in order to grow the Company in both our commercial and government business end markets. Our key growth strategies include:</w:t>
      </w:r>
    </w:p>
    <w:p>
      <w:pPr>
        <w:spacing w:after="0" w:line="52" w:lineRule="exact"/>
        <w:rPr>
          <w:sz w:val="20"/>
          <w:szCs w:val="20"/>
          <w:color w:val="auto"/>
        </w:rPr>
      </w:pPr>
    </w:p>
    <w:p>
      <w:pPr>
        <w:ind w:left="660" w:right="20" w:hanging="328"/>
        <w:spacing w:after="0" w:line="26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Broaden reach within the U.S. federal government</w:t>
      </w:r>
      <w:r>
        <w:rPr>
          <w:rFonts w:ascii="Times New Roman" w:cs="Times New Roman" w:eastAsia="Times New Roman" w:hAnsi="Times New Roman"/>
          <w:sz w:val="18"/>
          <w:szCs w:val="18"/>
          <w:color w:val="auto"/>
        </w:rPr>
        <w:t>. We have historically focused on the U.S. federal government and believe we are an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 in providing security solutions to federal agencies, including DoD and the IC. Nonetheless, we believe the U.S. federal government continues to represent a significant growth opportunity, and we expect to continue to invest in products and solutions to serve additional customers within the U.S. federal government.</w:t>
      </w:r>
    </w:p>
    <w:p>
      <w:pPr>
        <w:spacing w:after="0" w:line="73" w:lineRule="exact"/>
        <w:rPr>
          <w:rFonts w:ascii="Times New Roman" w:cs="Times New Roman" w:eastAsia="Times New Roman" w:hAnsi="Times New Roman"/>
          <w:sz w:val="18"/>
          <w:szCs w:val="18"/>
          <w:i w:val="1"/>
          <w:iCs w:val="1"/>
          <w:color w:val="auto"/>
        </w:rPr>
      </w:pPr>
    </w:p>
    <w:p>
      <w:pPr>
        <w:ind w:left="660" w:right="14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example, Xacta is included on DHS's Continuous Diagnostics and Mitigation Approved Products List to provide federal agencies with innovative security tools, which we believe presents us with an excellent opportunity to pursue contracts with additional federal agencies. In addition, our platform is available for use in the AWS GovCloud (U.S.), Oracle and Azure Government. The Telos ACA offering is positioned to supply unique data sets to government agencies, allowing them to be better informed as they defend and protect their networks and assets. Telos ACA is also positioned to provide government customers with specific, actionable and high-fidelity intelligence about malicious cyber activity targeted at their networks.</w:t>
      </w:r>
    </w:p>
    <w:p>
      <w:pPr>
        <w:spacing w:after="0" w:line="77" w:lineRule="exact"/>
        <w:rPr>
          <w:rFonts w:ascii="Times New Roman" w:cs="Times New Roman" w:eastAsia="Times New Roman" w:hAnsi="Times New Roman"/>
          <w:sz w:val="18"/>
          <w:szCs w:val="18"/>
          <w:i w:val="1"/>
          <w:iCs w:val="1"/>
          <w:color w:val="auto"/>
        </w:rPr>
      </w:pPr>
    </w:p>
    <w:p>
      <w:pPr>
        <w:ind w:left="660" w:right="80" w:hanging="328"/>
        <w:spacing w:after="0" w:line="26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Leverage our diverse security solutions to expand our presence in commercial markets</w:t>
      </w:r>
      <w:r>
        <w:rPr>
          <w:rFonts w:ascii="Times New Roman" w:cs="Times New Roman" w:eastAsia="Times New Roman" w:hAnsi="Times New Roman"/>
          <w:sz w:val="18"/>
          <w:szCs w:val="18"/>
          <w:color w:val="auto"/>
        </w:rPr>
        <w:t>. Our offerings are designed to have broad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security risk and compliance, secure messaging, identity vetting, and managed attribution and obfuscation. We believe that we are well-positioned to sell our capabilities into a dynamic and growing commercial opportunity set and will continue innovating to address emerging and unique requirements.</w:t>
      </w:r>
    </w:p>
    <w:p>
      <w:pPr>
        <w:spacing w:after="0" w:line="73" w:lineRule="exact"/>
        <w:rPr>
          <w:rFonts w:ascii="Times New Roman" w:cs="Times New Roman" w:eastAsia="Times New Roman" w:hAnsi="Times New Roman"/>
          <w:sz w:val="18"/>
          <w:szCs w:val="18"/>
          <w:i w:val="1"/>
          <w:iCs w:val="1"/>
          <w:color w:val="auto"/>
        </w:rPr>
      </w:pPr>
    </w:p>
    <w:p>
      <w:pPr>
        <w:ind w:left="660" w:right="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example, we have leveraged core Xacta functionality to meet the needs of large financial services and customer relationship management firms. We have also leveraged our U.S. federal government identity management qualifications to improve the speed and accuracy of vetting results for more than 100 airports, air carriers, and general aviation across the country. We intend to continue innovating and developing additional offerings for cloud, mobile, and Internet of Things ("IoT") devices.</w:t>
      </w:r>
    </w:p>
    <w:p>
      <w:pPr>
        <w:spacing w:after="0" w:line="69" w:lineRule="exact"/>
        <w:rPr>
          <w:rFonts w:ascii="Times New Roman" w:cs="Times New Roman" w:eastAsia="Times New Roman" w:hAnsi="Times New Roman"/>
          <w:sz w:val="18"/>
          <w:szCs w:val="18"/>
          <w:i w:val="1"/>
          <w:iCs w:val="1"/>
          <w:color w:val="auto"/>
        </w:rPr>
      </w:pPr>
    </w:p>
    <w:p>
      <w:pPr>
        <w:ind w:left="660" w:right="24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Target and replace inefficient legacy products</w:t>
      </w:r>
      <w:r>
        <w:rPr>
          <w:rFonts w:ascii="Times New Roman" w:cs="Times New Roman" w:eastAsia="Times New Roman" w:hAnsi="Times New Roman"/>
          <w:sz w:val="18"/>
          <w:szCs w:val="18"/>
          <w:color w:val="auto"/>
        </w:rPr>
        <w:t>. Recognizing the limitations of their legacy systems, organizations are replacing existing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processes with Telos solutions.</w:t>
      </w:r>
    </w:p>
    <w:p>
      <w:pPr>
        <w:spacing w:after="0" w:line="52" w:lineRule="exact"/>
        <w:rPr>
          <w:rFonts w:ascii="Times New Roman" w:cs="Times New Roman" w:eastAsia="Times New Roman" w:hAnsi="Times New Roman"/>
          <w:sz w:val="18"/>
          <w:szCs w:val="18"/>
          <w:i w:val="1"/>
          <w:iCs w:val="1"/>
          <w:color w:val="auto"/>
        </w:rPr>
      </w:pPr>
    </w:p>
    <w:p>
      <w:pPr>
        <w:ind w:left="660" w:right="160"/>
        <w:spacing w:after="0" w:line="28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For example, Telos AMHS is a web-centric system that replaced legacy capabilities like communications centers for the purpose of executing operational orders (through organizational messaging) across the U.S. federal government and around the world. Xacta has disrupted the cyber risk and compliance management business across the U.S. federal government, replacing tedious manual activity with automation and delivering that automation to meet our customer's needs on-premises, in hybrid environments, in the cloud, and across multi-cloud infrastructures.</w:t>
      </w:r>
    </w:p>
    <w:p>
      <w:pPr>
        <w:spacing w:after="0" w:line="54" w:lineRule="exact"/>
        <w:rPr>
          <w:rFonts w:ascii="Times New Roman" w:cs="Times New Roman" w:eastAsia="Times New Roman" w:hAnsi="Times New Roman"/>
          <w:sz w:val="18"/>
          <w:szCs w:val="18"/>
          <w:i w:val="1"/>
          <w:iCs w:val="1"/>
          <w:color w:val="auto"/>
        </w:rPr>
      </w:pPr>
    </w:p>
    <w:p>
      <w:pPr>
        <w:ind w:left="660" w:right="160" w:hanging="328"/>
        <w:spacing w:after="0" w:line="26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Pursue strategic acquisition opportunities</w:t>
      </w:r>
      <w:r>
        <w:rPr>
          <w:rFonts w:ascii="Times New Roman" w:cs="Times New Roman" w:eastAsia="Times New Roman" w:hAnsi="Times New Roman"/>
          <w:sz w:val="18"/>
          <w:szCs w:val="18"/>
          <w:color w:val="auto"/>
        </w:rPr>
        <w:t>. We believe that our markets remain fragmented, with many niche players providing limited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targeting narrow customer segments. Given the breadth of our solution set and our customer end markets, we believe that we are well-positioned to opportunistically acquire smaller companies and incorporate their technology or deploy their solutions across a larger customer set. We believe that a targeted and opportunistic acquisition strategy will be a force multiplier for our organic growth opportunity.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primary customers include the U.S. federal government, large commercial businesses, state and local governments, and international customers. Our consolidated revenues are largely attributable to prime contracts or to subcontracts with our contractors engaged in work for the U.S. government, with the remaining attributable to state and local governments, and commercial markets.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security solutions are the product of the extensive labor investment in developing our intellectual property and highly sophisticated software technology. These investments helped us expand with commercial customers, and win additional contracts within the military, the IC and civilian government agencies. Once our security solutions are embedded in our customers' technology infrastructure, these customer relationships often expand and lead to opportunities to provide additional security solutions.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U.S. federal government customers include the DoD, the Central Intelligence Agency, and multiple other agencies within the IC, and multiple civilian agencies, including but not limited to, the DHS, the U.S. Department of State, the FBI, and the Department of Health and Human Services. These customers have a number of subsidiary agencies with separate budgets and procurement functions. Our contracts may be with the highest level of these agencies or with the subsidiary agencies of these customers.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commercial customers include leading enterprises such as Amazon.com, Inc., Google, Zscaler, Ernst &amp; Young, Deloitte, Accenture, SAP, Verizon and Oracle.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part of our sales and marketing investments, we also make corporate investments in functional areas such as contracts, solution architects, lead generation tools, and operations to ensure our back-office systems and processes scale for business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expanded our sales capability for markets in which we are well known, such as the U.S. government, certain critical infrastructure sectors, and certain commercial verticals such as healthcare and financial services. We added commission incentivized sales personnel aligned to market segments focused on the U.S. federal government, the IC and the DoD market areas.</w:t>
      </w:r>
    </w:p>
    <w:p>
      <w:pPr>
        <w:spacing w:after="0" w:line="12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Customer acquisition often involves extensive interaction at all levels of an organization, from executives, to decision makers, to end users. We seek to forge relationships throughout an organization in an effort to obtain broad consensus as part of the sales process. We leverage the full power of Telos (executives, sales and industry partners) to gain access and build our brand awareness.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sales strategy is to establish a customer foothold with one of our solutions and work to achieve rapid success. We then leverage this customer relationship to generate interest in other solutions from the Telos portfolio. We have a variety of upsell opportunities that allow us to expand our presence within a customer account. For example, various complementary Xacta features build on each other and are sold separately.</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Much of our business is awarded through the submission of formal competitive bids; however, a portion of our revenue is awarded through limited competition or sole-source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Organizations</w:t>
      </w:r>
    </w:p>
    <w:p>
      <w:pPr>
        <w:spacing w:after="0" w:line="14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Our sales team works with partner organizations like AWS, Microsoft Azure, and Oracle to pursue mutual customers and leverage their marketplace platforms and marketing programs. In the past years, Telos announced a collaboration with IBM Security as part of IBM's Active Governance Services, which allows enterprises to operationalize and automate activities and solve challenges in cybersecurity compliance and regulatory risks. The solution combines IBM's world-class expertise in cyber compliance and governance programs with Telos' Xacta IT risk management platform to automate the time-consuming aspects of compliance and audit activities such as control selection, validation, reporting, and monitoring.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build market awareness of Telos and our solutions through a variety of marketing programs, including regular briefings with industry analysts, public relations activities, government relations initiatives, web seminars, trade show exhibitions, speaking engagements, and digital marketing. We will continue investing in these activities and targeting additional vertical-specific content creation, targeted advertising and brand awareness campaigns, social media campaigns, and search engine marketing.</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sales team works hand in hand with our marketing team and various subject matter experts to develop targeted awareness campaigns for our various solutions that generate valuable leads and contacts.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developed proprietary software-based solutions in various platforms related to security and cyber risk management. We invest substantial resources in research and development to innovate new solutions, enhance our offerings and grow opportunities by developing new features and modules for our existing platforms. In 2023, we invested in preexisting programs and next generation solutions in secure communications and cybersecurity. Leveraging our agile innovation and development practices, we rapidly establish prototypes that we can fully test for suitability and to pre-establish enterprise risk level across a variety of government networks and clouds. We are committed to and view our continued investment in research and development as a key factor to our long-term business success.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2023, we had 619 employees, of whom approximately 88.7% are located in the United States. Approximately 377 of our U.S.-based employees held U.S. security clearances, and 26% self-identify as veterans of U.S. military service. Our employees are not represented by a labor union or covered by a collective bargaining agreement. We have not experienced any work stoppages, and we consider relations with our employees to be good.</w:t>
      </w:r>
    </w:p>
    <w:p>
      <w:pPr>
        <w:spacing w:after="0" w:line="12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Telos places a strong emphasis on supporting our people. Our management team is committed to maintaining a corporate culture that fosters mutual respect and job satisfaction for our people while delivering innovation and value to customers and shareholders. This commitment is reflected in our core values:</w:t>
      </w:r>
    </w:p>
    <w:p>
      <w:pPr>
        <w:spacing w:after="0" w:line="8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 xml:space="preserve">Always </w:t>
      </w:r>
      <w:r>
        <w:rPr>
          <w:rFonts w:ascii="Times New Roman" w:cs="Times New Roman" w:eastAsia="Times New Roman" w:hAnsi="Times New Roman"/>
          <w:sz w:val="18"/>
          <w:szCs w:val="18"/>
          <w:color w:val="auto"/>
        </w:rPr>
        <w:t>with integrity, at Telos we:</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Build trusted relationships,</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Work hard together,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 xml:space="preserve">Design and deliver superior solutions, </w:t>
      </w:r>
      <w:r>
        <w:rPr>
          <w:rFonts w:ascii="Times New Roman" w:cs="Times New Roman" w:eastAsia="Times New Roman" w:hAnsi="Times New Roman"/>
          <w:sz w:val="18"/>
          <w:szCs w:val="18"/>
          <w:i w:val="1"/>
          <w:iCs w:val="1"/>
          <w:color w:val="auto"/>
        </w:rPr>
        <w:t>and</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Have fun doing it.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values are woven throughout the fabric of Telos. They are reflected in our hiring practices, reinforced regularly, and reviewed during appraisals.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are encouraged to challenge themselves and each other to exhibit the core values in all activities.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employees are given avenues of communication and interaction should they observe activities inconsistent with our core values. While employees are encouraged first to speak openly about any issues, a 24/7 hotline provides an opportunity to express concerns anonymously.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foundational value of integrity to be a non-negotiable requirement of employment, and an expectation of suppliers, partners, and our customers. We guard our reputation and will take necessary action to protect it. An essential part of our brand promise is always to engage employees, customers, partners, suppliers, and investors with integrity.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effort to improve our disclosures around human capital issues, in 2023, we provided a public report pursuant to the Sustainability Accounting Standards Board ("SASB") Software &amp; IT Service Standard, which report addresses, in part, metrics relating to recruiting and managing a global, diverse and skilled workforce.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1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operate in a very competitive environment for talent. To ensure we can attract the most well-qualified employees, we employ strategic sourcing methods, innovative recruitment campaigns, and inclusive outreach initiatives to attract a diverse pool of candidates. This involves leveraging various channels, such as job boards, social media platforms, and diversity-focused partnerships, to engage with candidates from different backgrounds and experiences.</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2023, we made several improvements to our employee value proposition, including enhancements on benefits available to employees, increasing paid time off and parental leave, accelerating the vesting period for stock matched by the Company in employees' 401(k) plans, instituting a new performance management program, and various supplemental programs to support our employees' physical, mental and financial well-being.</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at Telos, we help our employees succeed by providing flexibility in where and how they work. The employees' ability to work remotely or in a hybrid arrangement is a strategy that helps us attract, hire and retain the best people, regardless of their specific location. This strategy increases employee empowerment and satisfaction, drives efficiency, and enables us to hire from a broad and diverse talent pool.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value diversity and inclusion and are committed to providing a work environment free of discrimination and harassment, where our employees can do their best work, bring their whole selves to work, feel supported, and in turn, support others. We strive to create a working environment where everyone feels included and respected and has an equal opportunity to contribute. We believe that diverse teams maximize their potential and bring with them varied views, experiences, and perspectives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While we believe that our employee population is gender and ethnically diverse for our industry and operating markets, with approximately 25% of our global population self-identifying as female and approximately 38% self-identifying as underrepresented minorities, our objective is to continue to improve our hiring, development, training, advancement, and retention of diverse talent and to foster an inclusive environment at Telos.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We generally experience seasonality due to our key customers' fiscal year ends and procurement cycles. We derive a substantial portion of our revenue from the U.S. government, whose fiscal year ends on September 30 of each year, which may favorably impact our third fiscal quarter. In addition, our quarterly results may be impacted by the number of working days in a given quarter. See </w:t>
      </w:r>
      <w:r>
        <w:rPr>
          <w:rFonts w:ascii="Times New Roman" w:cs="Times New Roman" w:eastAsia="Times New Roman" w:hAnsi="Times New Roman"/>
          <w:sz w:val="18"/>
          <w:szCs w:val="18"/>
          <w:i w:val="1"/>
          <w:iCs w:val="1"/>
          <w:color w:val="auto"/>
        </w:rPr>
        <w:t>"Risk Factors — We are subject to the seasonality of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spending."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 and Regulation</w:t>
      </w:r>
    </w:p>
    <w:p>
      <w:pPr>
        <w:spacing w:after="0" w:line="175"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Our business is heavily regulated and we must comply with and are affected by laws and regulations relating to the formation, administration and performance of U.S. government and other contracts. U.S. government contracts generally are subject to the Federal Acquisition Regulation ("FAR"), which sets forth policies, procedures and requirements for acquiring goods and services by the U.S. government, and agency-specific regulations that implement or supplement the FAR. These regulations impose a broad range of requirements, many of which are unique to government contracting, including various procurement, security, contract pricing and cost, contract termination, and adjustments and audit requirements. These laws and regulations, among other things:</w:t>
      </w:r>
    </w:p>
    <w:p>
      <w:pPr>
        <w:spacing w:after="0" w:line="79" w:lineRule="exact"/>
        <w:rPr>
          <w:sz w:val="20"/>
          <w:szCs w:val="20"/>
          <w:color w:val="auto"/>
        </w:rPr>
      </w:pPr>
    </w:p>
    <w:p>
      <w:pPr>
        <w:ind w:left="660" w:right="3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specific and unique cost accounting practices that may differ from Generally Accepted Accounting Principles in the United States of America ("U.S. GAAP" or "GAAP") and therefore require reconciliation;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allowable and unallowable costs and otherwise govern our right to reimbursement under various cost-type U.S. government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compliance with U.S. government Cost Accounting Standards;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reviews by the Defense Contract Audit Agency, Defense Contract Management Agency and other U.S. government agencies for compliance with government requirements for a contractor's business system; and</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use and dissemination of, and require the protection of, unclassified contract-related information and information classified for national security purposes and the export of certain products and technical data.</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government customers employ several contracting methods to purchase services and products. Budgetary pressures and reforms in the procurement process have caused many U.S. government customers to increasingly purchase services and products using contracting methods that allow them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definitive award contracts, indefinite delivery / indefinite quantity ("IDIQ") contracts, U.S. General Service Administration ("GSA") schedule contracts and other transactional agreements ("OTA").</w:t>
      </w:r>
    </w:p>
    <w:p>
      <w:pPr>
        <w:spacing w:after="0" w:line="7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Government contracts are subject to congressional funding. Consequently, at the outset of a program, a contract is usually partially funded, and Congress annually determines if additional funds are to be appropriated to the contract. All of our government customers have the right to terminate their contract with us at their convenience or in the event that we default. Most of our contracts have cancellation terms that permit us to recover all or a portion of our incurred costs and fees for work performed where the U.S. government issues a termination for convenience.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portion of our business is classified by the U.S. government and cannot be specifically described. The operating results of these classified programs are included in our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regulations and risks are described in more detail below under "Risk Factors" in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Matters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strive to operate our business in an environmentally responsible manner and in support of sustainable long-term financial performance. Our Environmental, Social and Governance ("ESG") task force is charged with addressing climate and environmentally-related risks and opportunities, including our publicly-disclosed climate transition plan. The Company publicly reports certain climate change-related information via CDP and provides public sustainability disclosures using the SASB Software &amp; IT Service Standard. By making these disclosures, however, we have not concluded that the information disclosed is material to our business. The Board of Directors authorized the Nominating and Corporate Governance Committee to oversee the Company's ESG efforts, which include climate-related risks and opportunities.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"Risk Factors," for discussion of risks related to global climate and ESG matters.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Website and Available Information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19886 Ashburn Road, Ashburn, Virginia 20147, and our telephone number is (703) 724-3800. Our website can be accessed at www.telos.com, which contains information about our Company and operations. Through a link on the Investor Relations section of our website, copies of each of our filings with the U.S.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part of this Annual Report on Form 10-K.</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(www.sec.gov) that contains reports, proxy and information statements, and other information regarding issuers that file electronically with the SEC, including Telos.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your evaluation of the Company and business, you should carefully consider the risks and uncertainties as described below, together with the information included elsewhere in this Annual Report on Form 10-K and other documents we file with the SEC. These factors, as well as additional risks and uncertainties not currently known to us or that we currently believe are immaterial, may currently have, or may have, a significant impact on our business, operating results or financial condition. Actual results could differ materially from those projected in the forward-looking statements contained in this Form 10-K as a result of the risk factors discussed below and elsewhere in this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 or other information security breaches, threats or other disruptions.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routinely experience cybersecurity threats, threats to our information technology infrastructure and attempts to gain access to our sensitive information, as do our customers, suppliers, subcontractors and joint venture partners. We may experience similar security threats at customer sites that we operate and manage as a contractual requirement. The threats we face vary from attacks common to most industries to more advanced and persistent, highly organized adversaries who target us because we protect national security information. While we have security measures in place to protect our data, the data of our customers or end-users of our services, our services and underlying infrastructure may in the future be materially breached or compromised as a result of the following:</w:t>
      </w:r>
    </w:p>
    <w:p>
      <w:pPr>
        <w:spacing w:after="0" w:line="133" w:lineRule="exact"/>
        <w:rPr>
          <w:sz w:val="20"/>
          <w:szCs w:val="20"/>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fraudulently induce employees or customers into disclosing sensitive information such as user names, passwords or other information to gain access to our customers' data, our data or our IT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individuals or groups of hackers and sophisticated organizations, including state-sponsored organizations or nation-states;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on our internally built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resulting from enhancements and updates to our existing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the products or components across the broad ecosystem that our services operate in or are dependent 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newly acquired or integrated technologies and infrastructures;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third-party software or services that we employ;</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on, or vulnerabilities in, the many different underlying networks and services that power the Internet that our products depend on, most of which are not under our control or the control of our vendors, partners, or customers;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contractor errors or intentional acts that compromise our security systems.</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the extent possible, these risks are mitigated by our ability to maintain and improve information security governance policies, enhanced processes and internal security controls, including our ability to escalate and respond to known and potential risks. Although we have developed systems and processes designed to assess, identify, and manage material cybersecurity risks, we can provide no assurances that such systems and processes will provide absolute security. In the normal course of business, we are the target of malicious cyberattack attempts. To date, any such attempts have not been material or significant to us, including to our reputation or business operations, or had a material financial impact, but there can be no assurance that future cyberattacks will not be material or significant.</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security breach or incident could result in unauthorized parties obtaining access to, or the denial of authorized access to, our IT systems or data, or our customers' systems or data, including intellectual property, proprietary, sensitive, or other confidential information. A security breach or incident could result in the unauthorized disclosure of large quantities of our customers' customers' personally identifiable information. A security breach could also result in a loss of confidence in the security of our services, damage our reputation, negatively impact our future sales, disrupt our business and lead to increases in insurance premiums and legal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or contracts for our solutions and services and expand our relationship with them, our revenue could decline and our results of operations would be adversely impacted.</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continue to maintain and grow our business, it is important that our existing customers renew their subscriptions or contracts for our solutions and services when existing contract terms expire. Our customers have no obligation to renew or extend their subscriptions or contracts for our solutions or services after the expiration of the contractual periods, which vary in length, and in the normal course of business, some customers have elected not to renew or extend. It is difficult to predict attrition rates given the varying needs of our customer base. Our attrition rates may increase or fluctuate as a result of a number of factors, including customer dissatisfaction with our services, customers' spending levels, mix of customer base, decreases in the number of users at our customers, competition, pricing increases or changes, and deteriorating general economic conditions or budgetary constraints.</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future success also depends in part on our ability to expand our relationships with our current customers by selling additional features and services, more subscriptions or enhanced editions of our services. This may also require increasingly sophisticated and costly sales efforts that are targeted at senior leaders. Similarly, the rate at which our customers purchase new or enhanced services depends on a number of factors, some of which are beyond our control.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to maintain and expand our relationships with our existing customers are not successful, our business could be harmed.</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government may terminate, cancel, delay, modify or curtail our contracts at any time prior to completion and, if we do not replace them, this may adversely affect our future revenues and could adversely impact our earnings</w:t>
      </w:r>
      <w:r>
        <w:rPr>
          <w:rFonts w:ascii="Times New Roman" w:cs="Times New Roman" w:eastAsia="Times New Roman" w:hAnsi="Times New Roman"/>
          <w:sz w:val="18"/>
          <w:szCs w:val="18"/>
          <w:i w:val="1"/>
          <w:iCs w:val="1"/>
          <w:color w:val="auto"/>
        </w:rPr>
        <w:t>.</w:t>
      </w:r>
    </w:p>
    <w:p>
      <w:pPr>
        <w:spacing w:after="0" w:line="10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Many of the U.S. government programs in which we participate, both as a contractor or subcontractor, extend for several years and include one or more base years and one or more option years. These programs are typically funded on an annual basis. Under these contracts, the U.S. government generally has the right not to exercise options to extend or expand our contracts and may otherwise terminate, cancel, modify or curtail our contracts at its convenience.</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First, the process may be delayed or disrupted. Changes in congressional schedules, negotiations for program funding levels or unforeseen world events can interrupt the funding for a program or contract. Second, funds for multi-year contracts can be changed in subsequent years in the appropriations process. In addition, the U.S. government has increasingly relied on IDIQ contracts and other procurement vehicles that are subject to a competitive bidding and funding process even after the award of the basic contract, adding an element of uncertainty to future funding levels. Delays in the funding process or changes in funding or funding priorities can impact the timing of available funds or can lead to changes in program content or termination at the government's convenience.</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decisions by the U.S. government to not exercise contract options or to terminate, cancel, delay, modify or curtail our major programs or contracts would adversely affect our revenues, revenue growth and profitability.</w:t>
      </w:r>
    </w:p>
    <w:p>
      <w:pPr>
        <w:spacing w:after="0" w:line="10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few key customer contracts for a significant portion of our future revenue, and a significant reduction in goods and services or delay in implementation to one or more of these contracts would reduce or delay our future revenue and could materially affect our anticipated operating results.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small number of our large customer contracts are expected to comprise a significant portion of our future revenue. Our business will likely be harmed if any of our key customer contracts generate less revenue than we forecast, and the termination or delay of a large contract or multiple contracts could have a material adverse effect on our revenue and profitability. Adverse events affecting the programs subject to these contracts could also negatively affect our ability to process transactions under those contracts, which could adversely affect our revenue and the results of operations.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attract, train, retain and motivate key and skilled employees, including key members of our management team, would adversely affect our ability to execute our strategy and may disrupt our operations.</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business relies heavily upon the expertise and services of our employees. Our success depends upon the continued services of our highly qualified and experienced executive officers and other key members of management. From time to time, there may be changes in our executive management team resulting from the hiring or departure of executives. Such changes in our executive management team may be disruptive to our business.</w:t>
      </w:r>
    </w:p>
    <w:p>
      <w:pPr>
        <w:spacing w:after="0" w:line="1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are also substantially dependent on the continued service of our existing highly trained and skilled personnel, particularly our business development and operations group, because of the complexity of our services and technologies. The technology industry is subject to substantial and continuous competition for engineers and other subject matter experts with high levels of experience in designing, developing and managing software, cybersecurity, and Internet-related services, as well as competition for sales executives, data scientists and operations personnel. Competition for skilled personnel is intense and many U.S. government programs also require contractors to have security clearances, certain of which can be difficult and time-consuming to obtain.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not be successful in attracting and retaining qualified personnel. From time to time, we have experienced, and we expect to continue to experience, difficulty in hiring, developing, integrating and retaining highly skilled employees with appropriate qualifications. These difficulties may be amplified by evolving restrictions on immigration, travel, or the availability of visas for skilled technology workers. These difficulties could be further amplified by the high cost of living in the Washington D.C. metropolitan area, where our headquarters is located. If we fail to attract new personnel or fail to retain and motivate our current key employees or group, our business and future growth prospects could be severely harmed.</w:t>
      </w:r>
    </w:p>
    <w:p>
      <w:pPr>
        <w:spacing w:after="0" w:line="1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competitive bidding process to obtain U.S. government contracts, both upon initial issuance and re-competition, and the likelihood of bid protest, we may be unable to achieve or sustain revenue growth and profitability.</w:t>
      </w:r>
    </w:p>
    <w:p>
      <w:pPr>
        <w:spacing w:after="0" w:line="1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Many of our U.S. government contracts are awarded through a competitive bidding process upon initial award and renewal, and we expect this will continue. There is often significant competition and pricing pressure as a result of this process. The competitive bidding process presents a number of risks, including the following:</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substantial funds and time to prepare bids and proposals for contracts that may ultimately be awarded to one of our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accurately estimate the resources and costs that will be required to perform any contract we are awarded, which could result in substantial cost overruns and decreased margins;</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expense and delay if our competitors protest or challenge awards of contracts, and any such protest or challenge could result in a requirement to resubmit bids on modified specifications or in the termination, reduction or modification of the awarded contract;</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protest of contracts awarded to us may result in the delay of program performance and the generation of revenue while the protest is pending; and</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given the opportunity to re-compete for U.S. government contracts previously awarded to us, we may incur expenses to protest such a decision and ultimately may not succeed in competing for or winning such contract renewal.</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U.S. government contracts for which we compete typically have multiple option periods, and if we fail to win a contract or a task order, we generally will be unable to compete again for that contract for several years. If we fail to win new contracts or to receive renewal contracts upon re-competition, it may result in additional costs and expenses and possible loss of revenue, and we will not have an opportunity to compete for these contract opportunities again until such contracts expire.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and future profitability depend, in part, on our ability to develop new technologies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part, on our ability to anticipate and respond effectively to rapid technological changes and market developments. Virtually all of the products we produce and sell are highly engineered and require sophisticated manufacturing and system integration techniques and capabilities. The government market in which we primarily operate is characterized by rapidly changing technologies. The product or program needs of our government and commercial customers change and evolve regularly. Accordingly, our future performance in part depends on our ability to identify emerging technological trends, develop and manufacture competitive products, and bring those products to market quickly at cost-effective prices. If we fail to effectively anticipate, identify and respond to those changes in a timely manner, our business could be negatively impacted. Likewise, if we are unable to develop new products that meet customers' changing needs, future sales and earnings may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due to increasing variability in our security solutions' sales and implementation cycles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market the majority of our security solutions directly to U.S. government customers. The sale and implementation of our services to these entities typically involves a lengthy education process and a significant technical evaluation and commitment of capital and other resources, which adds uncertainty to our sales cycle. This process is also subject to the risk of delays associated with customers' internal budgeting and other procedures for approving large capital expenditures, deploying new technologies within their networks and testing and accepting new technologies that affect key operations.</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a result, the sales and implementation cycles associated with certain of our services can be difficult to predict and lengthy. Our quarterly and annual operating results could be materially harmed if orders forecasted for a specific customer for a particular period of time are not realized.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execute our sales and business development capabilities will harm our ability to grow our business.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solutions and services will depend, to a significant extent, on our ability to perform at a high level in our business development, growth, sales and marketing operations and activities. We believe that selling and marketing our security solutions requires advanced sales skills, customer relationships and technical knowledge to generate interest and effectively communicate our solutions or services to new markets.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achieve anticipated revenue growth from our growth team if we are unable to hire and develop talented business development and sales personnel, if our new business development and sales personnel are unable to achieve desired productivity levels in a reasonable period of time, or if we are unable to retain our existing sales force.</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computing infrastructure operated by third parties to support some of our solutions and customers, and to help complete critical business functions. Any errors, disruption, performance problems, or failure in their or our operational infrastructure could adversely affect our business, financial condition, and results of operations.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rely on the technology, infrastructure, and software applications of certain third parties in order to host or operate some of certain key platform features or functions of our business. Additionally, we rely on third-party computer hardware and cloud capabilities in order to deliver our solutions and services. Our business is dependent on the integrity, security and efficient operation of this technology and infrastructure, and we do not necessarily control the operation or data security of the third-parties we utilize.</w:t>
      </w:r>
    </w:p>
    <w:p>
      <w:pPr>
        <w:spacing w:after="0" w:line="12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any of these third-party services experience errors, disruptions, security issues, or other performance deficiencies; if they are updated such that our solutions become incompatible; if these services, software, or hardware fails or becomes unavailable due to extended outages, interruptions, defects, or otherwise; or if they are no longer available on commercially reasonable terms or prices (or at all), these issues could result in errors or defects in our solutions, failure of our solutions to perform, decline in our revenue and margins, damage to our reputation and brand, exposure to legal or contractual liability, increase in our expenses, and interruption in our ability to manage our operations. In addition,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Furthermore, our solutions are, in many cases, important or essential to our customers' operations, including in some cases, their cybersecurity or oversight and compliance programs, and subject to service level agreements. Any interruption in our service, whether as a result of an internal or third-party issue, could damage our brand and reputation, cause our customers to terminate or not renew their contracts with us or decrease the use of our solutions and services, require us to indemnify our customers against certain losses, result in our issuing credit or paying penalties or fines, subject us to other losses or liabilities, cause our solutions to be perceived as unreliable or unsecure, and prevent us from gaining new or additional business from current or future customers, any of which could harm our business, financial condition, and results of operations.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 The provisioning of additional cloud hosting capacity requires lead time. These third parties have no obligation to renew their agreements with us on commercially reasonable terms, or at all. If these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In that case, we could incur significant costs and experience possible service interruption in connection with doing so, or risk loss of customer contracts if they are unwilling to accept such a change.</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failure to maintain our relationships with our third-party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certain operational services and components of our products in order to fully perform under our contracts, and the failure or disruption of a third party to perform these services could have an adverse impact on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subcontractors and other suppliers to provide materials, major components and subsystems for our products or to perform a portion of the services that we provide to our customers. Occasionally, we rely on only one or two sources of supply, which, if disrupted, could have an adverse effect on our ability to meet our commitments to customers. We depend on these subcontractors and suppliers to fulfill their contractual obligations in a timely and satisfactory manner in full compliance with customer requirements. If one or more of our suppliers or subcontractors is unable to satisfactorily provide on a timely basis the agreed-upon supplies or perform the agreed-upon services per its contractual obligations, our ability to perform our obligations as a prime contractor may be adversely affected, and we may be exposed to liability.</w:t>
      </w:r>
    </w:p>
    <w:p>
      <w:pPr>
        <w:spacing w:after="0" w:line="1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and the third-party systems upon which we and our customers rely are also vulnerable to damage or interruption from catastrophic occurrences or events outside of our control.</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systems and the third-party systems, upon which we and our customers rely, are also vulnerable to damage or interruption from catastrophic occurrences, telecommunication failures, cybersecurity threats, social unrest,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solutions,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3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may be also be impacted by natural disasters, wars, terrorist attacks, power outages, public health crisis (epidemics or pandemics), or other events outside of our control. If major disasters such as earthquakes, floods, hurricanes, tornadoes, fires, or other events occur, or our information system or communications network breaks down, operates improperly, or is unusable, our headquarters and other facilities may be seriously damaged, or we may have to stop or delay production and delivery of our solutions and services.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recent COVID-19 pandemic disrupted the normal operations of many businesses and other organizations, including the temporary closure or scale-back of business operations and the imposition of either quarantine or remote work or meeting requirements for employees, either by government order or on a voluntary basis. The pandemic may adversely affect our customers' ability to perform their missions and is, in many cases disrupting their operations. It may also result in a change in spending priorities on the part of our customers, which could precipitate the cancellation, delay or deferral of programs, contracts or business opportunities.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customer-imposed limitations and using various technologies to perform their functions.</w:t>
      </w:r>
    </w:p>
    <w:p>
      <w:pPr>
        <w:spacing w:after="0" w:line="13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Although we maintain crisis management and disaster response plans, such events could make it difficult or impossible for us to deliver our solutions and services to our customers, and could decrease demand for our offerings. We may incur shutdowns, delays, disruptions or expenses relating to such events outside of our control, which could have a material adverse impact on our business, operating results and financial condition. Moreover, any significant natural disaster, pandemic, other catastrophic or force majeure events could affect our personnel, supply chain, or service providers' ability to provide materials and perform services on a timely basis. Act of terrorism and other geopolitical unrest could also potentially cause disruptions in our business or the business of our supply chain, services providers, or the economy as a whole. Because we do not carry insurance for all of these possible losses, and significant recovery time could be required to resume operations, our financial condition and operating results could be materially adversely affected by such an event outside of our control.</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technologies and proprietary rights could harm our business, competitive position, financial condition, and results of operations.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internally developed technologies, patents and other intellectual property. Despite our precautions, it may be possible for a third party to copy or otherwise obtain and use our trade secrets or other forms of intellectual property without authorization. Furthermore, the laws of foreign countries may not protect our proprietary rights in those countries to the same extent U.S. law protects these rights in the United States. In addition, it is possible that others may independently develop substantially equivalent intellectual property. If we do not effectively protect our intellectual property, our business could suffer.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our rights. In the future, we may have to resort to litigation to enforce our intellectual property rights, protect our trade secrets, or determine the validity and scope of the proprietary rights of others. Regardless of outcome, this type of litigation could result in substantial costs and diversion of management and technical resources. The inability to adequately protect and enforce our intellectual property and other proprietary rights could seriously harm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accurately estimate the factors upon which we base our contract pricing could adversely impact our earnings and profitability.</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Generally, our customer contracts are either fixed-price or cost-reimbursable. Under fixed-price contracts, which represented approximately 78.5% of our 2023 revenues, we receive a fixed price irrespective of the actual costs we incur and, consequently, we carry the burden of any cost overruns. Due to their nature, fixed-price contracts inherently have more risk than cost-reimbursable contracts, particularly fixed-price development contracts where the costs to complete the development stage of the program can be highly variable, uncertain and difficult to estimate. Under cost-reimbursable contracts, subject to a contract-ceiling amount in certain cases, we are reimbursed for allowable costs and paid a fee, which may be fixed or performance-based. If our costs exceed the contract ceiling and are not authorized by the customer or are not allowable under the contract or applicable regulations, we may not be able to obtain reimbursement for all such costs and our fees may be reduced or eliminated. Because many of our contracts involve advanced designs and innovative technologies, we may experience unforeseen technological difficulties and cost overruns.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both types of contracts, we must accurately estimate the likely volume of work that will occur, costs and resource requirements involved, and assess the probability of completing individual transactions or milestones within the contracted time period and amount to maximize or earn profit on these contracts. In addition, some of our contracts have provisions relating to cost controls and audit rights, and if we fail to meet the terms specified in those contracts, we may not realize their full benefits. Cost overruns or poor cost controls could lower earnings, or may incur a net loss on a contract, and cause a negative impact on our results of operations.</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face risks associated with the growth of our business in new commercial markets and with new customer verticals, and we may not be able to continue our organic growth nor have the necessary resources to dedicate to the overall growth of our business.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plan to expand our operations in new commercial markets, including those where we may have limited operating experience, and may be subject to increased business, technology and economic risks that could affect our financial results. In the future, we may increasingly focus on commercial customers, including in the banking, financial services, healthcare, manufacturing, telecommunication, airlines and aerospace, insurance, retail, transportation, shipping and logistics, and energy industries, as well as other critical infrastructure industries. Entering new verticals and expanding in the verticals in which we are already operating will continue to require significant resources and there is no guarantee that such efforts will be successful or beneficial to us.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sales to a new customer have often led to additional sales to the same customer or similarly situated customers, it is uncertain we will achieve the same penetration and organic growth in the future, and our reputation, business, financial condition, and results of operations could be negatively impacted. As we expand into and within new and emerging markets and heavily regulated industry verticals, we will likely face additional regulatory scrutiny, risks, and burdens from the governments and agencies which regulate those markets and industries.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deliver high-quality technical support services may adversely affect our relationships with our customers and our financial results.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organization to resolve technical issues relating to our solutions and offerings. We may be unable to respond quickly enough to accommodate short-term increases in customer demand for support services. Increased customer demand for these services, without corresponding revenues, could increase costs and adversely affect our operating results. In addition, our sales process is highly dependent on the reputation of our solutions and support and on positive recommendations from our existing customers. Failure to maintain high-quality technical support, or a market perception that we do not maintain high-quality support, could adversely affect our reputation, our ability to sell our offerings to existing and prospective customers, and our business, operating results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 with our partner organizations.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 grow our business, we will continue to build, grow and maintain relationships with third parties, such as partner organizations, that provide complementary cybersecurity offerings. Identifying partners, and negotiating relationships with them, requires significant time and resources. The relationship we have with our partners, and that our partners have with our customers, provides our customers with enhanced value for our solutions and services.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agreements with our partners are generally non-exclusive; therefore, our partners may offer customer solutions from several companies, including solutions and services that compete with ours. If our partners do not effectively market and sell our solutions or services, or use greater efforts to market and sell their solutions or those of our competitors, or fail to meet the needs of our customers, or if we are unsuccessful in establishing or maintaining our relationships with our partners, our ability to compete in the marketplace or to grow our revenue could be impaired, and our results of operations could be adversely affected.</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license third-party technology that is used in our products and services to perform key functions, the loss could have an adverse effect on our revenues.</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currently incorporate technology that we license from third-parties, including software, into our solutions. The third-party technology licenses used by us may not continue to be available on commercially reasonable terms or at all. Our business could suffer if we lost the right to use these technologies.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margins and results of operations could be significantly harmed.</w:t>
      </w:r>
    </w:p>
    <w:p>
      <w:pPr>
        <w:spacing w:after="0" w:line="1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 third-party could claim that the licensed software infringes a patent or other proprietary right. Litigation between the licensor and a third-party or between a third party and us could lead to royalty obligations for which we are not indemnified or for which indemnification is insufficient, or we may not be able to obtain any additional license on commercially reasonable terms or at all. The loss of, or our inability to obtain or maintain, any of these technology licenses could delay the introduction of new products or services until equivalent technology, if available, is identified, licensed and integrated.</w:t>
      </w:r>
    </w:p>
    <w:p>
      <w:pPr>
        <w:spacing w:after="0" w:line="1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set optimal pricing structures for our solutions and services could adversely impact our business, financial condition and results of operations.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change our pricing model in response to competition, global economic conditions, and general reductions in our customers' spending levels, pricing studies, or changes in how our solutions are broadly consumed. Similarly, as we introduce new products and services, or as a result of the evolution of our existing solutions and services, we may have difficulty determining the appropriate price structure for our products and services. Further, as new and existing competitors introduce new products or services that compete with ours, or revise their pricing structures, we may be unable to attract new customers at the same price or based on the same pricing model as we have used historically. Moreover, as we continue to target selling our solutions and services to larger organizations, these larger organizations may demand substantial price concessions. We may also need to change pricing policies to accommodate government pricing guidelines for our contracts with federal, state, local, and foreign governments and government agencies.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are unable to modify or develop pricing models and strategies that are attractive to existing and prospective customers, while enabling us to significantly grow our sales and revenue relative to our associated costs and expenses in a reasonable period of time, our business, financial condition, and results of operations may be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expose us to risks inherent in international operations.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sell our services outside the United States and are subject to unique risks and challenges associated with international business. These risks and challenges include, but are not limited to, (a) compliance with governmental laws and regulations, (b) foreign business practices, (c) tax environments, (d) protection of our intellectual property, and (e) regional economic and geopolitical conditions.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our international operations have historically generated a small proportion of our revenues, any of these factors could negatively impact our business and results of operations. In addition, these factors may also negatively impact our ability to successfully expand into emerging market countries, where we have little or no operating experience, where it can be costly and challenging to establish and maintain operations, including hiring and managing required personnel, and difficult to promote our brand, and where we may not benefit from any first-to-market advantage or otherwise succeed.</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regulatory disputes and governmental inquiries that could materially harm our business, operating results, and financial condition.</w:t>
      </w:r>
    </w:p>
    <w:p>
      <w:pPr>
        <w:spacing w:after="0" w:line="10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From time to time, in the ordinary course of business, we have been involved in legal proceedings and in the future may be subject to lawsuits, claims, government investigations and other proceedings. These may include lawsuits and claims related to securities compliance, contracts, subcontracts, intellectual property, employment and wage claims, and other matters. Our business may be adversely affected by the outcome of legal proceedings and other contingencies that cannot be predicted with certainty. Those contingencies include, but are not limited to, the cost of litigation and unpredictable court decisions. Adverse outcomes with respect to litigation, or a government inquiry, or any of these legal proceedings may result in significant settlement costs or judgments, penalties and fines, or harm our reputation, all of which could negatively affect our business, results of operations and financial conditions.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future acquisitions, strategic investments, partnerships, divestitures, mergers or joint ventures may subject us to significant risks, any of which could harm our business.</w:t>
      </w:r>
    </w:p>
    <w:p>
      <w:pPr>
        <w:spacing w:after="0" w:line="10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have in the past acquired, and may in the future seek to acquire or invest in complementary businesses, products or technologies to enhance our technical capabilities or otherwise offer growth opportunities.</w:t>
      </w:r>
    </w:p>
    <w:p>
      <w:pPr>
        <w:spacing w:after="0" w:line="10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long-term strategy may include identifying and acquiring, partnering with, investing in or merging with suitable candidates on acceptable terms, or divesting of certain business lines or activities. Partnerships, mergers, joint ventures, acquisitions, and divestitures include a number of risks and present financial, managerial and operational challenges, including but not limited to:</w:t>
      </w:r>
    </w:p>
    <w:p>
      <w:pPr>
        <w:spacing w:after="0" w:line="12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running our existing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material weaknesses in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including legal, administrative and compensation expenses related to newly hired or terminated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integrate the technology, personnel, customer base and business practices of the acquired company with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material liabilities not discovered in the due diligence process;</w:t>
      </w:r>
    </w:p>
    <w:p>
      <w:pPr>
        <w:spacing w:after="0" w:line="17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reported operating results due to possible write-down of goodwill and other intangible assets associated with acquisitions;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acquisition financing or unavailability of such financing on reasonable terms.</w:t>
      </w:r>
    </w:p>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Any acquired business, technology, service or product could significantly underperform relative to our expectations and may not achieve the benefits we expect from possible acquisitions. For all these reasons, our pursuit of an acquisition, partnership, investment, divestiture, merger, or joint venture could cause its actual results to differ materially from those anticipated.</w:t>
      </w:r>
    </w:p>
    <w:p>
      <w:pPr>
        <w:spacing w:after="0" w:line="11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confidence in, and acceptance of, identity platforms and biometrics generally, and our solutions specifically, will be a key factor in our business’s continued growth.</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profitability will depend, in part, on public confidence in and acceptance of identity platforms and biometrics generally. Continued acceptance of identity platforms and biometric information as a secure and reliable method to identify individuals, mitigate risk and minimize fraud is an important factor in our continued growth. While both identity platforms and biometrics have become more widely adopted, they may not achieve universal acceptance. The attractiveness of our solutions to our customers is impacted by a number of factors, including the willingness of individuals to provide their personal information, including biometric information, to private or governmental entities, the level of confidence that such information can be stored safely and securely, and trust that such information will not be misused or breached. Certain individuals may never accept the use of biometrics as being safe. If identity platforms and biometrics do not achieve universal acceptance, or our solutions are not competitive with our industry players, our growth could be limited, which could materially adversely affect our business, results of operations and financial condition.</w:t>
      </w:r>
    </w:p>
    <w:p>
      <w:pPr>
        <w:spacing w:after="0" w:line="1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the other hand, any negative associations or perceptions with our solutions or biometrics could impede our business growth and could adversely affect our business, results of operations and financial condition. Likewise, any breaches on our information technology systems, particularly on the use and collection of biometric information, may subject us to significant reputational, financial, legal or operational consequences.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that we are taking to restructure our business to improve profitability may not be as effective as anticipated.</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2022, we committed to a restructuring plan to streamline our workforce and spending to better align our cost structure with the volume of our business. We began the execution of the restructuring plan early 2023, incurring restructuring-related costs, including employee severance and related benefit costs and external consulting and advisory fees related to the implementation of the restructuring plan. We may be unable to realize the expected improved profitability and efficiency from our restructuring efforts.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Legal and Regulatory Risks</w:t>
      </w:r>
    </w:p>
    <w:p>
      <w:pPr>
        <w:spacing w:after="0" w:line="1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environment in which we operate is highly competitive, and we may not be able to compete successfully against existing or future competitors.</w:t>
      </w:r>
    </w:p>
    <w:p>
      <w:pPr>
        <w:spacing w:after="0" w:line="105"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We operate in an intensely competitive market and diverse industry segment, and we expect competition to increase in the future from established businesses and new market entrants. Based on our current market analysis, there is no single company or small group of companies in a dominant competitive position. Some large competitors offer capabilities in a number of markets that overlap many of the same areas in which we offer services, while certain companies are focused upon only one or a few of such markets. Some of the firms that compete with us in multiple areas include large, established defense contractors. In addition, we compete with smaller specialty companies, including risk and compliance management companies, organizational messaging companies, and security consulting organizations, and companies that provide secure network offerings. If we are unable to anticipate or react to these challenges or do not compete effectively, our competitive position could weaken and could result in a decline in revenue or reduced revenue growth, price reductions or reduced gross margins, and loss of market share, all of which could adversely affect our business.</w:t>
      </w:r>
    </w:p>
    <w:p>
      <w:pPr>
        <w:spacing w:after="0" w:line="11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pacing w:after="0" w:line="10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customers are substantially U.S. government agencies. The customer relationship with the U.S. government involves certain unique risks. The programs we participate in must compete with other programs and policy imperatives during the budget and appropriations process.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government funding relating to our contracts with the U.S. government becomes unavailable, or is reduced or delayed, or planned orders are reduced, our contracts or subcontracts may be terminated or adjusted by the U.S. government or the prime contractor. Our operating results could also be adversely affected by spending caps or changes in the budgetary priorities of the U.S. government, as well as delays in program starts or the award of contracts or task orders under contracts.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recent years, U.S. government appropriations have been affected by larger U.S. government budgetary issues and related legislation. As a result, DoD funding levels have fluctuated and have been difficult to predict. Future spending levels are subject to a wide range of factors, including Congressional action. In addition, over the last few years, the U.S. government has been unable to complete its budget process before the end of its fiscal year, resulting in both a government shutdown and continuing resolutions to extend sufficient funds only for U.S. government agencies to continue operating. Not long ago, the federal government was shut down due to a lack of funding for over one month between late 2018 and early 2019, and currently a series of continuing resolutions have funded the government at fiscal year 2023 levels, with no new starts. Moreover, the national debt threatened to reach the statutory debt ceiling in 2023, and such an event in future years could result in the U.S. government defaulting on its debts.</w:t>
      </w:r>
    </w:p>
    <w:p>
      <w:pPr>
        <w:spacing w:after="0" w:line="13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seasonality of U.S. government spending.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U.S. government contracting, and as a result, we are subject to the annual seasonality of U.S. government purchasing. Because the U.S. government fiscal year ends on September 30, it is common for U.S. government agencies to award extra tasks in the weeks immediately prior to the end of its fiscal year in order to avoid the loss of unexpended fiscal year funds. As a result of this seasonality, we have historically experienced higher revenues in our third and fourth fiscal quarters, ending September 30 and December 31, respectively, with the pace of orders typically substantially reduced during our first and second fiscal quarters ending March 31 and June 30, respectively.</w:t>
      </w:r>
    </w:p>
    <w:p>
      <w:pPr>
        <w:spacing w:after="0" w:line="1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as well as contractual obligations relating to privacy, data protection and security, technology protection, and other matters. Any actual or perceived failure to comply with these requirements could have a material effect on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a variety of local, state, national, and international laws and directives and regulations in the United States and abroad that involve matters central to our business, including privacy and data protection, data security, data storage, retention, transfer and deletion, technology protection, and personal information. Foreign data protection, data security, privacy, and other laws and regulations can impose different obligations or be more restrictive than those in the United States. These U.S. federal and state and foreign laws and regulations, which, depending on the regime, may be enforced by private parties or government entities, are constantly evolving and can be subject to significant change, and they are likely to remain uncertain for the foreseeable future. In addition, the application, interpretation, and enforcement of these laws and regulations are often uncertain, and may be interpreted and applied inconsistently from country to country and inconsistently with our current policies and practices. A number of proposals are pending before U.S. federal, state, and foreign legislative and regulatory bodies that could significantly affect our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overarching complexity of privacy and data protection laws and regulations around the world pose a compliance challenge that could manifest in costs,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government regulation, self-regulatory standards and other industry standards may legally or contractually apply to us, be argued to apply to us, or we may elect to comply with such standards or to facilitate our customers' compliance with such standards. Because privacy, data protection, and information security are critical competitive factors in our industry, we may make statements on our website, in marketing materials, or in other settings about our data security measures and our compliance with, or our ability to facilitate our customers' compliance with, these standards.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and regulations concerning privacy, data protection, and information security, and we cannot yet determine the impact such future laws, regulations and standards, or amendments to or re-interpretations of existing laws and regulations, industry standards, or other obligations may have on our business. New laws, amendments to or re-interpretations of existing laws and regulations, industry standards, and contractual and other obligations may require us to incur additional costs and restrict our business operations. As these legal regimes relating to privacy, data protection, and information security continue to evolve, they may result in ever-increasing public scrutiny and escalating levels of enforcement and sanctions. Furthermore, because the interpretation and application of laws, standards, contractual obligations and other obligations relating to privacy, data protection, and information security are uncertain, these laws, standards, and contractual and other obligations may be interpreted and applied in a manner that is, or is alleged to be, inconsistent with our data management practices, our policies or procedures, or the features of our solutions. If so, in addition to the possibility of fines, lawsuits, and other claims, we could be required to fundamentally change our business activities and practices or modify our solutions, which could have an adverse effect on our business. We may be unable to make such changes and modifications in a commercially reasonable manner or at all, and our ability to fulfill existing obligations, make enhancements, or develop new solutions and features could be limited. Furthermore, the costs of compliance with, and other burdens imposed by, the laws, regulations, and policies that are applicable to the businesses of our customers may limit the use and adoption of, and reduce the overall demand for, our solutions.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existing and proposed laws and regulations can be costly to comply with and can make our solutions and services less effective or valuable, delay or impede the development of new products, result in negative publicity, increase our operating costs, require us to modify our data handling practices, limit our operations, impose substantial fines and penalties, require significant management time and attention, or put our data or technology at risk. Any failure or perceived failure by us or our solutions to comply with U.S. or applicable foreign laws, regulations, directives, policies, industry standards, or legal obligations relating to privacy, data protection, or information security, or any security incident that results in loss of or the unauthorized access to, or acquisition, use, release, or transfer of, personal information, personal data, or other customer or sensitive data or information may result in governmental investigations, inquiries, enforcement actions and prosecutions, private claims and litigation, indemnification or other contractual obligations, other remedies, including fines or demands that we modify or cease existing business practices, or adverse publicity, and related costs and liabilities, which could significantly and adversely affect our business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substantial oversight from federal agencies that have the authority to suspend our ability to bid on contracts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U.S. government contractor, we are subject to oversight by many agencies and entities of the U.S. government that may investigate and make inquiries about our business practices and conduct audits of contract performance and cost accounting. Depending on the results of any such audits and investigations, the U.S. government may make claims against us. Under U.S. government procurement regulations and practices, an indictment of a U.S. government contractor could result in that contractor being fined and/or suspended for a period of time from eligibility for bidding on, or for the award of, new U.S. government contracts. A conviction could result in debarment for a specified period of time. To the best of management's knowledge, there are no pending government investigations, inquiries, claims or audits against the Company likely to have a material adverse effect on our business or our consolidated results of operations, cash flows or financial position.</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and subject us to liability if we are not in full compliance with applicable laws.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Some of our solutions are subject to export and import controls, including, without limitation, the Department of State's Directorate of Defense Trade Controls, the Commerce Department's Export Administration Regulations, U.S. Customs regulations and various economic and trade sanctions regulations established by the Treasury Department's Office of Foreign Assets Control. If we fail to comply with these U.S. export control laws and import laws,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may be time-consuming, is not guaranteed and may result in the delay or loss of sales opportunities.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Furthermore, the U.S. export control laws and economic sanctions laws prohibit the shipment of certain products and services to U.S. embargoed or sanctioned countries, governments and persons. Even though we take precautions to prevent our solutions from being provisioned or provided to U.S. sanctions targets in violation of applicable regulations, our solutions could be provisioned to those targets despite such precautions. Any such sales could have negative consequences, including government investigations, penalties and reputational harm. Changes in our solutions or changes in export and import regulations may create delays in the introduction, sale and deployment of our solutions in international markets or prevent the export or import of our solutions to certain countries, governments or persons altogether. Any decreased use of our solutions or limitation on our ability to export or sell our solutions may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Reporting and Common Stock</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and other expectations about our business and operating results, which may cause our stock price to decline.</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we may release guidance in our quarterly earnings conference calls, quarterly earnings releases, or otherwise, regarding our future performance that represents our management's estimates as of the date of release. This guidance, which includes forward-looking statements, is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Our aim is to state possible outcomes as high and low ranges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Any failure to successfully implement our operating strategy or the occurrence of any of the events or circumstances beyond our control could result in the actual operating results being different from our guidance, and the differences may be adverse and material. In light of the foregoing, investors are urged not to rely upon our guidance in making an investment decision regarding our common stock.</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Furthermore, if we make downward revisions to our previously announced guidance, or if our publicly announced guidance of future operating results fails to meet the expectations of securities analysts, investors or other interested parties, the price of our common stock may decline.</w:t>
      </w:r>
    </w:p>
    <w:p>
      <w:pPr>
        <w:spacing w:after="0" w:line="10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fluctuate and may fall short of prior periods, our projections or the expectations of securities analysts or investors, which could adversely affect the trading price of our stock.</w:t>
      </w:r>
    </w:p>
    <w:p>
      <w:pPr>
        <w:spacing w:after="0" w:line="1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operating results have fluctuated from quarter to quarter at points in the past, and they may do so in the future. Therefore, the results of any one quarter may not be a reliable indication of results to be expected for any other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implemented or that it will enhance long-term stockholder value.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May 2022, our Board of Directors approved a share repurchase program ("SRP") for the repurchase of up to $50.0 million of our outstanding shares of our common stock. As of December 31, 2023, approximately $38.7 million remained available under the stock repurchase program. The repurchase program has no termination date and may be suspended for periods, amended or discontinued at any time. We are not obligated to repurchase a specified number or dollar value of shares. Share repurchases under the program will be made from time to time in private transactions or open market purchases, as permitted by securities laws and other legal requirements. There can be no guarantee about the timing of our share repurchases, or that the volume of such repurchases will increase. The stock repurchase program could affect the price of our common stock, increase volatility, diminish our cash reserves, and even if fully implemented may not enhance long-term stockholder value.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our ability to produce timely and accurate financial statements or comply with applicable regulations could be impaired.</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makes some activities more difficult, time-consuming and costly, and places significant strain on our personnel, systems and resources. The Sarbanes-Oxley Act requires, among other things, that we maintain effective disclosure controls and procedures and internal control over financial reporting, and to report any material weaknesses in such internal control.</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fiscal year ended 2022, management identified a material weakness related to ineffective design and maintenance of controls over the assessment of the accounting for forfeitures of non-standard equity awards. While the identified material weakness has been remediated in fiscal year 2023, we cannot provide assurance that we will not identify additional material weaknesses in future periods or that we will be successful in remediating any future significant deficiencies or material weaknesses in internal control over financial reporting.</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consolidated financial statements for prior periods, could cause us to fail to meet our reporting obligations, and could result in an adverse opinion regarding our internal control over financial reporting from our independent registered public accounting firm, and lead to investigations or sanctions by regulatory authorities. Any failure to maintain effective disclosure controls and internal control over financial reporting could have a material and adverse effect on our business and results of operations and could cause a decline in the price of our stock.</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judgments or estimates relating to our critical accounting policies are based on assumptions that change or prove to be incorrect, our results of operations could be adversely affected.</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judgments, estimates, and assumptions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Significant judgments, estimates, and assumptions used in preparing our consolidated financial statements include, or may in the future include, those related to revenue recognition, goodwill and other long-lived assets, and income taxes.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Weakened global economic conditions may adversely affect our industry, business, operating results and financial condition.</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at any point in time. In addition, geopolitical developments, such as the invasion of Ukraine by Russia, can increase levels of political and economic unpredictability globally and increase the volatility of global financial markets. Moreover, these conditions can affect the rate of information technology spending and could adversely affect our customers' ability or willingness to purchase our solutions and services, delay prospective customers' purchasing decisions, reduce the value or duration of their subscription contracts, or affect attrition rates, all of which could adversely affect our future sales and operating results.</w:t>
      </w:r>
    </w:p>
    <w:p>
      <w:pPr>
        <w:spacing w:after="0" w:line="13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and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Investor advocacy groups, institutional investors, investment funds, proxy advisory services, stockholders, and customers are increasingly focused on companies' ESG practices. Additionally, public interest and legislative pressure related to public companies' ESG practices continue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their application to us could result in unfavorable accounting charges or effects, which could adversely affect our results of operations and growth prospects.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prepare consolidated financial statements in accordance with U.S. GAAP. In particular, we make certain estimates and assumptions related to the adoption and interpretation of these principles, including the recognition of our revenue and the accounting of our stock-based compensation expense with respect to our consolidated financial statements. If these assumptions turn out to be incorrect, our revenue or our stock-based compensation expense could materially differ from our expectations, which could have a material adverse effect on our financial results. A change in any of these principles or guidance, or in their interpretations or application to us, may have a significant effect on our reported results, as well as our processes and related controls, and may retroactively affect previously reported results or our forecasts, which may negatively impact our financial statements. For example, any recent new standards issued by the Financial Accounting Standards Board could materially impact our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adoption of these new standards may potentially require enhancements or changes in our processes or systems and may require significant time and cost on behalf of our financial management. This may, in turn, adversely affect our results of operations and growth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clim</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b w:val="1"/>
          <w:bCs w:val="1"/>
          <w:i w:val="1"/>
          <w:iCs w:val="1"/>
          <w:color w:val="auto"/>
        </w:rPr>
        <w:t>te-related risks could negatively affect our business.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inherent climate-related risks wherever business is conducted. Access to clean water and reliable energy in the communities where we conduct our business, whether for our offices, vendors, customers or other stakeholders, is a priority. Any of our primary locations may be vulnerable to the adverse effects of climate change. Climate-related events, including the increasing frequency of extreme weather events and their impact on U.S. critical infrastructure, have the potential to disrupt our business, our third-party suppliers, or the operations and business of our customers, and may cause us to experience higher attrition, losses and additional costs to maintain or resume operations.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Increased public awareness and concern regarding global climate change may result in state, federal or international requirements to reduce or mitigate global warming, such as the imposition of carbon pricing mechanisms or stricter limits on greenhouse gas emissions. If environmental or climate-change laws or regulations are adopted or changed that impose significant new costs, operational restrictions or compliance requirements upon our business or our products, they could increase our capital expenditures, reduce our margins and adversely affect our financial position.</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our reputation and client relationships may be damaged as a result of our practices related to climate change, including our involvement, or our clients' involvement, in certain industries or projects associated with causing or exacerbating climate change, as well as any decisions we make to continue to conduct or change our activities in response to considerations relating to climate change.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 processes to assess, identify, and manage material cybersecurity risks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developed an ISO/IEC 27001-certified Information Security Management System (“ISMS”) designed to enhance our corporate security measures, identify and mitigate information security risks, and protect and preserve the confidentiality, integrity, and continued availability of all information owned by the Company and that of its customers and suppliers in our control. Our ISO certification can be verified on the BSI Group website using certificate number IS 64920.</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ISMS includes developing, implementing, and continually improving policies and procedures designed to safeguard information and ensure the availability of critical data and systems. These policies cover areas such as requiring secure coding practices and a secure development lifecycle process, monthly information security awareness training for all employees and enhanced training for specialized personnel, review and assessment by external, independent third parties, who certify and report on our weaknesses and internal response preparedness for the entire Company, and the performance of daily vulnerability scanning of our network infrastructure as well as annual third-party penetration testing.</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identification, and management process consists of a dedicated Governance Risk and Compliance ("GRC") team, within our Information Security organization, that implements a repeatable, ISO/IEC 27001-compliant methodology to asses and track cybersecurity risk. This team, reporting to and working with the Chief Information Security Officer ("CISO"), identifies, tracks, and updates cybersecurity risks that threaten the Company directly and through third parties. The GRC team collaborates closely with risk owners throughout the Company, vendors, and suppliers, working with them in an effort to ensure their risks are identified, documented, and mitigated in a timely fashion.</w:t>
      </w:r>
    </w:p>
    <w:p>
      <w:pPr>
        <w:spacing w:after="0" w:line="1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addition to our active ISO/IEC 27001 certification, the Company also assesses itself against the National Institute of Standards and Technology Special Publication 800-171 as required by the Defense Federal Acquisition Regulation Supplement. In accordance with our ISMS, we also actively monitor known threats that could affect our products and services and work with our suppliers to provide us with real-time reports of threats or vulnerabilities that may affect our enterprise-wide systems. Our program also includes a cyber incident response plan that provides controls and procedures for timely and accurate reporting of any material cybersecurity incident as well as a business continuity plan that is designed to provide a clear framework for how the Company can continue in the event of any significant disruption in an effort to ensure that we can offer the same level of security, support, and excellence to all our customers. In the normal course, our Security and GRC teams engage assessors, consultants, and other third parties to assist in various cyber-related matters. For example, to maintain our ISO certification, the Company utilizes an external third party to conduct yearly audits of its ISMS. Our Information Security organization also leverages third-party advisors, as appropriate, for various tasks such as conducting annual third-party penetration testing.</w:t>
      </w:r>
    </w:p>
    <w:p>
      <w:pPr>
        <w:spacing w:after="0" w:line="14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In 2023, we conducted an enterprise risk assessment that included an assessment of cybersecurity risk in context with other enterprise-level risks. Furthermore, our CISO and our General Counsel regularly discuss cybersecurity risk mitigation. We carry errors and omissions insurance that provides some protection against the potential losses arising from a cybersecurity incident. For additional information regarding potential cybersecurity risks, see relevant business and operational risks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of this Annual Report on Form 10-K.</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last three years, we have not experienced a material information security breach incident or any penalties or settlements related to the same, and the expenses we have incurred from information security breach incidents were immaterial.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and expertise in assessing and managing material cybersecurity risks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Information Security team is charged with the responsibility for assessing and managing material cybersecurity risks. That team is led by our CISO. Certifications held by the Information Security team include CompTIA A+, Network+, Security+, Project+, &amp; CyberSecurity Analyst+, eLearnSecurity Junior Penetration Tester, EC-Council Certified Ethical Hacker ("CEH"), Certified Encryption Specialist, Certified Security Analyst, &amp; Computer Hacking Forensic Investigator ("CHFI"), CMMC-AB Registered Practitioner ("RP"), and ISC2 Certified Information Systems Security Professional ("CISSP"). Our CISO’s background includes over 17 years of experience in IT and Information Security. His formal education includes a Master’s degree in Cybersecurity and Information Assurance and a Bachelor’s degree in Computer Forensics. Certifications held by the CISO include CompTIA A+, Network+, &amp; Security+, Microsoft Technology Associate ("MTA"), CMMC-AB RP, ISO 27001 Certified Lead Implementer Professional, EC-Council CEH &amp; CHFI, ISACA Certified Data Privacy Solutions Engineer &amp; Certified Information Security Manager, ISC2 CISSP, and Offensive Security Certified Professional. Our CISO reports to our Chief Information Technology Officer ("CITO"), who in turn reports to our Chief Executive Officer ("CEO"). Each of our CITO and our CEO have extensive experience in cybersecurity matters.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CISO provides reports to the Audit Committee of our Board of Directors on a standing basis at each Audit Committee meeting, and as otherwise requested by the Chair of the Audit Committee or as determined necessary by the CISO or other members of senior management. The CISO is personally involved in, and responsible for, the risk assessment, identification and management process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 of cybersecurity risks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of Directors has oversight responsibility with respect to risk management and reviews matters with management as part of management’s regular Board reporting. The Board of Directors has delegated responsibility for information security and cybersecurity risk oversight to the Audit Committee. In accordance with its charter, the Audit Committee discharges these responsibilities through various processes, including the option to use third party advisers as and when it deems appropriate, and discusses with management the Company’s major policies with respect to risk assessment and risk management. The Audit Committee regularly reports the results of these discussions to the Board of Directors. As noted above, the CISO reports to the Audit Committee at each regular Audit Committee meeting on the status of cybersecurity risk assessment, identification and management, as well as reporting information security incidents as they occur, if material, and providing periodic briefings about our information security program, our internal response preparedness, and assessments led by outside advisors. The Chair of the Audit Committee, in turn, reports on these topics to the Board of Directors as and when deemed necessary and/or material. Overall, our Board contains two directors with work experience related to cybersecurity issues or oversight.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approximately 191,700 square feet of space for our corporate headquarters, integration facility, and primary service depot in Ashburn,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expires in May 2029.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leased additional office space in facilities located in Maryland, Florida and Nevada under various leases expiring through July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current space is substantially adequate to meet our operating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may be found in </w:t>
      </w:r>
      <w:r>
        <w:rPr>
          <w:rFonts w:ascii="Times New Roman" w:cs="Times New Roman" w:eastAsia="Times New Roman" w:hAnsi="Times New Roman"/>
          <w:sz w:val="18"/>
          <w:szCs w:val="18"/>
          <w:u w:val="single" w:color="auto"/>
          <w:color w:val="0000FF"/>
        </w:rPr>
        <w:t>Note 19 – Commitments and Contingencies</w:t>
      </w:r>
      <w:r>
        <w:rPr>
          <w:rFonts w:ascii="Times New Roman" w:cs="Times New Roman" w:eastAsia="Times New Roman" w:hAnsi="Times New Roman"/>
          <w:sz w:val="18"/>
          <w:szCs w:val="18"/>
          <w:color w:val="auto"/>
        </w:rPr>
        <w:t xml:space="preserve"> to the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"TLS."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March 8, 2024, there were approximately 152 holders of record of Telos common stock, par value $0.001 par value. The number of shareholders of record of our common stock may not be representative of the number of beneficial owners due to shares that may be held by depositories, brokers or nominees.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securities authorized for issuance under our stock-based compensation plan, see </w:t>
      </w:r>
      <w:r>
        <w:rPr>
          <w:rFonts w:ascii="Times New Roman" w:cs="Times New Roman" w:eastAsia="Times New Roman" w:hAnsi="Times New Roman"/>
          <w:sz w:val="18"/>
          <w:szCs w:val="18"/>
          <w:u w:val="single" w:color="auto"/>
          <w:color w:val="0000FF"/>
        </w:rPr>
        <w:t>Note 12 – Stock-Based Compensation</w:t>
      </w:r>
      <w:r>
        <w:rPr>
          <w:rFonts w:ascii="Times New Roman" w:cs="Times New Roman" w:eastAsia="Times New Roman" w:hAnsi="Times New Roman"/>
          <w:sz w:val="18"/>
          <w:szCs w:val="18"/>
          <w:color w:val="auto"/>
        </w:rPr>
        <w:t xml:space="preserve"> to the Consolidated Financial Statements contained in Item 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Equity Securities and Use of Proceeds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December 31, 2023, that were not registered under the Securities Act and were not previously disclosed on a Quarterly Report on Form 10-Q or a Current Report on Form 8-K.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May 24, 2022, the Board of Directors authorized a Share Repurchase Program ("SRP"), pursuant to which the Company can repurchase up to $50.0 million of issued and outstanding common stock. The shares may be repurchased on a discretionary basis from time to time through open market purchases. The repurchase program has no expiration date and may be modified, suspended, or terminated at any time.</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repurchases of common stock in fiscal year 2023, and approximately $38.7 million remained available for future common stock repurchases under the SRP as of December 31,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related notes to consolidated financial statements included in Part II, Item 8 of this Annual Report on Form 10-K ("10-K").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Item 1A,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and elsewhere in this 10-K. See also "</w:t>
      </w:r>
      <w:r>
        <w:rPr>
          <w:rFonts w:ascii="Times New Roman" w:cs="Times New Roman" w:eastAsia="Times New Roman" w:hAnsi="Times New Roman"/>
          <w:sz w:val="18"/>
          <w:szCs w:val="18"/>
          <w:u w:val="single" w:color="auto"/>
          <w:color w:val="0000FF"/>
        </w:rPr>
        <w:t>Special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Regarding Forward-Looking Statements</w:t>
      </w:r>
      <w:r>
        <w:rPr>
          <w:rFonts w:ascii="Times New Roman" w:cs="Times New Roman" w:eastAsia="Times New Roman" w:hAnsi="Times New Roman"/>
          <w:sz w:val="18"/>
          <w:szCs w:val="18"/>
          <w:color w:val="000000"/>
        </w:rPr>
        <w:t>" at the beginning of this 10-K.</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section, we discuss our financial condition, changes in financial condition and results of operations for the year ended December 31, 2023, compared to the year ended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an overview of our business, including our business segments and discussion of our products and services we provide, see Item 1, "</w:t>
      </w:r>
      <w:r>
        <w:rPr>
          <w:rFonts w:ascii="Times New Roman" w:cs="Times New Roman" w:eastAsia="Times New Roman" w:hAnsi="Times New Roman"/>
          <w:sz w:val="18"/>
          <w:szCs w:val="18"/>
          <w:u w:val="single" w:color="auto"/>
          <w:color w:val="0000FF"/>
        </w:rPr>
        <w:t>Business</w:t>
      </w:r>
      <w:r>
        <w:rPr>
          <w:rFonts w:ascii="Times New Roman" w:cs="Times New Roman" w:eastAsia="Times New Roman" w:hAnsi="Times New Roman"/>
          <w:sz w:val="18"/>
          <w:szCs w:val="18"/>
          <w:color w:val="auto"/>
        </w:rPr>
        <w:t xml:space="preserve">" of this Annual Report on Form 10-K. Additional information regarding our segments is also presented in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xml:space="preserve"> to the consolidated financial statements at Item 8 of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Opportunities, Challenges and Risks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discussed under Item 1A,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we derive a substantial portion of our revenues from contracts and subcontracts with the U.S. government. Our revenues are generated from a number of contract vehicles and task orders. The U.S. government has increasingly relied on contracts that are subject to a competitive bidding process (including IDIQ, GSA schedules, OTA, and other multi-award contracts), which has resulted in greater competition and increased pricing pressure. We expect that a majority of the business that we seek in the foreseeable future will be awarded through a competitive bidding process.</w:t>
      </w:r>
    </w:p>
    <w:p>
      <w:pPr>
        <w:spacing w:after="0" w:line="1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Over the past several years we sought to diversify and improve our operating margins through an evolution of our business from an emphasis on product reselling to that of an advanced solutions technologies provider. Although we continue to offer resold products through our contract vehicles, we have focused on selling solutions and outsourcing product sales, as well as designing and delivering Telos manufactured and branded technologies. We believe our contract portfolio is characterized as having low to moderate financial risk due to the limited number of long-term fixed-price development contracts. Our firm-fixed-price activities consist primarily of contracts for products and services at established contract prices. Our time-and-material contracts generally allow the pass-through of allowable costs plus a profit margin. For 2023 and 2022, the Company's revenue derived from firm-fixed-price contracts was 78.5% and 82.9%, respectively; cost-plus contracts revenue was 12.1% and 11.1%, respectively; and time-and-material contracts was 9.3% and 6.0%, respectively.</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performance is affected by the overall level of U.S. government spending and the alignment of our offerings and capabilities with the budget priorities of the U.S. government. Adverse changes in fiscal and economic conditions could materially impact our business. Some changes that could adversely impact our business include the implementation of future spending reductions and government shutdown. Despite the budget and competitive pressure affecting the industry, we believe we are well-positioned to expand existing customer relationships and benefit from opportunities that we have not previously pursued.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Budget</w:t>
      </w:r>
    </w:p>
    <w:p>
      <w:pPr>
        <w:spacing w:after="0" w:line="175"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Congress has been unable to complete action on all appropriations bills for Fiscal Year ("FY") 2024, which began on October 1, 2023. Instead, Congress has resorted to approving a series of continuing resolutions (“CRs”), which have funded the government at FY2023 levels for over five months with no new program starts. Some appropriations bills were finally approved in early March 2024, but most federal spending remains under a CR.</w:t>
      </w:r>
    </w:p>
    <w:p>
      <w:pPr>
        <w:spacing w:after="0" w:line="10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means the President’s proposed three percent increase in defense spending, which was also provided for by the spending caps contained in the debt ceiling legislation (the "Fiscal Responsibility Act”) signed into law last June 2023, have so far not been approved. The FY2024 National Defense Authorization Act enacted in December 2023 does not authorize that propose three percent hike in defense spending, but actual appropriated defense spending has remained at FY2023 levels under these CRs, and it will continue to be frozen until a full-year defense appropriations bill can be signed into law.</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President's FY2024 budget also proposed increased investments for cybersecurity within numerous federal civilian departments and agencies. In general, the President's budget reflected the prioritization of accelerated cloud adoption, IT modernization, further private sector collaboration for sector risk management responsibilities, ensuring adequate cyber threat information sharing, and supply chain risk management. These priorities align with the solutions Telos has been developing and bringing to market for the past several years. However, as with defense spending, these proposed increases have remained on hold until Congress can agree on full-year FY2024 appropriation legislation for all department and agencies.</w:t>
      </w:r>
    </w:p>
    <w:p>
      <w:pPr>
        <w:spacing w:after="0" w:line="1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Even if Congress finally reaches agreement on the remaining FY2024 appropriations bills in March 2024, that will leave less than seven months for federal agencies to execute any increased spending levels these measures provide.</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Finally, submission to Congress of the Biden Administration's proposed FY2025 budget was delayed until March 11, 2024 – a month later than normal – in large part because lawmakers have been unable to complete work on FY2024 appropriations legislation. Such final bills would normally serve as a detailed baseline from which the White House would develop next year's proposed budget.</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failure to approve the FY2024 appropriations legislation in a timely manner and the resultant uncertainty about actual funding has impacted federal customers' ability to move forward on their planned expenditures in FY2024, and to adequately plan for FY2025.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Landscape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recent years, we have seen cybersecurity threats become more complex, with threat actors leveraging a wide variety of tactics to exploit their victims.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growing threat, below are some trends to consider when looking at the cybersecurity landscape:</w:t>
      </w:r>
    </w:p>
    <w:p>
      <w:pPr>
        <w:spacing w:after="0" w:line="1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Rising Threats, Rising Liability: </w:t>
      </w:r>
      <w:r>
        <w:rPr>
          <w:rFonts w:ascii="Times New Roman" w:cs="Times New Roman" w:eastAsia="Times New Roman" w:hAnsi="Times New Roman"/>
          <w:sz w:val="18"/>
          <w:szCs w:val="18"/>
          <w:color w:val="auto"/>
        </w:rPr>
        <w:t>Ransomware remains arguably the most severe cyber threat to enterprises in the commercial, state, and local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education sectors. One reason for the rise of ransomware attacks is that it is exceedingly profitable for cybercriminals, and ransomware victims generally settle the ransom rather than restoring the system from backups or dealing with the fallout from a data breach. Aside from the financial costs of paying the ransom and restoring the system, the consequences of a successful ransomware attack can include damage to the organization's reputation, stolen sensitive data being used for malicious purposes, and loss of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Nation's Critical Systems Are Still at Risk: </w:t>
      </w:r>
      <w:r>
        <w:rPr>
          <w:rFonts w:ascii="Times New Roman" w:cs="Times New Roman" w:eastAsia="Times New Roman" w:hAnsi="Times New Roman"/>
          <w:sz w:val="18"/>
          <w:szCs w:val="18"/>
          <w:color w:val="auto"/>
        </w:rPr>
        <w:t>Critical infrastructure and industrial IoT are among the categories at greatest risk of cyberattacks.</w:t>
      </w:r>
    </w:p>
    <w:p>
      <w:pPr>
        <w:spacing w:after="0" w:line="17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Challenging Complexity of Regulatory Compliance: </w:t>
      </w:r>
      <w:r>
        <w:rPr>
          <w:rFonts w:ascii="Times New Roman" w:cs="Times New Roman" w:eastAsia="Times New Roman" w:hAnsi="Times New Roman"/>
          <w:sz w:val="18"/>
          <w:szCs w:val="18"/>
          <w:color w:val="auto"/>
        </w:rPr>
        <w:t>Government mandates stronger security in highly regulated industries. These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 and audit fatigue continue to burden highly regulated organizations, with automation solutions being recognized as the most effective remedy for the many repetitive and redundant tasks that security compliance requires.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the SEC has finalized and adopted new cybersecurity rules for publicly traded companies, which will require registrants to disclose additional cyber-related information in their regulatory filings. Specifically, they will have to: (1) regularly disclose their governance methods, risk analysis and management processes; (2) meet specific disclosure requirements and deadlines for reporting and describing material cyber incidents; and (3) describe the board's oversight of risks from cybersecurity threats, and management's expertise and role in assessing and managing material risks from cybersecurity threats. The required reporting of this information will lead many companies to proactively establish policies that will improve their cyber risk management posture and enable them to better withstand heightened public and regulatory scrutiny.</w:t>
      </w:r>
    </w:p>
    <w:p>
      <w:pPr>
        <w:spacing w:after="0" w:line="13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Identity Assurance and Privacy Protection are Essential for Today's Enterprises: </w:t>
      </w:r>
      <w:r>
        <w:rPr>
          <w:rFonts w:ascii="Times New Roman" w:cs="Times New Roman" w:eastAsia="Times New Roman" w:hAnsi="Times New Roman"/>
          <w:sz w:val="18"/>
          <w:szCs w:val="18"/>
          <w:color w:val="auto"/>
        </w:rPr>
        <w:t>Identity and access management continues to be a major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concern for organizations and individuals that need to ensure their security and protect their privacy. Trusted identities are essential to confidence in IT and physical security strategies and to the success of Zero Trust security models and architectures.</w:t>
      </w:r>
    </w:p>
    <w:p>
      <w:pPr>
        <w:spacing w:after="0" w:line="119"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Artificial Intelligence</w:t>
      </w:r>
      <w:r>
        <w:rPr>
          <w:rFonts w:ascii="Times New Roman" w:cs="Times New Roman" w:eastAsia="Times New Roman" w:hAnsi="Times New Roman"/>
          <w:sz w:val="18"/>
          <w:szCs w:val="18"/>
          <w:color w:val="auto"/>
        </w:rPr>
        <w:t>: Cybercriminals are using Artificial Intelligence ("AI") to launch more sophisticated attacks that can quickly adapt to changing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environments, making detection harder. To protect against AI-powered cyberattacks, organizations must stay vigilant and adopt advanced cybersecurity tools and techniques that can detect and respond to these threats timely before they can cause damage.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Backlog is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Backlog by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Security Solutions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 backlog</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24,538</w:t>
            </w:r>
          </w:p>
        </w:tc>
        <w:tc>
          <w:tcPr>
            <w:tcW w:w="8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backlog</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41,398</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47,509</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Security Solutions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65,936</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81,293</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Secure Networks</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 backlog</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backlog</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24,636</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82,296</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Secure Networks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52,166</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130,750</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 backlog</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82,238</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backlog</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66,034</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129,805</w:t>
            </w:r>
          </w:p>
        </w:tc>
      </w:tr>
      <w:tr>
        <w:trPr>
          <w:trHeight w:val="212"/>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backlog</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118,102</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212,043</w:t>
            </w: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Increases in backlog is a result from the award of new contracts and the renewal or extension of existing contracts. Reductions in backlog arises from the completion or the early termination of contracts. See the relevant industry, legal and regulatory risks under Item 1A, "Risk Factors", of this Annual Report on Form 10-K. We believe that comparisons of backlog period-to-period are difficult. We also believe that it is difficult to predict future revenue solely based on analysis of backlog. The actual timing of revenue from projects included in backlog will vary.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number of factors have affected our fiscal year 2023 results, the most significant of which we have listed below. More details on these changes are presented below within our "Results of Operations" section.</w:t>
      </w:r>
    </w:p>
    <w:p>
      <w:pPr>
        <w:spacing w:after="0" w:line="108" w:lineRule="exact"/>
        <w:rPr>
          <w:sz w:val="20"/>
          <w:szCs w:val="20"/>
          <w:color w:val="auto"/>
        </w:rPr>
      </w:pPr>
    </w:p>
    <w:p>
      <w:pPr>
        <w:ind w:left="340" w:right="40" w:hanging="332"/>
        <w:spacing w:after="0" w:line="282" w:lineRule="auto"/>
        <w:tabs>
          <w:tab w:leader="none" w:pos="3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successful completion of certain programs, lower revenue on ongoing major programs and the loss of a program resulted in a decline in fiscal year 2023 compared with 2022 results, partially offset by some new program wins across the portfolio and the ramp of TSA PreCheck.</w:t>
      </w:r>
    </w:p>
    <w:p>
      <w:pPr>
        <w:spacing w:after="0" w:line="107"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TSA announced Telos Corporation as TSA's second official TSA PreCheck enrollment and renewal provider in August 2023.</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were lower, in part, as a result of the restructuring plan announced in the first quarter of 2023.</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operating costs resulted in an improvement in profitability and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Consolidated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top w:val="single" w:sz="8" w:color="auto"/>
            </w:tcBorders>
          </w:tcPr>
          <w:p>
            <w:pPr>
              <w:spacing w:after="0"/>
              <w:rPr>
                <w:sz w:val="18"/>
                <w:szCs w:val="18"/>
                <w:color w:val="auto"/>
              </w:rPr>
            </w:pPr>
          </w:p>
        </w:tc>
        <w:tc>
          <w:tcPr>
            <w:tcW w:w="360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820" w:type="dxa"/>
            <w:vAlign w:val="bottom"/>
            <w:tcBorders>
              <w:top w:val="single" w:sz="8" w:color="auto"/>
              <w:bottom w:val="single" w:sz="8" w:color="auto"/>
            </w:tcBorders>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820" w:type="dxa"/>
            <w:vAlign w:val="bottom"/>
            <w:tcBorders>
              <w:bottom w:val="single" w:sz="8" w:color="auto"/>
            </w:tcBorders>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8"/>
                <w:szCs w:val="18"/>
                <w:color w:val="auto"/>
              </w:rPr>
            </w:pPr>
          </w:p>
        </w:tc>
      </w:tr>
      <w:tr>
        <w:trPr>
          <w:trHeight w:val="23"/>
        </w:trPr>
        <w:tc>
          <w:tcPr>
            <w:tcW w:w="6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145,378</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216,887</w:t>
            </w:r>
          </w:p>
        </w:tc>
      </w:tr>
      <w:tr>
        <w:trPr>
          <w:trHeight w:val="207"/>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1340" w:type="dxa"/>
            <w:vAlign w:val="bottom"/>
          </w:tcPr>
          <w:p>
            <w:pPr>
              <w:spacing w:after="0"/>
              <w:rPr>
                <w:sz w:val="17"/>
                <w:szCs w:val="17"/>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88,892</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137,051</w:t>
            </w: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3,544</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793</w:t>
            </w: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92,436</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137,844</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52,942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79,043</w:t>
            </w:r>
          </w:p>
        </w:tc>
      </w:tr>
      <w:tr>
        <w:trPr>
          <w:trHeight w:val="214"/>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36.4 %</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36.4 %</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93,257</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132,893</w:t>
            </w:r>
          </w:p>
        </w:tc>
      </w:tr>
      <w:tr>
        <w:trPr>
          <w:trHeight w:val="21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 as percentage of revenue</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64.1 %</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61.3 %</w:t>
            </w: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(40,315)</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(53,850)</w:t>
            </w:r>
          </w:p>
        </w:tc>
      </w:tr>
      <w:tr>
        <w:trPr>
          <w:trHeight w:val="21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340" w:type="dxa"/>
            <w:vAlign w:val="bottom"/>
          </w:tcPr>
          <w:p>
            <w:pPr>
              <w:spacing w:after="0"/>
              <w:rPr>
                <w:sz w:val="18"/>
                <w:szCs w:val="18"/>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1,350</w:t>
            </w: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(874)</w:t>
            </w: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(34,386)</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(53,374)</w:t>
            </w:r>
          </w:p>
        </w:tc>
      </w:tr>
      <w:tr>
        <w:trPr>
          <w:trHeight w:val="216"/>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(53,428)</w:t>
            </w:r>
          </w:p>
        </w:tc>
      </w:tr>
      <w:tr>
        <w:trPr>
          <w:trHeight w:val="21"/>
        </w:trPr>
        <w:tc>
          <w:tcPr>
            <w:tcW w:w="6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segments have different factors driving revenue fluctuations and profitability. The discussion of the changes in our net revenue and profitability are covered in greater detail under the section that follows: "Segment Results." We generate revenue from the delivery of products and services to our customers. Cost of sales, for both products and services, consists of labor, materials, subcontracting costs and an allocation of indirect costs.</w:t>
      </w:r>
    </w:p>
    <w:p>
      <w:pPr>
        <w:spacing w:after="0" w:line="1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w:t>
      </w:r>
      <w:r>
        <w:rPr>
          <w:rFonts w:ascii="Times New Roman" w:cs="Times New Roman" w:eastAsia="Times New Roman" w:hAnsi="Times New Roman"/>
          <w:sz w:val="18"/>
          <w:szCs w:val="18"/>
          <w:color w:val="auto"/>
        </w:rPr>
        <w:t>. SG&amp;A expenses decreased by $39.6 million, or 29.8%, in 2023 compared to 2022.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decreased by $9.5 million primarily due to lower compensation-related expenses. Research and development expenses decreased by $4.7 million primarily due to lower compensation-related expenses and increased capitalization of software development by $1.9 million. General and administrative expenses also decreased by $25.5 million mostly due to lower compensation-related expenses.</w:t>
      </w:r>
    </w:p>
    <w:p>
      <w:pPr>
        <w:spacing w:after="0" w:line="126"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7"/>
          <w:szCs w:val="17"/>
          <w:i w:val="1"/>
          <w:iCs w:val="1"/>
          <w:color w:val="auto"/>
        </w:rPr>
        <w:t>Other income</w:t>
      </w:r>
      <w:r>
        <w:rPr>
          <w:rFonts w:ascii="Times New Roman" w:cs="Times New Roman" w:eastAsia="Times New Roman" w:hAnsi="Times New Roman"/>
          <w:sz w:val="17"/>
          <w:szCs w:val="17"/>
          <w:color w:val="auto"/>
        </w:rPr>
        <w:t>. Other income increased by $5.4 million in 2023, compared to 2022, primarily due to an increase in dividend income from money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placements of $3.9 million, and a gain on early extinguishment of other financing obligation of $1.4 million in 2023, without a similar gain in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There was no significant change in interest expense between comparable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There was no significant change in the provision for income taxes in 2023, compared to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Security Solutions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top w:val="single" w:sz="8" w:color="auto"/>
            </w:tcBorders>
          </w:tcPr>
          <w:p>
            <w:pPr>
              <w:spacing w:after="0"/>
              <w:rPr>
                <w:sz w:val="18"/>
                <w:szCs w:val="18"/>
                <w:color w:val="auto"/>
              </w:rPr>
            </w:pPr>
          </w:p>
        </w:tc>
        <w:tc>
          <w:tcPr>
            <w:tcW w:w="360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2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77,416</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120,454</w:t>
            </w:r>
          </w:p>
        </w:tc>
        <w:tc>
          <w:tcPr>
            <w:tcW w:w="0" w:type="dxa"/>
            <w:vAlign w:val="bottom"/>
          </w:tcPr>
          <w:p>
            <w:pPr>
              <w:spacing w:after="0"/>
              <w:rPr>
                <w:sz w:val="1"/>
                <w:szCs w:val="1"/>
                <w:color w:val="auto"/>
              </w:rPr>
            </w:pPr>
          </w:p>
        </w:tc>
      </w:tr>
      <w:tr>
        <w:trPr>
          <w:trHeight w:val="207"/>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1380" w:type="dxa"/>
            <w:vAlign w:val="bottom"/>
          </w:tcPr>
          <w:p>
            <w:pPr>
              <w:spacing w:after="0"/>
              <w:rPr>
                <w:sz w:val="17"/>
                <w:szCs w:val="17"/>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34,270</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57,743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3,532</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37,802</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58,506</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39,614</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61,948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51.2 %</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Security Solutions segment revenue decreased by $43.0 million or 35.7% in fiscal year 2023, compared to fiscal year 2022, primarily due to lower revenues on ongoing programs and the loss of a program, partially offset by some new program wins and the initial ramp of the TSA PreCheck program.</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Likewise, the segment gross profit decreased by $22.3 million or 36.1% in 2023, compared to 2022, primarily due to the decrease in revenue. Segment gross margin slightly decreased from 51.4% in 2022 to 51.2% in 2023 primarily due to higher amortization of software development costs, offset by high margin new program wins, mix within the portfolio and lower stock-based compensation.</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Secure Networks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top w:val="single" w:sz="8" w:color="auto"/>
            </w:tcBorders>
          </w:tcPr>
          <w:p>
            <w:pPr>
              <w:spacing w:after="0"/>
              <w:rPr>
                <w:sz w:val="18"/>
                <w:szCs w:val="18"/>
                <w:color w:val="auto"/>
              </w:rPr>
            </w:pPr>
          </w:p>
        </w:tc>
        <w:tc>
          <w:tcPr>
            <w:tcW w:w="3640" w:type="dxa"/>
            <w:vAlign w:val="bottom"/>
            <w:tcBorders>
              <w:top w:val="single" w:sz="8" w:color="auto"/>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67,962</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96,433</w:t>
            </w:r>
          </w:p>
        </w:tc>
        <w:tc>
          <w:tcPr>
            <w:tcW w:w="0" w:type="dxa"/>
            <w:vAlign w:val="bottom"/>
          </w:tcPr>
          <w:p>
            <w:pPr>
              <w:spacing w:after="0"/>
              <w:rPr>
                <w:sz w:val="1"/>
                <w:szCs w:val="1"/>
                <w:color w:val="auto"/>
              </w:rPr>
            </w:pPr>
          </w:p>
        </w:tc>
      </w:tr>
      <w:tr>
        <w:trPr>
          <w:trHeight w:val="207"/>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1380" w:type="dxa"/>
            <w:vAlign w:val="bottom"/>
          </w:tcPr>
          <w:p>
            <w:pPr>
              <w:spacing w:after="0"/>
              <w:rPr>
                <w:sz w:val="17"/>
                <w:szCs w:val="17"/>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54,622</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79,308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54,634</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79,338</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13,328</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17,095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19.6 %</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17.7 %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Secure Networks segment revenue decreased by $28.5 million, or 29.5%, in 2023, compared to 2022, primarily due to the successful completion of certain programs and lower revenues on ongoing programs as expected, partially offset by new program wins.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Segment gross profit decreased by $3.8 million or 22.0% in 2023, compared to 2022, primarily due to lower revenue, partially offset by higher gross margins. Segment gross margin increased from 17.7% in 2022 to 19.6% in 2023 primarily due to strong program and cost management across several key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primary financial performance measures we use to manage our business and monitor results of operations are revenue, gross profit, and Adjusted EBITDA. We evaluate our results of operations by considering the drivers causing changes in these measures. We evaluate significant trends and fluctuations in our contract portfolio over time due to contract awards and completions, changes in customer requirements and changes in the volume of product and software sales.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Changes in costs of revenue as a percentage of revenue other than from revenue volume or cost mix are driven by changes in compensation expense and other allocated costs and/or cumulative revenue adjustments due to changes in estimates. Changes in operating cash flows are driven by changes in cash generated through delivery of products and services, fluctuations in current assets and liabilities and the impact of changes in the timing of cash receipts or disbursements.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non-GAAP financial measures of EBITDA, Adjusted EBITDA, EBITDA Margin, Adjusted EBITDA Margin, Adjusted Net (Loss)/Income, Adjusted Earnings Per Share ("EPS"), Cash Gross Profit, Cash Gross Margin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EBITDA Margin and Adjusted EBITDA Margin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EBITDA, Adjusted EBITDA, EBITDA Margin and Adjusted EBITDA Margin are supplemental measures of operating performance that are not made under GAAP and do not represent, and should not be considered as, an alternative to net loss as determined by GAAP. We define EBITDA as net (loss)/income, adjusted for non-operating (income)/expense, interest expense, provision for/(benefit from) income taxes, and depreciation and amortization. We define Adjusted EBITDA as EBITDA, adjusted for stock-based compensation expense and restructuring expenses. We define EBITDA Margin as EBITDA as a percentage of total revenue. We define Adjusted EBITDA Margin as Adjusted EBITDA as a percentage of total revenue.</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EBITDA, EBITDA Margin, Adjusted EBITDA and Adjusted EBITDA Margin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Further, Adjusted EBITDA is used by the Board and management to prepare and approve our annual budget, and to evaluate the performance of certain management personnel when determining incentive compensation.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5: Reconciliation of Net Loss to EBITDA, Adjusted EBITDA and Adjusted EBITDA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00" w:type="dxa"/>
            <w:vAlign w:val="bottom"/>
            <w:tcBorders>
              <w:top w:val="single" w:sz="8" w:color="auto"/>
              <w:bottom w:val="single" w:sz="8" w:color="auto"/>
            </w:tcBorders>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2022</w:t>
            </w:r>
          </w:p>
        </w:tc>
        <w:tc>
          <w:tcPr>
            <w:tcW w:w="1200" w:type="dxa"/>
            <w:vAlign w:val="bottom"/>
            <w:tcBorders>
              <w:bottom w:val="single" w:sz="8" w:color="auto"/>
            </w:tcBorders>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Margin</w:t>
            </w:r>
          </w:p>
        </w:tc>
      </w:tr>
      <w:tr>
        <w:trPr>
          <w:trHeight w:val="216"/>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50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r>
      <w:tr>
        <w:trPr>
          <w:trHeight w:val="216"/>
        </w:trPr>
        <w:tc>
          <w:tcPr>
            <w:tcW w:w="50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expenses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right="20" w:hanging="172"/>
        <w:spacing w:after="0" w:line="248" w:lineRule="auto"/>
        <w:tabs>
          <w:tab w:leader="none" w:pos="163"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adjustment to EBITDA is made up of stock-based compensation expense for the awarded service-based restricted stock units ("RSUs"), performance-based restricted stock units ("PSUs"), stock options, and other sources. Stock-based compensation expense for the awarded RSUs, PSUs and stock options was $22.9 million and $62.5 million for fiscal year 2023 and 2022, respectively. Stock-based compensation expense from other sources was $1.5 million and $2.1 million for the fiscal year 2023 and 2022, respectively.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in estimate that would add back to Adjusted EBITDA.</w:t>
      </w:r>
    </w:p>
    <w:p>
      <w:pPr>
        <w:spacing w:after="0" w:line="130" w:lineRule="exact"/>
        <w:rPr>
          <w:rFonts w:ascii="Times New Roman" w:cs="Times New Roman" w:eastAsia="Times New Roman" w:hAnsi="Times New Roman"/>
          <w:sz w:val="19"/>
          <w:szCs w:val="19"/>
          <w:color w:val="auto"/>
          <w:vertAlign w:val="superscript"/>
        </w:rPr>
      </w:pPr>
    </w:p>
    <w:p>
      <w:pPr>
        <w:ind w:left="180" w:right="100" w:hanging="172"/>
        <w:spacing w:after="0" w:line="302" w:lineRule="auto"/>
        <w:tabs>
          <w:tab w:leader="none" w:pos="163"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restructuring expenses include severance and other related benefit costs (including outplacement services and continuing health insurance coverage), external consulting and advisory fees related to implementing the restructuring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(Loss)/Income and Adjusted EPS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Adjusted Net (Loss)/Income and Adjusted EPS are supplemental measures of operating performance that are not made under GAAP and do not represent, and should not be considered as, alternatives to net (loss)/income as determined by GAAP. We define Adjusted Net (Loss)/Income as net loss, adjusted for non-operating (income)/expense, stock-based compensation expense and restructuring expense. We define Adjusted EPS as Adjusted Net (Loss)/Income divided by the weighted-average number of common shares outstanding for the period.</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Adjusted Net (Loss)/Income and Adjusted EPS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6: Reconciliation of Net Loss and GAAP EPS to Non-GAAP Adjusted Net Income and Adjusted EPS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5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340" w:type="dxa"/>
            <w:vAlign w:val="bottom"/>
            <w:tcBorders>
              <w:bottom w:val="single" w:sz="8" w:color="auto"/>
            </w:tcBorders>
          </w:tcPr>
          <w:p>
            <w:pPr>
              <w:spacing w:after="0"/>
              <w:rPr>
                <w:sz w:val="18"/>
                <w:szCs w:val="18"/>
                <w:color w:val="auto"/>
              </w:rPr>
            </w:pPr>
          </w:p>
        </w:tc>
      </w:tr>
      <w:tr>
        <w:trPr>
          <w:trHeight w:val="158"/>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20"/>
              <w:spacing w:after="0" w:line="158" w:lineRule="exact"/>
              <w:rPr>
                <w:sz w:val="20"/>
                <w:szCs w:val="20"/>
                <w:color w:val="auto"/>
              </w:rPr>
            </w:pPr>
            <w:r>
              <w:rPr>
                <w:rFonts w:ascii="Times New Roman" w:cs="Times New Roman" w:eastAsia="Times New Roman" w:hAnsi="Times New Roman"/>
                <w:sz w:val="16"/>
                <w:szCs w:val="16"/>
                <w:color w:val="auto"/>
              </w:rPr>
              <w:t>Adjusted 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Adjusted Earnings</w:t>
            </w:r>
          </w:p>
        </w:tc>
      </w:tr>
      <w:tr>
        <w:trPr>
          <w:trHeight w:val="213"/>
        </w:trPr>
        <w:tc>
          <w:tcPr>
            <w:tcW w:w="5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rPr>
              <w:t>Per Share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Per Share</w:t>
            </w:r>
          </w:p>
        </w:tc>
      </w:tr>
      <w:tr>
        <w:trPr>
          <w:trHeight w:val="216"/>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rPr>
              <w:t>(0.79)</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5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860"/>
              <w:spacing w:after="0"/>
              <w:rPr>
                <w:sz w:val="20"/>
                <w:szCs w:val="20"/>
                <w:color w:val="auto"/>
              </w:rPr>
            </w:pPr>
            <w:r>
              <w:rPr>
                <w:rFonts w:ascii="Times New Roman" w:cs="Times New Roman" w:eastAsia="Times New Roman" w:hAnsi="Times New Roman"/>
                <w:sz w:val="16"/>
                <w:szCs w:val="16"/>
                <w:color w:val="auto"/>
                <w:w w:val="99"/>
              </w:rPr>
              <w:t>0.35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rPr>
              <w:t>0.96</w:t>
            </w:r>
          </w:p>
        </w:tc>
      </w:tr>
      <w:tr>
        <w:trPr>
          <w:trHeight w:val="216"/>
        </w:trPr>
        <w:tc>
          <w:tcPr>
            <w:tcW w:w="5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expenses </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left="860"/>
              <w:spacing w:after="0"/>
              <w:rPr>
                <w:sz w:val="20"/>
                <w:szCs w:val="20"/>
                <w:color w:val="auto"/>
              </w:rPr>
            </w:pPr>
            <w:r>
              <w:rPr>
                <w:rFonts w:ascii="Times New Roman" w:cs="Times New Roman" w:eastAsia="Times New Roman" w:hAnsi="Times New Roman"/>
                <w:sz w:val="16"/>
                <w:szCs w:val="16"/>
                <w:color w:val="auto"/>
                <w:w w:val="99"/>
              </w:rPr>
              <w:t>0.02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rPr>
              <w:t>0.04</w:t>
            </w: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(loss)/income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center"/>
              <w:ind w:left="820"/>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ind w:left="180" w:right="20" w:hanging="172"/>
        <w:spacing w:after="0" w:line="248" w:lineRule="auto"/>
        <w:tabs>
          <w:tab w:leader="none" w:pos="163"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adjustment to EBITDA is made up of stock-based compensation expense for the awarded service-based restricted stock units ("RSUs"), performance-based restricted stock units ("PSUs"), stock options, and other sources. Stock-based compensation expense for the awarded RSUs, PSUs and stock options was $22.9 million and $62.5 million for fiscal year 2023 and 2022, respectively. Stock-based compensation expense from other sources was $1.5 million and $2.1 million for the fiscal year 2023 and 2022, respectively.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in estimate that would add back to Adjusted Net (Loss)/Income.</w:t>
      </w:r>
    </w:p>
    <w:p>
      <w:pPr>
        <w:spacing w:after="0" w:line="130" w:lineRule="exact"/>
        <w:rPr>
          <w:rFonts w:ascii="Times New Roman" w:cs="Times New Roman" w:eastAsia="Times New Roman" w:hAnsi="Times New Roman"/>
          <w:sz w:val="19"/>
          <w:szCs w:val="19"/>
          <w:color w:val="auto"/>
          <w:vertAlign w:val="superscript"/>
        </w:rPr>
      </w:pPr>
    </w:p>
    <w:p>
      <w:pPr>
        <w:ind w:left="180" w:right="100" w:hanging="172"/>
        <w:spacing w:after="0" w:line="302" w:lineRule="auto"/>
        <w:tabs>
          <w:tab w:leader="none" w:pos="163"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restructuring expenses include severance and other related benefit costs (including outplacement services and continuing health insurance coverage), external consulting and advisory fees related to implementing the restructuring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Gross Profit and Cash Gross Margin</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Cash Gross Profit and Cash Gross Margin are supplemental measures of operating performance that are not made under GAAP and do not represent, and should not be considered as, alternatives to gross profit and gross margin as determined by GAAP. We define Cash Gross Profit as gross profit, plus noncash charges for stock-based compensation expense, depreciation and amortization, as well as non-recurring items (such as restructuring expenses) charged under cost of sales. We define Cash Gross Margin as Cash Gross Profit as a percentage of total revenue.</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Gross Profit and Cash Gross Margin provide management and investors a clear representation of the core economics of gross profit and gross margin without the impact of non-cash expenses and sunk costs expended.</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6: Reconciliation of Gross Profit to Cash Gross Profit; Gross Margin to Cash Gross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160" w:type="dxa"/>
            <w:vAlign w:val="bottom"/>
            <w:tcBorders>
              <w:top w:val="single" w:sz="8" w:color="auto"/>
              <w:bottom w:val="single" w:sz="8" w:color="auto"/>
            </w:tcBorders>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2022</w:t>
            </w:r>
          </w:p>
        </w:tc>
        <w:tc>
          <w:tcPr>
            <w:tcW w:w="1160" w:type="dxa"/>
            <w:vAlign w:val="bottom"/>
            <w:tcBorders>
              <w:bottom w:val="single" w:sz="8" w:color="auto"/>
            </w:tcBorders>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Margin</w:t>
            </w: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8"/>
                <w:szCs w:val="18"/>
                <w:color w:val="auto"/>
              </w:rPr>
            </w:pPr>
          </w:p>
        </w:tc>
      </w:tr>
      <w:tr>
        <w:trPr>
          <w:trHeight w:val="23"/>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36.4 %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36.4 %</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 cost of sales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0.6 %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1.6 %</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 cost of sales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w w:val="96"/>
              </w:rPr>
              <w:t>2.5 %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0.4 %</w:t>
            </w: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expenses — cost of sales</w:t>
            </w:r>
          </w:p>
        </w:tc>
        <w:tc>
          <w:tcPr>
            <w:tcW w:w="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5"/>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gross profit (Non-GAAP)</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57,386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w w:val="96"/>
              </w:rPr>
              <w:t>39.5%</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83,911</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38.7 %</w:t>
            </w: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financial measure defined as net cash provided by/(used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use Free Cash Flow to understand the cash flows that directly correspond with our operations and the investments we must make in those operations, using a methodology that combines operating cash flows and capital expenditures. Further, Free Cash Flow may be useful to management and investors in evaluating the Company's operating performance and liquidity.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7: Free Cash Flow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proceeds from resale of software</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(13,891)</w:t>
            </w:r>
          </w:p>
        </w:tc>
        <w:tc>
          <w:tcPr>
            <w:tcW w:w="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11,248</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EBITDA, Adjusted EBITDA, EBITDA Margin, Adjusted EBITDA Margin, Adjusted Net (Loss)/Income, Adjusted EPS, Cash Gross Profit, Cash Gross Margin and Free Cash Flow has limitations as an analytical tool, and you should not consider any of them in isolation, or as a substitute for analysis of our results as reported under GAAP. Among other limitations, each of EBITDA, Adjusted EBITDA, EBITDA Margin, Adjusted EBITDA Margin, Adjusted Net (Loss)/Income, Adjusted EPS, Cash Gross Profit, Cash Gross Margin and Free Cash Flow does not reflect our cash expenditures, or future requirements, for capital expenditures or contractual commitments, does not reflect the impact of certain cash and non-cash charges resulting from matters we consider not to be indicative of our ongoing operations, and does not reflect income tax expense or benefit. Other companies in our industry may calculate Adjusted EBITDA, Adjusted EBITDA Margin, Adjusted Net (Loss)/Income, Adjusted EPS, Cash Gross Profit, Cash Gross Margin and Free Cash Flow differently than we do, which limits their usefulness as comparative measures. Because of these limitations, neither EBITDA, Adjusted EBITDA, EBITDA Margin, Adjusted EBITDA Margin, Adjusted Net (Loss)/Income, Adjusted EPS, Cash Gross Profit, Cash Gross Margin nor Free Cash Flow should be considered as a replacement for gross profit, gross margin, net (loss)/income, earnings per share or net cash flows (used in)/provided by operating activities, as determined by GAAP, or as a measure of our profitability. We compensate for these limitations by relying primarily on our GAAP results and using non-GAAP measures only for supplemental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future operating cash flows, and if needed, borrowings under our $30.0 million senior secured revolving credit facility, with an expansion feature of up to $30.0 million of additional revolver capacity.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cash and cash equivalents of $99.3 million and our working capital was $100.8 million.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8: Cash Flows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(15,478)</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(13,717)</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(20,042)</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(7,124)</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2023 and 2022 was $1.6 million and $16.5 million, respectively, a decrease in cash inflow of $14.9 million compared with prior year. The cash flow from operating activities is primarily driven by the Company's operating losses, the timing of receipts of customer payments, the timing of payments to vendors and employees, and the timing of inventory turnover, adjusted for certain non-cash items that do not impact cash flows from operating activities.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years ended December 31, 2023, increased by $1.8 million in cash outflow compared to the same period in 2022, primarily due to higher investments in software development costs of $14.6 million and $12.7 million for the years ended December 31, 2023 and 2022,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$6.2 million compared to $9.9 million in 2022. The decrease in cash outflow from financing activities is primarily attributable to decreases in payments of tax withholding related to the net share settlement of equity awards of $3.7 million in 2023, compared with $5.7 million in 2022. In addition, the 2023 cash outflow related to the repurchase of common stock under the Share Repurchase Program is comprised only of unpaid purchases in 2022 paid-off in 2023, amounting to $0.1 million, compared with $11.1 million in 2022. This is partially offset by the payments of the DFT holdback of $0.6 million in February 2023. By contrast, in 2022, there was a cash inflow from the other financing obligations of $9.1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from Contractual Obligations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does not have any other material cash requirements from contractual obligations at December 31, 2023, except for the commitments on the existing lease obligations on various office space and equipment under non-cancelable operating and finance leases. We reported current and long-term lease liabilities.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9: Contractual Obligations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Payments due by Period</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2025 - 2027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2028 - 2030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Thereafter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Finance lease obligations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obligations </w:t>
            </w:r>
            <w:r>
              <w:rPr>
                <w:rFonts w:ascii="Times New Roman" w:cs="Times New Roman" w:eastAsia="Times New Roman" w:hAnsi="Times New Roman"/>
                <w:sz w:val="21"/>
                <w:szCs w:val="21"/>
                <w:color w:val="auto"/>
                <w:vertAlign w:val="superscript"/>
              </w:rPr>
              <w:t>(1) (2)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contract obligations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interest expense.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580" w:type="dxa"/>
            <w:vAlign w:val="bottom"/>
            <w:vMerge w:val="continue"/>
          </w:tcPr>
          <w:p>
            <w:pPr>
              <w:spacing w:after="0"/>
              <w:rPr>
                <w:sz w:val="24"/>
                <w:szCs w:val="24"/>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20" w:type="dxa"/>
            <w:vAlign w:val="bottom"/>
          </w:tcPr>
          <w:p>
            <w:pPr>
              <w:spacing w:after="0"/>
              <w:rPr>
                <w:sz w:val="24"/>
                <w:szCs w:val="24"/>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4"/>
                <w:szCs w:val="24"/>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0" w:right="300" w:firstLine="6"/>
        <w:spacing w:after="0" w:line="220" w:lineRule="auto"/>
        <w:tabs>
          <w:tab w:leader="none" w:pos="165"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operating lease right-of-use obligations and short-term leases with terms of 12 months or less. We have various lease agreements pursuant to ASC 842, "Leases" that require us to record the present value of the minimum lease payments for such lease properties.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there were no outstanding commitments that were considered material for capital expenditures on December 31, 2023.</w:t>
      </w:r>
    </w:p>
    <w:p>
      <w:pPr>
        <w:spacing w:after="0" w:line="17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19 - Commitment and Contingencies</w:t>
      </w:r>
      <w:r>
        <w:rPr>
          <w:rFonts w:ascii="Times New Roman" w:cs="Times New Roman" w:eastAsia="Times New Roman" w:hAnsi="Times New Roman"/>
          <w:sz w:val="18"/>
          <w:szCs w:val="18"/>
          <w:color w:val="auto"/>
        </w:rPr>
        <w:t>, to the consolidated financial statements within this Annual Report for further discussion of other commitment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On December 30, 2022, we entered into a senior secured credit facility with JPMorgan Chase Bank, N.A. ("Credit Agreement") that provides for a $30.0 million senior secured revolving credit facility, with the option of issuing letters of credits thereunder and with an uncommitted expansion feature of up to $30.0 million of additional revolver capacity, maturing on December 30, 2025. On April 12, 2023, we amended our Credit Agreement and revised certain provision on the terms of the covered collateral. See </w:t>
      </w:r>
      <w:r>
        <w:rPr>
          <w:rFonts w:ascii="Times New Roman" w:cs="Times New Roman" w:eastAsia="Times New Roman" w:hAnsi="Times New Roman"/>
          <w:sz w:val="18"/>
          <w:szCs w:val="18"/>
          <w:u w:val="single" w:color="auto"/>
          <w:color w:val="0000FF"/>
        </w:rPr>
        <w:t>Note 10 - Debt and Other Obligations</w:t>
      </w:r>
      <w:r>
        <w:rPr>
          <w:rFonts w:ascii="Times New Roman" w:cs="Times New Roman" w:eastAsia="Times New Roman" w:hAnsi="Times New Roman"/>
          <w:sz w:val="18"/>
          <w:szCs w:val="18"/>
          <w:color w:val="auto"/>
        </w:rPr>
        <w:t xml:space="preserve"> to the consolidated financial statements contained within this Annual Report for additional information.</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terms and conditions, including certain covenant requirements. As of December 31, 2023, there were no outstanding balances under the revolving credit facility and we were in compliance with all covenants contained in the 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2022, we entered into a Master Purchase Agreement with a third-party for $9.1 million relating to software licenses under a specific delivery order with a customer resulting in proceeds from other financing obligation. On February 9, 2023, when the third-party buyer notified us that it would not exercise the option period, we transferred all the rights, title and interest in the underlying licenses in exchange for the extinguishment of the outstanding financing obligations. The extinguishment of the other financing obligations resulted to a gain of $1.4 million. See </w:t>
      </w:r>
      <w:r>
        <w:rPr>
          <w:rFonts w:ascii="Times New Roman" w:cs="Times New Roman" w:eastAsia="Times New Roman" w:hAnsi="Times New Roman"/>
          <w:sz w:val="18"/>
          <w:szCs w:val="18"/>
          <w:u w:val="single" w:color="auto"/>
          <w:color w:val="0000FF"/>
        </w:rPr>
        <w:t>Note 10 – Debt and Other Obligations</w:t>
      </w:r>
      <w:r>
        <w:rPr>
          <w:rFonts w:ascii="Times New Roman" w:cs="Times New Roman" w:eastAsia="Times New Roman" w:hAnsi="Times New Roman"/>
          <w:sz w:val="18"/>
          <w:szCs w:val="18"/>
          <w:color w:val="auto"/>
        </w:rPr>
        <w:t xml:space="preserve"> to the consolidated financial statements for a detailed discussion of our debt financing arrangements.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preparing these financial statements, management has made its best estimates and judgments of certain amounts included in the consolidated financial statements, giving due consideration to materiality. Management evaluates these estimates and assumptions on an ongoing basis. Our estimates and assumptions have been prepared on the basis of the most current reasonably available information, and may change in the future as more current information is available.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as a result, actual results could differ from those estimates.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in fiscal year 2023 are described below. This is not intended to be a comprehensive list of all significant accounting policies that are more fully described in the notes to consolidated financial statements contained within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most of our revenue is recognized concurrently with billing or with the passage of time, some of our revenue requires us to make estimates. The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 The standalone selling price is either based on estimated or actual costs plus a reasonable profit margin or the observable price of a good or service when Telos sells that good or service separately in similar circumstances and to similar customers. The transaction price for our contracts represents our best estimate of the consideration we will receive and includes assumptions regarding variable consideration, as applicable. The transaction price is allocated to each distinct performance obligation within the contract and recognized as revenue when, or as, the performance obligation is satisfied.</w:t>
      </w:r>
    </w:p>
    <w:p>
      <w:pPr>
        <w:spacing w:after="0" w:line="1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contracts may also include various types of variable considerations such as claims (i.e., indirect rate or other equitable adjustments) or incentive fees and we include estimated amounts in the transaction price to the extent it is probable that a significant reversal of cumulative revenue recognized will not occur. The estimated amounts are based on an assessment of our anticipated performance and all other information that is reasonably available to us.</w:t>
      </w:r>
    </w:p>
    <w:p>
      <w:pPr>
        <w:spacing w:after="0" w:line="12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For contracts where revenue is recognized over time, we recognize revenue based on progress towards completion of the performance obligation, using costs incurred to date relative to total estimated cost at completion to measure progress on a proportional performance basis for our contracts. Due to the nature of the work required to be performed on certain contracts,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 During the year ended December 31, 2023, there is an immaterial catch-up revenue adjustment as a result of the changes in contract estimates noted.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evaluate the impairment of goodwill and other long-lived assets in accordance with Accounting Standards Codification ("ASC") 350, "Intangibles – Goodwill and Other." Management annually reviews goodwill and other long-lived assets for impairment or whenever events or changes in circumstances indicate the carrying amount may not be recoverable. If we determine that the carrying value of the goodwill and other long-lived assets may not be recoverable, we will record an impairment charge for the amount by which the carrying value of the goodwill and other long-lived assets exceeds its fair value.</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Goodwill is not amortized, but rather tested for potential impairment as of December 31 each year. The goodwill impairment test is performed at the reporting unit level. Accounting requirements provide that a reporting entity may perform an optional qualitative assessment on an annual basis to determine whether events occurred or circumstances changed that would more likely than not reduce the fair value of a reporting unit below its carrying amount. If an initial qualitative assessment identifies that it is more likely than not that the fair value of a reporting unit is less than its carrying amount, or the optional qualitative assessment is not performed, a quantitative analysis is performed.</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testing goodwill for impairment, we first assess the qualitative factors to determine whether the existence of events or circumstances leads to a determination that it is more-likely-than-not that the fair value of a reporting unit is less than its carrying value. If after the assessment, we determine that an impairment indicator exists, we perform the quantitative goodwill impairment test. The Company performs the quantitative goodwill impairment test by calculating the fair value of the reporting unit and comparing 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Determining the fair value of a reporting unit requires management's judgment and involves the use of significant estimates and assumptions, including forecasted revenue, operating margins, capital expenditures, and selection and use of an appropriate discount rate commensurate with the risk inherent in each of our reporting units' current business models. We utilize the weighted average cost of capital as derived by certain assumptions specific to our facts and circumstances as the discount rate. Our estimate of cash flows and discount rate are subject to change due to the economic environment. A relatively small change in the underlying assumptions, including if the financial performance of the reporting unit does not meet expectations in future years, may cause a change in the results of the impairment assessment in future periods and, as such, could result in goodwill impairment.</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fiscal year 2023, we performed a qualitative assessment on our reporting units and determined that it is "more-likely-than-not" that the estimated fair value of our Security Solutions reporting unit exceeded its carrying value. On the other hand, based on the initial qualitative assessment of our Secure Networks reporting unit, we concluded that it is not "more-likely-than-not" that the fair value of this reporting unit exceeds its carrying value; as such, we performed a quantitative analysis. Based on the quantitative analysis on our Secure Networks reporting unit, its estimated fair value exceeded its carrying value and we concluded that there was no impairment.</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our business and other factors described in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of this Annual Report on Form 10-K, the profitability of our individual reporting units may periodically be affected by downturns in customer demand, operational challenges, and other factors. If material adverse conditions occur that impact one or all of our reporting units, our determination of future fair value might not support the carrying amount of our reporting units, and the related goodwill may be impaired. We will continue to monitor any changes to our assumptions and will evaluate goodwill as deemed warranted during future periods.</w:t>
      </w:r>
    </w:p>
    <w:p>
      <w:pPr>
        <w:spacing w:after="0" w:line="1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amortize intangible assets over their respective estimated useful lives, and review them for impairment whenever events or changes in business circumstances indicate the carrying value may not be recoverable.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Likewise, we evaluated our intangible assets for potential impairment. As a result of the assessment, we identified conditions demonstrating an impairment of certain software development costs. An impairment charge of $0.5 million was recorded in the consolidated statements of operations for the year ended December 31, 2023.</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For further discussion of the methods used and factors considered in our estimates as part of the impairment testing for goodwill and intangible assets, see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Goodwill and Intangible Assets,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7 - Goodwill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8 - Intangible Assets, Net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Our income tax expense, deferred tax assets and liabilities, and liabilities for unrecognized tax benefits reflect our best estimate of current and future taxes to be paid. We record net deferred assets to the extent we believe these assets will more likely than not be realized. The realizability of net deferred tax assets is based on all available evidence, including future taxable income projections, tax planning strategies, and reversal of taxable temporary differences. We regularly review our deferred tax assets for recoverability and establish a valuation allowance when management believes it is more likely than not such asset will not be recovered, taking into consideration historical operating results, expectations of future earnings, tax planning strategies and the expected timing of the reversals of existing temporary differences.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xml:space="preserve"> of the Consolidated Financial Statements for a discussion of recently issued accounting pronouncements.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a variety of financial risks such as interest rate risk, foreign currency translation risk, and counterparty risk, which can affect our operations and profitability.</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cash and cash equivalents include highly liquid investments that have a maturity of three months or less at the date of purchase, and would not be significantly affected by increases or decreases in interest rates mainly due to the short-term nature of these instruments. The majority of our business is transacted in U.S. dollars, and the impact of the foreign currency fluctuation as we report for our foreign subsidiary upon translation of its financials into U.S. dollars was insignificant. Further, we do not enter into financial instruments for trading purposes.</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1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Telos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Telos Corporation (the “Company”) as of December 31, 2023 and 2022, and the related consolidated statements of operations, comprehensive (loss)/income, changes in stockholders’ equity/(deficit) and cash flows for each of the two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Estimated Costs to Complete Long-term Contracts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a portion of the Company’s revenues of $145.4 million for the year ended December 31, 2023 were generated from long-term contracts. For the Company’s long-term contracts, due to the transfer of control over time, revenue is recognized based on progress towards completion of the performance obligation. Management generally uses the cost-to-cost measure of progress on a proportional performance basis for its long-term contracts because management believes that measure best depicts the transfer of control to the customer, which occurs as the Company incurs costs on the contracts. Under the cost-to-cost measure of progress, the extent of progress towards completion is measured based on the ratio of costs incurred to date to the total estimated costs at completion of the performance obligation, which includes both the actual costs already incurred and the estimated costs to complete. Revenues are recorded proportionately as costs are incurred. Due to the nature of the work required to be performed on certain of the performance obligations, management’s estimation of costs at completion is complex, subject to many variables and requires significant judgment. Contract estimates are based on various assumptions, including labor and subcontractor costs, materials and other direct costs, and the complexity of the work to be performed.</w:t>
      </w:r>
    </w:p>
    <w:p>
      <w:pPr>
        <w:spacing w:after="0" w:line="1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estimated costs to complete long-term contracts is a critical audit matter are (i) the significant judgment by management when estimating costs at completion and (ii) a high degree of auditor judgment, subjectivity and effort in performing procedures and evaluating management’s significant assumptions related to labor and subcontractor costs and materials and other direct costs.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contract revenue and costs. These procedures included, among others, (i) testing management’s process for estimating costs at completion for a sample of contracts (ii) evaluating the appropriateness of the cost-to-cost measure of progress, (iii) testing the completeness and accuracy of data used by management, and (iv) evaluating the reasonableness of management’s significant assumptions related to labor and subcontractor costs and materials and other direct costs. Evaluating management’s significant assumptions involved assessing whether the assumptions were reasonable by (i) performing a comparison of the originally estimated and actual costs incurred on a sample of similar completed contracts; (ii) assessing the reasonableness of estimated costs to complete on a sample of in-process contracts, including the timing of costs incurred and the related impacts on revenue; and (iii) performing retrospective reviews of a sample of contracts to understand and corroborate management’s estimation process and budget-to-actual variances, if any.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4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350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1340" w:type="dxa"/>
            <w:vAlign w:val="bottom"/>
            <w:shd w:val="clear" w:color="auto" w:fill="CCEEFF"/>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135,175</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192,742</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24,145</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145,378</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216,887</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services (excluding depreciation and amortization)</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83,159</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120,541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products (excluding depreciation and amortization)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16,510</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92,436</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137,844</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52,942</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79,043</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16,918</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73,888</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99,393</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selling, general and administrative expenses</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93,257</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132,893</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(40,315)</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(53,374)</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tcBorders>
              <w:bottom w:val="single" w:sz="8" w:color="auto"/>
            </w:tcBorders>
            <w:shd w:val="clear" w:color="auto" w:fill="CCEEFF"/>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7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shd w:val="clear" w:color="auto" w:fill="CCEEFF"/>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r>
      <w:tr>
        <w:trPr>
          <w:trHeight w:val="270"/>
        </w:trPr>
        <w:tc>
          <w:tcPr>
            <w:tcW w:w="7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 outstanding:</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69,256</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67,559</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6" w:lineRule="exact"/>
        <w:rPr>
          <w:sz w:val="20"/>
          <w:szCs w:val="20"/>
          <w:color w:val="auto"/>
        </w:rPr>
      </w:pPr>
    </w:p>
    <w:tbl>
      <w:tblPr>
        <w:tblLayout w:type="fixed"/>
        <w:tblInd w:w="3960" w:type="dxa"/>
        <w:tblCellMar>
          <w:top w:w="0" w:type="dxa"/>
          <w:left w:w="0" w:type="dxa"/>
          <w:bottom w:w="0" w:type="dxa"/>
          <w:right w:w="0" w:type="dxa"/>
        </w:tblCellMar>
      </w:tblPr>
      <w:tr>
        <w:trPr>
          <w:trHeight w:val="213"/>
        </w:trPr>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r>
      <w:tr>
        <w:trPr>
          <w:trHeight w:val="216"/>
        </w:trPr>
        <w:tc>
          <w:tcPr>
            <w:tcW w:w="480" w:type="dxa"/>
            <w:vAlign w:val="bottom"/>
          </w:tcPr>
          <w:p>
            <w:pPr>
              <w:spacing w:after="0"/>
              <w:rPr>
                <w:sz w:val="18"/>
                <w:szCs w:val="18"/>
                <w:color w:val="auto"/>
              </w:rPr>
            </w:pPr>
          </w:p>
        </w:tc>
        <w:tc>
          <w:tcPr>
            <w:tcW w:w="23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33"/>
        </w:trPr>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(53,428)</w:t>
            </w:r>
          </w:p>
        </w:tc>
      </w:tr>
      <w:tr>
        <w:trPr>
          <w:trHeight w:val="435"/>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(34,427)</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(53,456)</w:t>
            </w:r>
          </w:p>
        </w:tc>
      </w:tr>
      <w:tr>
        <w:trPr>
          <w:trHeight w:val="23"/>
        </w:trPr>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-591185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-316230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800" w:space="240"/>
            <w:col w:w="820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As of December 31, 2023</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2022</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5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99,260</w:t>
            </w:r>
          </w:p>
        </w:tc>
        <w:tc>
          <w:tcPr>
            <w:tcW w:w="80" w:type="dxa"/>
            <w:vAlign w:val="bottom"/>
          </w:tcPr>
          <w:p>
            <w:pPr>
              <w:spacing w:after="0"/>
              <w:rPr>
                <w:sz w:val="18"/>
                <w:szCs w:val="18"/>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119,305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40,069</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139,991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167,963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39,616</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240" w:type="dxa"/>
            <w:vAlign w:val="bottom"/>
            <w:tcBorders>
              <w:bottom w:val="single" w:sz="8" w:color="auto"/>
            </w:tcBorders>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208,699</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237,397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14,569</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financing obligations – current portion</w:t>
            </w:r>
          </w:p>
        </w:tc>
        <w:tc>
          <w:tcPr>
            <w:tcW w:w="1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39,198</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obligations – non-current portion</w:t>
            </w:r>
          </w:p>
        </w:tc>
        <w:tc>
          <w:tcPr>
            <w:tcW w:w="1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49,696</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65,043</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$0.001 par value, 250,000,000 shares authorized, 70,239,890 shares and 67,431,632 shares</w:t>
            </w:r>
          </w:p>
        </w:tc>
        <w:tc>
          <w:tcPr>
            <w:tcW w:w="1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as of December 31, 2023 and 2022, respectively</w:t>
            </w:r>
          </w:p>
        </w:tc>
        <w:tc>
          <w:tcPr>
            <w:tcW w:w="1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433,781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412,708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(274,827)</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(240,405)</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159,003</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172,354</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40" w:type="dxa"/>
            <w:vAlign w:val="bottom"/>
            <w:tcBorders>
              <w:bottom w:val="single" w:sz="8" w:color="auto"/>
            </w:tcBorders>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208,699</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237,397</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4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60" w:type="dxa"/>
            <w:vAlign w:val="bottom"/>
            <w:gridSpan w:val="3"/>
          </w:tcPr>
          <w:p>
            <w:pPr>
              <w:jc w:val="right"/>
              <w:ind w:right="8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(53,428)</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flows from operations: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64,660</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Accretion of discount on acquisition holdback</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early extinguishment of other financing obligations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19,675</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Intangible assets – software held for resale</w:t>
            </w:r>
          </w:p>
        </w:tc>
        <w:tc>
          <w:tcPr>
            <w:tcW w:w="1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payable and other accrued payables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(12,322)</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7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Other current liabilities and other liabilities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21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(12,708)</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(15,478)</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(13,717)</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DFT holdback amount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other financing obligations</w:t>
            </w:r>
          </w:p>
        </w:tc>
        <w:tc>
          <w:tcPr>
            <w:tcW w:w="1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other financing obligations</w:t>
            </w:r>
          </w:p>
        </w:tc>
        <w:tc>
          <w:tcPr>
            <w:tcW w:w="1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07"/>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(9,915)</w:t>
            </w:r>
          </w:p>
        </w:tc>
      </w:tr>
      <w:tr>
        <w:trPr>
          <w:trHeight w:val="212"/>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(20,042)</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119,438</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126,562</w:t>
            </w: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99,396</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51" w:lineRule="exact"/>
        <w:rPr>
          <w:sz w:val="20"/>
          <w:szCs w:val="20"/>
          <w:color w:val="auto"/>
        </w:rPr>
      </w:pPr>
    </w:p>
    <w:tbl>
      <w:tblPr>
        <w:tblLayout w:type="fixed"/>
        <w:tblInd w:w="334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3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Additional</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13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6"/>
              </w:rPr>
              <w:t>Shares</w:t>
            </w:r>
          </w:p>
        </w:tc>
        <w:tc>
          <w:tcPr>
            <w:tcW w:w="17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Amount</w:t>
            </w:r>
          </w:p>
        </w:tc>
        <w:tc>
          <w:tcPr>
            <w:tcW w:w="13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Paid–in Capital</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Deficit</w:t>
            </w:r>
          </w:p>
        </w:tc>
        <w:tc>
          <w:tcPr>
            <w:tcW w:w="13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Stockholders'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8890</wp:posOffset>
            </wp:positionV>
            <wp:extent cx="50145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i w:val="1"/>
          <w:iCs w:val="1"/>
          <w:color w:val="auto"/>
        </w:rPr>
        <w:t>(in thousands)</w:t>
      </w:r>
    </w:p>
    <w:p>
      <w:pPr>
        <w:sectPr>
          <w:pgSz w:w="11900" w:h="16838" w:orient="portrait"/>
          <w:cols w:equalWidth="0" w:num="1">
            <w:col w:w="11240"/>
          </w:cols>
          <w:pgMar w:left="320" w:top="119"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2021</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140" w:right="100"/>
        <w:spacing w:after="0" w:line="245" w:lineRule="auto"/>
        <w:rPr>
          <w:sz w:val="20"/>
          <w:szCs w:val="20"/>
          <w:color w:val="auto"/>
        </w:rPr>
      </w:pPr>
      <w:r>
        <w:rPr>
          <w:rFonts w:ascii="Times New Roman" w:cs="Times New Roman" w:eastAsia="Times New Roman" w:hAnsi="Times New Roman"/>
          <w:sz w:val="16"/>
          <w:szCs w:val="16"/>
          <w:color w:val="auto"/>
        </w:rPr>
        <w:t>Restricted stock unit award vested, net of shares withheld to cover tax withholding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66,767</w:t>
            </w:r>
          </w:p>
        </w:tc>
        <w:tc>
          <w:tcPr>
            <w:tcW w:w="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367,153</w:t>
            </w:r>
          </w:p>
        </w:tc>
        <w:tc>
          <w:tcPr>
            <w:tcW w:w="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7"/>
              </w:rPr>
              <w:t>(27)</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(186,977)</w:t>
            </w:r>
          </w:p>
        </w:tc>
        <w:tc>
          <w:tcPr>
            <w:tcW w:w="4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180,254</w:t>
            </w:r>
          </w:p>
        </w:tc>
      </w:tr>
      <w:tr>
        <w:trPr>
          <w:trHeight w:val="216"/>
        </w:trPr>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(53,428)</w:t>
            </w:r>
          </w:p>
        </w:tc>
      </w:tr>
      <w:tr>
        <w:trPr>
          <w:trHeight w:val="216"/>
        </w:trPr>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7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7"/>
              </w:rPr>
              <w:t>(28)</w:t>
            </w:r>
          </w:p>
        </w:tc>
        <w:tc>
          <w:tcPr>
            <w:tcW w:w="4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62,511</w:t>
            </w:r>
          </w:p>
        </w:tc>
        <w:tc>
          <w:tcPr>
            <w:tcW w:w="580" w:type="dxa"/>
            <w:vAlign w:val="bottom"/>
          </w:tcPr>
          <w:p>
            <w:pPr>
              <w:spacing w:after="0"/>
              <w:rPr>
                <w:sz w:val="18"/>
                <w:szCs w:val="18"/>
                <w:color w:val="auto"/>
              </w:rPr>
            </w:pPr>
          </w:p>
        </w:tc>
        <w:tc>
          <w:tcPr>
            <w:tcW w:w="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62,511</w:t>
            </w:r>
          </w:p>
        </w:tc>
      </w:tr>
      <w:tr>
        <w:trPr>
          <w:trHeight w:val="297"/>
        </w:trPr>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580" w:type="dxa"/>
            <w:vAlign w:val="bottom"/>
          </w:tcPr>
          <w:p>
            <w:pPr>
              <w:spacing w:after="0"/>
              <w:rPr>
                <w:sz w:val="24"/>
                <w:szCs w:val="24"/>
                <w:color w:val="auto"/>
              </w:rPr>
            </w:pPr>
          </w:p>
        </w:tc>
        <w:tc>
          <w:tcPr>
            <w:tcW w:w="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-732790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-458470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-184150</wp:posOffset>
            </wp:positionV>
            <wp:extent cx="713232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360" w:space="720"/>
            <w:col w:w="71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(11,284)</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67,431</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412,708</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(240,405)</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172,354</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22,874</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Restricted stock unit award vested, net of shares</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0" w:type="dxa"/>
            <w:vAlign w:val="bottom"/>
          </w:tcPr>
          <w:p>
            <w:pPr>
              <w:spacing w:after="0"/>
              <w:rPr>
                <w:sz w:val="1"/>
                <w:szCs w:val="1"/>
                <w:color w:val="auto"/>
              </w:rPr>
            </w:pPr>
          </w:p>
        </w:tc>
      </w:tr>
      <w:tr>
        <w:trPr>
          <w:trHeight w:val="129"/>
        </w:trPr>
        <w:tc>
          <w:tcPr>
            <w:tcW w:w="33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withheld to cover tax withholding</w:t>
            </w:r>
          </w:p>
        </w:tc>
        <w:tc>
          <w:tcPr>
            <w:tcW w:w="12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34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0" w:type="dxa"/>
            <w:vAlign w:val="bottom"/>
          </w:tcPr>
          <w:p>
            <w:pPr>
              <w:spacing w:after="0"/>
              <w:rPr>
                <w:sz w:val="1"/>
                <w:szCs w:val="1"/>
                <w:color w:val="auto"/>
              </w:rPr>
            </w:pPr>
          </w:p>
        </w:tc>
      </w:tr>
      <w:tr>
        <w:trPr>
          <w:trHeight w:val="234"/>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159,003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ORGANIZATION</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or "Telos" or "We" or "Our"), a Maryland corporation, is a leading provider of cyber, cloud and enterprise security solutions for the world's most security-conscious organizations. We own all of the issued and outstanding share capital of Xacta Corporation and ubIQuity.com, inc., (a holding company for Xacta Corporation), and 100% ownership interest in Telos Identity Management Solutions, LLC ("Telos ID"), Teloworks, Inc. ("Teloworks") and Telos APAC Pte. Ltd.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 of Consolidation</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include the accounts of Telos and its subsidiaries (see </w:t>
      </w:r>
      <w:r>
        <w:rPr>
          <w:rFonts w:ascii="Times New Roman" w:cs="Times New Roman" w:eastAsia="Times New Roman" w:hAnsi="Times New Roman"/>
          <w:sz w:val="18"/>
          <w:szCs w:val="18"/>
          <w:u w:val="single" w:color="auto"/>
          <w:color w:val="0000FF"/>
        </w:rPr>
        <w:t>Note 1 – Organization</w:t>
      </w:r>
      <w:r>
        <w:rPr>
          <w:rFonts w:ascii="Times New Roman" w:cs="Times New Roman" w:eastAsia="Times New Roman" w:hAnsi="Times New Roman"/>
          <w:sz w:val="18"/>
          <w:szCs w:val="18"/>
          <w:color w:val="auto"/>
        </w:rPr>
        <w:t>), all of whose issued and outstanding share capital is wholly-owned directly and indirectly by the Telos Corporation. All intercompany transactions have been eliminated in consolidation.</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and the rules and regulations of the U.S. Securities and Exchange Commission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Comparison</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In the current period, we reclassified and presented depreciation and amortization separately from the cost of sales line items. The reclassification had no impact on the statement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for which separate discrete financial information is available and evaluated regularly by the chief operating decision maker ("CODM"), or decision-making group, in deciding how to allocate resources and assess performance. We operate our business in two reportable and operating segments: Security Solutions and Secure Networks. These segments enable the alignment of our strategies and objectives and provide a framework for the timely and rational allocation of resources within business lines. We eliminate any inter-segment revenues and expenses upon consolidation. See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xml:space="preserve"> for further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Preparing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stock-based compensation, valuation of intangible assets and goodwill, restructuring expenses accruals, and contingencies. Actual results could differ from those estimates. The impact of changes in estimates is recorded in the period in which they become known.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cash equivalents, and accounts receivable.</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consideration that a large amount of our working capital and total assets are held in cash and cash equivalents, we are exposed to credit risk in the event of default by the financial institutions to the extent of the amounts held in excess of federal insurance limits. Due to the financial strength and high credit quality of the financial institutions where the accounts are held, we do not believe that this credit risk makes it reasonably possible that a near-term severe impact risk of loss will occur.</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receivables are primarily due from the U.S. government, or from prime contractors to whom we are subcontractors and the end customer is the U.S. government, and are generally considered collectable from the perspective of the customer's ability to pay. We believe that the credit risk associated with our receivables is limited due to the creditworthiness of our customers. We maintain an allowance for estimated potential credit losses.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w:t>
      </w:r>
    </w:p>
    <w:p>
      <w:pPr>
        <w:spacing w:after="0" w:line="1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Restricted cash represents funds that are held in our money market account but precluded from use of general business needs through contractual requirements. We report our restricted cash balance within "Other assets" on the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billing and cash receipts from customers. Amounts are invoiced as work progresses, either at periodic intervals or upon achievement of contractual milestones. We record a contract asset when revenue is recognized prior to invoicing, or a contract liability when cash is received in advance or when milestone payments from customers exceed revenue earned to date.</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contract asset is a right to consideration that is conditional upon factors other than the passage of time. Contract liabilities include deferred revenue, customer advances and billings in excess of revenue. Contract assets and liabilities are recorded net on a contract-by-contract basis and are classified based on the contract's operating cycle at the end of each reporting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includes the following:</w:t>
      </w:r>
    </w:p>
    <w:p>
      <w:pPr>
        <w:spacing w:after="0" w:line="171"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Billed Receivables</w:t>
      </w:r>
      <w:r>
        <w:rPr>
          <w:rFonts w:ascii="Times New Roman" w:cs="Times New Roman" w:eastAsia="Times New Roman" w:hAnsi="Times New Roman"/>
          <w:sz w:val="18"/>
          <w:szCs w:val="18"/>
          <w:color w:val="auto"/>
        </w:rPr>
        <w:t xml:space="preserve"> - Billed receivables are balances where an invoice has been prepared and issued and is collectible under standard contract terms. Where we anticipate that an invoice will be issued within a short period of time and where the funds are considered collectible within standard contract terms, we include this balance as billable accounts receivable.</w:t>
      </w:r>
    </w:p>
    <w:p>
      <w:pPr>
        <w:spacing w:after="0" w:line="122"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Unbilled Receivables</w:t>
      </w:r>
      <w:r>
        <w:rPr>
          <w:rFonts w:ascii="Times New Roman" w:cs="Times New Roman" w:eastAsia="Times New Roman" w:hAnsi="Times New Roman"/>
          <w:sz w:val="18"/>
          <w:szCs w:val="18"/>
          <w:color w:val="auto"/>
        </w:rPr>
        <w:t xml:space="preserve"> - Unbilled receivables are balances which have not yet been billed due to timing, most commonly just a month delayed from the timing of revenue recognition and the actual bill being presented to the customer. The Company has fulfilled all requirements in order to bill the customer and collect the funds.</w:t>
      </w:r>
    </w:p>
    <w:p>
      <w:pPr>
        <w:spacing w:after="0" w:line="122"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Contract Assets</w:t>
      </w:r>
      <w:r>
        <w:rPr>
          <w:rFonts w:ascii="Times New Roman" w:cs="Times New Roman" w:eastAsia="Times New Roman" w:hAnsi="Times New Roman"/>
          <w:sz w:val="18"/>
          <w:szCs w:val="18"/>
          <w:color w:val="auto"/>
        </w:rPr>
        <w:t xml:space="preserve"> - Contract assets are receivables for which the right to consideration is conditional upon factors other than the passage of time. The timing of these billings is generally driven by contractual terms, which may have billing milestones that are different from revenue recognition milestones.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Both billed and unbilled balances are recorded at their face amount less an allowance for credit losses over the contractual payment terms of the receivable. Collectability of these amounts are periodically reviewed based upon management's knowledge and analysis of available information as of the balance sheet date, including any specific circumstances related to overdue balances, length of time that the receivable has been outstanding, historical bad debts and aging trends, and other general and contract specific factors. The allowance for credit losses is adjusted based on such evaluation. Accounts receivable balances are written off against the allowance when management deems the balances uncollectible.</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contract asset balance is recorded at the net amount expected to be billed for services performed once the objective criteria laid out by the contract has been met.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where cost is determined using the weighted-average method. The value of inventory is adjusted for damaged, obsolete, excess and slowing-moving inventory. Net realizable value of inventory is estimated based on the historical obsolescence experience and planned usage.</w:t>
      </w:r>
    </w:p>
    <w:p>
      <w:pPr>
        <w:spacing w:after="0" w:line="12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Inventories are substantially comprised of finished goods purchased for customers, such as off-the-shelf hardware and software, and component computer parts used in connection with system integration services that we perform.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is recorded over the assets' estimated useful lives using the straight-line method, which is three to five years for furniture and equipment. Leasehold improvements are amortized over the shorter of their useful life or the remaining terms of the lease.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Upon sale or retirement of property and equipment, the costs and related accumulated depreciation and amortization are eliminated from the accounts and any gain or loss on such disposition is reflected in the consolidated statements of operations. For the years ended December 31, 2023 and 2022, such amounts are negligible.</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expensed as incurred. Major renewals and improvements are capitalized and depreciated over their estimated useful lives.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7"/>
          <w:szCs w:val="17"/>
          <w:color w:val="auto"/>
        </w:rPr>
        <w:t>We determine if an arrangement is a lease and we account for leases in accordance with ASC Topic 842, "Leases." We entered into contractual arrangements primarily for the use of real estate facilities, and certain other equipment. We determine the classification of the lease under these arrangements, if any, at inception based on: (1) whether the contract involves the use of a distinct identified asset, (2) whether we obtain the right to substantially all the economic benefits from the use of the asset throughout the period, and (3) whether we have a right to direct the use of the asset.</w:t>
      </w:r>
    </w:p>
    <w:p>
      <w:pPr>
        <w:spacing w:after="0" w:line="1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Leased property meeting certain criteria is capitalized at the present value of the related minimum lease payments. Amortization of a finance lease ROU asset is computed using the straight-line method over the lesser of the lease term or the useful life of the related asset.</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accordance with ASC 842, we recorded operating lease ROU assets, which represent our right to use an underlying asset for the lease term, and operating lease liabilities which represent our obligation to make lease payments. Generally, we enter into operating lease agreements for facilities. The amount of operating lease liabilities due within 12 months are recorded in other current liabilities, with the remaining operating lease liabilities recorded as non-current liabilities in our consolidated balance sheets based on their contractual due dates. The operating lease ROU assets and liabilities are recognized as of the lease commencement date at the present value of the lease payments over the lease term. Most of our leases do not provide an implicit rate that can readily be determined. Therefore, we use a discount rate based on our incremental borrowing rate on all operating leases. Some of our operating leases contain lease and non-lease components, which we account for as a single component. Operating lease expense is recognized as rent expense on a straight-line basis over the lease term, and recorded within our consolidated statement of operations.</w:t>
      </w:r>
    </w:p>
    <w:p>
      <w:pPr>
        <w:spacing w:after="0" w:line="1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related lease payments on short-term lease arrangements (leases of one year or less) are recognized as expense on a straight-line basis over the lease term.</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ROU assets are assessed for potential impairment whenever there is evidence that events or changes in circumstances indicate that the carrying value of the asset may not be recoverable and the carrying amount of the assets exceeds its estimated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account for development costs of software in accordance with ASC Topic 985-20 ("ASC 985-20"), "Software – Costs of Software to be Sold, Leased, or Marketed" and ASC Topic 350-40 ("ASC 350-40") "Internal Use Software", depending on the intended use of the software being developed. Under ASC 985-20, all costs of developing software prior to establishing its technological feasibility are research and development costs and are expensed as incurred. Once technological feasibility has been established, subsequent costs should be capitalized until the software begins to be marketed or is released to customers after which the capitalized costs should be amortized and reviewed for impairment. Under ASC 350-40, we capitalize certain software development costs when the preliminary project stage is completed and the software has entered the application development stage. Once substantial testing is complete and the software is ready to be used, capitalization of costs ceases.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are amortized on a straight-line basis over the estimated economic life of the application, ranging from two to five years, beginning when the asset is ready for its intended use.</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ASC 350-40 also requires hosting arrangements that are service contracts to follow the guidance for internal-use software to determine which implementation costs can be capitalized. In accordance with ASC 350-40, (i) capitalized implementation costs are classified in the same balance sheet line item as the amounts prepaid for the related hosting arrangement, (ii) amortization of capitalized implementation costs is presented in the same income statement line item as the service fees for the related hosting arrangement, and (iii) cash flows related to capitalized implementation costs are presented within the same category of cash flow activity as the cash flow for the related hosting arrangements (i.e. operating activity). As of December 31, 2023 and 2022, the net carrying value of the capitalized implementation costs related to hosting arrangements that were incurred during the application development stage aggregated to $0.2 million and $0.3 million, respectively. These costs are related primarily to the implementation of a new enterprise resource planning system. The Company begins amortizing the capitalized implementation costs after all substantial testing is complete and ready for its intended use, and amortized over the expected term of the arrangement on a straight-line basis.</w:t>
      </w:r>
    </w:p>
    <w:p>
      <w:pPr>
        <w:spacing w:after="0" w:line="13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Software costs classified as held for resale are stated at the lower of cost or net realizable value. Software held for resale is amortized into cost of sales on the consolidated statements of operations. The Company reported the software held for resale as part of the Intangible Assets on the consolidated balance sheets.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Goodwill is recorded for the difference between the aggregate consideration paid for an acquisition and the fair value of net tangible and intangible assets acquired and liabilities assumed. Goodwill is not amortized, but rather tested for potential impairment. We evaluate the impairment of goodwill in accordance with ASC 350, which requires goodwill to be assessed on at least an annual basis, as of December 31 each year,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(2) a loss of key contracts or customers, or (3) negative operating performance indicators. The Company performs its goodwill impairment test at the reporting unit level.</w:t>
      </w:r>
    </w:p>
    <w:p>
      <w:pPr>
        <w:spacing w:after="0" w:line="13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may elect to utilize a qualitative assessment to evaluate whether it is "more-likely-than-not" that the fair value of a reporting unit is less than its carrying value. If an impairment indicator exists based on the qualitative assessment, we perform the quantitative goodwill impairment test. When performing a quantitative impairment test, we calculate the estimated fair value of the reporting unit and compare the results with its respective carrying value, including goodwill. If the estimated fair value is determined to be less than the carrying value, we recognize an impairment loss equal to the difference between the reporting unit's fair value and the reporting unit's carrying value, up to the amount of goodwill associated with the reporting unit.</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evaluation is based on the estimation of the fair values at the reporting unit level in comparison to the reporting unit's net asset carrying values. The Company uses industry accepted valuation models and set criteria that are reviewed and approved by management. The methodology used to assess impairment is a combination of the income approach (i.e. discounted cash flow ("DCF") method) and the market approach (i.e. Comparable Public Company ("CPC") method) to determine the fair value.</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application of the income approach, the estimated fair value of the reporting unit is determined using a DCF analysis, which requires management's judgment with respect to forecasted revenue streams and operating margins, capital expenditures and the selection and use of an appropriate discount rate commensurate with the risk inherent in each of our reporting unit's current business model. We utilize the weighted average cost of capital ("WACC") as derived by certain assumptions specific to our facts and circumstances as the discount rate.</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application of the market approach, the CPC method uses value multiples or ratio to the reporting accounting data (such as revenue) in measuring the market's perception of the reporting unit's enterprise value. Value multiples or ratio reflect the trends in growth and performance, and the comparable public companies provide a reasonable basis for comparison to the relative investment characteristic of the business being valued. The Company analyzes the relationship between the comparable companies' performance and applies a control premium based on the multiples of comparable companies. The control premium is management's estimate of how much a market participant would be willing to pay over the fair market value in consideration of benefits that flow from control of the entity.</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results of the income and market approaches are weighted to determine the estimated fair value of the reporting unit. The weighting is judgmental and is based on the perceived level of appropriateness of the valuation methodology. Estimating the fair value involves the use of assumptions and significant judgments that are based on a number of factors including actual operating results. A relatively small change in the underlying assumptions may cause a change in the results of the impairment assessment in future periods and as such, could result in goodwill impairment.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goodwill is amortized and deducted over a 15-year period for tax purposes. See </w:t>
      </w:r>
      <w:r>
        <w:rPr>
          <w:rFonts w:ascii="Times New Roman" w:cs="Times New Roman" w:eastAsia="Times New Roman" w:hAnsi="Times New Roman"/>
          <w:sz w:val="18"/>
          <w:szCs w:val="18"/>
          <w:u w:val="single" w:color="auto"/>
          <w:color w:val="0000FF"/>
        </w:rPr>
        <w:t>Note 7 – Goodwill</w:t>
      </w:r>
      <w:r>
        <w:rPr>
          <w:rFonts w:ascii="Times New Roman" w:cs="Times New Roman" w:eastAsia="Times New Roman" w:hAnsi="Times New Roman"/>
          <w:sz w:val="18"/>
          <w:szCs w:val="18"/>
          <w:color w:val="auto"/>
        </w:rPr>
        <w:t xml:space="preserve"> for additional information.</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carried at cost, less accumulated amortization. Amortization is computed using the method that best reflects how their economic benefits are utilized or, if a pattern of economic benefits cannot be reliably determined, on a straight-line basis over their estimated useful lives.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potential impairment whenever there is evidence that events or changes in circumstances indicate that the carrying value may not be recoverable. If such evaluation indicates that the carrying amount of the asset exceeds its estimated future undiscounted cash flows or its estimated fair value, an impairment loss is recognized to reduce the asset's carrying amount to its estimated fair value. Considerable management judgment is necessary to estimate its fair value. Accordingly, actual results could differ from such estimates. No events have been identified that caused an evaluation of the recoverability of long-lived assets.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recoverability assessment, the Company routinely reviews the remaining lives of its long-lived assets. Any reduction in the useful life assumptions will result in increased depreciation or amortization expense in the period when such determinations are made, as well as in subsequent periods. There are no changes in the estimated useful lives of long-lived assets for the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U.S. GAAP provides a framework for measuring fair value and expands disclosures about fair value measurements. The framework requires the valuation of investments using a three-tiered approach. The statement requires fair value measurement to be classified and disclosed in one of the following categories:</w:t>
      </w:r>
    </w:p>
    <w:p>
      <w:pPr>
        <w:spacing w:after="0" w:line="6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and liabilities;</w:t>
      </w:r>
    </w:p>
    <w:p>
      <w:pPr>
        <w:spacing w:after="0" w:line="11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or</w:t>
      </w:r>
    </w:p>
    <w:p>
      <w:pPr>
        <w:spacing w:after="0" w:line="53"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we did not have any financial instruments with significant Level 3 inputs and we did not have any financial instruments that are measured at fair value on a recurring basis.</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(such as salaries, taxes, benefits and stock-based compensation), allocated overhead costs and outside services costs related to the development and improvement of the Company's software. Research and development costs are generally expensed as incurred, except for costs incurred in connection with the development of software that qualify for the capitalization as described in our software development costs policy. Amortization of capitalized software development costs, not charged under cost of sales, are also reported as part of research and development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and included in sales and marketing expense when incurred. Advertising expense was $0.8 million and $1.3 million for the years ended December 31, 2023 and 2022,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Acquisitions were accounted for under U.S. GAAP using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allocates the fair value of purchase consideration to the tangible and intangible assets acquired and liabilities assumed based on their estimated fair values. The excess of the fair value of purchase consideration over the values of these identifiable assets and liabilities, if any, is recorded as goodwill.</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 about expected future cash flows, weighted-average cost of capital, discount rates and expected long-term growth rates.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under the 2016 Omnibus Long-Term Incentive Plan, as amended (the "2016 LTIP"). Our 2016 LTIP provides for the grant of stock options, stock appreciation rights, restricted stock, restricted stock units, unrestricted stock and dividend equivalent rights to our senior executives, directors, employees, and other eligible service providers. The stock options granted under the 2016 LTIP expire no more than 10 years after the date of grant.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Awards granted under the 2016 LTIP vest over the periods determined by the Board of Directors or the Compensation Committee of the Board of Directors, who has the discretion to establish the terms, conditions and criteria of the various awards, including the weighting and vesting schedule of Service-Based RSUs and the performance conditions applicable to the Performance-Based RSUs, including the achievement of certain financial performance criteria or price targets for our common stock.</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restricted stock units granted are time-based ("Service-Based RSU" or "RSU") and performance-based ("Performance-Based RSU" or "PSU"). The Company issues new shares of common stock upon vesting of the restricted stock units under this plan.</w:t>
      </w:r>
    </w:p>
    <w:p>
      <w:pPr>
        <w:spacing w:after="0" w:line="52" w:lineRule="exact"/>
        <w:rPr>
          <w:sz w:val="20"/>
          <w:szCs w:val="20"/>
          <w:color w:val="auto"/>
        </w:rPr>
      </w:pPr>
    </w:p>
    <w:p>
      <w:pPr>
        <w:ind w:left="340" w:right="380" w:hanging="332"/>
        <w:spacing w:after="0" w:line="284"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Service-Based RSUs </w:t>
      </w:r>
      <w:r>
        <w:rPr>
          <w:rFonts w:ascii="Times New Roman" w:cs="Times New Roman" w:eastAsia="Times New Roman" w:hAnsi="Times New Roman"/>
          <w:sz w:val="18"/>
          <w:szCs w:val="18"/>
          <w:color w:val="auto"/>
        </w:rPr>
        <w:t>granted to eligible employees as an incentive generally vest in installments over a period of up to three years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grant date fair value per share is equal to the closing stock price on the date of grant.</w:t>
      </w:r>
    </w:p>
    <w:p>
      <w:pPr>
        <w:spacing w:after="0" w:line="50" w:lineRule="exact"/>
        <w:rPr>
          <w:rFonts w:ascii="Times New Roman" w:cs="Times New Roman" w:eastAsia="Times New Roman" w:hAnsi="Times New Roman"/>
          <w:sz w:val="18"/>
          <w:szCs w:val="18"/>
          <w:color w:val="auto"/>
        </w:rPr>
      </w:pPr>
    </w:p>
    <w:p>
      <w:pPr>
        <w:ind w:left="340" w:right="80" w:hanging="332"/>
        <w:spacing w:after="0" w:line="255"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Performance-Based RSUs </w:t>
      </w:r>
      <w:r>
        <w:rPr>
          <w:rFonts w:ascii="Times New Roman" w:cs="Times New Roman" w:eastAsia="Times New Roman" w:hAnsi="Times New Roman"/>
          <w:sz w:val="18"/>
          <w:szCs w:val="18"/>
          <w:color w:val="auto"/>
        </w:rPr>
        <w:t>vest upon the achievement of a defined performance target during a defined performance period from the date of grant.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per share of these Performance-Based RSUs is equal to the closing stock price on the date of the grant or the fair value of the award on the grant date as determined through an independent valuation for Performance-Based RSUs with market conditions. Performance-Based RSUs vest upon the achievement of certain price targets or market conditions for the Company's common stock anytime or certain operational milestones over a three-year period from the date of grant. In order to reflect the substantive characteristics of these market condition awards, the Company employs a Monte Carlo simulation valuation model to calculate the grant date fair value and corresponding requisite service period of the award. Monte Carlo approaches are a class of computational algorithms that rely on repeated random sampling to compute their results. This approach allows the calculation of the value of such awards based on a large number of possible stock price path scenarios.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on the date of the grant using an option pricing model. The option pricing model takes into consideration the current share price of the underlying common stock, exercise price of the option, expected term, risk-free interest rate and the volatility of share price. These considerations directly affect the amount of compensation expense that will ultimately be recognized.</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recognize these stock-based payment transactions when services from the employees, directors and other eligible service providers are received and recognize a corresponding increase in additional paid-in capital in our consolidated balance sheets. The measurement objective for these equity awards is the estimated fair value at the date of grant of the equity instruments that we are obligated to issue when employees, directors and other eligible service providers have rendered the requisite service and satisfied any other conditions necessary to earn the right to benefit from the instruments.</w:t>
      </w:r>
    </w:p>
    <w:p>
      <w:pPr>
        <w:spacing w:after="0" w:line="1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stock-based compensation expense for an award is recognized ratably over the requisite service period, which is generally the vesting period during which an employee is required to provide service in exchange for an award. Stock-based compensation expense for awards with performance conditions is recognized over the requisite service period if it is probable that the performance condition will be satisfied. If such performance conditions are not or are no longer considered probable, no compensation expense for these awards is recognized, and any previously recognized expense is reversed. If the performance condition is achieved prior to the completion of the requisite service period, any unrecognized compensation expense will be recognized in the period the performance condition is achieved. Compensation expense for awards with market conditions is recognized over the derived service period, or sooner, if the market condition is achieved. Previously recognized expense for awards with market conditions will never be reversed subsequent to completion of the derived service period even if the market conditions are never achieved. We recognize forfeitures of stock-based compensation awards as they occur. Stock-based compensation expense is recognized as part of the cost of sales and selling, general and administrative expenses in our consolidated statements of operations. The stock-based payment transactions are recognized in accordance with ASC 718, "Compensation - Stock Compensation" and ASU 2018-07, "Compensation - Stock Compensation (Topic 718): Improvements to Non-employee Share-Based Payment Accounting."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(Loss)/Earnings per Share</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net (loss)/earnings per share is computed by dividing the net (loss)/earnings by the weighted-average number of common shares outstanding for the period, without consideration for potentially dilutive securities. Diluted net (loss)/earnings per share is computed by dividing the net (loss)/earnings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Comprehensive (Loss)/Income</w:t>
      </w:r>
    </w:p>
    <w:p>
      <w:pPr>
        <w:spacing w:after="0" w:line="17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determination of when the Company accrues for involuntary termination benefits under restructuring plans depends on whether the termination benefits are provided under an on-going benefit arrangement or under a one-time benefit arrangement. The Company accounts for on-going benefit arrangements, such as those documented by employment agreements, in accordance with ASC 712 ("ASC 712"), "Compensation – Nonretirement Postemployment Benefits." Under ASC 712, liabilities for postemployment benefits are recorded at the time of obligations are probable of being incurred and can be reasonably estimated. When applicable, the Company records such costs into operating expenses.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fourth quarter of 2022, the Company committed to a restructuring plan to streamline its workforce and spending to better align its cost structure with its volume of business. The restructuring plan reduced the Company's workforce, with a majority of the affected employees separating from the business in early 2023. In connection with this restructuring plan, the Company incurred restructuring-related costs, including employees' severance and related benefit costs. Employee severance and related benefit costs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fiscal year 2022, the Company estimated that the expected restructuring expenses were $2.8 million. In fiscal year 2023, the Company updated its total expected restructuring plan costs to $3.9 million, based on the Company's review of the restructuring plan for the remainder of the fiscal year. The restructuring expenses are recorded under "Selling, general and administrative expenses" on the Consolidated Statements of Operations.</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each reporting date, the Company evaluates its restructuring expense accrual to determine if the liabilities reported are still appropriate. Any changes in the estimated costs of executing the approved restructuring plan are reflected in the Company's Consolidated Statements of Operations.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 Summary of Changes in Restructuring Expenses Accrual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Severance and related</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center"/>
              <w:ind w:right="41"/>
              <w:spacing w:after="0"/>
              <w:rPr>
                <w:sz w:val="20"/>
                <w:szCs w:val="20"/>
                <w:color w:val="auto"/>
              </w:rPr>
            </w:pPr>
            <w:r>
              <w:rPr>
                <w:rFonts w:ascii="Times New Roman" w:cs="Times New Roman" w:eastAsia="Times New Roman" w:hAnsi="Times New Roman"/>
                <w:sz w:val="16"/>
                <w:szCs w:val="16"/>
                <w:color w:val="auto"/>
              </w:rPr>
              <w:t>Other related costs</w:t>
            </w:r>
          </w:p>
        </w:tc>
        <w:tc>
          <w:tcPr>
            <w:tcW w:w="80" w:type="dxa"/>
            <w:vAlign w:val="bottom"/>
            <w:tcBorders>
              <w:top w:val="single" w:sz="8" w:color="auto"/>
            </w:tcBorders>
            <w:vMerge w:val="restart"/>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line="216" w:lineRule="exact"/>
              <w:rPr>
                <w:sz w:val="20"/>
                <w:szCs w:val="20"/>
                <w:color w:val="auto"/>
              </w:rPr>
            </w:pPr>
            <w:r>
              <w:rPr>
                <w:rFonts w:ascii="Times New Roman" w:cs="Times New Roman" w:eastAsia="Times New Roman" w:hAnsi="Times New Roman"/>
                <w:sz w:val="16"/>
                <w:szCs w:val="16"/>
                <w:color w:val="auto"/>
              </w:rPr>
              <w:t xml:space="preserve">benefit costs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(Adjustments)/charges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80" w:firstLine="8"/>
        <w:spacing w:after="0"/>
        <w:tabs>
          <w:tab w:leader="none" w:pos="145"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Restructuring-related liabilities are reported as part of "Other current liabilities" in the Company's unaudited consolidated balance sheets, see </w:t>
      </w:r>
      <w:r>
        <w:rPr>
          <w:rFonts w:ascii="Times New Roman" w:cs="Times New Roman" w:eastAsia="Times New Roman" w:hAnsi="Times New Roman"/>
          <w:sz w:val="13"/>
          <w:szCs w:val="13"/>
          <w:u w:val="single" w:color="auto"/>
          <w:color w:val="0000FF"/>
        </w:rPr>
        <w:t>Note 9 - Other Balance Sheet Components</w:t>
      </w:r>
      <w:r>
        <w:rPr>
          <w:rFonts w:ascii="Times New Roman" w:cs="Times New Roman" w:eastAsia="Times New Roman" w:hAnsi="Times New Roman"/>
          <w:sz w:val="13"/>
          <w:szCs w:val="13"/>
          <w:color w:val="auto"/>
        </w:rPr>
        <w:t xml:space="preserve"> for further details.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Accounting Pronouncements - Adopted</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No. 2020-04, "Reference Rate Reform (Topic 848): Facilitation of the Effects of Reference Rate Reform on Financial Reporting," which provides optional expedients and exceptions for a limited period of time to ease the potential burden in accounting for contracts, hedging relationships and other transactions that reference LIBOR or another reference rate expected to be discontinued because of reference rate reform. This amendment is effective for all entities as of March 12, 2020 through December 31, 2022. The adoption of this ASU did not have a material impact on our consolidated financial position, results of operations or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 (Topic 805): Accounting for Contract Assets and Contract Liabilities from Contracts with Customers," which requires entities to apply Topic 606 to recognize and measure contract assets and contract liabilities in a business combination. The ASU improves comparability after the business combination by providing consistent recognition and measurement guidance for revenue contracts with customers acquired in a business combination and revenue contracts with customers not acquired in a business combination. Entities should apply the amendments prospectively to business combinations that occur after the effective date. This standard is effective for fiscal years beginning after December 15, 2022, with early adoption permitted. This ASU is applied prospectively to business combinations occurring on or after the effective date of the amendment. The adoption of this ASU did not have a material impact on our consolidated financial position, results of operations or cash flows.</w:t>
      </w:r>
    </w:p>
    <w:p>
      <w:pPr>
        <w:spacing w:after="0" w:line="13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September 2022, the FASB issued ASU No. 2022-04, "Liabilities - Supplier Finance Programs (Subtopic 405-50): Disclosure of Supplier Finance Program Obligations," which requires a company that uses a supplier finance program in connection with the purchase of goods or services to disclose sufficient information about the program to allow a user of the financial statements to understand the program's nature, activity during the period, changes from period to period, and potential magnitude. This standard is effective for reporting periods beginning December 15, 2022, with early adoption permitted. The adoption of this ASU does not have a material impact on our consolidated financial position, results of operations, and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 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This standard will be effective for reporting periods beginning December 15, 2023, with early adoption permitted. While we are currently assessing the impact of the adoption of this ASU, we do not believe the adoption of this ASU will have a material impact on our consolidated financial position, results of operations, and cash flows.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July 2023, the FASB issued ASU 2023-03, "Presentation of Financial Statements (Topic 205), Income Statement - Reporting Comprehensive Income (Topic 220), Distinguishing Liabilities from Equity (Topic 480), Equity (Topic 505), and Compensation - Stock Compensation (Topic 718)". This update requires (1) to disclose and present income or loss related to common stock transactions on the face of the income statement, (2) to modify the existing classification and measurement of redeemable preferred shares and redeemable equity-classified shares, and (3) modify accounting treatment for stock-based compensation. The FASB has not set an effective date on this ASU and adoption is permitted. We are currently evaluating the impact of the ASU on our consolidated financial statement disclosures.</w:t>
      </w:r>
    </w:p>
    <w:p>
      <w:pPr>
        <w:spacing w:after="0" w:line="1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August 2023, the FASB issued ASU No. 2023-05, "Business Combinations - Joint Venture Formations (Subtopic 805-60): Recognition and Initial Measurement," which requires that a joint venture apply a new basis of accounting upon formation and would initially measure its assets and liabilities at fair value. Joint ventures should apply the amendments prospectively with the formation date on or after January 1, 2025, with early adoption permitted. While we are currently assessing the impact of the adoption of this ASU, we do not believe the adoption of this ASU will have a material impact on our consolidated financial position, results of operations, and cash flows.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No. 2023-06, "Disclosure Improvements: Codification Amendments in Response to the SEC's Disclosure Update and Simplification Initiatives," which modify the disclosure or presentation requirements of a variety of Topics in the Codification, certain of the amendment represent clarifications to or technical corrections of the current requirements. The effective dates for each amendment will be the date on which the SEC's removal of that related disclosure requirement from Regulation S-X or Regulation S-K becomes effective, with early adoption prohibited. For all entities within the scope of the affected Codification subtopics, if by June 30, 2027, the SEC has not removed the applicable requirement from Regulation S-X or Regulation S-K, the pending content of the associated amendment will be removed from the Codification and will not become effective for any entities. While we are currently assessing the impact of the adoption of this ASU, we do not believe the adoption of this ASU will have a material impact on our consolidated financial position, results of operations, and cash flows.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requires improvement on reportable segment disclosure requirements, primarily through enhanced disclosures about significant segment expenses. The standard will be effective for fiscal year beginning after December 15, 2023 and interim periods within fiscal year beginning after December 15, 2024, with early adoption permitted. We are currently assessing the impact of the adoption of this ASU on our consolidated financial position,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 which requires public entities, on an annual basis, (1) disclose specific categories in the rate reconciliation, and (2) provide additional information for reconciling items that meet a quantitative threshold (if the effect of those reconciling items is equal to or greater than 5% of the amount computed by multiplying pretax income/(loss) by the applicable statutory income tax rate). This ASU will be effective, for public entities, for fiscal year beginning after December 15, 2024, with early adoption permitted. We are currently assessing the impact of the adoption of this ASU on our consolidated financial position, results of operations, and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 RECOGNITION</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recognize revenue in accordance with ASC Topic 606, "Revenue from Contracts with Customers." The unit of account in ASC 606 is a performance obligation, which is a promise in a contract with a customer to transfer a good or service to the customer.</w:t>
      </w:r>
    </w:p>
    <w:p>
      <w:pPr>
        <w:spacing w:after="0" w:line="10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follows the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contracts with the U.S. government are generally subject to the Federal Acquisition Regulation ("FAR") and the price is typically based on estimated or actual costs plus a reasonable profit margin. As such, the standalone selling price of products or services in our contracts with the U.S. government are typically equal to the selling price stated in the contract. For non-U.S. government contracts with multiple performance obligations, standalone selling price is the observable price of a good or service when Telos sells that good or service separately in similar circumstances and to similar customers.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transferred continuously to our customers who receive and consume benefits as we perform. Revenue transferred to customers over time accounted for 84% and 89% of our revenue for the years ended December 31, 2023 and 2022, respectively. All of our business groups earn services revenue under a variety of contract types, including time and materials, firm-fixed price, firm fixed price level of effort, and cost-plus fixed fee contract types, which may include variable consideration.</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3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transferred product or service, which typically occurs upon customer acceptance or receipt of the product or service, given that we maintain control of the product or service until that point. Revenue transferred to customers at a point in time accounted for 16% and 11% of our revenue for the years ended December 31, 2023 and 2022, respectively.</w:t>
      </w:r>
    </w:p>
    <w:p>
      <w:pPr>
        <w:spacing w:after="0" w:line="1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long-term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which includes both the actual costs already incurred and the estimated costs to complete. Revenues are recorded proportionally as costs are incurred. Due to the nature of the work required to be performed on certain of our performance obligations, the estimation of costs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 We have revised and re-submitted several years of incurred cost submissions reflecting certain indirect rate structure changes as a result of regular Defense Contract Audit Agency audits of incurred cost submissions. This resulted in signed final rate agreement letters through fiscal year 2022. We evaluated the resulting changes to revenue under the applicable cost-plus fixed fee contracts, as variable consideration, and determined the most likely amount to which we expect to be entitled, to the extent that no constraint exists that would preclude recognizing this revenue or result in a significant reversal of cumulative revenue recognized. We included these estimated amounts of variable consideration in the transaction price and as performance on these contracts is complete, we adjusted our revenue by $(0.1) million during the year ended December 31, 2023. No revenue adjustment was recorded during fiscal year ended December 31, 2022.</w:t>
      </w:r>
    </w:p>
    <w:p>
      <w:pPr>
        <w:spacing w:after="0" w:line="14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exceeds the total estimated revenue for a performance obligation. We recorded an immaterial contract loss during the year ended December 31, 2023. No contract loss was recorded during the year ended December 31, 2022.</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segment reporting, as further discussed in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we disaggregate our revenue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Customer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7"/>
          </w:tcPr>
          <w:p>
            <w:pPr>
              <w:jc w:val="center"/>
              <w:ind w:right="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7"/>
          </w:tcPr>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government</w:t>
            </w:r>
          </w:p>
        </w:tc>
        <w:tc>
          <w:tcPr>
            <w:tcW w:w="16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131,143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2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205,538</w:t>
            </w:r>
          </w:p>
        </w:tc>
        <w:tc>
          <w:tcPr>
            <w:tcW w:w="1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State &amp; local government, and commercial</w:t>
            </w:r>
          </w:p>
        </w:tc>
        <w:tc>
          <w:tcPr>
            <w:tcW w:w="10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14,235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11,349</w:t>
            </w:r>
          </w:p>
        </w:tc>
        <w:tc>
          <w:tcPr>
            <w:tcW w:w="1340" w:type="dxa"/>
            <w:vAlign w:val="bottom"/>
            <w:tcBorders>
              <w:bottom w:val="single" w:sz="8" w:color="CCEEFF"/>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145,378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216,887</w:t>
            </w: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3.2: Revenue by Contract Type</w:t>
            </w:r>
          </w:p>
        </w:tc>
        <w:tc>
          <w:tcPr>
            <w:tcW w:w="1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960" w:type="dxa"/>
            <w:vAlign w:val="bottom"/>
            <w:tcBorders>
              <w:bottom w:val="single" w:sz="8" w:color="auto"/>
            </w:tcBorders>
            <w:gridSpan w:val="2"/>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jc w:val="center"/>
              <w:ind w:right="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7"/>
          </w:tcPr>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Firm fixed-price</w:t>
            </w:r>
          </w:p>
        </w:tc>
        <w:tc>
          <w:tcPr>
            <w:tcW w:w="16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114,188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2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179,803</w:t>
            </w:r>
          </w:p>
        </w:tc>
        <w:tc>
          <w:tcPr>
            <w:tcW w:w="1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13,535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plus fixed-fee</w:t>
            </w:r>
          </w:p>
        </w:tc>
        <w:tc>
          <w:tcPr>
            <w:tcW w:w="10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24,121</w:t>
            </w:r>
          </w:p>
        </w:tc>
        <w:tc>
          <w:tcPr>
            <w:tcW w:w="1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w w:val="96"/>
              </w:rPr>
              <w:t>145,378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216,887</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Concentrations Greater than 10% of Total Revenue</w:t>
            </w:r>
          </w:p>
        </w:tc>
        <w:tc>
          <w:tcPr>
            <w:tcW w:w="1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4960" w:type="dxa"/>
            <w:vAlign w:val="bottom"/>
            <w:tcBorders>
              <w:bottom w:val="single" w:sz="8" w:color="auto"/>
            </w:tcBorders>
            <w:gridSpan w:val="2"/>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9"/>
          </w:tcPr>
          <w:p>
            <w:pPr>
              <w:jc w:val="center"/>
              <w:ind w:right="3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2"/>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Department of Defense ("DoD")</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64 %</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496"/>
        </w:trPr>
        <w:tc>
          <w:tcPr>
            <w:tcW w:w="4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Table 3.4: Contract Balances</w:t>
            </w: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6"/>
          </w:tcPr>
          <w:p>
            <w:pPr>
              <w:jc w:val="center"/>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119"/>
              <w:spacing w:after="0"/>
              <w:rPr>
                <w:sz w:val="20"/>
                <w:szCs w:val="20"/>
                <w:color w:val="auto"/>
              </w:rPr>
            </w:pPr>
            <w:r>
              <w:rPr>
                <w:rFonts w:ascii="Times New Roman" w:cs="Times New Roman" w:eastAsia="Times New Roman" w:hAnsi="Times New Roman"/>
                <w:sz w:val="16"/>
                <w:szCs w:val="16"/>
                <w:color w:val="auto"/>
              </w:rPr>
              <w:t>Balance Sheet Presentation</w:t>
            </w:r>
          </w:p>
        </w:tc>
        <w:tc>
          <w:tcPr>
            <w:tcW w:w="80" w:type="dxa"/>
            <w:vAlign w:val="bottom"/>
          </w:tcPr>
          <w:p>
            <w:pPr>
              <w:spacing w:after="0"/>
              <w:rPr>
                <w:sz w:val="18"/>
                <w:szCs w:val="18"/>
                <w:color w:val="auto"/>
              </w:rPr>
            </w:pPr>
          </w:p>
        </w:tc>
        <w:tc>
          <w:tcPr>
            <w:tcW w:w="460" w:type="dxa"/>
            <w:vAlign w:val="bottom"/>
            <w:tcBorders>
              <w:bottom w:val="single" w:sz="8" w:color="auto"/>
            </w:tcBorders>
            <w:gridSpan w:val="3"/>
          </w:tcPr>
          <w:p>
            <w:pPr>
              <w:spacing w:after="0"/>
              <w:rPr>
                <w:sz w:val="18"/>
                <w:szCs w:val="18"/>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Billed account receivables </w:t>
            </w:r>
            <w:r>
              <w:rPr>
                <w:rFonts w:ascii="Times New Roman" w:cs="Times New Roman" w:eastAsia="Times New Roman" w:hAnsi="Times New Roman"/>
                <w:sz w:val="21"/>
                <w:szCs w:val="21"/>
                <w:color w:val="auto"/>
                <w:vertAlign w:val="superscript"/>
              </w:rPr>
              <w:t>(1)</w:t>
            </w:r>
          </w:p>
        </w:tc>
        <w:tc>
          <w:tcPr>
            <w:tcW w:w="1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Accounts receivable, net</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0" w:type="dxa"/>
            <w:vAlign w:val="bottom"/>
          </w:tcPr>
          <w:p>
            <w:pPr>
              <w:spacing w:after="0"/>
              <w:rPr>
                <w:sz w:val="1"/>
                <w:szCs w:val="1"/>
                <w:color w:val="auto"/>
              </w:rPr>
            </w:pPr>
          </w:p>
        </w:tc>
      </w:tr>
      <w:tr>
        <w:trPr>
          <w:trHeight w:val="21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Unbilled account receivables</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0" w:type="dxa"/>
            <w:vAlign w:val="bottom"/>
          </w:tcPr>
          <w:p>
            <w:pPr>
              <w:spacing w:after="0"/>
              <w:rPr>
                <w:sz w:val="1"/>
                <w:szCs w:val="1"/>
                <w:color w:val="auto"/>
              </w:rPr>
            </w:pPr>
          </w:p>
        </w:tc>
      </w:tr>
      <w:tr>
        <w:trPr>
          <w:trHeight w:val="21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0" w:type="dxa"/>
            <w:vAlign w:val="bottom"/>
          </w:tcPr>
          <w:p>
            <w:pPr>
              <w:spacing w:after="0"/>
              <w:rPr>
                <w:sz w:val="1"/>
                <w:szCs w:val="1"/>
                <w:color w:val="auto"/>
              </w:rPr>
            </w:pPr>
          </w:p>
        </w:tc>
      </w:tr>
      <w:tr>
        <w:trPr>
          <w:trHeight w:val="21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of allowance for credit losses</w:t>
      </w:r>
    </w:p>
    <w:p>
      <w:pPr>
        <w:spacing w:after="0" w:line="1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changes in the Company's contract assets and contract liabilities during the current period were primarily the result of the timing differences between the Company's performance, invoicing and customer payments. For the years ended December 31, 2023 and 2022, the amount of revenue recognized during the year that was included in the opening contract liabilities balance was $5.4 million and $5.2 million, respectively.</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$52.1 million of remaining performance obligations, which we also refer to as funded backlog. We expect to recognize approximately 90% of our remaining performance obligations as revenue in 2024, and approximately 3% by 2025, with the remainder recognized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4.1: Details of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r>
      <w:tr>
        <w:trPr>
          <w:trHeight w:val="233"/>
        </w:trPr>
        <w:tc>
          <w:tcPr>
            <w:tcW w:w="7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13,655</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58"/>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our primary customer base includes agencies of the U.S. government, we have a concentration of credit risk associated with our accounts receivable, as 91% of our billed and unbilled accounts receivable, as of December 31, 2023, were directly with U.S. government customers. While we acknowledge the potentially material and adverse risk of such a significant concentration of credit risk, our past experience of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4.2: Allowance for Credit Losses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Balance</w:t>
            </w: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Beginning</w:t>
            </w:r>
          </w:p>
        </w:tc>
        <w:tc>
          <w:tcPr>
            <w:tcW w:w="2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Bad Debt</w:t>
            </w:r>
          </w:p>
        </w:tc>
        <w:tc>
          <w:tcPr>
            <w:tcW w:w="20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Write-Offs /</w:t>
            </w:r>
          </w:p>
        </w:tc>
        <w:tc>
          <w:tcPr>
            <w:tcW w:w="28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End</w:t>
            </w:r>
          </w:p>
        </w:tc>
      </w:tr>
      <w:tr>
        <w:trPr>
          <w:trHeight w:val="243"/>
        </w:trPr>
        <w:tc>
          <w:tcPr>
            <w:tcW w:w="5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of Year</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 xml:space="preserve">Recoveries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4"/>
              </w:rPr>
              <w:t>of Year</w:t>
            </w:r>
          </w:p>
        </w:tc>
      </w:tr>
      <w:tr>
        <w:trPr>
          <w:trHeight w:val="213"/>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5"/>
          </w:tcPr>
          <w:p>
            <w:pPr>
              <w:ind w:left="8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bl>
    <w:p>
      <w:pPr>
        <w:spacing w:after="0" w:line="172" w:lineRule="exact"/>
        <w:rPr>
          <w:sz w:val="20"/>
          <w:szCs w:val="20"/>
          <w:color w:val="auto"/>
        </w:rPr>
      </w:pPr>
    </w:p>
    <w:p>
      <w:pPr>
        <w:ind w:left="180" w:hanging="154"/>
        <w:spacing w:after="0"/>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Accounts receivable reserves and reversals of allowance for subsequent collection, net</w:t>
      </w:r>
    </w:p>
    <w:p>
      <w:pPr>
        <w:spacing w:after="0" w:line="4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Accounts receivable written-off and subsequent recoveries, net</w:t>
      </w:r>
    </w:p>
    <w:p>
      <w:pPr>
        <w:spacing w:after="0" w:line="2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July 15, 2016, the Company entered into an accounts receivable purchase agreement under which the Company could sell certain accounts receivable (balance not to exceed $10.0 million) to a third party, or the "Factor", without recourse to the Company, with an availability period through June 30, 2022, and from year to year thereafter unless terminated in writing by the parties. There were no accounts receivable sold during 2023 and 2022, respectively. As of December 31, 2023 and 2022, there were no outstanding sold accounts receivable.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INVENTORIES,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5.1: Details of Inventories,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inventory</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inventory obsolescence</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PROPERTY AND EQUIPMENT,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6.1: Details of Property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2023</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2022</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0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6.2: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20320</wp:posOffset>
            </wp:positionV>
            <wp:extent cx="2691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6" w:lineRule="exact"/>
        <w:rPr>
          <w:sz w:val="20"/>
          <w:szCs w:val="20"/>
          <w:color w:val="auto"/>
        </w:rPr>
      </w:pPr>
    </w:p>
    <w:p>
      <w:pPr>
        <w:ind w:left="7880"/>
        <w:spacing w:after="0"/>
        <w:tabs>
          <w:tab w:leader="none" w:pos="10020" w:val="left"/>
        </w:tabs>
        <w:rPr>
          <w:sz w:val="20"/>
          <w:szCs w:val="20"/>
          <w:color w:val="auto"/>
        </w:rPr>
      </w:pPr>
      <w:r>
        <w:rPr>
          <w:rFonts w:ascii="Times New Roman" w:cs="Times New Roman" w:eastAsia="Times New Roman" w:hAnsi="Times New Roman"/>
          <w:sz w:val="16"/>
          <w:szCs w:val="16"/>
          <w:color w:val="auto"/>
        </w:rPr>
        <w:t>2023</w:t>
      </w:r>
      <w:r>
        <w:rPr>
          <w:sz w:val="20"/>
          <w:szCs w:val="20"/>
          <w:color w:val="auto"/>
        </w:rPr>
        <w:tab/>
      </w:r>
      <w:r>
        <w:rPr>
          <w:rFonts w:ascii="Times New Roman" w:cs="Times New Roman" w:eastAsia="Times New Roman" w:hAnsi="Times New Roman"/>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20320</wp:posOffset>
            </wp:positionV>
            <wp:extent cx="26917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2" w:lineRule="exact"/>
        <w:rPr>
          <w:sz w:val="20"/>
          <w:szCs w:val="20"/>
          <w:color w:val="auto"/>
        </w:rPr>
      </w:pPr>
    </w:p>
    <w:p>
      <w:pPr>
        <w:ind w:left="20"/>
        <w:spacing w:after="0"/>
        <w:tabs>
          <w:tab w:leader="none" w:pos="7000" w:val="left"/>
          <w:tab w:leader="none" w:pos="8620" w:val="left"/>
          <w:tab w:leader="none" w:pos="9160" w:val="left"/>
          <w:tab w:leader="none" w:pos="10780" w:val="left"/>
        </w:tabs>
        <w:rPr>
          <w:sz w:val="20"/>
          <w:szCs w:val="20"/>
          <w:color w:val="auto"/>
        </w:rPr>
      </w:pPr>
      <w:r>
        <w:rPr>
          <w:rFonts w:ascii="Times New Roman" w:cs="Times New Roman" w:eastAsia="Times New Roman" w:hAnsi="Times New Roman"/>
          <w:sz w:val="16"/>
          <w:szCs w:val="16"/>
          <w:color w:val="auto"/>
        </w:rPr>
        <w:t>Depreciation and amortization</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2,230</w:t>
        <w:tab/>
        <w:t>$</w:t>
      </w:r>
      <w:r>
        <w:rPr>
          <w:sz w:val="20"/>
          <w:szCs w:val="20"/>
          <w:color w:val="auto"/>
        </w:rPr>
        <w:tab/>
      </w:r>
      <w:r>
        <w:rPr>
          <w:rFonts w:ascii="Times New Roman" w:cs="Times New Roman" w:eastAsia="Times New Roman" w:hAnsi="Times New Roman"/>
          <w:sz w:val="16"/>
          <w:szCs w:val="16"/>
          <w:color w:val="auto"/>
        </w:rPr>
        <w:t>2,367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GOODWILL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we reported two operating and reportable segments: Security Solutions and Secure Networks.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operating and reportable segments represent the reporting units for purposes of testing goodwill.</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goodwill balance was $17.9 million as of December 31, 2023 and 2022, of which $3.0 million is allocated to the Security Solutions segment and $14.9 million is allocated to the Secure Networks segment.</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net assets attributable to the reporting units are determined based upon the estimated assets and liabilities attributable to the reporting units in deriving its free cash flows.</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fiscal year 2023, we performed a qualitative assessment on our reporting units and identified that it is "more-likely-than-not" that the estimated fair value of our Security Solutions reporting unit exceeded its carrying value. In contrast, based on the initial qualitative assessment of our Secure Networks reporting unit, we determined that it is not "more-likely-than-not" that the fair value of this reporting unit exceeds its carrying value, therefore we performed a quantitative impairment test. Based on the quantitative assessment on our Secure Networks reporting unit as of December 31, 2023, the estimated fair value exceeded its carrying value.</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Based on the results of our annual impairment test of goodwill performed, the estimated fair value of our respective reporting units exceeded their respective carrying value, and no impairment charges were taken during the years ended December 31, 2023 and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INTANGIBLE ASSETS,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6"/>
          </w:tcPr>
          <w:p>
            <w:pPr>
              <w:jc w:val="center"/>
              <w:ind w:left="879"/>
              <w:spacing w:after="0"/>
              <w:rPr>
                <w:sz w:val="20"/>
                <w:szCs w:val="20"/>
                <w:color w:val="auto"/>
              </w:rPr>
            </w:pPr>
            <w:r>
              <w:rPr>
                <w:rFonts w:ascii="Times New Roman" w:cs="Times New Roman" w:eastAsia="Times New Roman" w:hAnsi="Times New Roman"/>
                <w:sz w:val="16"/>
                <w:szCs w:val="16"/>
                <w:color w:val="auto"/>
              </w:rPr>
              <w:t>As of December 31, 2023</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2022</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Estimated useful</w:t>
            </w: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life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2 - 5 years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19,163</w:t>
            </w:r>
          </w:p>
        </w:tc>
        <w:tc>
          <w:tcPr>
            <w:tcW w:w="0" w:type="dxa"/>
            <w:vAlign w:val="bottom"/>
          </w:tcPr>
          <w:p>
            <w:pPr>
              <w:spacing w:after="0"/>
              <w:rPr>
                <w:sz w:val="1"/>
                <w:szCs w:val="1"/>
                <w:color w:val="auto"/>
              </w:rPr>
            </w:pPr>
          </w:p>
        </w:tc>
      </w:tr>
      <w:tr>
        <w:trPr>
          <w:trHeight w:val="207"/>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22,171</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In-process software</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development costs </w:t>
            </w:r>
            <w:r>
              <w:rPr>
                <w:rFonts w:ascii="Times New Roman" w:cs="Times New Roman" w:eastAsia="Times New Roman" w:hAnsi="Times New Roman"/>
                <w:sz w:val="21"/>
                <w:szCs w:val="21"/>
                <w:color w:val="auto"/>
                <w:vertAlign w:val="superscript"/>
              </w:rPr>
              <w:t>(1) (2)</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Software held for resale </w:t>
            </w:r>
            <w:r>
              <w:rPr>
                <w:rFonts w:ascii="Times New Roman" w:cs="Times New Roman" w:eastAsia="Times New Roman" w:hAnsi="Times New Roman"/>
                <w:sz w:val="21"/>
                <w:szCs w:val="21"/>
                <w:color w:val="auto"/>
                <w:vertAlign w:val="superscript"/>
              </w:rPr>
              <w:t>(3)</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0" w:type="dxa"/>
            <w:vAlign w:val="bottom"/>
          </w:tcPr>
          <w:p>
            <w:pPr>
              <w:spacing w:after="0"/>
              <w:rPr>
                <w:sz w:val="1"/>
                <w:szCs w:val="1"/>
                <w:color w:val="auto"/>
              </w:rPr>
            </w:pPr>
          </w:p>
        </w:tc>
      </w:tr>
      <w:tr>
        <w:trPr>
          <w:trHeight w:val="234"/>
        </w:trPr>
        <w:tc>
          <w:tcPr>
            <w:tcW w:w="2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37,415</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In-process software development costs are costs for software that is not yet available for its intended use or general release to customers as of balance sheet date, thus not yet amortized.</w:t>
      </w:r>
    </w:p>
    <w:p>
      <w:pPr>
        <w:spacing w:after="0" w:line="4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 impairment charge of $0.5 million was recorded against software development costs in fiscal year 2023 related to the write-off of certain software projects.</w:t>
      </w:r>
    </w:p>
    <w:p>
      <w:pPr>
        <w:spacing w:after="0" w:line="4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amount is net of $0.7 million charged into cost of sales in fiscal year 2022.</w:t>
      </w:r>
    </w:p>
    <w:p>
      <w:pPr>
        <w:spacing w:after="0" w:line="2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2023, as a result of the impairment assessment, the Company identified conditions demonstrating impairment of certain software development costs and an impairment charge of $0.5 million was recorded under "Research and Development" expenses in the Company's consolidated statements of operations. No similar impairment charge was recorded on software development costs during the fiscal year ended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impairment charges on other intangible assets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8.2: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2022</w:t>
            </w:r>
          </w:p>
        </w:tc>
        <w:tc>
          <w:tcPr>
            <w:tcW w:w="660" w:type="dxa"/>
            <w:vAlign w:val="bottom"/>
            <w:tcBorders>
              <w:bottom w:val="single" w:sz="8" w:color="auto"/>
            </w:tcBorders>
          </w:tcPr>
          <w:p>
            <w:pPr>
              <w:spacing w:after="0"/>
              <w:rPr>
                <w:sz w:val="18"/>
                <w:szCs w:val="18"/>
                <w:color w:val="auto"/>
              </w:rPr>
            </w:pPr>
          </w:p>
        </w:tc>
      </w:tr>
      <w:tr>
        <w:trPr>
          <w:trHeight w:val="250"/>
        </w:trPr>
        <w:tc>
          <w:tcPr>
            <w:tcW w:w="7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16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60" w:type="dxa"/>
            <w:vAlign w:val="bottom"/>
          </w:tcPr>
          <w:p>
            <w:pPr>
              <w:spacing w:after="0"/>
              <w:rPr>
                <w:sz w:val="21"/>
                <w:szCs w:val="2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related to:</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Software development costs - cost of sales </w:t>
            </w:r>
            <w:r>
              <w:rPr>
                <w:rFonts w:ascii="Times New Roman" w:cs="Times New Roman" w:eastAsia="Times New Roman" w:hAnsi="Times New Roman"/>
                <w:sz w:val="21"/>
                <w:szCs w:val="21"/>
                <w:color w:val="auto"/>
                <w:vertAlign w:val="superscript"/>
              </w:rPr>
              <w:t>(1)</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80" w:type="dxa"/>
            <w:vAlign w:val="bottom"/>
          </w:tcPr>
          <w:p>
            <w:pPr>
              <w:spacing w:after="0"/>
              <w:rPr>
                <w:sz w:val="18"/>
                <w:szCs w:val="18"/>
                <w:color w:val="auto"/>
              </w:rPr>
            </w:pP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 research and development</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intangible assets - general and administrative</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Amortization expense for software development costs related to assets to be sold, leased, or otherwise marketed are charged under cost of sales on the Consolidated Statements of Operations.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8.3: Estimated Future Amortization Expense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As of December 31, 2023</w:t>
            </w:r>
          </w:p>
        </w:tc>
      </w:tr>
      <w:tr>
        <w:trPr>
          <w:trHeight w:val="192"/>
        </w:trPr>
        <w:tc>
          <w:tcPr>
            <w:tcW w:w="8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Pr>
          <w:p>
            <w:pPr>
              <w:jc w:val="right"/>
              <w:ind w:right="76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8,037</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37"/>
        </w:trPr>
        <w:tc>
          <w:tcPr>
            <w:tcW w:w="8740" w:type="dxa"/>
            <w:vAlign w:val="bottom"/>
            <w:tcBorders>
              <w:bottom w:val="single" w:sz="8" w:color="CCEEFF"/>
            </w:tcBorders>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25,597</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does not include amortization of in-process software development costs, as estimation of the timing of future amortization expenses would be impractical.</w:t>
      </w:r>
    </w:p>
    <w:p>
      <w:pPr>
        <w:spacing w:after="0" w:line="1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impairments, future releases, future acquisitions, divestitures, and other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OTHER BALANCE SHEET COMPONENTS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9.1: Details of Accounts Payable and Other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0" w:type="dxa"/>
            <w:vAlign w:val="bottom"/>
          </w:tcPr>
          <w:p>
            <w:pPr>
              <w:spacing w:after="0"/>
              <w:rPr>
                <w:sz w:val="1"/>
                <w:szCs w:val="1"/>
                <w:color w:val="auto"/>
              </w:rPr>
            </w:pP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9.2: Details of Other Current Liabilities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00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accrual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DEBT AND OTHER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30, 2022 (the "Closing Date"), we entered into a Credit Agreement (the "Credit Agreement"), by and among the Company, as borrower, Xacta Corporation, ubIQuity.com,inc,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Agreement will accrue interest, at our option, at one of three variable rates, plus a specified margin. We can elect to borrow at</w:t>
      </w:r>
    </w:p>
    <w:p>
      <w:pPr>
        <w:spacing w:after="0" w:line="27" w:lineRule="exact"/>
        <w:rPr>
          <w:sz w:val="20"/>
          <w:szCs w:val="20"/>
          <w:color w:val="auto"/>
        </w:rPr>
      </w:pPr>
    </w:p>
    <w:p>
      <w:pPr>
        <w:ind w:firstLine="8"/>
        <w:spacing w:after="0" w:line="251"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 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paid and could pay costs and customary fees, including a closing fee, commitment fees and letter of credit participation fee, if any, payable to the Agent and Lenders, as applicable, in connection with the Loan.</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December 31, 2023.</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entered into a Master Purchase Agreement ("MPA") with a third-party buyer ("Buyer") for $9.1 million ("Assignment Price")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 see </w:t>
      </w:r>
      <w:r>
        <w:rPr>
          <w:rFonts w:ascii="Times New Roman" w:cs="Times New Roman" w:eastAsia="Times New Roman" w:hAnsi="Times New Roman"/>
          <w:sz w:val="18"/>
          <w:szCs w:val="18"/>
          <w:u w:val="single" w:color="auto"/>
          <w:color w:val="0000FF"/>
        </w:rPr>
        <w:t>Note 8 – Intangible Assets, net</w:t>
      </w:r>
      <w:r>
        <w:rPr>
          <w:rFonts w:ascii="Times New Roman" w:cs="Times New Roman" w:eastAsia="Times New Roman" w:hAnsi="Times New Roman"/>
          <w:sz w:val="18"/>
          <w:szCs w:val="18"/>
          <w:color w:val="auto"/>
        </w:rPr>
        <w:t xml:space="preserve"> for further details.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Buyer and Telos will cooperate in preparing such a claim, which would be filed in Telos' name. Buyer has notified Telos of its intent to pursue a claim against the customer.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Concurrently, 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The Company reported a gain of $1.4 million, which was recorded as "Other income" in the Consolidated Statements of Operations during the year ended December 31, 2023. No gain was reported for the fiscal year ended December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Stock</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$0.001 par value per share, and 10,000,000 shares of preferred stock, $0.01 par value per share.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70,239,890 and 67,431,632 shares of common stock issued and outstanding, respectively. There were no shares of preferred stock issued and outstanding on either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Repurchases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December 31, 2023, there was $38.7 million of the remaining authorization for future common stock repurchases under the SRP.</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11.1: Share Repurchase Program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40" w:type="dxa"/>
            <w:vAlign w:val="bottom"/>
            <w:tcBorders>
              <w:top w:val="single" w:sz="8" w:color="auto"/>
              <w:bottom w:val="single" w:sz="8" w:color="auto"/>
            </w:tcBorders>
            <w:gridSpan w:val="9"/>
          </w:tcPr>
          <w:p>
            <w:pPr>
              <w:jc w:val="right"/>
              <w:ind w:right="9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gridSpan w:val="9"/>
          </w:tcPr>
          <w:p>
            <w:pPr>
              <w:jc w:val="right"/>
              <w:ind w:right="679"/>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Amounts paid for shares repurchased </w:t>
            </w:r>
            <w:r>
              <w:rPr>
                <w:rFonts w:ascii="Times New Roman" w:cs="Times New Roman" w:eastAsia="Times New Roman" w:hAnsi="Times New Roman"/>
                <w:sz w:val="21"/>
                <w:szCs w:val="21"/>
                <w:color w:val="auto"/>
                <w:vertAlign w:val="superscript"/>
              </w:rPr>
              <w:t>(1) (2)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11,284</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1,550,162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Average per share price paid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47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commission paid for repurchases on the open market.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Includes $0.1 million of unpaid common stock repurchased paid in fiscal year 2023.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6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11.2: Details of Changes in Accumulated Other Comprehensive Loss by Category</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Foreign currency</w:t>
            </w:r>
          </w:p>
        </w:tc>
        <w:tc>
          <w:tcPr>
            <w:tcW w:w="140" w:type="dxa"/>
            <w:vAlign w:val="bottom"/>
          </w:tcPr>
          <w:p>
            <w:pPr>
              <w:spacing w:after="0"/>
              <w:rPr>
                <w:sz w:val="13"/>
                <w:szCs w:val="13"/>
                <w:color w:val="auto"/>
              </w:rPr>
            </w:pPr>
          </w:p>
        </w:tc>
        <w:tc>
          <w:tcPr>
            <w:tcW w:w="1400" w:type="dxa"/>
            <w:vAlign w:val="bottom"/>
            <w:gridSpan w:val="4"/>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Actuarial gain on</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40" w:type="dxa"/>
            <w:vAlign w:val="bottom"/>
          </w:tcPr>
          <w:p>
            <w:pPr>
              <w:spacing w:after="0"/>
              <w:rPr>
                <w:sz w:val="14"/>
                <w:szCs w:val="14"/>
                <w:color w:val="auto"/>
              </w:rPr>
            </w:pPr>
          </w:p>
        </w:tc>
        <w:tc>
          <w:tcPr>
            <w:tcW w:w="140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pension liability</w:t>
            </w:r>
          </w:p>
        </w:tc>
        <w:tc>
          <w:tcPr>
            <w:tcW w:w="180" w:type="dxa"/>
            <w:vAlign w:val="bottom"/>
          </w:tcPr>
          <w:p>
            <w:pPr>
              <w:spacing w:after="0"/>
              <w:rPr>
                <w:sz w:val="14"/>
                <w:szCs w:val="14"/>
                <w:color w:val="auto"/>
              </w:rPr>
            </w:pPr>
          </w:p>
        </w:tc>
        <w:tc>
          <w:tcPr>
            <w:tcW w:w="128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4"/>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w:t>
      </w:r>
    </w:p>
    <w:p>
      <w:pPr>
        <w:spacing w:after="0" w:line="17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In October 2020, the Company amended the 2016 LTIP to increase the total number of shares available for issuance from 4,500,000 to 9,400,000 (equivalent to 7,459,913 shares after the stock split in November 2020) and extended the term to September 30, 2030. On May 8, 2023, the Company further amended the 2016 LTIP with an additional 6,000,000 shares available for issuance, increasing the total number of shares available to 13,459,913. As of December 31, 2023, approximately 4.8 million shares of our common stock were reserved for future grants under the 2016 LTIP, as amended.</w:t>
      </w:r>
    </w:p>
    <w:p>
      <w:pPr>
        <w:spacing w:after="0" w:line="11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records stock-based compensation related to accrued compensation in which it intends to settle in shares of the Company's common stock. However, it is the Company's discretion whether this compensation will ultimately be paid in stock or cash, as it has the right to dictate the form of these payments up until the date they are paid.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recognized for restricted stock units and stock options granted to employees and non-employees is included in the Consolidated Statements of Operations. In addition, stock-based compensation expense includes an immaterial increase of $1.3 million for the year ended December 31, 2022, to correct a prior period error. There were no income tax benefits recognized on the stock-based compensation expense for these periods.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12.1: Details of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0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2022</w:t>
            </w:r>
          </w:p>
        </w:tc>
        <w:tc>
          <w:tcPr>
            <w:tcW w:w="700" w:type="dxa"/>
            <w:vAlign w:val="bottom"/>
            <w:tcBorders>
              <w:bottom w:val="single" w:sz="8" w:color="auto"/>
            </w:tcBorders>
          </w:tcPr>
          <w:p>
            <w:pPr>
              <w:spacing w:after="0"/>
              <w:rPr>
                <w:sz w:val="20"/>
                <w:szCs w:val="20"/>
                <w:color w:val="auto"/>
              </w:rPr>
            </w:pPr>
          </w:p>
        </w:tc>
      </w:tr>
      <w:tr>
        <w:trPr>
          <w:trHeight w:val="233"/>
        </w:trPr>
        <w:tc>
          <w:tcPr>
            <w:tcW w:w="7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6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21,319</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52,689</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20" w:firstLine="8"/>
        <w:spacing w:after="0"/>
        <w:tabs>
          <w:tab w:leader="none" w:pos="145"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Stock-based compensation expense related to stock options was $0.3 million for the year ended December 31, 2023. There was no similar stock-based compensation expense on stock options in fiscal year 2022.</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12.2: Restricted Stock Unit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Service-Based RSU</w:t>
            </w:r>
          </w:p>
        </w:tc>
        <w:tc>
          <w:tcPr>
            <w:tcW w:w="1540" w:type="dxa"/>
            <w:vAlign w:val="bottom"/>
            <w:gridSpan w:val="2"/>
            <w:vMerge w:val="continue"/>
          </w:tcPr>
          <w:p>
            <w:pPr>
              <w:spacing w:after="0"/>
              <w:rPr>
                <w:sz w:val="14"/>
                <w:szCs w:val="14"/>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RSU</w:t>
            </w: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3,570,082</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336,785</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3,906,867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1,888,689</w:t>
            </w:r>
          </w:p>
        </w:tc>
        <w:tc>
          <w:tcPr>
            <w:tcW w:w="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1,888,689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(2,910,645)</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(2,910,645)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(415,513)</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(292,985)</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(708,498)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2,132,613</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43,800</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2,176,413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key assumptions used to calculate the grant date fair value of the PSU awards include a performance period ranging from 2.45 to 2.92 years, expected volatility between 57.4% - 58.8%, and a risk-free rate of 0.18% - 0.29%. The fair value at the grant date and derived service periods calculated for these market condition PSUs were $19.12 - $30.84 and between 0.38 - 0.76 years, respectively.</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2023, the intrinsic value of the RSUs and PSUs outstanding, exercisable, and vested or expected to vest was $7.9 million. There was $3.5 million of total compensation costs related to stock-based awards not yet recognized as of December 31, 2023, which is expected to be recognized on a straight-line basis over a weighted-average remaining vesting period of 0.5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estimated fair value of stock options on the date of grant. Option awards are generally granted with an exercise price equal to the market price of the Company's stock at the date of grant. The following weighted-average assumptions are used in the Black-Scholes valuation model to estimate the fair value of stock option awards, as granted.</w:t>
      </w:r>
    </w:p>
    <w:p>
      <w:pPr>
        <w:spacing w:after="0" w:line="120" w:lineRule="exact"/>
        <w:rPr>
          <w:sz w:val="20"/>
          <w:szCs w:val="20"/>
          <w:color w:val="auto"/>
        </w:rPr>
      </w:pPr>
    </w:p>
    <w:p>
      <w:pPr>
        <w:ind w:left="340" w:right="60" w:hanging="332"/>
        <w:spacing w:after="0" w:line="257"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of the option </w:t>
      </w:r>
      <w:r>
        <w:rPr>
          <w:rFonts w:ascii="Times New Roman" w:cs="Times New Roman" w:eastAsia="Times New Roman" w:hAnsi="Times New Roman"/>
          <w:sz w:val="18"/>
          <w:szCs w:val="18"/>
          <w:color w:val="auto"/>
        </w:rPr>
        <w:t>– For options granted to employees and directors, the Company estimates the term over which option holders are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hold their stock option by using the "simplified method" in accordance with Staff Accounting Bulletin ("SAB") No. 107,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xml:space="preserve">, and SAB No. 110, </w:t>
      </w:r>
      <w:r>
        <w:rPr>
          <w:rFonts w:ascii="Times New Roman" w:cs="Times New Roman" w:eastAsia="Times New Roman" w:hAnsi="Times New Roman"/>
          <w:sz w:val="18"/>
          <w:szCs w:val="18"/>
          <w:i w:val="1"/>
          <w:iCs w:val="1"/>
          <w:color w:val="auto"/>
        </w:rPr>
        <w:t>Simplified Method for Plain Vanilla Share Options</w:t>
      </w:r>
      <w:r>
        <w:rPr>
          <w:rFonts w:ascii="Times New Roman" w:cs="Times New Roman" w:eastAsia="Times New Roman" w:hAnsi="Times New Roman"/>
          <w:sz w:val="18"/>
          <w:szCs w:val="18"/>
          <w:color w:val="auto"/>
        </w:rPr>
        <w:t>, to calculate the expected term of stock options determined to be "plain vanilla." The Company's stock option exercise history does not provide a reasonable basis to compute the expected term for stock options. Under this approach, the expected term is presumed to be a midpoint between the vesting date and the contractual end of the stock option grant. For options granted to non-employees, the Company elected to use the contractual term as the expected term.</w:t>
      </w:r>
    </w:p>
    <w:p>
      <w:pPr>
        <w:spacing w:after="0" w:line="128" w:lineRule="exact"/>
        <w:rPr>
          <w:rFonts w:ascii="Times New Roman" w:cs="Times New Roman" w:eastAsia="Times New Roman" w:hAnsi="Times New Roman"/>
          <w:sz w:val="18"/>
          <w:szCs w:val="18"/>
          <w:color w:val="auto"/>
        </w:rPr>
      </w:pPr>
    </w:p>
    <w:p>
      <w:pPr>
        <w:ind w:left="340" w:right="180" w:hanging="332"/>
        <w:spacing w:after="0" w:line="284" w:lineRule="auto"/>
        <w:tabs>
          <w:tab w:leader="none" w:pos="3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Based on the daily yield curve rates for U.S. Treasury obligations with terms that approximate the expected term of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104" w:lineRule="exact"/>
        <w:rPr>
          <w:rFonts w:ascii="Times New Roman" w:cs="Times New Roman" w:eastAsia="Times New Roman" w:hAnsi="Times New Roman"/>
          <w:sz w:val="18"/>
          <w:szCs w:val="18"/>
          <w:i w:val="1"/>
          <w:iCs w:val="1"/>
          <w:color w:val="auto"/>
        </w:rPr>
      </w:pPr>
    </w:p>
    <w:p>
      <w:pPr>
        <w:ind w:left="340" w:right="720" w:hanging="332"/>
        <w:spacing w:after="0" w:line="284"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the absence of the Company's historical price volatility for the expected contractual term of the stock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utilized the historical price volatility of a peer group.</w:t>
      </w:r>
    </w:p>
    <w:p>
      <w:pPr>
        <w:spacing w:after="0" w:line="104" w:lineRule="exact"/>
        <w:rPr>
          <w:rFonts w:ascii="Times New Roman" w:cs="Times New Roman" w:eastAsia="Times New Roman" w:hAnsi="Times New Roman"/>
          <w:sz w:val="18"/>
          <w:szCs w:val="18"/>
          <w:color w:val="auto"/>
        </w:rPr>
      </w:pPr>
    </w:p>
    <w:p>
      <w:pPr>
        <w:ind w:left="340" w:right="620" w:hanging="332"/>
        <w:spacing w:after="0" w:line="284"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dividends, nor does it expect to in the foreseeable future. Therefore, a zero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for the expected dividend yield.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12.3: Stock Options Fair Value and Weighted-Average Assumptions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40" w:type="dxa"/>
            <w:vAlign w:val="bottom"/>
            <w:tcBorders>
              <w:top w:val="single" w:sz="8" w:color="auto"/>
              <w:bottom w:val="single" w:sz="8" w:color="auto"/>
            </w:tcBorders>
            <w:gridSpan w:val="9"/>
          </w:tcPr>
          <w:p>
            <w:pPr>
              <w:jc w:val="right"/>
              <w:ind w:right="9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center"/>
              <w:ind w:left="759"/>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color w:val="auto"/>
                <w:w w:val="99"/>
              </w:rPr>
              <w:t>2022</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fair value of underlying stock options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$1.06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6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jc w:val="center"/>
              <w:ind w:left="879"/>
              <w:spacing w:after="0"/>
              <w:rPr>
                <w:sz w:val="20"/>
                <w:szCs w:val="20"/>
                <w:color w:val="auto"/>
              </w:rPr>
            </w:pPr>
            <w:r>
              <w:rPr>
                <w:rFonts w:ascii="Times New Roman" w:cs="Times New Roman" w:eastAsia="Times New Roman" w:hAnsi="Times New Roman"/>
                <w:sz w:val="16"/>
                <w:szCs w:val="16"/>
                <w:color w:val="auto"/>
              </w:rPr>
              <w:t>5.5 - 10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5"/>
              </w:rPr>
              <w:t>3.5%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639"/>
              <w:spacing w:after="0"/>
              <w:rPr>
                <w:sz w:val="20"/>
                <w:szCs w:val="20"/>
                <w:color w:val="auto"/>
              </w:rPr>
            </w:pPr>
            <w:r>
              <w:rPr>
                <w:rFonts w:ascii="Times New Roman" w:cs="Times New Roman" w:eastAsia="Times New Roman" w:hAnsi="Times New Roman"/>
                <w:sz w:val="16"/>
                <w:szCs w:val="16"/>
                <w:color w:val="auto"/>
                <w:w w:val="95"/>
              </w:rPr>
              <w:t>—%</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center"/>
              <w:ind w:left="99"/>
              <w:spacing w:after="0"/>
              <w:rPr>
                <w:sz w:val="20"/>
                <w:szCs w:val="20"/>
                <w:color w:val="auto"/>
              </w:rPr>
            </w:pPr>
            <w:r>
              <w:rPr>
                <w:rFonts w:ascii="Times New Roman" w:cs="Times New Roman" w:eastAsia="Times New Roman" w:hAnsi="Times New Roman"/>
                <w:sz w:val="16"/>
                <w:szCs w:val="16"/>
                <w:color w:val="auto"/>
                <w:w w:val="99"/>
              </w:rPr>
              <w:t>30.7% - 35.1%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w w:val="95"/>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5"/>
              </w:rPr>
              <w: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639"/>
              <w:spacing w:after="0"/>
              <w:rPr>
                <w:sz w:val="20"/>
                <w:szCs w:val="20"/>
                <w:color w:val="auto"/>
              </w:rPr>
            </w:pPr>
            <w:r>
              <w:rPr>
                <w:rFonts w:ascii="Times New Roman" w:cs="Times New Roman" w:eastAsia="Times New Roman" w:hAnsi="Times New Roman"/>
                <w:sz w:val="16"/>
                <w:szCs w:val="16"/>
                <w:color w:val="auto"/>
                <w:w w:val="95"/>
              </w:rPr>
              <w:t>—%</w:t>
            </w:r>
          </w:p>
        </w:tc>
        <w:tc>
          <w:tcPr>
            <w:tcW w:w="0" w:type="dxa"/>
            <w:vAlign w:val="bottom"/>
          </w:tcPr>
          <w:p>
            <w:pPr>
              <w:spacing w:after="0"/>
              <w:rPr>
                <w:sz w:val="1"/>
                <w:szCs w:val="1"/>
                <w:color w:val="auto"/>
              </w:rPr>
            </w:pPr>
          </w:p>
        </w:tc>
      </w:tr>
      <w:tr>
        <w:trPr>
          <w:trHeight w:val="49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12.4: Stock Option Activity</w:t>
            </w: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4"/>
          </w:tcPr>
          <w:p>
            <w:pPr>
              <w:jc w:val="center"/>
              <w:ind w:right="160"/>
              <w:spacing w:after="0" w:line="158" w:lineRule="exact"/>
              <w:rPr>
                <w:sz w:val="20"/>
                <w:szCs w:val="20"/>
                <w:color w:val="auto"/>
              </w:rPr>
            </w:pPr>
            <w:r>
              <w:rPr>
                <w:rFonts w:ascii="Times New Roman" w:cs="Times New Roman" w:eastAsia="Times New Roman" w:hAnsi="Times New Roman"/>
                <w:sz w:val="16"/>
                <w:szCs w:val="16"/>
                <w:color w:val="auto"/>
              </w:rPr>
              <w:t>Weighted-Average</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Stock 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Weighted-Average</w:t>
            </w:r>
          </w:p>
        </w:tc>
        <w:tc>
          <w:tcPr>
            <w:tcW w:w="1460" w:type="dxa"/>
            <w:vAlign w:val="bottom"/>
            <w:gridSpan w:val="4"/>
          </w:tcPr>
          <w:p>
            <w:pPr>
              <w:jc w:val="center"/>
              <w:ind w:right="160"/>
              <w:spacing w:after="0" w:line="162" w:lineRule="exact"/>
              <w:rPr>
                <w:sz w:val="20"/>
                <w:szCs w:val="20"/>
                <w:color w:val="auto"/>
              </w:rPr>
            </w:pPr>
            <w:r>
              <w:rPr>
                <w:rFonts w:ascii="Times New Roman" w:cs="Times New Roman" w:eastAsia="Times New Roman" w:hAnsi="Times New Roman"/>
                <w:sz w:val="16"/>
                <w:szCs w:val="16"/>
                <w:color w:val="auto"/>
                <w:w w:val="99"/>
              </w:rPr>
              <w:t>Remaining</w:t>
            </w:r>
          </w:p>
        </w:tc>
        <w:tc>
          <w:tcPr>
            <w:tcW w:w="10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460" w:type="dxa"/>
            <w:vAlign w:val="bottom"/>
            <w:gridSpan w:val="4"/>
          </w:tcPr>
          <w:p>
            <w:pPr>
              <w:jc w:val="center"/>
              <w:ind w:right="160"/>
              <w:spacing w:after="0" w:line="162" w:lineRule="exact"/>
              <w:rPr>
                <w:sz w:val="20"/>
                <w:szCs w:val="20"/>
                <w:color w:val="auto"/>
              </w:rPr>
            </w:pPr>
            <w:r>
              <w:rPr>
                <w:rFonts w:ascii="Times New Roman" w:cs="Times New Roman" w:eastAsia="Times New Roman" w:hAnsi="Times New Roman"/>
                <w:sz w:val="16"/>
                <w:szCs w:val="16"/>
                <w:color w:val="auto"/>
              </w:rPr>
              <w:t>Contractual Term</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Exercise Price</w:t>
            </w:r>
          </w:p>
        </w:tc>
        <w:tc>
          <w:tcPr>
            <w:tcW w:w="146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color w:val="auto"/>
              </w:rPr>
              <w:t>(in years)</w:t>
            </w:r>
          </w:p>
        </w:tc>
        <w:tc>
          <w:tcPr>
            <w:tcW w:w="100" w:type="dxa"/>
            <w:vAlign w:val="bottom"/>
          </w:tcPr>
          <w:p>
            <w:pPr>
              <w:spacing w:after="0"/>
              <w:rPr>
                <w:sz w:val="18"/>
                <w:szCs w:val="18"/>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stock option as of December 31, 2023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 awards and the quoted closing price of the Company's common stock as of December 31, 2023.</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approximately $0.1 million of unrecognized compensation costs related to non-vested stock options.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LEASES</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lease office space facilities and equipment under non-cancelable operating and finance leases with various expiration dates, some of which contain renewal options. The Company's lease portfolio is comprised of two major classes. The lease of the Ashburn facility is accounted for as a finance lease. The other office spaces and equipment leased are accounted for as operating leases. We have included options to extend in the operating lease ROU assets and liabilities when we are reasonably certain that we will exercise such options.</w:t>
      </w:r>
    </w:p>
    <w:p>
      <w:pPr>
        <w:spacing w:after="0" w:line="12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May 2014, the Company entered into a new lease arrangement with the new landlord on the Ashburn facility, which expires on May 28, 2029. In accordance with this lease agreement, the basic rent increases by a fixed 2.5% escalation annually.</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13.1: Details of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bottom w:val="single" w:sz="8" w:color="auto"/>
            </w:tcBorders>
          </w:tcPr>
          <w:p>
            <w:pPr>
              <w:spacing w:after="0"/>
              <w:rPr>
                <w:sz w:val="19"/>
                <w:szCs w:val="19"/>
                <w:color w:val="auto"/>
              </w:rPr>
            </w:pPr>
          </w:p>
        </w:tc>
      </w:tr>
      <w:tr>
        <w:trPr>
          <w:trHeight w:val="213"/>
        </w:trPr>
        <w:tc>
          <w:tcPr>
            <w:tcW w:w="700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2022</w:t>
            </w:r>
          </w:p>
        </w:tc>
        <w:tc>
          <w:tcPr>
            <w:tcW w:w="660" w:type="dxa"/>
            <w:vAlign w:val="bottom"/>
            <w:tcBorders>
              <w:bottom w:val="single" w:sz="8" w:color="auto"/>
            </w:tcBorders>
          </w:tcPr>
          <w:p>
            <w:pPr>
              <w:spacing w:after="0"/>
              <w:rPr>
                <w:sz w:val="18"/>
                <w:szCs w:val="18"/>
                <w:color w:val="auto"/>
              </w:rPr>
            </w:pPr>
          </w:p>
        </w:tc>
      </w:tr>
      <w:tr>
        <w:trPr>
          <w:trHeight w:val="229"/>
        </w:trPr>
        <w:tc>
          <w:tcPr>
            <w:tcW w:w="7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6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9"/>
                <w:szCs w:val="19"/>
                <w:color w:val="auto"/>
              </w:rPr>
            </w:pPr>
          </w:p>
        </w:tc>
      </w:tr>
      <w:tr>
        <w:trPr>
          <w:trHeight w:val="37"/>
        </w:trPr>
        <w:tc>
          <w:tcPr>
            <w:tcW w:w="70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6"/>
        </w:trPr>
        <w:tc>
          <w:tcPr>
            <w:tcW w:w="7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Short-term lease cost </w:t>
            </w:r>
            <w:r>
              <w:rPr>
                <w:rFonts w:ascii="Times New Roman" w:cs="Times New Roman" w:eastAsia="Times New Roman" w:hAnsi="Times New Roman"/>
                <w:sz w:val="21"/>
                <w:szCs w:val="21"/>
                <w:color w:val="auto"/>
                <w:vertAlign w:val="superscript"/>
              </w:rPr>
              <w:t>(1)</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finance lease assets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finance lease liabilities</w:t>
            </w: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costs</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Leases that have terms of 12 months or less.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13.2: Future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Finance Leases</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2024</w:t>
            </w:r>
          </w:p>
        </w:tc>
        <w:tc>
          <w:tcPr>
            <w:tcW w:w="162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12"/>
        </w:trPr>
        <w:tc>
          <w:tcPr>
            <w:tcW w:w="7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6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12,915</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lease obligations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11,248</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Current portion of lease obligations</w:t>
            </w: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lease obligations</w:t>
            </w:r>
          </w:p>
        </w:tc>
        <w:tc>
          <w:tcPr>
            <w:tcW w:w="1620" w:type="dxa"/>
            <w:vAlign w:val="bottom"/>
            <w:tcBorders>
              <w:bottom w:val="single" w:sz="8" w:color="auto"/>
            </w:tcBorders>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13.3: Weighted-Average Remaining Lease Terms and Discount Rates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7000" w:type="dxa"/>
            <w:vAlign w:val="bottom"/>
            <w:tcBorders>
              <w:bottom w:val="single" w:sz="8" w:color="auto"/>
            </w:tcBorders>
            <w:vMerge w:val="continue"/>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2023</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2022</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6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5.3 years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6.3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3.4 years</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1.0 year</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62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6"/>
              </w:rPr>
              <w:t>5.04%</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6"/>
              </w:rPr>
              <w:t>5.04%</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6"/>
              </w:rPr>
              <w:t>5.75%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6"/>
              </w:rPr>
              <w:t>5.75%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9"/>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13.4: Supplemental Cash Flow Information Related to Leases</w:t>
            </w: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2023</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2022</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operating leases</w:t>
            </w:r>
          </w:p>
        </w:tc>
        <w:tc>
          <w:tcPr>
            <w:tcW w:w="16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finance leases</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related to finance leases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EMPLOYEE BENEFIT PLAN</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Telos sponsors a defined contribution employee savings plan (the "Plan") under which substantially all full-time employees are eligible to participate. As of December 31, 2023, the Plan held 1,434,464 shares of Telos common stock. Prior to March 2022, we matched one-half of employee contribution to the Plan up to a maximum of 2% of such employee's eligible annual base salary. In March 2022, we increased the maximum employer match up to 4% of the employee's eligible annual base salary. Participant contributions are always fully vested immediately at the time of contribution. Telos' contributions vest at the rate of 20% each year, with full vesting occurring after completion of five years of service. Effective September 1, 2023, we changed our Telos-contributed matching funds to a two-year vesting schedule: 20% vesting after one year of service, and fully vesting after the completion of two years of service.</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Telos intends to fund the employer matching contribution in Telos stock, but will have the discretion to fund the match in cash or a combination of stock and cash. The Telos employer matching contribution is funded in the first quarter of the subsequent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contributions to the Plan for 2023 and 2022 were $2.1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INCOME TAXES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15.1: Components of Provision for/(Benefit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6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6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Borders>
              <w:bottom w:val="single" w:sz="8" w:color="auto"/>
            </w:tcBorders>
          </w:tcPr>
          <w:p>
            <w:pPr>
              <w:spacing w:after="0"/>
              <w:rPr>
                <w:sz w:val="20"/>
                <w:szCs w:val="20"/>
                <w:color w:val="auto"/>
              </w:rPr>
            </w:pPr>
          </w:p>
        </w:tc>
      </w:tr>
      <w:tr>
        <w:trPr>
          <w:trHeight w:val="233"/>
        </w:trPr>
        <w:tc>
          <w:tcPr>
            <w:tcW w:w="7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20" w:type="dxa"/>
            <w:vAlign w:val="bottom"/>
            <w:gridSpan w:val="3"/>
          </w:tcPr>
          <w:p>
            <w:pPr>
              <w:jc w:val="right"/>
              <w:ind w:right="10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3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4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19</w:t>
            </w:r>
          </w:p>
        </w:tc>
      </w:tr>
      <w:tr>
        <w:trPr>
          <w:trHeight w:val="230"/>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current</w:t>
            </w:r>
          </w:p>
        </w:tc>
        <w:tc>
          <w:tcPr>
            <w:tcW w:w="1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expense</w:t>
            </w:r>
          </w:p>
        </w:tc>
        <w:tc>
          <w:tcPr>
            <w:tcW w:w="1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60" w:type="dxa"/>
            <w:vAlign w:val="bottom"/>
          </w:tcPr>
          <w:p>
            <w:pPr>
              <w:spacing w:after="0"/>
              <w:rPr>
                <w:sz w:val="20"/>
                <w:szCs w:val="20"/>
                <w:color w:val="auto"/>
              </w:rPr>
            </w:pPr>
          </w:p>
        </w:tc>
        <w:tc>
          <w:tcPr>
            <w:tcW w:w="620" w:type="dxa"/>
            <w:vAlign w:val="bottom"/>
          </w:tcPr>
          <w:p>
            <w:pPr>
              <w:jc w:val="center"/>
              <w:ind w:left="260"/>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4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9"/>
              </w:rPr>
              <w:t>23</w:t>
            </w:r>
          </w:p>
        </w:tc>
        <w:tc>
          <w:tcPr>
            <w:tcW w:w="8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w:t>
            </w:r>
          </w:p>
        </w:tc>
      </w:tr>
      <w:tr>
        <w:trPr>
          <w:trHeight w:val="230"/>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w:t>
            </w:r>
          </w:p>
        </w:tc>
        <w:tc>
          <w:tcPr>
            <w:tcW w:w="1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6"/>
                <w:szCs w:val="16"/>
                <w:color w:val="auto"/>
                <w:w w:val="99"/>
              </w:rPr>
              <w:t>55</w:t>
            </w: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35</w:t>
            </w:r>
          </w:p>
        </w:tc>
      </w:tr>
      <w:tr>
        <w:trPr>
          <w:trHeight w:val="262"/>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60" w:type="dxa"/>
            <w:vAlign w:val="bottom"/>
            <w:tcBorders>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9"/>
              </w:rPr>
              <w:t>36</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15.2: Reconciliation of Statutory Tax Rate to Actual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29210</wp:posOffset>
            </wp:positionV>
            <wp:extent cx="28460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gridSpan w:val="2"/>
          </w:tcPr>
          <w:p>
            <w:pPr>
              <w:ind w:left="770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2022</w:t>
            </w:r>
          </w:p>
        </w:tc>
      </w:tr>
      <w:tr>
        <w:trPr>
          <w:trHeight w:val="24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Computed expected income tax provision</w:t>
            </w:r>
          </w:p>
        </w:tc>
        <w:tc>
          <w:tcPr>
            <w:tcW w:w="14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income tax benefit</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0"/>
                <w:szCs w:val="20"/>
                <w:color w:val="auto"/>
              </w:rPr>
            </w:pPr>
          </w:p>
        </w:tc>
        <w:tc>
          <w:tcPr>
            <w:tcW w:w="2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r>
      <w:tr>
        <w:trPr>
          <w:trHeight w:val="25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 for deferred tax assets</w:t>
            </w:r>
          </w:p>
        </w:tc>
        <w:tc>
          <w:tcPr>
            <w:tcW w:w="7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Cumulative deferred adjustments</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(0.9)</w:t>
            </w:r>
          </w:p>
        </w:tc>
      </w:tr>
      <w:tr>
        <w:trPr>
          <w:trHeight w:val="25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to return adjustments</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20"/>
                <w:szCs w:val="20"/>
                <w:color w:val="auto"/>
              </w:rPr>
            </w:pPr>
          </w:p>
        </w:tc>
        <w:tc>
          <w:tcPr>
            <w:tcW w:w="2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r>
      <w:tr>
        <w:trPr>
          <w:trHeight w:val="22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(20.6)</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Section 162(m) limitation - covered employees</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20"/>
                <w:szCs w:val="20"/>
                <w:color w:val="auto"/>
              </w:rPr>
            </w:pPr>
          </w:p>
        </w:tc>
        <w:tc>
          <w:tcPr>
            <w:tcW w:w="2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r>
      <w:tr>
        <w:trPr>
          <w:trHeight w:val="25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7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r>
      <w:tr>
        <w:trPr>
          <w:trHeight w:val="23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R&amp;D credit</w:t>
            </w:r>
          </w:p>
        </w:tc>
        <w:tc>
          <w:tcPr>
            <w:tcW w:w="1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3.0</w:t>
            </w:r>
          </w:p>
        </w:tc>
      </w:tr>
      <w:tr>
        <w:trPr>
          <w:trHeight w:val="26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tax rate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15.3: Components of Deferred Tax Assets and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3"/>
          </w:tcPr>
          <w:p>
            <w:pPr>
              <w:jc w:val="center"/>
              <w:ind w:right="539"/>
              <w:spacing w:after="0"/>
              <w:rPr>
                <w:sz w:val="20"/>
                <w:szCs w:val="20"/>
                <w:color w:val="auto"/>
              </w:rPr>
            </w:pPr>
            <w:r>
              <w:rPr>
                <w:rFonts w:ascii="Times New Roman" w:cs="Times New Roman" w:eastAsia="Times New Roman" w:hAnsi="Times New Roman"/>
                <w:sz w:val="16"/>
                <w:szCs w:val="16"/>
                <w:color w:val="auto"/>
              </w:rPr>
              <w:t>As of December 31,</w:t>
            </w: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principally due to allowance for doubtful accounts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inventory obsolescence and amortization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not currently deductible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federal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state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R&amp;D tax credit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and depreciation</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55,883</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(57,559)</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and depreciation</w:t>
            </w:r>
          </w:p>
        </w:tc>
        <w:tc>
          <w:tcPr>
            <w:tcW w:w="1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15.4: Valuation Allowance Activity</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00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3520" w:type="dxa"/>
            <w:vAlign w:val="bottom"/>
            <w:tcBorders>
              <w:bottom w:val="single" w:sz="8" w:color="auto"/>
            </w:tcBorders>
            <w:gridSpan w:val="4"/>
          </w:tcPr>
          <w:p>
            <w:pPr>
              <w:jc w:val="center"/>
              <w:ind w:left="6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8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57,559</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55,588</w:t>
            </w:r>
          </w:p>
        </w:tc>
        <w:tc>
          <w:tcPr>
            <w:tcW w:w="0" w:type="dxa"/>
            <w:vAlign w:val="bottom"/>
          </w:tcPr>
          <w:p>
            <w:pPr>
              <w:spacing w:after="0"/>
              <w:rPr>
                <w:sz w:val="1"/>
                <w:szCs w:val="1"/>
                <w:color w:val="auto"/>
              </w:rPr>
            </w:pPr>
          </w:p>
        </w:tc>
      </w:tr>
      <w:tr>
        <w:trPr>
          <w:trHeight w:val="24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(Reductions)/additions</w:t>
            </w:r>
          </w:p>
        </w:tc>
        <w:tc>
          <w:tcPr>
            <w:tcW w:w="1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0" w:type="dxa"/>
            <w:vAlign w:val="bottom"/>
          </w:tcPr>
          <w:p>
            <w:pPr>
              <w:spacing w:after="0"/>
              <w:rPr>
                <w:sz w:val="1"/>
                <w:szCs w:val="1"/>
                <w:color w:val="auto"/>
              </w:rPr>
            </w:pPr>
          </w:p>
        </w:tc>
      </w:tr>
      <w:tr>
        <w:trPr>
          <w:trHeight w:val="25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establish a valuation allowance for deferred tax assets if, based on the weight of available evidence, it is more likely than not that some portion or all of the deferred tax assets will not be realized. The realization of deferred tax assets is dependent upon the generation of future taxable income. We considered projected future taxable income, tax planning strategies, and reversal of taxable temporary differences in making this assessment. Based on available evidence, we have determined that a full valuation allowance is required as of December 31, 2023 and 2022. As a result of a full valuation allowance against our deferred tax assets and liabilities, a deferred tax liability related to indefinite-lived goodwill remains on our consolidated balance sheets on December 31, 2023 and 2022.</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31, 2023, for federal income tax purposes, there was approximately a $40.0 million net operating loss available to be carried forward to offset future taxable income. Approximately $10.6 million of these net operating loss carryforwards expire in 2037, the remaining will be carried forward indefinitely. As of December 31, 2023, there was approximately $4.9 million of R&amp;D credit carryover which begins to expire in 2033. Certain tax attributes of the Company, including net operating losses and credits, would be subject to a limitation should an ownership change as defined under Section 382 of the Internal Revenue Code of 1986, as amended, occur. The limitations resulting from a change in ownership could affect the Company's ability to utilize its tax attributes. A study was completed in 2020 which confirmed that no limitation applies to the Company's tax attributes as of December 31, 2020. We believe that ownership activity since December 31, 2020 would not result in limitation sufficient to result in the expiration of unused attributes.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provisions of ASC 740, we determined that there were approximately $1.2 million and $1.4 million of unrecognized tax benefits as of December 31, 2023 and 2022, respectively. Included in the balance of unrecognized tax benefits as of December 31, 2023 and 2022 were $0.01 million and $0.10 million, respectively, of tax benefits that, if recognized, would impact the effective tax rate. Also included in the balance of unrecognized tax benefits as of December 31, 2023 and 2022 were $1.2 million and $1.3 million, respectively, of tax benefits that, if recognized, would not impact the effective tax rate due to the Company's valuation allowance. We report interest and penalties as a component of income tax expense. The Company had accrued interest and penalties related to the unrecognized tax benefits of $0.01 million and $0.10 million, which were recorded in other liabilities as of December 31, 2023 and 2022, respectively.</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believe that the total amounts of unrecognized tax benefits will not significantly increase or decrease within the next 12 months. The period for which tax years are open, 2013 to 2023, has not been extended beyond the applicable statute of limitations. As of December 31, 2023, the Company is not under examination by any federal tax jurisdiction, but is currently under examination by a state tax jurisdiction.</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15.5: Reconciliation of the Beginning and Ending Amounts of Unrecognized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2022</w:t>
            </w:r>
          </w:p>
        </w:tc>
        <w:tc>
          <w:tcPr>
            <w:tcW w:w="660" w:type="dxa"/>
            <w:vAlign w:val="bottom"/>
            <w:tcBorders>
              <w:bottom w:val="single" w:sz="8" w:color="auto"/>
            </w:tcBorders>
          </w:tcPr>
          <w:p>
            <w:pPr>
              <w:spacing w:after="0"/>
              <w:rPr>
                <w:sz w:val="20"/>
                <w:szCs w:val="20"/>
                <w:color w:val="auto"/>
              </w:rPr>
            </w:pPr>
          </w:p>
        </w:tc>
      </w:tr>
      <w:tr>
        <w:trPr>
          <w:trHeight w:val="233"/>
        </w:trPr>
        <w:tc>
          <w:tcPr>
            <w:tcW w:w="7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6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prior year tax positions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related to current year tax positions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related to lapse of statutes</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(LOSS)/EARNINGS PER SHARE</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period of net loss, potentially dilutive securities are not included in the calculation of diluted net (loss)/earnings per share because to do so would be anti-dilutive.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16.1: Potentially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r>
      <w:tr>
        <w:trPr>
          <w:trHeight w:val="216"/>
        </w:trPr>
        <w:tc>
          <w:tcPr>
            <w:tcW w:w="7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3"/>
        </w:trPr>
        <w:tc>
          <w:tcPr>
            <w:tcW w:w="7000" w:type="dxa"/>
            <w:vAlign w:val="bottom"/>
            <w:shd w:val="clear" w:color="auto" w:fill="CCEEFF"/>
          </w:tcPr>
          <w:p>
            <w:pPr>
              <w:jc w:val="right"/>
              <w:ind w:right="3599"/>
              <w:spacing w:after="0"/>
              <w:rPr>
                <w:sz w:val="20"/>
                <w:szCs w:val="20"/>
                <w:color w:val="auto"/>
              </w:rPr>
            </w:pPr>
            <w:r>
              <w:rPr>
                <w:rFonts w:ascii="Times New Roman" w:cs="Times New Roman" w:eastAsia="Times New Roman" w:hAnsi="Times New Roman"/>
                <w:sz w:val="16"/>
                <w:szCs w:val="16"/>
                <w:color w:val="auto"/>
              </w:rPr>
              <w:t>Unvested restricted stock and restricted stock units</w:t>
            </w:r>
          </w:p>
        </w:tc>
        <w:tc>
          <w:tcPr>
            <w:tcW w:w="1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12"/>
        </w:trPr>
        <w:tc>
          <w:tcPr>
            <w:tcW w:w="8460" w:type="dxa"/>
            <w:vAlign w:val="bottom"/>
            <w:gridSpan w:val="2"/>
          </w:tcPr>
          <w:p>
            <w:pPr>
              <w:jc w:val="right"/>
              <w:ind w:right="7919"/>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0"/>
        </w:trPr>
        <w:tc>
          <w:tcPr>
            <w:tcW w:w="7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performance-based RSUs of 43,800 and 336,785, respectively, have been excluded in the calculation of the potentially dilutive securities above because issuance of such shares are contingent upon the satisfaction of certain conditions which were not satisfied by the end of the reporting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RELATED PARTY TRANSACTIONS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Emmett J. Wood, the brother of our Chairman and CEO, has been an employee of ours since 1996. In January 2023, he tendered his resignation as an employee effective February 7, 2023. The amounts paid to him as compensation for his remaining tenure in 2023 was $0.2 million, while the amount paid for the year ended December 31, 2022, was $1.3 million.</w:t>
      </w:r>
    </w:p>
    <w:p>
      <w:pPr>
        <w:spacing w:after="0" w:line="12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One of the Company's directors serves as a consultant to the Company. On January 1, 2023, the director and the Company amended the consulting agreement under which he provides services ("2023 consulting agreement"), extending his services through June 30, 2023. The Company, at its election, would pay the director's 2023 consultancy fees in a fixed amount, in the form of restricted stock units. Consequently, on January 3, 2023, the Company granted the director 16,859 RSUs, one-half of which vested on March 3, 2023, and the other half vested on May 18, 2023, as compensation for his consultancy services through June 30, 2023. In July 2023, the director and the Company amended the 2023 consulting agreement, extending his services through December 31, 2023. The amended 2023 consulting agreement stipulates a firm-fixed monthly retainer fee, plus additional fees and contingent bonus payments upon achievement of certain contract goals, payable in cash.</w:t>
      </w:r>
    </w:p>
    <w:p>
      <w:pPr>
        <w:spacing w:after="0" w:line="1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February 2022, the director and the Company amended the consulting agreement to provide that the Company would pay the remainder of the director's consulting fees for 2022 in a fixed price amount in the form of restricted stock units. The Company granted the director 26,091 RSUs on February 1, 2022, which vested quarterly in four equal amounts through the end of the fiscal year 2022, subject to the director's continued performance under the consulting agreement.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amount paid for his consultancy services were $0.09 million and $0.03 million for the years ended December 31, 2023, and 2022,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SEGMENT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we conduct our operations through two operating segments: Security Solutions and Secure Networks.</w:t>
      </w:r>
    </w:p>
    <w:p>
      <w:pPr>
        <w:spacing w:after="0" w:line="171" w:lineRule="exact"/>
        <w:rPr>
          <w:sz w:val="20"/>
          <w:szCs w:val="20"/>
          <w:color w:val="auto"/>
        </w:rPr>
      </w:pPr>
    </w:p>
    <w:p>
      <w:pPr>
        <w:ind w:left="660" w:hanging="328"/>
        <w:spacing w:after="0" w:line="25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Solutions segment is primarily focused on cybersecurity, cloud and identity solutions, and secure messaging through Xacta, Telos Ghost, Telos Advanced Cyber Analytics ("Telos ACA"), Telos Automated Message Handling System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and/or cybersecurity solutions during the period. The majority of the operating costs relate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137"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18.1: Results of Operations by Business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00" w:type="dxa"/>
            <w:vAlign w:val="bottom"/>
            <w:tcBorders>
              <w:top w:val="single" w:sz="8" w:color="auto"/>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60" w:type="dxa"/>
            <w:vAlign w:val="bottom"/>
            <w:gridSpan w:val="3"/>
          </w:tcPr>
          <w:p>
            <w:pPr>
              <w:jc w:val="right"/>
              <w:ind w:right="8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77,416</w:t>
            </w:r>
          </w:p>
        </w:tc>
        <w:tc>
          <w:tcPr>
            <w:tcW w:w="8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120,454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67,962</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96,433</w:t>
            </w:r>
          </w:p>
        </w:tc>
      </w:tr>
      <w:tr>
        <w:trPr>
          <w:trHeight w:val="207"/>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145,378</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216,887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39,614</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61,948</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17,095</w:t>
            </w:r>
          </w:p>
        </w:tc>
      </w:tr>
      <w:tr>
        <w:trPr>
          <w:trHeight w:val="207"/>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gross profit</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52,942</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79,043</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93,257</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132,893</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(40,315)</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(53,374)</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COMMITMENT AND CONTINGENCIES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claims arising in the ordinary course of business, including those relating to employment matters, relationship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financial condition and results of operations.</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there are any litigation or claims that would have a material adverse effect on the business, or the consolidated financial statements of the Company as of December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 Government Contracts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SUPPLEMENTAL CASH FLOW INFORMATION</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20.1: Details of Cash, Cash Equivalent,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2022</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119,305</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99,396</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Restricted cash consists of a commercial money market account held as a deposit on the Ashburn lease and is recorded under "Other assets" on the Consolidated Balance Sheets.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Table 20.2: Supplemental Cash Flow Information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40" w:type="dxa"/>
            <w:vAlign w:val="bottom"/>
            <w:tcBorders>
              <w:top w:val="single" w:sz="8" w:color="auto"/>
            </w:tcBorders>
          </w:tcPr>
          <w:p>
            <w:pPr>
              <w:spacing w:after="0"/>
              <w:rPr>
                <w:sz w:val="18"/>
                <w:szCs w:val="18"/>
                <w:color w:val="auto"/>
              </w:rPr>
            </w:pPr>
          </w:p>
        </w:tc>
        <w:tc>
          <w:tcPr>
            <w:tcW w:w="3640" w:type="dxa"/>
            <w:vAlign w:val="bottom"/>
            <w:tcBorders>
              <w:top w:val="single" w:sz="8" w:color="auto"/>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00" w:type="dxa"/>
            <w:vAlign w:val="bottom"/>
            <w:tcBorders>
              <w:top w:val="single" w:sz="8" w:color="auto"/>
              <w:bottom w:val="single" w:sz="8" w:color="auto"/>
            </w:tcBorders>
          </w:tcPr>
          <w:p>
            <w:pPr>
              <w:spacing w:after="0"/>
              <w:rPr>
                <w:sz w:val="18"/>
                <w:szCs w:val="18"/>
                <w:color w:val="auto"/>
              </w:rPr>
            </w:pPr>
          </w:p>
        </w:tc>
      </w:tr>
      <w:tr>
        <w:trPr>
          <w:trHeight w:val="209"/>
        </w:trPr>
        <w:tc>
          <w:tcPr>
            <w:tcW w:w="694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600" w:type="dxa"/>
            <w:vAlign w:val="bottom"/>
            <w:tcBorders>
              <w:bottom w:val="single" w:sz="8" w:color="auto"/>
            </w:tcBorders>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2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8"/>
                <w:szCs w:val="18"/>
                <w:color w:val="auto"/>
              </w:rPr>
            </w:pPr>
          </w:p>
        </w:tc>
      </w:tr>
      <w:tr>
        <w:trPr>
          <w:trHeight w:val="23"/>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8"/>
                <w:szCs w:val="18"/>
                <w:color w:val="auto"/>
              </w:rPr>
            </w:pP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ROU assets obtained in exchange for operating lease liabilities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transferred to extinguish other financing obligations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7,089</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repurchase under accounts payable and other accrued liabilities</w:t>
            </w:r>
          </w:p>
        </w:tc>
        <w:tc>
          <w:tcPr>
            <w:tcW w:w="1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financing costs in accounts payable and other accrued liabilities</w:t>
            </w:r>
          </w:p>
        </w:tc>
        <w:tc>
          <w:tcPr>
            <w:tcW w:w="1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(our Chairman and Chief Executive Officer) and principal financial officer (our Executive Vice President and Chief Financial Officer), has evaluated the effectiveness of our disclosure controls and procedures (as defined in Rules 13a-15(e) or 15d-15(e) under the Securities Exchange Act of 1934) as of December 31, 2023.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71"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properly to allow for the preparation of financial statements in accordance with U.S. GAAP and that our receipts and expenditures are being made only in accordance with authorizations of our management and directors; and</w:t>
      </w:r>
    </w:p>
    <w:p>
      <w:pPr>
        <w:spacing w:after="0" w:line="85" w:lineRule="exact"/>
        <w:rPr>
          <w:rFonts w:ascii="Times New Roman" w:cs="Times New Roman" w:eastAsia="Times New Roman" w:hAnsi="Times New Roman"/>
          <w:sz w:val="17"/>
          <w:szCs w:val="17"/>
          <w:color w:val="auto"/>
        </w:rPr>
      </w:pPr>
    </w:p>
    <w:p>
      <w:pPr>
        <w:ind w:left="660" w:hanging="328"/>
        <w:spacing w:after="0" w:line="282" w:lineRule="auto"/>
        <w:tabs>
          <w:tab w:leader="none" w:pos="6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0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includes the controls themselves, monitoring and internal auditing practices and actions taken to correct deficiencies as identified.</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has evaluated the effectiveness of our internal control over financial reporting as of December 31, 2023,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December 31, 2023, and has concluded that our internal control over financial reporting was effective.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PricewaterhouseCoopers LLP, an independent registered public accounting firm, audited our consolidated financial statements and our internal control over financial reporting, and the firm’s report on our internal control over financial reporting are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Annual Report on Form 10-K.</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Disclosed Material Weakness in Internal Control over Financial Reporting</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disclosed in Item 9A of our Annual Report on Form 10-K for the year ended December 31, 2022, management identified a material weakness as of that date. The material weakness identified as of December 31, 2022 was related to ineffective design and maintenance of controls over the assessment of the accounting for forfeiture of non-standard equity awards. In response to the material weakness, we implemented changes to our internal control over financial reporting, which consisted primarily of enhancement of existing processes and controls over the accounting for the forfeiture of non-standard equity awards. We have completed documentation of these corrective actions and, based on the evidence obtained in validating the design and operating effectiveness of the implemented control, we have concluded that the previously disclosed material weakness has been remediated as of March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2023, that have materially affected, or are reasonably likely to materially effect, our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84"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right="80" w:firstLine="8"/>
        <w:spacing w:after="0" w:line="28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5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since we intend to file our definitive proxy statement for our 2024 Annual Meeting of Stockholders, or the Proxy Statement, pursuant to Regulation 14A of the Securities Exchange Act of 1934, as amended, not later</w:t>
      </w:r>
    </w:p>
    <w:p>
      <w:pPr>
        <w:spacing w:after="0" w:line="1"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8"/>
          <w:szCs w:val="18"/>
          <w:color w:val="auto"/>
        </w:rPr>
        <w:t>than 120 days after the end of the fiscal year covered by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K, and certain information to be included in the Proxy Statement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7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regarding executive officers, directors and nominees for directors, including information with respect to our audit committee and audit committee financial expert, will be included under Election of Directors, Biographical Information Concerning the Company's Executive Officers, Corporate Governance, Independence of Directors, Board of Directors Nomination Process, Role in Risk Oversight, Meetings of the Board of Directors and Committees of the Board of Directors, as well as Audit Committee, Management Development and Compensation Committee, and Nominating and Corporate Governance Committee, in the Proxy Statement and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Compensation of Executive Officers and Directors and is incorporated herein by reference.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December 31, 2023, information with respect to (a) number of securities to be issued upon exercise of outstanding options, warrants, and rights, (b) the weighted average exercise price of outstanding options, warrants, and rights and (c) the number of securities remaining available for future issuance under our existing equity incentive plan. All shares under our existing equity incentive plan may be issued in the form of restricted stock, performance shares, stock appreciation rights, stock units, or other stock-based awards.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Number of securities</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securities to be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 available for future</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Weighted-average exercise</w:t>
            </w: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issuance under equity</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issued upon exercise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 plans (excluding</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outstanding options, warrants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price of outstanding options,</w:t>
            </w:r>
          </w:p>
        </w:tc>
        <w:tc>
          <w:tcPr>
            <w:tcW w:w="2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securities reflected in column</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 rights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warrants and rights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9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Equity compensation plans approved by security holders </w:t>
            </w:r>
            <w:r>
              <w:rPr>
                <w:rFonts w:ascii="Times New Roman" w:cs="Times New Roman" w:eastAsia="Times New Roman" w:hAnsi="Times New Roman"/>
                <w:sz w:val="21"/>
                <w:szCs w:val="21"/>
                <w:color w:val="auto"/>
                <w:vertAlign w:val="superscript"/>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4,831,794</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2,176,413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4,831,794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the Company's 2016 Omnibus Long-Term Incentive Plan, as amended.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information required by this item is herein incorporated by reference to the Proxy Statement relating to the 2024 Annual Meeting of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Certain Relationships and Related Transactions, and Independence of Directors and is incorporated herein by reference.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Independent Registered Public Accounting Firm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report are as follows:</w:t>
      </w:r>
    </w:p>
    <w:p>
      <w:pPr>
        <w:spacing w:after="0" w:line="171" w:lineRule="exact"/>
        <w:rPr>
          <w:sz w:val="20"/>
          <w:szCs w:val="20"/>
          <w:color w:val="auto"/>
        </w:rPr>
      </w:pPr>
    </w:p>
    <w:p>
      <w:pPr>
        <w:ind w:left="660" w:hanging="49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Company's consolidated financial statements are included in Item 8. Financial Statements and Supplementary Data.</w:t>
      </w:r>
    </w:p>
    <w:p>
      <w:pPr>
        <w:spacing w:after="0" w:line="171" w:lineRule="exact"/>
        <w:rPr>
          <w:rFonts w:ascii="Times New Roman" w:cs="Times New Roman" w:eastAsia="Times New Roman" w:hAnsi="Times New Roman"/>
          <w:sz w:val="18"/>
          <w:szCs w:val="18"/>
          <w:color w:val="auto"/>
        </w:rPr>
      </w:pPr>
    </w:p>
    <w:p>
      <w:pPr>
        <w:ind w:left="660" w:right="440" w:hanging="490"/>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as the required information is not applicable or the information is presented in the Consolidated Financial Statements.</w:t>
      </w:r>
    </w:p>
    <w:p>
      <w:pPr>
        <w:spacing w:after="0" w:line="107" w:lineRule="exact"/>
        <w:rPr>
          <w:rFonts w:ascii="Times New Roman" w:cs="Times New Roman" w:eastAsia="Times New Roman" w:hAnsi="Times New Roman"/>
          <w:sz w:val="18"/>
          <w:szCs w:val="18"/>
          <w:color w:val="auto"/>
        </w:rPr>
      </w:pPr>
    </w:p>
    <w:p>
      <w:pPr>
        <w:ind w:left="660" w:right="120" w:hanging="490"/>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 listed in the Exhibit Index immediately below are filed as part of this Annual Report on Form 10-K, or are incorporated by reference herein.</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Exhibit</w:t>
      </w:r>
    </w:p>
    <w:p>
      <w:pPr>
        <w:ind w:left="140"/>
        <w:spacing w:after="0"/>
        <w:rPr>
          <w:sz w:val="20"/>
          <w:szCs w:val="20"/>
          <w:color w:val="auto"/>
        </w:rPr>
      </w:pPr>
      <w:r>
        <w:rPr>
          <w:rFonts w:ascii="Times New Roman" w:cs="Times New Roman" w:eastAsia="Times New Roman" w:hAnsi="Times New Roman"/>
          <w:sz w:val="16"/>
          <w:szCs w:val="16"/>
          <w:color w:val="auto"/>
        </w:rPr>
        <w:t>Number</w:t>
      </w:r>
    </w:p>
    <w:p>
      <w:pPr>
        <w:spacing w:after="0" w:line="28"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r:id="rId108">
        <w:r>
          <w:rPr>
            <w:rFonts w:ascii="Times New Roman" w:cs="Times New Roman" w:eastAsia="Times New Roman" w:hAnsi="Times New Roman"/>
            <w:sz w:val="16"/>
            <w:szCs w:val="16"/>
            <w:u w:val="single" w:color="auto"/>
            <w:color w:val="0000FF"/>
          </w:rPr>
          <w:t>3.1</w:t>
        </w:r>
      </w:hyperlink>
    </w:p>
    <w:p>
      <w:pPr>
        <w:spacing w:after="0" w:line="262"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r:id="rId109">
        <w:r>
          <w:rPr>
            <w:rFonts w:ascii="Times New Roman" w:cs="Times New Roman" w:eastAsia="Times New Roman" w:hAnsi="Times New Roman"/>
            <w:sz w:val="16"/>
            <w:szCs w:val="16"/>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Incorporated by Reference Herein</w:t>
            </w:r>
          </w:p>
        </w:tc>
      </w:tr>
      <w:tr>
        <w:trPr>
          <w:trHeight w:val="358"/>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color w:val="auto"/>
              </w:rPr>
              <w:t>Description of Exhibit</w:t>
            </w:r>
          </w:p>
        </w:tc>
        <w:tc>
          <w:tcPr>
            <w:tcW w:w="8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 Schedule</w:t>
            </w:r>
          </w:p>
        </w:tc>
        <w:tc>
          <w:tcPr>
            <w:tcW w:w="8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Date Filed</w:t>
            </w:r>
          </w:p>
        </w:tc>
        <w:tc>
          <w:tcPr>
            <w:tcW w:w="8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Exhibit Number</w:t>
            </w:r>
          </w:p>
        </w:tc>
      </w:tr>
      <w:tr>
        <w:trPr>
          <w:trHeight w:val="186"/>
        </w:trPr>
        <w:tc>
          <w:tcPr>
            <w:tcW w:w="20" w:type="dxa"/>
            <w:vAlign w:val="bottom"/>
          </w:tcPr>
          <w:p>
            <w:pPr>
              <w:spacing w:after="0"/>
              <w:rPr>
                <w:sz w:val="16"/>
                <w:szCs w:val="16"/>
                <w:color w:val="auto"/>
              </w:rPr>
            </w:pPr>
          </w:p>
        </w:tc>
        <w:tc>
          <w:tcPr>
            <w:tcW w:w="5500" w:type="dxa"/>
            <w:vAlign w:val="bottom"/>
            <w:gridSpan w:val="6"/>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Second Articles of Amendment and Restatement of Telos Corporation dated</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November 16, 2020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69"/>
        </w:trPr>
        <w:tc>
          <w:tcPr>
            <w:tcW w:w="20" w:type="dxa"/>
            <w:vAlign w:val="bottom"/>
          </w:tcPr>
          <w:p>
            <w:pPr>
              <w:spacing w:after="0"/>
              <w:rPr>
                <w:sz w:val="14"/>
                <w:szCs w:val="14"/>
                <w:color w:val="auto"/>
              </w:rPr>
            </w:pPr>
          </w:p>
        </w:tc>
        <w:tc>
          <w:tcPr>
            <w:tcW w:w="4940" w:type="dxa"/>
            <w:vAlign w:val="bottom"/>
            <w:tcBorders>
              <w:top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November 12, 2020</w:t>
              </w:r>
            </w:hyperlink>
          </w:p>
        </w:tc>
        <w:tc>
          <w:tcPr>
            <w:tcW w:w="5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gridSpan w:val="6"/>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Fourth Amended and Restated Bylaws of Telos Corporation, effective as of</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November 9,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69"/>
        </w:trPr>
        <w:tc>
          <w:tcPr>
            <w:tcW w:w="20" w:type="dxa"/>
            <w:vAlign w:val="bottom"/>
          </w:tcPr>
          <w:p>
            <w:pPr>
              <w:spacing w:after="0"/>
              <w:rPr>
                <w:sz w:val="14"/>
                <w:szCs w:val="14"/>
                <w:color w:val="auto"/>
              </w:rPr>
            </w:pPr>
          </w:p>
        </w:tc>
        <w:tc>
          <w:tcPr>
            <w:tcW w:w="4880" w:type="dxa"/>
            <w:vAlign w:val="bottom"/>
            <w:tcBorders>
              <w:top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November 7, 2023</w:t>
              </w:r>
            </w:hyperlink>
          </w:p>
        </w:tc>
        <w:tc>
          <w:tcPr>
            <w:tcW w:w="62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-539750</wp:posOffset>
            </wp:positionV>
            <wp:extent cx="7080885"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080885" cy="29146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680" w:space="560"/>
            <w:col w:w="9920"/>
          </w:cols>
          <w:pgMar w:left="320" w:top="119" w:right="41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20" w:type="dxa"/>
            <w:vAlign w:val="bottom"/>
            <w:gridSpan w:val="4"/>
            <w:shd w:val="clear" w:color="auto" w:fill="CCEEFF"/>
          </w:tcPr>
          <w:p>
            <w:pPr>
              <w:jc w:val="center"/>
              <w:ind w:left="239"/>
              <w:spacing w:after="0"/>
              <w:rPr>
                <w:rFonts w:ascii="Times New Roman" w:cs="Times New Roman" w:eastAsia="Times New Roman" w:hAnsi="Times New Roman"/>
                <w:sz w:val="16"/>
                <w:szCs w:val="16"/>
                <w:color w:val="0000FF"/>
                <w:w w:val="99"/>
              </w:rPr>
            </w:pPr>
            <w:hyperlink r:id="rId111">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5580" w:type="dxa"/>
            <w:vAlign w:val="bottom"/>
            <w:gridSpan w:val="25"/>
            <w:shd w:val="clear" w:color="auto" w:fill="CCEEFF"/>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Description of our Capital Stock</w:t>
              </w:r>
            </w:hyperlink>
          </w:p>
        </w:tc>
        <w:tc>
          <w:tcPr>
            <w:tcW w:w="11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7"/>
              </w:rPr>
              <w:t>10-K</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4.13</w:t>
            </w:r>
          </w:p>
        </w:tc>
      </w:tr>
      <w:tr>
        <w:trPr>
          <w:trHeight w:val="28"/>
        </w:trPr>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r>
      <w:tr>
        <w:trPr>
          <w:trHeight w:val="183"/>
        </w:trPr>
        <w:tc>
          <w:tcPr>
            <w:tcW w:w="600" w:type="dxa"/>
            <w:vAlign w:val="bottom"/>
            <w:gridSpan w:val="6"/>
          </w:tcPr>
          <w:p>
            <w:pPr>
              <w:jc w:val="center"/>
              <w:ind w:left="159"/>
              <w:spacing w:after="0" w:line="155" w:lineRule="exact"/>
              <w:rPr>
                <w:rFonts w:ascii="Times New Roman" w:cs="Times New Roman" w:eastAsia="Times New Roman" w:hAnsi="Times New Roman"/>
                <w:sz w:val="16"/>
                <w:szCs w:val="16"/>
                <w:color w:val="0000FF"/>
                <w:w w:val="99"/>
              </w:rPr>
            </w:pPr>
            <w:hyperlink r:id="rId11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6260" w:type="dxa"/>
            <w:vAlign w:val="bottom"/>
            <w:gridSpan w:val="26"/>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2">
              <w:r>
                <w:rPr>
                  <w:rFonts w:ascii="Times New Roman" w:cs="Times New Roman" w:eastAsia="Times New Roman" w:hAnsi="Times New Roman"/>
                  <w:sz w:val="16"/>
                  <w:szCs w:val="16"/>
                  <w:color w:val="0000FF"/>
                </w:rPr>
                <w:t>Forms of Indemnification Agreement between the Company and 16 of its directors</w:t>
              </w:r>
            </w:hyperlink>
          </w:p>
        </w:tc>
        <w:tc>
          <w:tcPr>
            <w:tcW w:w="11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May 17, 2021</w:t>
            </w: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340" w:type="dxa"/>
            <w:vAlign w:val="bottom"/>
            <w:tcBorders>
              <w:top w:val="single" w:sz="8" w:color="0000FF"/>
            </w:tcBorders>
            <w:gridSpan w:val="23"/>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and executive officers</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48"/>
        </w:trPr>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83"/>
        </w:trPr>
        <w:tc>
          <w:tcPr>
            <w:tcW w:w="600" w:type="dxa"/>
            <w:vAlign w:val="bottom"/>
            <w:gridSpan w:val="6"/>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6260" w:type="dxa"/>
            <w:vAlign w:val="bottom"/>
            <w:gridSpan w:val="26"/>
            <w:shd w:val="clear" w:color="auto" w:fill="CCEEFF"/>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3">
              <w:r>
                <w:rPr>
                  <w:rFonts w:ascii="Times New Roman" w:cs="Times New Roman" w:eastAsia="Times New Roman" w:hAnsi="Times New Roman"/>
                  <w:sz w:val="16"/>
                  <w:szCs w:val="16"/>
                  <w:color w:val="0000FF"/>
                </w:rPr>
                <w:t>Employment Agreement, dated as of September 17, 2012, between the Company</w:t>
              </w:r>
            </w:hyperlink>
          </w:p>
        </w:tc>
        <w:tc>
          <w:tcPr>
            <w:tcW w:w="1140" w:type="dxa"/>
            <w:vAlign w:val="bottom"/>
            <w:shd w:val="clear" w:color="auto" w:fill="CCEEFF"/>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9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April 1, 2013</w:t>
            </w: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10.23</w:t>
            </w:r>
          </w:p>
        </w:tc>
      </w:tr>
      <w:tr>
        <w:trPr>
          <w:trHeight w:val="175"/>
        </w:trPr>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right w:val="single" w:sz="8" w:color="CCEEFF"/>
            </w:tcBorders>
            <w:shd w:val="clear" w:color="auto" w:fill="CCEEFF"/>
          </w:tcPr>
          <w:p>
            <w:pPr>
              <w:spacing w:after="0"/>
              <w:rPr>
                <w:sz w:val="15"/>
                <w:szCs w:val="15"/>
                <w:color w:val="auto"/>
              </w:rPr>
            </w:pPr>
          </w:p>
        </w:tc>
        <w:tc>
          <w:tcPr>
            <w:tcW w:w="5240" w:type="dxa"/>
            <w:vAlign w:val="bottom"/>
            <w:tcBorders>
              <w:top w:val="single" w:sz="8" w:color="0000FF"/>
            </w:tcBorders>
            <w:gridSpan w:val="21"/>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and Mark Griffin</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183"/>
        </w:trPr>
        <w:tc>
          <w:tcPr>
            <w:tcW w:w="600" w:type="dxa"/>
            <w:vAlign w:val="bottom"/>
            <w:gridSpan w:val="6"/>
          </w:tcPr>
          <w:p>
            <w:pPr>
              <w:jc w:val="center"/>
              <w:ind w:left="159"/>
              <w:spacing w:after="0" w:line="155" w:lineRule="exact"/>
              <w:rPr>
                <w:rFonts w:ascii="Times New Roman" w:cs="Times New Roman" w:eastAsia="Times New Roman" w:hAnsi="Times New Roman"/>
                <w:sz w:val="16"/>
                <w:szCs w:val="16"/>
                <w:color w:val="0000FF"/>
                <w:w w:val="99"/>
              </w:rPr>
            </w:pPr>
            <w:hyperlink r:id="rId11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6260" w:type="dxa"/>
            <w:vAlign w:val="bottom"/>
            <w:gridSpan w:val="26"/>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4">
              <w:r>
                <w:rPr>
                  <w:rFonts w:ascii="Times New Roman" w:cs="Times New Roman" w:eastAsia="Times New Roman" w:hAnsi="Times New Roman"/>
                  <w:sz w:val="16"/>
                  <w:szCs w:val="16"/>
                  <w:color w:val="0000FF"/>
                </w:rPr>
                <w:t>Second Amended Employment Agreement, dated as of November 12, 2012,</w:t>
              </w:r>
            </w:hyperlink>
          </w:p>
        </w:tc>
        <w:tc>
          <w:tcPr>
            <w:tcW w:w="11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November 14, 2012</w:t>
            </w: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r>
      <w:tr>
        <w:trPr>
          <w:trHeight w:val="175"/>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920" w:type="dxa"/>
            <w:vAlign w:val="bottom"/>
            <w:tcBorders>
              <w:top w:val="single" w:sz="8" w:color="0000FF"/>
            </w:tcBorders>
            <w:gridSpan w:val="17"/>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between the Company and John B. Wood</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48"/>
        </w:trPr>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83"/>
        </w:trPr>
        <w:tc>
          <w:tcPr>
            <w:tcW w:w="600" w:type="dxa"/>
            <w:vAlign w:val="bottom"/>
            <w:gridSpan w:val="6"/>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6260" w:type="dxa"/>
            <w:vAlign w:val="bottom"/>
            <w:gridSpan w:val="26"/>
            <w:shd w:val="clear" w:color="auto" w:fill="CCEEFF"/>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5">
              <w:r>
                <w:rPr>
                  <w:rFonts w:ascii="Times New Roman" w:cs="Times New Roman" w:eastAsia="Times New Roman" w:hAnsi="Times New Roman"/>
                  <w:sz w:val="16"/>
                  <w:szCs w:val="16"/>
                  <w:color w:val="0000FF"/>
                </w:rPr>
                <w:t>Executive Employment Agreement between Mark Bendza and the Company, dated</w:t>
              </w:r>
            </w:hyperlink>
          </w:p>
        </w:tc>
        <w:tc>
          <w:tcPr>
            <w:tcW w:w="1140" w:type="dxa"/>
            <w:vAlign w:val="bottom"/>
            <w:shd w:val="clear" w:color="auto" w:fill="CCEEFF"/>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9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August 16, 2021</w:t>
            </w: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r>
      <w:tr>
        <w:trPr>
          <w:trHeight w:val="176"/>
        </w:trPr>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right w:val="single" w:sz="8" w:color="CCEEFF"/>
            </w:tcBorders>
            <w:shd w:val="clear" w:color="auto" w:fill="CCEEFF"/>
          </w:tcPr>
          <w:p>
            <w:pPr>
              <w:spacing w:after="0"/>
              <w:rPr>
                <w:sz w:val="15"/>
                <w:szCs w:val="15"/>
                <w:color w:val="auto"/>
              </w:rPr>
            </w:pPr>
          </w:p>
        </w:tc>
        <w:tc>
          <w:tcPr>
            <w:tcW w:w="5360" w:type="dxa"/>
            <w:vAlign w:val="bottom"/>
            <w:tcBorders>
              <w:top w:val="single" w:sz="8" w:color="0000FF"/>
            </w:tcBorders>
            <w:gridSpan w:val="24"/>
            <w:shd w:val="clear" w:color="auto" w:fill="CCEEFF"/>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as of July 19, 2021</w:t>
              </w:r>
            </w:hyperlink>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183"/>
        </w:trPr>
        <w:tc>
          <w:tcPr>
            <w:tcW w:w="600" w:type="dxa"/>
            <w:vAlign w:val="bottom"/>
            <w:gridSpan w:val="6"/>
          </w:tcPr>
          <w:p>
            <w:pPr>
              <w:jc w:val="center"/>
              <w:ind w:left="159"/>
              <w:spacing w:after="0" w:line="155" w:lineRule="exact"/>
              <w:rPr>
                <w:rFonts w:ascii="Times New Roman" w:cs="Times New Roman" w:eastAsia="Times New Roman" w:hAnsi="Times New Roman"/>
                <w:sz w:val="16"/>
                <w:szCs w:val="16"/>
                <w:color w:val="0000FF"/>
                <w:w w:val="99"/>
              </w:rPr>
            </w:pPr>
            <w:hyperlink r:id="rId11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6260" w:type="dxa"/>
            <w:vAlign w:val="bottom"/>
            <w:gridSpan w:val="26"/>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6">
              <w:r>
                <w:rPr>
                  <w:rFonts w:ascii="Times New Roman" w:cs="Times New Roman" w:eastAsia="Times New Roman" w:hAnsi="Times New Roman"/>
                  <w:sz w:val="16"/>
                  <w:szCs w:val="16"/>
                  <w:color w:val="0000FF"/>
                </w:rPr>
                <w:t>Executive Employment Agreement between E. Hutchinson Robbins, Jr. and the</w:t>
              </w:r>
            </w:hyperlink>
          </w:p>
        </w:tc>
        <w:tc>
          <w:tcPr>
            <w:tcW w:w="11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March 16, 2023</w:t>
            </w: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10.5</w:t>
            </w:r>
          </w:p>
        </w:tc>
      </w:tr>
      <w:tr>
        <w:trPr>
          <w:trHeight w:val="175"/>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140" w:type="dxa"/>
            <w:vAlign w:val="bottom"/>
            <w:tcBorders>
              <w:top w:val="single" w:sz="8" w:color="0000FF"/>
            </w:tcBorders>
            <w:gridSpan w:val="19"/>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Company, dated as of February 1, 2022</w:t>
              </w:r>
            </w:hyperlink>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20" w:type="dxa"/>
            <w:vAlign w:val="bottom"/>
            <w:gridSpan w:val="3"/>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48"/>
        </w:trPr>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95"/>
        </w:trPr>
        <w:tc>
          <w:tcPr>
            <w:tcW w:w="600" w:type="dxa"/>
            <w:vAlign w:val="bottom"/>
            <w:gridSpan w:val="6"/>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6</w:t>
              </w:r>
            </w:hyperlink>
          </w:p>
        </w:tc>
        <w:tc>
          <w:tcPr>
            <w:tcW w:w="6260" w:type="dxa"/>
            <w:vAlign w:val="bottom"/>
            <w:gridSpan w:val="26"/>
            <w:shd w:val="clear" w:color="auto" w:fill="CCEEFF"/>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7">
              <w:r>
                <w:rPr>
                  <w:rFonts w:ascii="Times New Roman" w:cs="Times New Roman" w:eastAsia="Times New Roman" w:hAnsi="Times New Roman"/>
                  <w:sz w:val="16"/>
                  <w:szCs w:val="16"/>
                  <w:color w:val="0000FF"/>
                </w:rPr>
                <w:t>Annual Incentive Plan for 2022</w:t>
              </w:r>
            </w:hyperlink>
          </w:p>
        </w:tc>
        <w:tc>
          <w:tcPr>
            <w:tcW w:w="1140" w:type="dxa"/>
            <w:vAlign w:val="bottom"/>
            <w:shd w:val="clear" w:color="auto" w:fill="CCEEFF"/>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9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February 28, 2022</w:t>
            </w: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99.1</w:t>
            </w:r>
          </w:p>
        </w:tc>
      </w:tr>
      <w:tr>
        <w:trPr>
          <w:trHeight w:val="28"/>
        </w:trPr>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r>
      <w:tr>
        <w:trPr>
          <w:trHeight w:val="203"/>
        </w:trPr>
        <w:tc>
          <w:tcPr>
            <w:tcW w:w="600" w:type="dxa"/>
            <w:vAlign w:val="bottom"/>
            <w:gridSpan w:val="6"/>
          </w:tcPr>
          <w:p>
            <w:pPr>
              <w:jc w:val="center"/>
              <w:ind w:left="159"/>
              <w:spacing w:after="0"/>
              <w:rPr>
                <w:rFonts w:ascii="Times New Roman" w:cs="Times New Roman" w:eastAsia="Times New Roman" w:hAnsi="Times New Roman"/>
                <w:sz w:val="16"/>
                <w:szCs w:val="16"/>
                <w:color w:val="0000FF"/>
                <w:w w:val="99"/>
              </w:rPr>
            </w:pPr>
            <w:hyperlink r:id="rId11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7</w:t>
              </w:r>
            </w:hyperlink>
          </w:p>
        </w:tc>
        <w:tc>
          <w:tcPr>
            <w:tcW w:w="6260" w:type="dxa"/>
            <w:vAlign w:val="bottom"/>
            <w:gridSpan w:val="26"/>
          </w:tcPr>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8">
              <w:r>
                <w:rPr>
                  <w:rFonts w:ascii="Times New Roman" w:cs="Times New Roman" w:eastAsia="Times New Roman" w:hAnsi="Times New Roman"/>
                  <w:sz w:val="16"/>
                  <w:szCs w:val="16"/>
                  <w:color w:val="0000FF"/>
                </w:rPr>
                <w:t>Annual Incentive Plan, as amended</w:t>
              </w:r>
            </w:hyperlink>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8-K</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 2023</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600" w:type="dxa"/>
            <w:vAlign w:val="bottom"/>
            <w:gridSpan w:val="6"/>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8</w:t>
              </w:r>
            </w:hyperlink>
          </w:p>
        </w:tc>
        <w:tc>
          <w:tcPr>
            <w:tcW w:w="6260" w:type="dxa"/>
            <w:vAlign w:val="bottom"/>
            <w:gridSpan w:val="26"/>
            <w:shd w:val="clear" w:color="auto" w:fill="CCEEFF"/>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9">
              <w:r>
                <w:rPr>
                  <w:rFonts w:ascii="Times New Roman" w:cs="Times New Roman" w:eastAsia="Times New Roman" w:hAnsi="Times New Roman"/>
                  <w:sz w:val="16"/>
                  <w:szCs w:val="16"/>
                  <w:color w:val="0000FF"/>
                </w:rPr>
                <w:t>Telos Corporation 2016 Omnibus Long-Term Incentive Plan</w:t>
              </w:r>
            </w:hyperlink>
          </w:p>
        </w:tc>
        <w:tc>
          <w:tcPr>
            <w:tcW w:w="1140" w:type="dxa"/>
            <w:vAlign w:val="bottom"/>
            <w:shd w:val="clear" w:color="auto" w:fill="CCEEFF"/>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9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August 15, 2016</w:t>
            </w: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10.3</w:t>
            </w:r>
          </w:p>
        </w:tc>
      </w:tr>
      <w:tr>
        <w:trPr>
          <w:trHeight w:val="28"/>
        </w:trPr>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r>
      <w:tr>
        <w:trPr>
          <w:trHeight w:val="195"/>
        </w:trPr>
        <w:tc>
          <w:tcPr>
            <w:tcW w:w="600" w:type="dxa"/>
            <w:vAlign w:val="bottom"/>
            <w:gridSpan w:val="6"/>
          </w:tcPr>
          <w:p>
            <w:pPr>
              <w:jc w:val="center"/>
              <w:ind w:left="159"/>
              <w:spacing w:after="0" w:line="155" w:lineRule="exact"/>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9</w:t>
              </w:r>
            </w:hyperlink>
          </w:p>
        </w:tc>
        <w:tc>
          <w:tcPr>
            <w:tcW w:w="6260" w:type="dxa"/>
            <w:vAlign w:val="bottom"/>
            <w:gridSpan w:val="26"/>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0">
              <w:r>
                <w:rPr>
                  <w:rFonts w:ascii="Times New Roman" w:cs="Times New Roman" w:eastAsia="Times New Roman" w:hAnsi="Times New Roman"/>
                  <w:sz w:val="16"/>
                  <w:szCs w:val="16"/>
                  <w:color w:val="0000FF"/>
                </w:rPr>
                <w:t>Amendment No. 1 to the 2016 Omnibus Long-Term Incentive Plan</w:t>
              </w:r>
            </w:hyperlink>
          </w:p>
        </w:tc>
        <w:tc>
          <w:tcPr>
            <w:tcW w:w="11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rPr>
              <w:t>S-8</w:t>
            </w:r>
          </w:p>
        </w:tc>
        <w:tc>
          <w:tcPr>
            <w:tcW w:w="1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January 25, 2021</w:t>
            </w: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4.4</w:t>
            </w:r>
          </w:p>
        </w:tc>
      </w:tr>
      <w:tr>
        <w:trPr>
          <w:trHeight w:val="28"/>
        </w:trPr>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600" w:type="dxa"/>
            <w:vAlign w:val="bottom"/>
            <w:gridSpan w:val="6"/>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10</w:t>
              </w:r>
            </w:hyperlink>
          </w:p>
        </w:tc>
        <w:tc>
          <w:tcPr>
            <w:tcW w:w="6260" w:type="dxa"/>
            <w:vAlign w:val="bottom"/>
            <w:gridSpan w:val="26"/>
            <w:shd w:val="clear" w:color="auto" w:fill="CCEEFF"/>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1">
              <w:r>
                <w:rPr>
                  <w:rFonts w:ascii="Times New Roman" w:cs="Times New Roman" w:eastAsia="Times New Roman" w:hAnsi="Times New Roman"/>
                  <w:sz w:val="16"/>
                  <w:szCs w:val="16"/>
                  <w:color w:val="0000FF"/>
                </w:rPr>
                <w:t>Amendment No. 2 to the Telos Corporation 2016 Omnibus Long-Term Incentive</w:t>
              </w:r>
            </w:hyperlink>
          </w:p>
        </w:tc>
        <w:tc>
          <w:tcPr>
            <w:tcW w:w="1140" w:type="dxa"/>
            <w:vAlign w:val="bottom"/>
            <w:shd w:val="clear" w:color="auto" w:fill="CCEEFF"/>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rPr>
              <w:t>DEF 14A</w:t>
            </w:r>
          </w:p>
        </w:tc>
        <w:tc>
          <w:tcPr>
            <w:tcW w:w="19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March 28, 2023</w:t>
            </w:r>
          </w:p>
        </w:tc>
        <w:tc>
          <w:tcPr>
            <w:tcW w:w="1180" w:type="dxa"/>
            <w:vAlign w:val="bottom"/>
            <w:shd w:val="clear" w:color="auto" w:fill="CCEEFF"/>
          </w:tcPr>
          <w:p>
            <w:pPr>
              <w:ind w:left="500"/>
              <w:spacing w:after="0" w:line="155" w:lineRule="exact"/>
              <w:rPr>
                <w:sz w:val="20"/>
                <w:szCs w:val="20"/>
                <w:color w:val="auto"/>
              </w:rPr>
            </w:pPr>
            <w:r>
              <w:rPr>
                <w:rFonts w:ascii="Times New Roman" w:cs="Times New Roman" w:eastAsia="Times New Roman" w:hAnsi="Times New Roman"/>
                <w:sz w:val="16"/>
                <w:szCs w:val="16"/>
                <w:color w:val="auto"/>
              </w:rPr>
              <w:t>A</w:t>
            </w:r>
          </w:p>
        </w:tc>
      </w:tr>
      <w:tr>
        <w:trPr>
          <w:trHeight w:val="175"/>
        </w:trPr>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80" w:type="dxa"/>
            <w:vAlign w:val="bottom"/>
            <w:tcBorders>
              <w:top w:val="single" w:sz="8" w:color="CCEEFF"/>
              <w:right w:val="single" w:sz="8" w:color="CCEEFF"/>
            </w:tcBorders>
            <w:shd w:val="clear" w:color="auto" w:fill="CCEEFF"/>
          </w:tcPr>
          <w:p>
            <w:pPr>
              <w:spacing w:after="0"/>
              <w:rPr>
                <w:sz w:val="15"/>
                <w:szCs w:val="15"/>
                <w:color w:val="auto"/>
              </w:rPr>
            </w:pPr>
          </w:p>
        </w:tc>
        <w:tc>
          <w:tcPr>
            <w:tcW w:w="5220" w:type="dxa"/>
            <w:vAlign w:val="bottom"/>
            <w:tcBorders>
              <w:top w:val="single" w:sz="8" w:color="0000FF"/>
            </w:tcBorders>
            <w:gridSpan w:val="20"/>
            <w:shd w:val="clear" w:color="auto" w:fill="CCEEFF"/>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Plan</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320" w:type="dxa"/>
            <w:vAlign w:val="bottom"/>
            <w:tcBorders>
              <w:top w:val="single" w:sz="8" w:color="CCEEFF"/>
            </w:tcBorders>
            <w:gridSpan w:val="3"/>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196"/>
        </w:trPr>
        <w:tc>
          <w:tcPr>
            <w:tcW w:w="600" w:type="dxa"/>
            <w:vAlign w:val="bottom"/>
            <w:gridSpan w:val="6"/>
          </w:tcPr>
          <w:p>
            <w:pPr>
              <w:jc w:val="center"/>
              <w:ind w:left="159"/>
              <w:spacing w:after="0" w:line="155" w:lineRule="exact"/>
              <w:rPr>
                <w:rFonts w:ascii="Times New Roman" w:cs="Times New Roman" w:eastAsia="Times New Roman" w:hAnsi="Times New Roman"/>
                <w:sz w:val="16"/>
                <w:szCs w:val="16"/>
                <w:color w:val="0000FF"/>
                <w:w w:val="99"/>
              </w:rPr>
            </w:pPr>
            <w:hyperlink r:id="rId12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w:t>
              </w:r>
            </w:hyperlink>
          </w:p>
        </w:tc>
        <w:tc>
          <w:tcPr>
            <w:tcW w:w="6260" w:type="dxa"/>
            <w:vAlign w:val="bottom"/>
            <w:gridSpan w:val="26"/>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2">
              <w:r>
                <w:rPr>
                  <w:rFonts w:ascii="Times New Roman" w:cs="Times New Roman" w:eastAsia="Times New Roman" w:hAnsi="Times New Roman"/>
                  <w:sz w:val="16"/>
                  <w:szCs w:val="16"/>
                  <w:color w:val="0000FF"/>
                </w:rPr>
                <w:t>Notice of Grant of Restricted Stock</w:t>
              </w:r>
            </w:hyperlink>
          </w:p>
        </w:tc>
        <w:tc>
          <w:tcPr>
            <w:tcW w:w="11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August 15, 2016</w:t>
            </w: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10.4</w:t>
            </w:r>
          </w:p>
        </w:tc>
      </w:tr>
      <w:tr>
        <w:trPr>
          <w:trHeight w:val="28"/>
        </w:trPr>
        <w:tc>
          <w:tcPr>
            <w:tcW w:w="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600" w:type="dxa"/>
            <w:vAlign w:val="bottom"/>
            <w:gridSpan w:val="6"/>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12</w:t>
              </w:r>
            </w:hyperlink>
          </w:p>
        </w:tc>
        <w:tc>
          <w:tcPr>
            <w:tcW w:w="6260" w:type="dxa"/>
            <w:vAlign w:val="bottom"/>
            <w:gridSpan w:val="26"/>
            <w:shd w:val="clear" w:color="auto" w:fill="CCEEFF"/>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3">
              <w:r>
                <w:rPr>
                  <w:rFonts w:ascii="Times New Roman" w:cs="Times New Roman" w:eastAsia="Times New Roman" w:hAnsi="Times New Roman"/>
                  <w:sz w:val="16"/>
                  <w:szCs w:val="16"/>
                  <w:color w:val="0000FF"/>
                </w:rPr>
                <w:t>Form of Restricted Share Unit Award Notice and Restricted Share or Restricted</w:t>
              </w:r>
            </w:hyperlink>
          </w:p>
        </w:tc>
        <w:tc>
          <w:tcPr>
            <w:tcW w:w="1140" w:type="dxa"/>
            <w:vAlign w:val="bottom"/>
            <w:shd w:val="clear" w:color="auto" w:fill="CCEEFF"/>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9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February 3, 2021</w:t>
            </w: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99.1</w:t>
            </w:r>
          </w:p>
        </w:tc>
      </w:tr>
      <w:tr>
        <w:trPr>
          <w:trHeight w:val="175"/>
        </w:trPr>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80" w:type="dxa"/>
            <w:vAlign w:val="bottom"/>
            <w:tcBorders>
              <w:top w:val="single" w:sz="8" w:color="CCEEFF"/>
              <w:right w:val="single" w:sz="8" w:color="CCEEFF"/>
            </w:tcBorders>
            <w:shd w:val="clear" w:color="auto" w:fill="CCEEFF"/>
          </w:tcPr>
          <w:p>
            <w:pPr>
              <w:spacing w:after="0"/>
              <w:rPr>
                <w:sz w:val="15"/>
                <w:szCs w:val="15"/>
                <w:color w:val="auto"/>
              </w:rPr>
            </w:pPr>
          </w:p>
        </w:tc>
        <w:tc>
          <w:tcPr>
            <w:tcW w:w="5120" w:type="dxa"/>
            <w:vAlign w:val="bottom"/>
            <w:tcBorders>
              <w:top w:val="single" w:sz="8" w:color="0000FF"/>
            </w:tcBorders>
            <w:gridSpan w:val="18"/>
            <w:shd w:val="clear" w:color="auto" w:fill="CCEEFF"/>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Share Unit Agreement (Time-Based)</w:t>
              </w:r>
            </w:hyperlink>
          </w:p>
        </w:tc>
        <w:tc>
          <w:tcPr>
            <w:tcW w:w="140" w:type="dxa"/>
            <w:vAlign w:val="bottom"/>
            <w:tcBorders>
              <w:top w:val="single" w:sz="8" w:color="CCEEFF"/>
            </w:tcBorders>
            <w:gridSpan w:val="4"/>
            <w:shd w:val="clear" w:color="auto" w:fill="CCEEFF"/>
          </w:tcPr>
          <w:p>
            <w:pPr>
              <w:spacing w:after="0"/>
              <w:rPr>
                <w:sz w:val="15"/>
                <w:szCs w:val="15"/>
                <w:color w:val="auto"/>
              </w:rPr>
            </w:pPr>
          </w:p>
        </w:tc>
        <w:tc>
          <w:tcPr>
            <w:tcW w:w="320" w:type="dxa"/>
            <w:vAlign w:val="bottom"/>
            <w:tcBorders>
              <w:top w:val="single" w:sz="8" w:color="CCEEFF"/>
            </w:tcBorders>
            <w:gridSpan w:val="3"/>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183"/>
        </w:trPr>
        <w:tc>
          <w:tcPr>
            <w:tcW w:w="600" w:type="dxa"/>
            <w:vAlign w:val="bottom"/>
            <w:gridSpan w:val="6"/>
          </w:tcPr>
          <w:p>
            <w:pPr>
              <w:jc w:val="center"/>
              <w:ind w:left="159"/>
              <w:spacing w:after="0" w:line="155" w:lineRule="exact"/>
              <w:rPr>
                <w:rFonts w:ascii="Times New Roman" w:cs="Times New Roman" w:eastAsia="Times New Roman" w:hAnsi="Times New Roman"/>
                <w:sz w:val="16"/>
                <w:szCs w:val="16"/>
                <w:color w:val="0000FF"/>
                <w:w w:val="99"/>
              </w:rPr>
            </w:pPr>
            <w:hyperlink r:id="rId12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13</w:t>
              </w:r>
            </w:hyperlink>
          </w:p>
        </w:tc>
        <w:tc>
          <w:tcPr>
            <w:tcW w:w="6260" w:type="dxa"/>
            <w:vAlign w:val="bottom"/>
            <w:gridSpan w:val="26"/>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4">
              <w:r>
                <w:rPr>
                  <w:rFonts w:ascii="Times New Roman" w:cs="Times New Roman" w:eastAsia="Times New Roman" w:hAnsi="Times New Roman"/>
                  <w:sz w:val="16"/>
                  <w:szCs w:val="16"/>
                  <w:color w:val="0000FF"/>
                </w:rPr>
                <w:t>Form of Restricted Share Unit Award Notice and Restricted Share or Restricted</w:t>
              </w:r>
            </w:hyperlink>
          </w:p>
        </w:tc>
        <w:tc>
          <w:tcPr>
            <w:tcW w:w="11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February 3, 2021</w:t>
            </w: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99.2</w:t>
            </w:r>
          </w:p>
        </w:tc>
      </w:tr>
      <w:tr>
        <w:trPr>
          <w:trHeight w:val="175"/>
        </w:trPr>
        <w:tc>
          <w:tcPr>
            <w:tcW w:w="2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5120" w:type="dxa"/>
            <w:vAlign w:val="bottom"/>
            <w:tcBorders>
              <w:top w:val="single" w:sz="8" w:color="0000FF"/>
            </w:tcBorders>
            <w:gridSpan w:val="18"/>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Share Unit Agreement (Performance-Based)</w:t>
              </w:r>
            </w:hyperlink>
          </w:p>
        </w:tc>
        <w:tc>
          <w:tcPr>
            <w:tcW w:w="140" w:type="dxa"/>
            <w:vAlign w:val="bottom"/>
            <w:gridSpan w:val="4"/>
          </w:tcPr>
          <w:p>
            <w:pPr>
              <w:spacing w:after="0"/>
              <w:rPr>
                <w:sz w:val="15"/>
                <w:szCs w:val="15"/>
                <w:color w:val="auto"/>
              </w:rPr>
            </w:pPr>
          </w:p>
        </w:tc>
        <w:tc>
          <w:tcPr>
            <w:tcW w:w="320" w:type="dxa"/>
            <w:vAlign w:val="bottom"/>
            <w:gridSpan w:val="3"/>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48"/>
        </w:trPr>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95"/>
        </w:trPr>
        <w:tc>
          <w:tcPr>
            <w:tcW w:w="600" w:type="dxa"/>
            <w:vAlign w:val="bottom"/>
            <w:gridSpan w:val="6"/>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14</w:t>
              </w:r>
            </w:hyperlink>
          </w:p>
        </w:tc>
        <w:tc>
          <w:tcPr>
            <w:tcW w:w="6260" w:type="dxa"/>
            <w:vAlign w:val="bottom"/>
            <w:gridSpan w:val="26"/>
            <w:shd w:val="clear" w:color="auto" w:fill="CCEEFF"/>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5">
              <w:r>
                <w:rPr>
                  <w:rFonts w:ascii="Times New Roman" w:cs="Times New Roman" w:eastAsia="Times New Roman" w:hAnsi="Times New Roman"/>
                  <w:sz w:val="16"/>
                  <w:szCs w:val="16"/>
                  <w:color w:val="0000FF"/>
                </w:rPr>
                <w:t>Form of Telos Corporation Notice of Grant of Option</w:t>
              </w:r>
            </w:hyperlink>
          </w:p>
        </w:tc>
        <w:tc>
          <w:tcPr>
            <w:tcW w:w="1140" w:type="dxa"/>
            <w:vAlign w:val="bottom"/>
            <w:shd w:val="clear" w:color="auto" w:fill="CCEEFF"/>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9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August 9, 2023</w:t>
            </w: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r>
      <w:tr>
        <w:trPr>
          <w:trHeight w:val="28"/>
        </w:trPr>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r>
      <w:tr>
        <w:trPr>
          <w:trHeight w:val="183"/>
        </w:trPr>
        <w:tc>
          <w:tcPr>
            <w:tcW w:w="600" w:type="dxa"/>
            <w:vAlign w:val="bottom"/>
            <w:gridSpan w:val="6"/>
          </w:tcPr>
          <w:p>
            <w:pPr>
              <w:jc w:val="center"/>
              <w:ind w:left="159"/>
              <w:spacing w:after="0" w:line="155" w:lineRule="exact"/>
              <w:rPr>
                <w:rFonts w:ascii="Times New Roman" w:cs="Times New Roman" w:eastAsia="Times New Roman" w:hAnsi="Times New Roman"/>
                <w:sz w:val="16"/>
                <w:szCs w:val="16"/>
                <w:color w:val="0000FF"/>
                <w:w w:val="99"/>
              </w:rPr>
            </w:pPr>
            <w:hyperlink r:id="rId12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15</w:t>
              </w:r>
            </w:hyperlink>
          </w:p>
        </w:tc>
        <w:tc>
          <w:tcPr>
            <w:tcW w:w="6260" w:type="dxa"/>
            <w:vAlign w:val="bottom"/>
            <w:gridSpan w:val="26"/>
          </w:tcPr>
          <w:p>
            <w:pPr>
              <w:ind w:left="38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6">
              <w:r>
                <w:rPr>
                  <w:rFonts w:ascii="Times New Roman" w:cs="Times New Roman" w:eastAsia="Times New Roman" w:hAnsi="Times New Roman"/>
                  <w:sz w:val="16"/>
                  <w:szCs w:val="16"/>
                  <w:color w:val="0000FF"/>
                </w:rPr>
                <w:t>Form of Telos Corporation Notice of Grant of Restricted Shares and/or Restricted</w:t>
              </w:r>
            </w:hyperlink>
          </w:p>
        </w:tc>
        <w:tc>
          <w:tcPr>
            <w:tcW w:w="11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August 9, 2023</w:t>
            </w: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w:t>
            </w:r>
          </w:p>
        </w:tc>
      </w:tr>
      <w:tr>
        <w:trPr>
          <w:trHeight w:val="175"/>
        </w:trPr>
        <w:tc>
          <w:tcPr>
            <w:tcW w:w="2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5260" w:type="dxa"/>
            <w:vAlign w:val="bottom"/>
            <w:tcBorders>
              <w:top w:val="single" w:sz="8" w:color="0000FF"/>
            </w:tcBorders>
            <w:gridSpan w:val="22"/>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Share Units (Time-based)</w:t>
              </w:r>
            </w:hyperlink>
          </w:p>
        </w:tc>
        <w:tc>
          <w:tcPr>
            <w:tcW w:w="320" w:type="dxa"/>
            <w:vAlign w:val="bottom"/>
            <w:gridSpan w:val="3"/>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160"/>
          </w:cols>
          <w:pgMar w:left="320" w:top="119" w:right="419" w:bottom="1440" w:gutter="0" w:footer="0" w:header="0"/>
          <w:type w:val="continuous"/>
        </w:sectPr>
      </w:pPr>
    </w:p>
    <w:tbl>
      <w:tblPr>
        <w:tblLayout w:type="fixed"/>
        <w:tblInd w:w="240" w:type="dxa"/>
        <w:tblCellMar>
          <w:top w:w="0" w:type="dxa"/>
          <w:left w:w="0" w:type="dxa"/>
          <w:bottom w:w="0" w:type="dxa"/>
          <w:right w:w="0" w:type="dxa"/>
        </w:tblCellMar>
      </w:tblPr>
      <w:tr>
        <w:trPr>
          <w:trHeight w:val="211"/>
        </w:trPr>
        <w:tc>
          <w:tcPr>
            <w:tcW w:w="360" w:type="dxa"/>
            <w:vAlign w:val="bottom"/>
          </w:tcPr>
          <w:p>
            <w:pPr>
              <w:jc w:val="right"/>
              <w:spacing w:after="0"/>
              <w:rPr>
                <w:rFonts w:ascii="Times New Roman" w:cs="Times New Roman" w:eastAsia="Times New Roman" w:hAnsi="Times New Roman"/>
                <w:sz w:val="16"/>
                <w:szCs w:val="16"/>
                <w:color w:val="0000FF"/>
                <w:w w:val="94"/>
              </w:rPr>
            </w:pPr>
            <w:hyperlink r:id="rId127">
              <w:r>
                <w:rPr>
                  <w:rFonts w:ascii="Times New Roman" w:cs="Times New Roman" w:eastAsia="Times New Roman" w:hAnsi="Times New Roman"/>
                  <w:sz w:val="16"/>
                  <w:szCs w:val="16"/>
                  <w:color w:val="0000FF"/>
                  <w:w w:val="94"/>
                </w:rPr>
                <w:t>10.</w:t>
              </w:r>
              <w:r>
                <w:rPr>
                  <w:rFonts w:ascii="Times New Roman" w:cs="Times New Roman" w:eastAsia="Times New Roman" w:hAnsi="Times New Roman"/>
                  <w:sz w:val="16"/>
                  <w:szCs w:val="16"/>
                  <w:u w:val="single" w:color="auto"/>
                  <w:color w:val="0000FF"/>
                  <w:w w:val="94"/>
                </w:rPr>
                <w:t>16</w:t>
              </w:r>
            </w:hyperlink>
          </w:p>
        </w:tc>
        <w:tc>
          <w:tcPr>
            <w:tcW w:w="660" w:type="dxa"/>
            <w:vAlign w:val="bottom"/>
          </w:tcPr>
          <w:p>
            <w:pPr>
              <w:spacing w:after="0"/>
              <w:rPr>
                <w:sz w:val="18"/>
                <w:szCs w:val="18"/>
                <w:color w:val="auto"/>
              </w:rPr>
            </w:pPr>
          </w:p>
        </w:tc>
        <w:tc>
          <w:tcPr>
            <w:tcW w:w="5320" w:type="dxa"/>
            <w:vAlign w:val="bottom"/>
            <w:gridSpan w:val="6"/>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Credit Agreement between, among others, Telos Corporation and JP Morgan</w:t>
              </w:r>
            </w:hyperlink>
          </w:p>
        </w:tc>
      </w:tr>
      <w:tr>
        <w:trPr>
          <w:trHeight w:val="175"/>
        </w:trPr>
        <w:tc>
          <w:tcPr>
            <w:tcW w:w="360" w:type="dxa"/>
            <w:vAlign w:val="bottom"/>
            <w:tcBorders>
              <w:top w:val="single" w:sz="8" w:color="0000FF"/>
            </w:tcBorders>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60" w:type="dxa"/>
            <w:vAlign w:val="bottom"/>
            <w:tcBorders>
              <w:top w:val="single" w:sz="8" w:color="0000FF"/>
              <w:bottom w:val="single" w:sz="8" w:color="0000FF"/>
            </w:tcBorders>
          </w:tcPr>
          <w:p>
            <w:pPr>
              <w:spacing w:after="0" w:line="175" w:lineRule="exact"/>
              <w:rPr>
                <w:rFonts w:ascii="Times New Roman" w:cs="Times New Roman" w:eastAsia="Times New Roman" w:hAnsi="Times New Roman"/>
                <w:sz w:val="16"/>
                <w:szCs w:val="16"/>
                <w:color w:val="0000FF"/>
                <w:w w:val="96"/>
              </w:rPr>
            </w:pPr>
            <w:hyperlink r:id="rId127">
              <w:r>
                <w:rPr>
                  <w:rFonts w:ascii="Times New Roman" w:cs="Times New Roman" w:eastAsia="Times New Roman" w:hAnsi="Times New Roman"/>
                  <w:sz w:val="16"/>
                  <w:szCs w:val="16"/>
                  <w:color w:val="0000FF"/>
                  <w:w w:val="96"/>
                </w:rPr>
                <w:t>Chase Bank</w:t>
              </w:r>
            </w:hyperlink>
          </w:p>
        </w:tc>
        <w:tc>
          <w:tcPr>
            <w:tcW w:w="4180" w:type="dxa"/>
            <w:vAlign w:val="bottom"/>
            <w:tcBorders>
              <w:top w:val="single" w:sz="8" w:color="0000FF"/>
            </w:tcBorders>
            <w:gridSpan w:val="2"/>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60" w:type="dxa"/>
            <w:vAlign w:val="bottom"/>
          </w:tcPr>
          <w:p>
            <w:pPr>
              <w:jc w:val="right"/>
              <w:spacing w:after="0"/>
              <w:rPr>
                <w:rFonts w:ascii="Times New Roman" w:cs="Times New Roman" w:eastAsia="Times New Roman" w:hAnsi="Times New Roman"/>
                <w:sz w:val="16"/>
                <w:szCs w:val="16"/>
                <w:color w:val="0000FF"/>
                <w:w w:val="94"/>
              </w:rPr>
            </w:pPr>
            <w:hyperlink r:id="rId128">
              <w:r>
                <w:rPr>
                  <w:rFonts w:ascii="Times New Roman" w:cs="Times New Roman" w:eastAsia="Times New Roman" w:hAnsi="Times New Roman"/>
                  <w:sz w:val="16"/>
                  <w:szCs w:val="16"/>
                  <w:color w:val="0000FF"/>
                  <w:w w:val="94"/>
                </w:rPr>
                <w:t>10.</w:t>
              </w:r>
              <w:r>
                <w:rPr>
                  <w:rFonts w:ascii="Times New Roman" w:cs="Times New Roman" w:eastAsia="Times New Roman" w:hAnsi="Times New Roman"/>
                  <w:sz w:val="16"/>
                  <w:szCs w:val="16"/>
                  <w:u w:val="single" w:color="auto"/>
                  <w:color w:val="0000FF"/>
                  <w:w w:val="94"/>
                </w:rPr>
                <w:t>17</w:t>
              </w:r>
            </w:hyperlink>
          </w:p>
        </w:tc>
        <w:tc>
          <w:tcPr>
            <w:tcW w:w="660" w:type="dxa"/>
            <w:vAlign w:val="bottom"/>
          </w:tcPr>
          <w:p>
            <w:pPr>
              <w:spacing w:after="0"/>
              <w:rPr>
                <w:sz w:val="20"/>
                <w:szCs w:val="20"/>
                <w:color w:val="auto"/>
              </w:rPr>
            </w:pPr>
          </w:p>
        </w:tc>
        <w:tc>
          <w:tcPr>
            <w:tcW w:w="5320" w:type="dxa"/>
            <w:vAlign w:val="bottom"/>
            <w:gridSpan w:val="6"/>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First Amendment to Credit Agreement between, among others, Telos Corporation</w:t>
              </w:r>
            </w:hyperlink>
          </w:p>
        </w:tc>
      </w:tr>
      <w:tr>
        <w:trPr>
          <w:trHeight w:val="176"/>
        </w:trPr>
        <w:tc>
          <w:tcPr>
            <w:tcW w:w="360" w:type="dxa"/>
            <w:vAlign w:val="bottom"/>
            <w:tcBorders>
              <w:top w:val="single" w:sz="8" w:color="0000FF"/>
            </w:tcBorders>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200" w:type="dxa"/>
            <w:vAlign w:val="bottom"/>
            <w:tcBorders>
              <w:top w:val="single" w:sz="8" w:color="0000FF"/>
              <w:bottom w:val="single" w:sz="8" w:color="0000FF"/>
            </w:tcBorders>
            <w:gridSpan w:val="2"/>
          </w:tcPr>
          <w:p>
            <w:pPr>
              <w:spacing w:after="0" w:line="175"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and JP Morgan Chase Bank, dated April 12, 2023</w:t>
              </w:r>
            </w:hyperlink>
          </w:p>
        </w:tc>
        <w:tc>
          <w:tcPr>
            <w:tcW w:w="208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080885" cy="282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080885"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0808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6"/>
              </w:rPr>
              <w:t>8-K</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5,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445"/>
        </w:trPr>
        <w:tc>
          <w:tcPr>
            <w:tcW w:w="78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7"/>
              </w:rPr>
              <w:t>10-Q</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10,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bl>
    <w:p>
      <w:pPr>
        <w:spacing w:after="0" w:line="200" w:lineRule="exact"/>
        <w:rPr>
          <w:sz w:val="20"/>
          <w:szCs w:val="20"/>
          <w:color w:val="auto"/>
        </w:rPr>
      </w:pPr>
    </w:p>
    <w:p>
      <w:pPr>
        <w:sectPr>
          <w:pgSz w:w="11900" w:h="16838" w:orient="portrait"/>
          <w:cols w:equalWidth="0" w:num="2">
            <w:col w:w="6560" w:space="660"/>
            <w:col w:w="3940"/>
          </w:cols>
          <w:pgMar w:left="320" w:top="119" w:right="419" w:bottom="1440" w:gutter="0" w:footer="0" w:header="0"/>
          <w:type w:val="continuous"/>
        </w:sectPr>
      </w:pPr>
    </w:p>
    <w:p>
      <w:pPr>
        <w:spacing w:after="0" w:line="143" w:lineRule="exact"/>
        <w:rPr>
          <w:sz w:val="20"/>
          <w:szCs w:val="20"/>
          <w:color w:val="auto"/>
        </w:rPr>
      </w:pPr>
    </w:p>
    <w:p>
      <w:pPr>
        <w:ind w:left="920" w:hanging="548"/>
        <w:spacing w:after="0"/>
        <w:tabs>
          <w:tab w:leader="none" w:pos="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ectPr>
          <w:pgSz w:w="11900" w:h="16838" w:orient="portrait"/>
          <w:cols w:equalWidth="0" w:num="1">
            <w:col w:w="11160"/>
          </w:cols>
          <w:pgMar w:left="320" w:top="119" w:right="41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0" w:type="dxa"/>
            <w:vAlign w:val="bottom"/>
          </w:tcPr>
          <w:p>
            <w:pPr>
              <w:spacing w:after="0"/>
              <w:rPr>
                <w:sz w:val="1"/>
                <w:szCs w:val="1"/>
                <w:color w:val="auto"/>
              </w:rPr>
            </w:pPr>
          </w:p>
        </w:tc>
      </w:tr>
      <w:tr>
        <w:trPr>
          <w:trHeight w:val="148"/>
        </w:trPr>
        <w:tc>
          <w:tcPr>
            <w:tcW w:w="82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6"/>
                <w:szCs w:val="16"/>
                <w:color w:val="auto"/>
              </w:rPr>
              <w:t>Exhibit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20" w:type="dxa"/>
            <w:vAlign w:val="bottom"/>
            <w:gridSpan w:val="9"/>
            <w:vMerge w:val="restart"/>
          </w:tcPr>
          <w:p>
            <w:pPr>
              <w:ind w:left="780"/>
              <w:spacing w:after="0"/>
              <w:rPr>
                <w:sz w:val="20"/>
                <w:szCs w:val="20"/>
                <w:color w:val="auto"/>
              </w:rPr>
            </w:pPr>
            <w:r>
              <w:rPr>
                <w:rFonts w:ascii="Times New Roman" w:cs="Times New Roman" w:eastAsia="Times New Roman" w:hAnsi="Times New Roman"/>
                <w:sz w:val="16"/>
                <w:szCs w:val="16"/>
                <w:color w:val="auto"/>
              </w:rPr>
              <w:t>Description of Exhibit</w:t>
            </w: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Form/ Schedule</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Date Filed</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Exhibit Number</w:t>
            </w:r>
          </w:p>
        </w:tc>
        <w:tc>
          <w:tcPr>
            <w:tcW w:w="0" w:type="dxa"/>
            <w:vAlign w:val="bottom"/>
          </w:tcPr>
          <w:p>
            <w:pPr>
              <w:spacing w:after="0"/>
              <w:rPr>
                <w:sz w:val="1"/>
                <w:szCs w:val="1"/>
                <w:color w:val="auto"/>
              </w:rPr>
            </w:pPr>
          </w:p>
        </w:tc>
      </w:tr>
      <w:tr>
        <w:trPr>
          <w:trHeight w:val="21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9"/>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20" w:type="dxa"/>
            <w:vAlign w:val="bottom"/>
            <w:tcBorders>
              <w:top w:val="single" w:sz="8" w:color="auto"/>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420" w:type="dxa"/>
            <w:vAlign w:val="bottom"/>
            <w:tcBorders>
              <w:top w:val="single" w:sz="8" w:color="CCEEFF"/>
            </w:tcBorders>
            <w:shd w:val="clear" w:color="auto" w:fill="CCEEFF"/>
          </w:tcPr>
          <w:p>
            <w:pPr>
              <w:ind w:left="160"/>
              <w:spacing w:after="0" w:line="152" w:lineRule="exact"/>
              <w:rPr>
                <w:sz w:val="20"/>
                <w:szCs w:val="20"/>
                <w:color w:val="auto"/>
              </w:rPr>
            </w:pPr>
            <w:r>
              <w:rPr>
                <w:rFonts w:ascii="Times New Roman" w:cs="Times New Roman" w:eastAsia="Times New Roman" w:hAnsi="Times New Roman"/>
                <w:sz w:val="16"/>
                <w:szCs w:val="16"/>
                <w:color w:val="auto"/>
              </w:rPr>
              <w:t>+</w:t>
            </w:r>
          </w:p>
        </w:tc>
        <w:tc>
          <w:tcPr>
            <w:tcW w:w="5460" w:type="dxa"/>
            <w:vAlign w:val="bottom"/>
            <w:tcBorders>
              <w:top w:val="single" w:sz="8" w:color="auto"/>
            </w:tcBorders>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0000FF"/>
              </w:rPr>
              <w:t>List of subsidiaries of Telos Corporation</w:t>
            </w: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5960" w:type="dxa"/>
            <w:vAlign w:val="bottom"/>
            <w:gridSpan w:val="13"/>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Consent of PricewaterhouseCoopers LLP, Independent Registered Public</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top w:val="single" w:sz="8" w:color="0000FF"/>
            </w:tcBorders>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Accounting Firm</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5960" w:type="dxa"/>
            <w:vAlign w:val="bottom"/>
            <w:gridSpan w:val="13"/>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Executive Officer pursuant to Section 302 of the Sarbanes-</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60" w:type="dxa"/>
            <w:vAlign w:val="bottom"/>
            <w:tcBorders>
              <w:top w:val="single" w:sz="8" w:color="0000FF"/>
            </w:tcBorders>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Oxley Act of 2002</w:t>
            </w:r>
          </w:p>
        </w:tc>
        <w:tc>
          <w:tcPr>
            <w:tcW w:w="260" w:type="dxa"/>
            <w:vAlign w:val="bottom"/>
            <w:tcBorders>
              <w:top w:val="single" w:sz="8" w:color="CCEEFF"/>
            </w:tcBorders>
            <w:gridSpan w:val="2"/>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5960" w:type="dxa"/>
            <w:vAlign w:val="bottom"/>
            <w:gridSpan w:val="13"/>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Financial Officer pursuant to Section 302 of the Sarbanes-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Oxley Act of 2002</w:t>
            </w:r>
          </w:p>
        </w:tc>
        <w:tc>
          <w:tcPr>
            <w:tcW w:w="320" w:type="dxa"/>
            <w:vAlign w:val="bottom"/>
            <w:gridSpan w:val="3"/>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5960" w:type="dxa"/>
            <w:vAlign w:val="bottom"/>
            <w:gridSpan w:val="13"/>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Executive Officer and Chief Financial Officer pursuant to</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180" w:type="dxa"/>
            <w:vAlign w:val="bottom"/>
            <w:tcBorders>
              <w:top w:val="single" w:sz="8" w:color="0000FF"/>
            </w:tcBorders>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340" w:type="dxa"/>
            <w:vAlign w:val="bottom"/>
            <w:tcBorders>
              <w:top w:val="single" w:sz="8" w:color="CCEEFF"/>
            </w:tcBorders>
            <w:gridSpan w:val="4"/>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97.</w:t>
            </w:r>
            <w:r>
              <w:rPr>
                <w:rFonts w:ascii="Times New Roman" w:cs="Times New Roman" w:eastAsia="Times New Roman" w:hAnsi="Times New Roman"/>
                <w:sz w:val="16"/>
                <w:szCs w:val="16"/>
                <w:u w:val="single" w:color="auto"/>
                <w:color w:val="0000FF"/>
                <w:w w:val="99"/>
              </w:rPr>
              <w:t>1</w:t>
            </w:r>
          </w:p>
        </w:tc>
        <w:tc>
          <w:tcPr>
            <w:tcW w:w="5960" w:type="dxa"/>
            <w:vAlign w:val="bottom"/>
            <w:gridSpan w:val="13"/>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Policy Relating to Recovery of Erroneously Awarded Compensation</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Instance Document - the instance document does not appear in the</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5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5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document</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Schema</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Taxonomy Extension Calculation Linkbase</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Definition Linkbase</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Taxonomy Extension Label Linkbase</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Presentation Linkbase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260" w:right="4940" w:hanging="969"/>
        <w:spacing w:after="0" w:line="280"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080885" cy="283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08088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0808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26" w:lineRule="exact"/>
        <w:rPr>
          <w:sz w:val="20"/>
          <w:szCs w:val="20"/>
          <w:color w:val="auto"/>
        </w:rPr>
      </w:pPr>
    </w:p>
    <w:p>
      <w:pPr>
        <w:ind w:left="920" w:hanging="548"/>
        <w:spacing w:after="0"/>
        <w:tabs>
          <w:tab w:leader="none" w:pos="9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8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Telos Corporation has duly caused this report to be signed on its behalf by the undersigned, thereunto duly authorized.</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 John B. Wood</w:t>
            </w:r>
          </w:p>
        </w:tc>
        <w:tc>
          <w:tcPr>
            <w:tcW w:w="38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March 15, 2024</w:t>
            </w:r>
          </w:p>
        </w:tc>
      </w:tr>
      <w:tr>
        <w:trPr>
          <w:trHeight w:val="207"/>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6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John B. Wood</w:t>
            </w:r>
          </w:p>
        </w:tc>
        <w:tc>
          <w:tcPr>
            <w:tcW w:w="80" w:type="dxa"/>
            <w:vAlign w:val="bottom"/>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Executive Officer and Chairman of the Board</w:t>
            </w:r>
          </w:p>
        </w:tc>
        <w:tc>
          <w:tcPr>
            <w:tcW w:w="38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3820" w:type="dxa"/>
            <w:vAlign w:val="bottom"/>
          </w:tcPr>
          <w:p>
            <w:pPr>
              <w:spacing w:after="0"/>
              <w:rPr>
                <w:sz w:val="18"/>
                <w:szCs w:val="18"/>
                <w:color w:val="auto"/>
              </w:rPr>
            </w:pPr>
          </w:p>
        </w:tc>
      </w:tr>
    </w:tbl>
    <w:p>
      <w:pPr>
        <w:spacing w:after="0" w:line="2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Telos Corporation and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6120" w:type="dxa"/>
            <w:vAlign w:val="bottom"/>
            <w:gridSpan w:val="2"/>
          </w:tcPr>
          <w:p>
            <w:pPr>
              <w:ind w:left="28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49"/>
        </w:trPr>
        <w:tc>
          <w:tcPr>
            <w:tcW w:w="35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B. Wood</w:t>
            </w:r>
          </w:p>
        </w:tc>
        <w:tc>
          <w:tcPr>
            <w:tcW w:w="80" w:type="dxa"/>
            <w:vAlign w:val="bottom"/>
          </w:tcPr>
          <w:p>
            <w:pPr>
              <w:spacing w:after="0"/>
              <w:rPr>
                <w:sz w:val="24"/>
                <w:szCs w:val="24"/>
                <w:color w:val="auto"/>
              </w:rPr>
            </w:pPr>
          </w:p>
        </w:tc>
        <w:tc>
          <w:tcPr>
            <w:tcW w:w="6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162"/>
        </w:trPr>
        <w:tc>
          <w:tcPr>
            <w:tcW w:w="35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John B. Wood</w:t>
            </w:r>
          </w:p>
        </w:tc>
        <w:tc>
          <w:tcPr>
            <w:tcW w:w="80" w:type="dxa"/>
            <w:vAlign w:val="bottom"/>
          </w:tcPr>
          <w:p>
            <w:pPr>
              <w:spacing w:after="0"/>
              <w:rPr>
                <w:sz w:val="14"/>
                <w:szCs w:val="14"/>
                <w:color w:val="auto"/>
              </w:rPr>
            </w:pPr>
          </w:p>
        </w:tc>
        <w:tc>
          <w:tcPr>
            <w:tcW w:w="61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Chief Executive Officer (Principal Executive Officer)</w:t>
            </w:r>
          </w:p>
        </w:tc>
        <w:tc>
          <w:tcPr>
            <w:tcW w:w="1360" w:type="dxa"/>
            <w:vAlign w:val="bottom"/>
          </w:tcPr>
          <w:p>
            <w:pPr>
              <w:spacing w:after="0"/>
              <w:rPr>
                <w:sz w:val="14"/>
                <w:szCs w:val="14"/>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1360" w:type="dxa"/>
            <w:vAlign w:val="bottom"/>
          </w:tcPr>
          <w:p>
            <w:pPr>
              <w:spacing w:after="0"/>
              <w:rPr>
                <w:sz w:val="18"/>
                <w:szCs w:val="18"/>
                <w:color w:val="auto"/>
              </w:rPr>
            </w:pPr>
          </w:p>
        </w:tc>
      </w:tr>
      <w:tr>
        <w:trPr>
          <w:trHeight w:val="364"/>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Mark Bendza</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 Bendza</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Victoria Harding</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Victoria Harding</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Controller and Chief Accounting Officer (Principal Accounting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David Borland</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David Borland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Bonnie Carroll</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Bonnie Carroll</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Fredrick D. Schaufeld</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Fredrick D. Schaufeld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W. Maluda</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John W. Maluda, Major Gen., USAF (Ret)</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Brad Jacobs</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Brad Jacobs</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Derrick D. Dockery</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15, 2024</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Derrick D. Dockery</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9" w:right="339" w:bottom="1440" w:gutter="0" w:footer="0" w:header="0"/>
        </w:sectPr>
      </w:pPr>
    </w:p>
    <w:bookmarkStart w:id="77" w:name="page78"/>
    <w:bookmarkEnd w:id="77"/>
    <w:p>
      <w:pPr>
        <w:ind w:left="1030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Active Subsidiaries of the Company as of December 31, 2023</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State/Country of Incorporation</w:t>
      </w:r>
    </w:p>
    <w:p>
      <w:pPr>
        <w:spacing w:after="0" w:line="200"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ubIQiquity.com, inc.</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Xacta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Teloworks,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Telos Identity Management Solutions, LLC (DBA Telos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6"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Teloworks Philippines,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Philippines</w:t>
      </w:r>
    </w:p>
    <w:p>
      <w:pPr>
        <w:spacing w:after="0" w:line="57" w:lineRule="exact"/>
        <w:rPr>
          <w:sz w:val="20"/>
          <w:szCs w:val="20"/>
          <w:color w:val="auto"/>
        </w:rPr>
      </w:pPr>
    </w:p>
    <w:p>
      <w:pPr>
        <w:sectPr>
          <w:pgSz w:w="11900" w:h="16838" w:orient="portrait"/>
          <w:cols w:equalWidth="0" w:num="2">
            <w:col w:w="7480" w:space="720"/>
            <w:col w:w="3020"/>
          </w:cols>
          <w:pgMar w:left="34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Telos APAC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Singapore</w:t>
      </w:r>
    </w:p>
    <w:p>
      <w:pPr>
        <w:sectPr>
          <w:pgSz w:w="11900" w:h="16838" w:orient="portrait"/>
          <w:cols w:equalWidth="0" w:num="2">
            <w:col w:w="7480" w:space="720"/>
            <w:col w:w="3020"/>
          </w:cols>
          <w:pgMar w:left="340" w:top="887" w:right="339" w:bottom="1440" w:gutter="0" w:footer="0" w:header="0"/>
          <w:type w:val="continuous"/>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 333-252400) of Telos Corporation of our report dated March 15, 2024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87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 Wood, certify that:</w:t>
      </w:r>
    </w:p>
    <w:p>
      <w:pPr>
        <w:spacing w:after="0" w:line="17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00" w:right="180" w:hanging="244"/>
        <w:spacing w:after="0" w:line="266" w:lineRule="auto"/>
        <w:tabs>
          <w:tab w:leader="none" w:pos="8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00" w:right="40" w:hanging="244"/>
        <w:spacing w:after="0" w:line="282" w:lineRule="auto"/>
        <w:tabs>
          <w:tab w:leader="none" w:pos="8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240"/>
          </w:cols>
          <w:pgMar w:left="320" w:top="87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71" w:lineRule="exact"/>
        <w:rPr>
          <w:sz w:val="20"/>
          <w:szCs w:val="20"/>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328" w:right="120" w:hanging="328"/>
        <w:spacing w:after="0" w:line="266"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28" w:right="440" w:hanging="328"/>
        <w:spacing w:after="0" w:line="312" w:lineRule="auto"/>
        <w:tabs>
          <w:tab w:leader="none" w:pos="3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328" w:right="120" w:hanging="328"/>
        <w:spacing w:after="0" w:line="266"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left="328" w:right="380" w:hanging="328"/>
        <w:spacing w:after="0" w:line="266" w:lineRule="auto"/>
        <w:tabs>
          <w:tab w:leader="none" w:pos="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328" w:right="60" w:hanging="328"/>
        <w:spacing w:after="0" w:line="266" w:lineRule="auto"/>
        <w:tabs>
          <w:tab w:leader="none" w:pos="3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328" w:right="860" w:hanging="328"/>
        <w:spacing w:after="0" w:line="312" w:lineRule="auto"/>
        <w:tabs>
          <w:tab w:leader="none" w:pos="31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328" w:right="100" w:hanging="328"/>
        <w:spacing w:after="0" w:line="266" w:lineRule="auto"/>
        <w:tabs>
          <w:tab w:leader="none" w:pos="3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328" w:right="100" w:hanging="328"/>
        <w:spacing w:after="0" w:line="282"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328" w:right="280" w:hanging="328"/>
        <w:spacing w:after="0" w:line="282"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185"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17145</wp:posOffset>
            </wp:positionV>
            <wp:extent cx="41148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0908"/>
          </w:cols>
          <w:pgMar w:left="652" w:top="87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Telos Corporation (the "Company") on Form 10-K for the year ended December 31, 2023, as filed with the Securities and Exchange Commission on the date hereof (the "Report"), we, John B. Wood and Mark Bendza, certify, pursuant to 18 U.S.C. § 1350, as adopted pursuant to § 906 of the Sarbanes-Oxley Act of 2002, that to the best of our knowledge:</w:t>
      </w:r>
    </w:p>
    <w:p>
      <w:pPr>
        <w:spacing w:after="0" w:line="122"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34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1240"/>
          </w:cols>
          <w:pgMar w:left="320" w:top="76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808355</wp:posOffset>
            </wp:positionV>
            <wp:extent cx="1276985" cy="368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12769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Clawback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16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Telos Corporation, a Maryland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which provides for the recoupment of certain executive compensation in the event of an accounting restatement resulting from material noncompliance with financial reporting requirements under the federal securities laws. This Policy is designed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17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Covered Executives</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Company’s and its subsidiaries’ current and former executive officers, as determined by the Board in accordance with Section 10D of the Exchange Act and the listing standards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such other senior executives who may from time to time be deemed subject to the Policy by the Board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Recoupment; Accounting Restatement</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applicable securities laws, the Board will require reimbursement or forfeiture of any excess Incentive Compensation (defined below) received by any Covered Executive during the three (3) completed fiscal years immediately preceding the date on which the Company is required to prepare an accounting restatement. Recoupment of Incentive Compensation pursuant to this Policy is made on a “no fault” basis, without regard to whether any misconduct occurred or any Covered Executive’s responsibility for the noncompliance that resulted in the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2022</w:t>
      </w:r>
    </w:p>
    <w:p>
      <w:pPr>
        <w:spacing w:after="0"/>
        <w:rPr>
          <w:sz w:val="20"/>
          <w:szCs w:val="20"/>
          <w:color w:val="auto"/>
        </w:rPr>
      </w:pPr>
      <w:r>
        <w:rPr>
          <w:rFonts w:ascii="Times New Roman" w:cs="Times New Roman" w:eastAsia="Times New Roman" w:hAnsi="Times New Roman"/>
          <w:sz w:val="18"/>
          <w:szCs w:val="18"/>
          <w:color w:val="auto"/>
        </w:rPr>
        <w:t>Page 1of 4</w:t>
      </w:r>
    </w:p>
    <w:p>
      <w:pPr>
        <w:sectPr>
          <w:pgSz w:w="11900" w:h="16838" w:orient="portrait"/>
          <w:cols w:equalWidth="0" w:num="1">
            <w:col w:w="11240"/>
          </w:cols>
          <w:pgMar w:left="320" w:top="117" w:right="339" w:bottom="1440" w:gutter="0" w:footer="0" w:header="0"/>
        </w:sectPr>
      </w:pPr>
    </w:p>
    <w:bookmarkStart w:id="83" w:name="page84"/>
    <w:bookmarkEnd w:id="8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Incentive Compensation</w:t>
      </w:r>
    </w:p>
    <w:p>
      <w:pPr>
        <w:spacing w:after="0" w:line="16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means any of the following; provided that such compensation is granted, earned, or vested based wholly or in part on the attainment of a financial reporting measure:</w:t>
      </w:r>
    </w:p>
    <w:p>
      <w:pPr>
        <w:spacing w:after="0" w:line="10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 and</w:t>
      </w:r>
    </w:p>
    <w:p>
      <w:pPr>
        <w:spacing w:after="0" w:line="171" w:lineRule="exact"/>
        <w:rPr>
          <w:rFonts w:ascii="Times New Roman" w:cs="Times New Roman" w:eastAsia="Times New Roman" w:hAnsi="Times New Roman"/>
          <w:sz w:val="18"/>
          <w:szCs w:val="18"/>
          <w:color w:val="auto"/>
        </w:rPr>
      </w:pPr>
    </w:p>
    <w:p>
      <w:pPr>
        <w:ind w:right="3480" w:firstLine="332"/>
        <w:spacing w:after="0" w:line="438"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of equity or equity-like compensation provided by the Company and its subsidiaries. For purposes of this Policy, “financial reporting measures” include:</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margins and growth rates;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Excess Incentive Compensation: Amount Subject to Recovery</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4</w:t>
      </w:r>
    </w:p>
    <w:p>
      <w:pPr>
        <w:sectPr>
          <w:pgSz w:w="11900" w:h="16838" w:orient="portrait"/>
          <w:cols w:equalWidth="0" w:num="1">
            <w:col w:w="11220"/>
          </w:cols>
          <w:pgMar w:left="320" w:top="1440" w:right="359" w:bottom="1440" w:gutter="0" w:footer="0" w:header="0"/>
        </w:sectPr>
      </w:pPr>
    </w:p>
    <w:bookmarkStart w:id="84" w:name="page85"/>
    <w:bookmarkEnd w:id="8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Method of Recoupment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will determine, in its sole discretion, the method for recouping Incentive Compensation hereunder which may include, without limitation:</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 and/or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w:t>
      </w:r>
    </w:p>
    <w:p>
      <w:pPr>
        <w:spacing w:after="0" w:line="171"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In addition, the Board may, in its sole discretion, determine whether and to what extent additional action is appropriate to address the circumstances surrounding the noncompliance so as to minimize the likelihood of any recurrence and to impose such other discipline as it deems appropriate.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Indemnification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incorrectly awarded Incentive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Interpretation</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any national securities exchange on which the Company's securities are listed.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Effective Date</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approved, awarded or granted to Covered Executives on or after that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Termination</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final regulations adopted by the SEC under Section 10D of the Exchange Act and to comply with any rules or standards adopted by a national securities exchange on which the Company’s securities are listed. The Board may terminate this Policy at any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Recoupment Rights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4</w:t>
      </w:r>
    </w:p>
    <w:p>
      <w:pPr>
        <w:sectPr>
          <w:pgSz w:w="11900" w:h="16838" w:orient="portrait"/>
          <w:cols w:equalWidth="0" w:num="1">
            <w:col w:w="11180"/>
          </w:cols>
          <w:pgMar w:left="320" w:top="1440" w:right="399" w:bottom="1440" w:gutter="0" w:footer="0" w:header="0"/>
        </w:sectPr>
      </w:pPr>
    </w:p>
    <w:bookmarkStart w:id="85" w:name="page86"/>
    <w:bookmarkEnd w:id="8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Impracticability</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shall recover any excess Incentive Compensation in accordance with this Policy unless such recovery would be impracticable, as determined by the Board in accordance with Rule 10D-1 of the Exchange Act and Nasdaq’s listing standards.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Successors</w:t>
      </w:r>
    </w:p>
    <w:p>
      <w:pPr>
        <w:spacing w:after="0" w:line="17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4</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
      <w:numFmt w:val="bullet"/>
      <w:start w:val="1"/>
    </w:lvl>
  </w:abstractNum>
  <w:abstractNum w:abstractNumId="5">
    <w:nsid w:val="B03E0C6"/>
    <w:multiLevelType w:val="hybridMultilevel"/>
    <w:lvl w:ilvl="0">
      <w:lvlJc w:val="left"/>
      <w:lvlText w:val="•"/>
      <w:numFmt w:val="bullet"/>
      <w:start w:val="1"/>
    </w:lvl>
    <w:lvl w:ilvl="1">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2"/>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lowerRoman"/>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04"/>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lvl w:ilvl="1">
      <w:lvlJc w:val="left"/>
      <w:lvlText w:val="%2)"/>
      <w:numFmt w:val="low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5"/>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0"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jpeg"/><Relationship Id="rId108" Type="http://schemas.openxmlformats.org/officeDocument/2006/relationships/hyperlink" Target="https://www.sec.gov/Archives/edgar/data/320121/000114036120025576/nt10015254x5_ex3-2.htm" TargetMode="External"/><Relationship Id="rId109" Type="http://schemas.openxmlformats.org/officeDocument/2006/relationships/hyperlink" Target="https://www.sec.gov/Archives/edgar/data/320121/000032012123000055/fourthamendedandrestatedby.htm" TargetMode="External"/><Relationship Id="rId111" Type="http://schemas.openxmlformats.org/officeDocument/2006/relationships/hyperlink" Target="https://www.sec.gov/Archives/edgar/data/320121/000032012122000064/ex_413descriptionofstock.htm" TargetMode="External"/><Relationship Id="rId112" Type="http://schemas.openxmlformats.org/officeDocument/2006/relationships/hyperlink" Target="https://www.sec.gov/Archives/edgar/data/0000320121/000032012121000018/ex10_1-1.htm" TargetMode="External"/><Relationship Id="rId113" Type="http://schemas.openxmlformats.org/officeDocument/2006/relationships/hyperlink" Target="https://www.sec.gov/Archives/edgar/data/320121/000114036113014720/ex10_23.htm" TargetMode="External"/><Relationship Id="rId114" Type="http://schemas.openxmlformats.org/officeDocument/2006/relationships/hyperlink" Target="https://www.sec.gov/Archives/edgar/data/320121/000114036112047304/ex10_1.htm" TargetMode="External"/><Relationship Id="rId115" Type="http://schemas.openxmlformats.org/officeDocument/2006/relationships/hyperlink" Target="https://www.sec.gov/Archives/edgar/data/0000320121/000032012121000039/executiveemploymentageemen.htm" TargetMode="External"/><Relationship Id="rId116" Type="http://schemas.openxmlformats.org/officeDocument/2006/relationships/hyperlink" Target="https://www.sec.gov/Archives/edgar/data/320121/000032012123000016/executiveemploymentagreeme.htm" TargetMode="External"/><Relationship Id="rId117" Type="http://schemas.openxmlformats.org/officeDocument/2006/relationships/hyperlink" Target="https://www.sec.gov/Archives/edgar/data/320121/000032012122000043/telos-annualincentiveplan.htm" TargetMode="External"/><Relationship Id="rId118" Type="http://schemas.openxmlformats.org/officeDocument/2006/relationships/hyperlink" Target="https://www.sec.gov/Archives/edgar/data/320121/000032012123000052/telos-annualincentiveplane.htm" TargetMode="External"/><Relationship Id="rId119" Type="http://schemas.openxmlformats.org/officeDocument/2006/relationships/hyperlink" Target="https://www.sec.gov/Archives/edgar/data/320121/000032012116000064/ex10_3.htm" TargetMode="External"/><Relationship Id="rId120" Type="http://schemas.openxmlformats.org/officeDocument/2006/relationships/hyperlink" Target="https://www.sec.gov/Archives/edgar/data/320121/000114036121002039/nt10019277x1_ex4-4.htm" TargetMode="External"/><Relationship Id="rId121" Type="http://schemas.openxmlformats.org/officeDocument/2006/relationships/hyperlink" Target="https://www.sec.gov/ix?doc=/Archives/edgar/data/320121/000114036123014240/ny20007316x1_def14a.htm" TargetMode="External"/><Relationship Id="rId122" Type="http://schemas.openxmlformats.org/officeDocument/2006/relationships/hyperlink" Target="https://www.sec.gov/Archives/edgar/data/320121/000032012116000064/ex10_4.htm" TargetMode="External"/><Relationship Id="rId123" Type="http://schemas.openxmlformats.org/officeDocument/2006/relationships/hyperlink" Target="https://www.sec.gov/Archives/edgar/data/320121/000032012121000003/ex99-1.htm" TargetMode="External"/><Relationship Id="rId124" Type="http://schemas.openxmlformats.org/officeDocument/2006/relationships/hyperlink" Target="https://www.sec.gov/Archives/edgar/data/320121/000032012121000003/ex99-2.htm" TargetMode="External"/><Relationship Id="rId125" Type="http://schemas.openxmlformats.org/officeDocument/2006/relationships/hyperlink" Target="https://www.sec.gov/Archives/edgar/data/320121/000032012123000046/formoftelosnoticeofgrantof.htm" TargetMode="External"/><Relationship Id="rId126" Type="http://schemas.openxmlformats.org/officeDocument/2006/relationships/hyperlink" Target="https://www.sec.gov/Archives/edgar/data/320121/000032012123000046/foroftelosnoticeofgrantofr.htm" TargetMode="External"/><Relationship Id="rId127" Type="http://schemas.openxmlformats.org/officeDocument/2006/relationships/hyperlink" Target="https://www.sec.gov/Archives/edgar/data/320121/000032012123000003/exh-telosjpmcreditagreemen.htm" TargetMode="External"/><Relationship Id="rId128" Type="http://schemas.openxmlformats.org/officeDocument/2006/relationships/hyperlink" Target="https://www.sec.gov/Archives/edgar/data/320121/000032012123000027/a1stamendmenttothecredit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2024-03-15T15:21:16Z</dcterms:created>
  <dcterms:modified xsi:type="dcterms:W3CDTF">2024-03-15T15:21:16Z</dcterms:modified>
</cp:coreProperties>
</file>