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efc2bee9687a460b9c9bf6cd56a32d25_7">
        <w:r>
          <w:rPr>
            <w:rStyle w:val="InternetLink"/>
            <w:rFonts w:ascii="Times New Roman;sans-serif" w:hAnsi="Times New Roman;sans-serif"/>
            <w:b w:val="false"/>
            <w:i/>
            <w:color w:val="000000"/>
            <w:sz w:val="20"/>
            <w:u w:val="single"/>
          </w:rPr>
          <w:t>Table of Contents</w:t>
        </w:r>
      </w:hyperlink>
    </w:p>
    <w:tbl>
      <w:tblPr>
        <w:tblW w:w="4274" w:type="dxa"/>
        <w:jc w:val="left"/>
        <w:tblInd w:w="0" w:type="dxa"/>
        <w:tblLayout w:type="fixed"/>
        <w:tblCellMar>
          <w:top w:w="28" w:type="dxa"/>
          <w:left w:w="28" w:type="dxa"/>
          <w:bottom w:w="28" w:type="dxa"/>
          <w:right w:w="28" w:type="dxa"/>
        </w:tblCellMar>
      </w:tblPr>
      <w:tblGrid>
        <w:gridCol w:w="1367"/>
        <w:gridCol w:w="1200"/>
        <w:gridCol w:w="1707"/>
      </w:tblGrid>
      <w:tr>
        <w:trPr/>
        <w:tc>
          <w:tcPr>
            <w:tcW w:w="1367"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7"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UNITED STATES</w:t>
            </w:r>
          </w:p>
        </w:tc>
      </w:tr>
      <w:tr>
        <w:trPr/>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SECURITIES AND EXCHANGE COMMISSION</w:t>
            </w:r>
          </w:p>
        </w:tc>
      </w:tr>
      <w:tr>
        <w:trPr/>
        <w:tc>
          <w:tcPr>
            <w:tcW w:w="427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WASHINGTON, D.C. 20549</w:t>
            </w:r>
          </w:p>
        </w:tc>
      </w:tr>
    </w:tbl>
    <w:p>
      <w:pPr>
        <w:pStyle w:val="TextBody"/>
        <w:bidi w:val="0"/>
        <w:spacing w:lineRule="auto" w:line="288" w:before="200" w:after="283"/>
        <w:jc w:val="center"/>
        <w:rPr>
          <w:rFonts w:ascii="Times New Roman;sans-serif" w:hAnsi="Times New Roman;sans-serif"/>
          <w:b/>
          <w:color w:val="000000"/>
          <w:sz w:val="36"/>
        </w:rPr>
      </w:pPr>
      <w:r>
        <w:rPr>
          <w:rFonts w:ascii="Times New Roman;sans-serif" w:hAnsi="Times New Roman;sans-serif"/>
          <w:b/>
          <w:color w:val="000000"/>
          <w:sz w:val="36"/>
        </w:rPr>
        <w:t>FORM 10-Q</w:t>
      </w:r>
    </w:p>
    <w:tbl>
      <w:tblPr>
        <w:tblW w:w="7631" w:type="dxa"/>
        <w:jc w:val="left"/>
        <w:tblInd w:w="0" w:type="dxa"/>
        <w:tblLayout w:type="fixed"/>
        <w:tblCellMar>
          <w:top w:w="28" w:type="dxa"/>
          <w:left w:w="28" w:type="dxa"/>
          <w:bottom w:w="28" w:type="dxa"/>
          <w:right w:w="28" w:type="dxa"/>
        </w:tblCellMar>
      </w:tblPr>
      <w:tblGrid>
        <w:gridCol w:w="124"/>
        <w:gridCol w:w="109"/>
        <w:gridCol w:w="109"/>
        <w:gridCol w:w="2131"/>
        <w:gridCol w:w="2131"/>
        <w:gridCol w:w="302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c>
          <w:tcPr>
            <w:tcW w:w="302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14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7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Quarterly Report Pursuant to Section 13 or 15(d) of the Securities Exchange Act of 1934</w:t>
            </w:r>
          </w:p>
        </w:tc>
      </w:tr>
    </w:tbl>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September 30, 2023</w:t>
      </w:r>
    </w:p>
    <w:tbl>
      <w:tblPr>
        <w:tblW w:w="7706" w:type="dxa"/>
        <w:jc w:val="left"/>
        <w:tblInd w:w="0" w:type="dxa"/>
        <w:tblLayout w:type="fixed"/>
        <w:tblCellMar>
          <w:top w:w="28" w:type="dxa"/>
          <w:left w:w="28" w:type="dxa"/>
          <w:bottom w:w="28" w:type="dxa"/>
          <w:right w:w="28" w:type="dxa"/>
        </w:tblCellMar>
      </w:tblPr>
      <w:tblGrid>
        <w:gridCol w:w="124"/>
        <w:gridCol w:w="109"/>
        <w:gridCol w:w="109"/>
        <w:gridCol w:w="2155"/>
        <w:gridCol w:w="2155"/>
        <w:gridCol w:w="30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5" w:type="dxa"/>
            <w:tcBorders/>
            <w:vAlign w:val="center"/>
          </w:tcPr>
          <w:p>
            <w:pPr>
              <w:pStyle w:val="TableContents"/>
              <w:bidi w:val="0"/>
              <w:spacing w:before="0" w:after="283"/>
              <w:jc w:val="left"/>
              <w:rPr>
                <w:sz w:val="4"/>
                <w:szCs w:val="4"/>
              </w:rPr>
            </w:pPr>
            <w:r>
              <w:rPr>
                <w:sz w:val="4"/>
                <w:szCs w:val="4"/>
              </w:rPr>
            </w:r>
          </w:p>
        </w:tc>
        <w:tc>
          <w:tcPr>
            <w:tcW w:w="2155" w:type="dxa"/>
            <w:tcBorders/>
            <w:vAlign w:val="center"/>
          </w:tcPr>
          <w:p>
            <w:pPr>
              <w:pStyle w:val="TableContents"/>
              <w:bidi w:val="0"/>
              <w:spacing w:before="0" w:after="283"/>
              <w:jc w:val="left"/>
              <w:rPr>
                <w:sz w:val="4"/>
                <w:szCs w:val="4"/>
              </w:rPr>
            </w:pPr>
            <w:r>
              <w:rPr>
                <w:sz w:val="4"/>
                <w:szCs w:val="4"/>
              </w:rPr>
            </w:r>
          </w:p>
        </w:tc>
        <w:tc>
          <w:tcPr>
            <w:tcW w:w="30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Transition Report Pursuant to Section 13 or 15(d) of the Securities Exchange Act of 1934</w:t>
            </w:r>
          </w:p>
        </w:tc>
      </w:tr>
    </w:tbl>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Commission file number: 001-08443</w:t>
      </w:r>
    </w:p>
    <w:p>
      <w:pPr>
        <w:pStyle w:val="TextBody"/>
        <w:bidi w:val="0"/>
        <w:spacing w:before="140" w:after="283"/>
        <w:jc w:val="center"/>
        <w:rPr/>
      </w:pPr>
      <w:r>
        <w:rPr/>
        <w:drawing>
          <wp:inline distT="0" distB="0" distL="0" distR="0">
            <wp:extent cx="3114675" cy="8953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114675" cy="895350"/>
                    </a:xfrm>
                    <a:prstGeom prst="rect">
                      <a:avLst/>
                    </a:prstGeom>
                  </pic:spPr>
                </pic:pic>
              </a:graphicData>
            </a:graphic>
          </wp:inline>
        </w:drawing>
      </w:r>
    </w:p>
    <w:p>
      <w:pPr>
        <w:pStyle w:val="TextBody"/>
        <w:bidi w:val="0"/>
        <w:spacing w:lineRule="auto" w:line="288" w:before="140" w:after="283"/>
        <w:jc w:val="center"/>
        <w:rPr>
          <w:rFonts w:ascii="Times New Roman;sans-serif" w:hAnsi="Times New Roman;sans-serif"/>
          <w:b/>
          <w:color w:val="000000"/>
          <w:sz w:val="24"/>
        </w:rPr>
      </w:pPr>
      <w:r>
        <w:rPr>
          <w:rFonts w:ascii="Times New Roman;sans-serif" w:hAnsi="Times New Roman;sans-serif"/>
          <w:b/>
          <w:color w:val="000000"/>
          <w:sz w:val="24"/>
        </w:rPr>
        <w:t>TELOS CORPORATION</w:t>
      </w:r>
    </w:p>
    <w:p>
      <w:pPr>
        <w:pStyle w:val="TextBody"/>
        <w:bidi w:val="0"/>
        <w:spacing w:lineRule="auto" w:line="288" w:before="1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8321" w:type="dxa"/>
        <w:jc w:val="left"/>
        <w:tblInd w:w="0" w:type="dxa"/>
        <w:tblLayout w:type="fixed"/>
        <w:tblCellMar>
          <w:top w:w="28" w:type="dxa"/>
          <w:left w:w="28" w:type="dxa"/>
          <w:bottom w:w="28" w:type="dxa"/>
          <w:right w:w="28" w:type="dxa"/>
        </w:tblCellMar>
      </w:tblPr>
      <w:tblGrid>
        <w:gridCol w:w="1795"/>
        <w:gridCol w:w="1581"/>
        <w:gridCol w:w="1589"/>
        <w:gridCol w:w="109"/>
        <w:gridCol w:w="109"/>
        <w:gridCol w:w="109"/>
        <w:gridCol w:w="884"/>
        <w:gridCol w:w="884"/>
        <w:gridCol w:w="1261"/>
      </w:tblGrid>
      <w:tr>
        <w:trPr/>
        <w:tc>
          <w:tcPr>
            <w:tcW w:w="1795"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Maryland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52-0880974</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19886 Ashburn Road, Ashburn, Virginia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20147-2358</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(703) 724-3800</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bidi w:val="0"/>
        <w:spacing w:lineRule="auto" w:line="288" w:before="1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8833" w:type="dxa"/>
        <w:jc w:val="left"/>
        <w:tblInd w:w="0" w:type="dxa"/>
        <w:tblLayout w:type="fixed"/>
        <w:tblCellMar>
          <w:top w:w="28" w:type="dxa"/>
          <w:left w:w="28" w:type="dxa"/>
          <w:bottom w:w="28" w:type="dxa"/>
          <w:right w:w="28" w:type="dxa"/>
        </w:tblCellMar>
      </w:tblPr>
      <w:tblGrid>
        <w:gridCol w:w="1352"/>
        <w:gridCol w:w="1184"/>
        <w:gridCol w:w="1198"/>
        <w:gridCol w:w="464"/>
        <w:gridCol w:w="464"/>
        <w:gridCol w:w="466"/>
        <w:gridCol w:w="1085"/>
        <w:gridCol w:w="1085"/>
        <w:gridCol w:w="1535"/>
      </w:tblGrid>
      <w:tr>
        <w:trPr/>
        <w:tc>
          <w:tcPr>
            <w:tcW w:w="1352"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 $0.001 par value per share</w:t>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TLS</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Nasdaq Stock Market LLC</w:t>
            </w:r>
          </w:p>
        </w:tc>
      </w:tr>
    </w:tbl>
    <w:p>
      <w:pPr>
        <w:pStyle w:val="TextBody"/>
        <w:bidi w:val="0"/>
        <w:spacing w:lineRule="auto" w:line="288" w:before="140" w:after="283"/>
        <w:jc w:val="left"/>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w:t>
      </w:r>
      <w:r>
        <w:rPr>
          <w:rFonts w:ascii="Times New Roman;sans-serif" w:hAnsi="Times New Roman;sans-serif"/>
          <w:b w:val="false"/>
          <w:color w:val="000000"/>
          <w:sz w:val="20"/>
        </w:rPr>
        <w:t>No </w:t>
      </w:r>
      <w:r>
        <w:rPr>
          <w:color w:val="000000"/>
        </w:rPr>
        <w:t>☐</w:t>
      </w:r>
    </w:p>
    <w:p>
      <w:pPr>
        <w:pStyle w:val="TextBody"/>
        <w:bidi w:val="0"/>
        <w:spacing w:lineRule="auto" w:line="288" w:before="140" w:after="283"/>
        <w:jc w:val="left"/>
        <w:rPr/>
      </w:pPr>
      <w:r>
        <w:rPr>
          <w:rFonts w:ascii="Times New Roman;sans-serif" w:hAnsi="Times New Roman;sans-serif"/>
          <w:b w:val="false"/>
          <w:color w:val="000000"/>
          <w:sz w:val="20"/>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 xml:space="preserve">No </w:t>
      </w:r>
      <w:r>
        <w:rPr>
          <w:color w:val="000000"/>
        </w:rPr>
        <w:t>☐</w:t>
      </w:r>
    </w:p>
    <w:p>
      <w:pPr>
        <w:pStyle w:val="TextBody"/>
        <w:bidi w:val="0"/>
        <w:spacing w:lineRule="auto" w:line="288" w:before="1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255"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24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24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24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240" w:after="283"/>
              <w:jc w:val="left"/>
              <w:rPr>
                <w:color w:val="000000"/>
              </w:rPr>
            </w:pPr>
            <w:r>
              <w:rPr>
                <w:color w:val="000000"/>
              </w:rPr>
              <w:t>☐</w:t>
            </w:r>
          </w:p>
        </w:tc>
      </w:tr>
    </w:tbl>
    <w:p>
      <w:pPr>
        <w:pStyle w:val="TextBody"/>
        <w:bidi w:val="0"/>
        <w:spacing w:lineRule="auto" w:line="288" w:before="140" w:after="283"/>
        <w:ind w:left="0" w:right="0" w:firstLine="720"/>
        <w:jc w:val="left"/>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40" w:after="283"/>
        <w:jc w:val="left"/>
        <w:rPr/>
      </w:pPr>
      <w:r>
        <w:rPr>
          <w:rFonts w:ascii="Times New Roman;sans-serif" w:hAnsi="Times New Roman;sans-serif"/>
          <w:b w:val="false"/>
          <w:color w:val="000000"/>
          <w:sz w:val="20"/>
        </w:rPr>
        <w:t>Indicate by check mark whether the registrant is a shell company (as defined in Rule 12b-2 of the Exchange Act):    Yes </w:t>
      </w:r>
      <w:r>
        <w:rPr>
          <w:color w:val="000000"/>
        </w:rPr>
        <w:t>☐    </w:t>
      </w:r>
      <w:r>
        <w:rPr>
          <w:rFonts w:ascii="Times New Roman;sans-serif" w:hAnsi="Times New Roman;sans-serif"/>
          <w:b w:val="false"/>
          <w:color w:val="000000"/>
          <w:sz w:val="20"/>
        </w:rPr>
        <w:t>No </w:t>
      </w:r>
      <w:r>
        <w:rPr>
          <w:rFonts w:ascii="Wingdings;sans-serif" w:hAnsi="Wingdings;sans-serif"/>
          <w:b w:val="false"/>
          <w:color w:val="000000"/>
          <w:sz w:val="20"/>
        </w:rPr>
        <w:t>x</w:t>
      </w:r>
    </w:p>
    <w:p>
      <w:pPr>
        <w:pStyle w:val="TextBody"/>
        <w:bidi w:val="0"/>
        <w:spacing w:lineRule="auto" w:line="288" w:before="140" w:after="283"/>
        <w:jc w:val="left"/>
        <w:rPr/>
      </w:pPr>
      <w:r>
        <w:rPr>
          <w:rFonts w:ascii="Times New Roman;sans-serif" w:hAnsi="Times New Roman;sans-serif"/>
          <w:b w:val="false"/>
          <w:color w:val="000000"/>
          <w:sz w:val="20"/>
        </w:rPr>
        <w:t>As of</w:t>
      </w:r>
      <w:r>
        <w:rPr>
          <w:color w:val="000000"/>
        </w:rPr>
        <w:t xml:space="preserve"> </w:t>
      </w:r>
      <w:r>
        <w:rPr>
          <w:rFonts w:ascii="Times New Roman;sans-serif" w:hAnsi="Times New Roman;sans-serif"/>
          <w:b w:val="false"/>
          <w:color w:val="000000"/>
          <w:sz w:val="20"/>
        </w:rPr>
        <w:t>November 3, 2023, the registrant had outstanding 69,623,209 shares of common stock</w:t>
      </w:r>
      <w:r>
        <w:rPr>
          <w:rFonts w:ascii="Times New Roman;sans-serif" w:hAnsi="Times New Roman;sans-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251460"/>
                <wp:effectExtent l="0" t="0" r="0" b="0"/>
                <wp:wrapNone/>
                <wp:docPr id="2" name="Frame1"/>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80"/>
                        <w:jc w:val="center"/>
                        <w:rPr/>
                      </w:pPr>
                      <w:r>
                        <w:rPr/>
                      </w:r>
                    </w:p>
                  </w:txbxContent>
                </v:textbox>
                <w10:wrap type="none"/>
              </v:rect>
            </w:pict>
          </mc:Fallback>
        </mc:AlternateContent>
      </w:r>
    </w:p>
    <w:p>
      <w:pPr>
        <w:pStyle w:val="TextBody"/>
        <w:bidi w:val="0"/>
        <w:spacing w:lineRule="auto" w:line="288" w:before="0" w:after="0"/>
        <w:jc w:val="left"/>
        <w:rPr/>
      </w:pPr>
      <w:hyperlink w:anchor="iefc2bee9687a460b9c9bf6cd56a32d25_7">
        <w:r>
          <w:rPr>
            <w:rStyle w:val="InternetLink"/>
            <w:rFonts w:ascii="Times New Roman;sans-serif" w:hAnsi="Times New Roman;sans-serif"/>
            <w:b w:val="false"/>
            <w:i/>
            <w:color w:val="000000"/>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Table of Contents to Third Quarter 2023 Form 10-Q</w:t>
      </w:r>
    </w:p>
    <w:tbl>
      <w:tblPr>
        <w:tblW w:w="8703" w:type="dxa"/>
        <w:jc w:val="left"/>
        <w:tblInd w:w="0" w:type="dxa"/>
        <w:tblLayout w:type="fixed"/>
        <w:tblCellMar>
          <w:top w:w="28" w:type="dxa"/>
          <w:left w:w="28" w:type="dxa"/>
          <w:bottom w:w="28" w:type="dxa"/>
          <w:right w:w="28" w:type="dxa"/>
        </w:tblCellMar>
      </w:tblPr>
      <w:tblGrid>
        <w:gridCol w:w="615"/>
        <w:gridCol w:w="541"/>
        <w:gridCol w:w="541"/>
        <w:gridCol w:w="2154"/>
        <w:gridCol w:w="2154"/>
        <w:gridCol w:w="2187"/>
        <w:gridCol w:w="149"/>
        <w:gridCol w:w="149"/>
        <w:gridCol w:w="213"/>
      </w:tblGrid>
      <w:tr>
        <w:trPr/>
        <w:tc>
          <w:tcPr>
            <w:tcW w:w="615"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54" w:type="dxa"/>
            <w:tcBorders/>
            <w:vAlign w:val="center"/>
          </w:tcPr>
          <w:p>
            <w:pPr>
              <w:pStyle w:val="TableContents"/>
              <w:bidi w:val="0"/>
              <w:spacing w:before="0" w:after="283"/>
              <w:jc w:val="left"/>
              <w:rPr>
                <w:sz w:val="4"/>
                <w:szCs w:val="4"/>
              </w:rPr>
            </w:pPr>
            <w:r>
              <w:rPr>
                <w:sz w:val="4"/>
                <w:szCs w:val="4"/>
              </w:rPr>
            </w:r>
          </w:p>
        </w:tc>
        <w:tc>
          <w:tcPr>
            <w:tcW w:w="2154" w:type="dxa"/>
            <w:tcBorders/>
            <w:vAlign w:val="center"/>
          </w:tcPr>
          <w:p>
            <w:pPr>
              <w:pStyle w:val="TableContents"/>
              <w:bidi w:val="0"/>
              <w:spacing w:before="0" w:after="283"/>
              <w:jc w:val="left"/>
              <w:rPr>
                <w:sz w:val="4"/>
                <w:szCs w:val="4"/>
              </w:rPr>
            </w:pPr>
            <w:r>
              <w:rPr>
                <w:sz w:val="4"/>
                <w:szCs w:val="4"/>
              </w:rPr>
            </w:r>
          </w:p>
        </w:tc>
        <w:tc>
          <w:tcPr>
            <w:tcW w:w="218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6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Page</w:t>
            </w:r>
          </w:p>
        </w:tc>
      </w:tr>
      <w:tr>
        <w:trPr/>
        <w:tc>
          <w:tcPr>
            <w:tcW w:w="8192"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fc2bee9687a460b9c9bf6cd56a32d25_10">
              <w:r>
                <w:rPr>
                  <w:rStyle w:val="InternetLink"/>
                  <w:rFonts w:ascii="Times New Roman;sans-serif" w:hAnsi="Times New Roman;sans-serif"/>
                  <w:b/>
                  <w:color w:val="0000FF"/>
                  <w:sz w:val="18"/>
                  <w:u w:val="single"/>
                </w:rPr>
                <w:t>PART I - FINANCIAL INFORMATION</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efc2bee9687a460b9c9bf6cd56a32d25_10">
              <w:r>
                <w:rPr>
                  <w:rStyle w:val="InternetLink"/>
                  <w:rFonts w:ascii="Times New Roman;sans-serif" w:hAnsi="Times New Roman;sans-serif"/>
                  <w:b w:val="false"/>
                  <w:color w:val="0000FF"/>
                  <w:sz w:val="18"/>
                  <w:u w:val="single"/>
                </w:rPr>
                <w:t>3</w:t>
              </w:r>
            </w:hyperlink>
          </w:p>
        </w:tc>
      </w:tr>
      <w:tr>
        <w:trPr/>
        <w:tc>
          <w:tcPr>
            <w:tcW w:w="16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fc2bee9687a460b9c9bf6cd56a32d25_13">
              <w:r>
                <w:rPr>
                  <w:rStyle w:val="InternetLink"/>
                  <w:rFonts w:ascii="Times New Roman;sans-serif" w:hAnsi="Times New Roman;sans-serif"/>
                  <w:b w:val="false"/>
                  <w:color w:val="0000FF"/>
                  <w:sz w:val="18"/>
                  <w:u w:val="single"/>
                </w:rPr>
                <w:t>Item 1.</w:t>
              </w:r>
            </w:hyperlink>
          </w:p>
        </w:tc>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fc2bee9687a460b9c9bf6cd56a32d25_13">
              <w:r>
                <w:rPr>
                  <w:rStyle w:val="InternetLink"/>
                  <w:rFonts w:ascii="Times New Roman;sans-serif" w:hAnsi="Times New Roman;sans-serif"/>
                  <w:b w:val="false"/>
                  <w:color w:val="0000FF"/>
                  <w:sz w:val="18"/>
                  <w:u w:val="single"/>
                </w:rPr>
                <w:t>Financial Statements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efc2bee9687a460b9c9bf6cd56a32d25_13">
              <w:r>
                <w:rPr>
                  <w:rStyle w:val="InternetLink"/>
                  <w:rFonts w:ascii="Times New Roman;sans-serif" w:hAnsi="Times New Roman;sans-serif"/>
                  <w:b w:val="false"/>
                  <w:color w:val="0000FF"/>
                  <w:sz w:val="18"/>
                  <w:u w:val="single"/>
                </w:rPr>
                <w:t>3</w:t>
              </w:r>
            </w:hyperlink>
          </w:p>
        </w:tc>
      </w:tr>
      <w:tr>
        <w:trPr/>
        <w:tc>
          <w:tcPr>
            <w:tcW w:w="1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fc2bee9687a460b9c9bf6cd56a32d25_16">
              <w:r>
                <w:rPr>
                  <w:rStyle w:val="InternetLink"/>
                  <w:rFonts w:ascii="Times New Roman;sans-serif" w:hAnsi="Times New Roman;sans-serif"/>
                  <w:b w:val="false"/>
                  <w:color w:val="0000FF"/>
                  <w:sz w:val="18"/>
                  <w:u w:val="single"/>
                </w:rPr>
                <w:t>Consolidated Statements of Operations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efc2bee9687a460b9c9bf6cd56a32d25_16">
              <w:r>
                <w:rPr>
                  <w:rStyle w:val="InternetLink"/>
                  <w:rFonts w:ascii="Times New Roman;sans-serif" w:hAnsi="Times New Roman;sans-serif"/>
                  <w:b w:val="false"/>
                  <w:color w:val="0000FF"/>
                  <w:sz w:val="18"/>
                  <w:u w:val="single"/>
                </w:rPr>
                <w:t>3</w:t>
              </w:r>
            </w:hyperlink>
          </w:p>
        </w:tc>
      </w:tr>
      <w:tr>
        <w:trPr/>
        <w:tc>
          <w:tcPr>
            <w:tcW w:w="1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fc2bee9687a460b9c9bf6cd56a32d25_19">
              <w:r>
                <w:rPr>
                  <w:rStyle w:val="InternetLink"/>
                  <w:rFonts w:ascii="Times New Roman;sans-serif" w:hAnsi="Times New Roman;sans-serif"/>
                  <w:b w:val="false"/>
                  <w:color w:val="0000FF"/>
                  <w:sz w:val="18"/>
                  <w:u w:val="single"/>
                </w:rPr>
                <w:t>Consolidated Statements of Comprehensive Loss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efc2bee9687a460b9c9bf6cd56a32d25_19">
              <w:r>
                <w:rPr>
                  <w:rStyle w:val="InternetLink"/>
                  <w:rFonts w:ascii="Times New Roman;sans-serif" w:hAnsi="Times New Roman;sans-serif"/>
                  <w:b w:val="false"/>
                  <w:color w:val="0000FF"/>
                  <w:sz w:val="18"/>
                  <w:u w:val="single"/>
                </w:rPr>
                <w:t>4</w:t>
              </w:r>
            </w:hyperlink>
          </w:p>
        </w:tc>
      </w:tr>
      <w:tr>
        <w:trPr/>
        <w:tc>
          <w:tcPr>
            <w:tcW w:w="1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fc2bee9687a460b9c9bf6cd56a32d25_22">
              <w:r>
                <w:rPr>
                  <w:rStyle w:val="InternetLink"/>
                  <w:rFonts w:ascii="Times New Roman;sans-serif" w:hAnsi="Times New Roman;sans-serif"/>
                  <w:b w:val="false"/>
                  <w:color w:val="0000FF"/>
                  <w:sz w:val="18"/>
                  <w:u w:val="single"/>
                </w:rPr>
                <w:t>Consolidated Balance Sheets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efc2bee9687a460b9c9bf6cd56a32d25_22">
              <w:r>
                <w:rPr>
                  <w:rStyle w:val="InternetLink"/>
                  <w:rFonts w:ascii="Times New Roman;sans-serif" w:hAnsi="Times New Roman;sans-serif"/>
                  <w:b w:val="false"/>
                  <w:color w:val="0000FF"/>
                  <w:sz w:val="18"/>
                  <w:u w:val="single"/>
                </w:rPr>
                <w:t>5</w:t>
              </w:r>
            </w:hyperlink>
          </w:p>
        </w:tc>
      </w:tr>
      <w:tr>
        <w:trPr/>
        <w:tc>
          <w:tcPr>
            <w:tcW w:w="1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fc2bee9687a460b9c9bf6cd56a32d25_25">
              <w:r>
                <w:rPr>
                  <w:rStyle w:val="InternetLink"/>
                  <w:rFonts w:ascii="Times New Roman;sans-serif" w:hAnsi="Times New Roman;sans-serif"/>
                  <w:b w:val="false"/>
                  <w:color w:val="0000FF"/>
                  <w:sz w:val="18"/>
                  <w:u w:val="single"/>
                </w:rPr>
                <w:t>Consolidated Statements of Cash Flows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efc2bee9687a460b9c9bf6cd56a32d25_25">
              <w:r>
                <w:rPr>
                  <w:rStyle w:val="InternetLink"/>
                  <w:rFonts w:ascii="Times New Roman;sans-serif" w:hAnsi="Times New Roman;sans-serif"/>
                  <w:b w:val="false"/>
                  <w:color w:val="0000FF"/>
                  <w:sz w:val="18"/>
                  <w:u w:val="single"/>
                </w:rPr>
                <w:t>6</w:t>
              </w:r>
            </w:hyperlink>
          </w:p>
        </w:tc>
      </w:tr>
      <w:tr>
        <w:trPr/>
        <w:tc>
          <w:tcPr>
            <w:tcW w:w="1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fc2bee9687a460b9c9bf6cd56a32d25_28">
              <w:r>
                <w:rPr>
                  <w:rStyle w:val="InternetLink"/>
                  <w:rFonts w:ascii="Times New Roman;sans-serif" w:hAnsi="Times New Roman;sans-serif"/>
                  <w:b w:val="false"/>
                  <w:color w:val="0000FF"/>
                  <w:sz w:val="18"/>
                  <w:u w:val="single"/>
                </w:rPr>
                <w:t>Consolidated Statements of Changes in Stockholders’ Equity</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efc2bee9687a460b9c9bf6cd56a32d25_28">
              <w:r>
                <w:rPr>
                  <w:rStyle w:val="InternetLink"/>
                  <w:rFonts w:ascii="Times New Roman;sans-serif" w:hAnsi="Times New Roman;sans-serif"/>
                  <w:b w:val="false"/>
                  <w:color w:val="0000FF"/>
                  <w:sz w:val="18"/>
                  <w:u w:val="single"/>
                </w:rPr>
                <w:t>7</w:t>
              </w:r>
            </w:hyperlink>
          </w:p>
        </w:tc>
      </w:tr>
      <w:tr>
        <w:trPr/>
        <w:tc>
          <w:tcPr>
            <w:tcW w:w="1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fc2bee9687a460b9c9bf6cd56a32d25_31">
              <w:r>
                <w:rPr>
                  <w:rStyle w:val="InternetLink"/>
                  <w:rFonts w:ascii="Times New Roman;sans-serif" w:hAnsi="Times New Roman;sans-serif"/>
                  <w:b w:val="false"/>
                  <w:color w:val="0000FF"/>
                  <w:sz w:val="18"/>
                  <w:u w:val="single"/>
                </w:rPr>
                <w:t>Notes to Consolidated Financial Statements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efc2bee9687a460b9c9bf6cd56a32d25_31">
              <w:r>
                <w:rPr>
                  <w:rStyle w:val="InternetLink"/>
                  <w:rFonts w:ascii="Times New Roman;sans-serif" w:hAnsi="Times New Roman;sans-serif"/>
                  <w:b w:val="false"/>
                  <w:color w:val="0000FF"/>
                  <w:sz w:val="18"/>
                  <w:u w:val="single"/>
                </w:rPr>
                <w:t>8</w:t>
              </w:r>
            </w:hyperlink>
          </w:p>
        </w:tc>
      </w:tr>
      <w:tr>
        <w:trPr/>
        <w:tc>
          <w:tcPr>
            <w:tcW w:w="1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fc2bee9687a460b9c9bf6cd56a32d25_34">
              <w:r>
                <w:rPr>
                  <w:rStyle w:val="InternetLink"/>
                  <w:rFonts w:ascii="Times New Roman;sans-serif" w:hAnsi="Times New Roman;sans-serif"/>
                  <w:b w:val="false"/>
                  <w:color w:val="0000FF"/>
                  <w:sz w:val="18"/>
                  <w:u w:val="single"/>
                </w:rPr>
                <w:t>1. Organization</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efc2bee9687a460b9c9bf6cd56a32d25_34">
              <w:r>
                <w:rPr>
                  <w:rStyle w:val="InternetLink"/>
                  <w:rFonts w:ascii="Times New Roman;sans-serif" w:hAnsi="Times New Roman;sans-serif"/>
                  <w:b w:val="false"/>
                  <w:color w:val="0000FF"/>
                  <w:sz w:val="18"/>
                  <w:u w:val="single"/>
                </w:rPr>
                <w:t>8</w:t>
              </w:r>
            </w:hyperlink>
          </w:p>
        </w:tc>
      </w:tr>
      <w:tr>
        <w:trPr/>
        <w:tc>
          <w:tcPr>
            <w:tcW w:w="1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efc2bee9687a460b9c9bf6cd56a32d25_37">
              <w:r>
                <w:rPr>
                  <w:rStyle w:val="InternetLink"/>
                  <w:rFonts w:ascii="Times New Roman;sans-serif" w:hAnsi="Times New Roman;sans-serif"/>
                  <w:b w:val="false"/>
                  <w:color w:val="0000FF"/>
                  <w:sz w:val="18"/>
                  <w:u w:val="single"/>
                </w:rPr>
                <w:t>2. Significant Accounting Policies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efc2bee9687a460b9c9bf6cd56a32d25_37">
              <w:r>
                <w:rPr>
                  <w:rStyle w:val="InternetLink"/>
                  <w:rFonts w:ascii="Times New Roman;sans-serif" w:hAnsi="Times New Roman;sans-serif"/>
                  <w:b w:val="false"/>
                  <w:color w:val="0000FF"/>
                  <w:sz w:val="18"/>
                  <w:u w:val="single"/>
                </w:rPr>
                <w:t>8</w:t>
              </w:r>
            </w:hyperlink>
          </w:p>
        </w:tc>
      </w:tr>
      <w:tr>
        <w:trPr/>
        <w:tc>
          <w:tcPr>
            <w:tcW w:w="1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efc2bee9687a460b9c9bf6cd56a32d25_40">
              <w:r>
                <w:rPr>
                  <w:rStyle w:val="InternetLink"/>
                  <w:rFonts w:ascii="Times New Roman;sans-serif" w:hAnsi="Times New Roman;sans-serif"/>
                  <w:b w:val="false"/>
                  <w:color w:val="0000FF"/>
                  <w:sz w:val="18"/>
                  <w:u w:val="single"/>
                </w:rPr>
                <w:t>3. Revenue Recognition</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efc2bee9687a460b9c9bf6cd56a32d25_40">
              <w:r>
                <w:rPr>
                  <w:rStyle w:val="InternetLink"/>
                  <w:rFonts w:ascii="Times New Roman;sans-serif" w:hAnsi="Times New Roman;sans-serif"/>
                  <w:b w:val="false"/>
                  <w:color w:val="0000FF"/>
                  <w:sz w:val="18"/>
                  <w:u w:val="single"/>
                </w:rPr>
                <w:t>10</w:t>
              </w:r>
            </w:hyperlink>
          </w:p>
        </w:tc>
      </w:tr>
      <w:tr>
        <w:trPr/>
        <w:tc>
          <w:tcPr>
            <w:tcW w:w="1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efc2bee9687a460b9c9bf6cd56a32d25_46">
              <w:r>
                <w:rPr>
                  <w:rStyle w:val="InternetLink"/>
                  <w:rFonts w:ascii="Times New Roman;sans-serif" w:hAnsi="Times New Roman;sans-serif"/>
                  <w:b w:val="false"/>
                  <w:color w:val="0000FF"/>
                  <w:sz w:val="18"/>
                  <w:u w:val="single"/>
                </w:rPr>
                <w:t>4. Accounts Receivable, Net</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efc2bee9687a460b9c9bf6cd56a32d25_46">
              <w:r>
                <w:rPr>
                  <w:rStyle w:val="InternetLink"/>
                  <w:rFonts w:ascii="Times New Roman;sans-serif" w:hAnsi="Times New Roman;sans-serif"/>
                  <w:b w:val="false"/>
                  <w:color w:val="0000FF"/>
                  <w:sz w:val="18"/>
                  <w:u w:val="single"/>
                </w:rPr>
                <w:t>11</w:t>
              </w:r>
            </w:hyperlink>
          </w:p>
        </w:tc>
      </w:tr>
      <w:tr>
        <w:trPr/>
        <w:tc>
          <w:tcPr>
            <w:tcW w:w="1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efc2bee9687a460b9c9bf6cd56a32d25_49">
              <w:r>
                <w:rPr>
                  <w:rStyle w:val="InternetLink"/>
                  <w:rFonts w:ascii="Times New Roman;sans-serif" w:hAnsi="Times New Roman;sans-serif"/>
                  <w:b w:val="false"/>
                  <w:color w:val="0000FF"/>
                  <w:sz w:val="18"/>
                  <w:u w:val="single"/>
                </w:rPr>
                <w:t>5. Inventories, Net</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efc2bee9687a460b9c9bf6cd56a32d25_49">
              <w:r>
                <w:rPr>
                  <w:rStyle w:val="InternetLink"/>
                  <w:rFonts w:ascii="Times New Roman;sans-serif" w:hAnsi="Times New Roman;sans-serif"/>
                  <w:b w:val="false"/>
                  <w:color w:val="0000FF"/>
                  <w:sz w:val="18"/>
                  <w:u w:val="single"/>
                </w:rPr>
                <w:t>12</w:t>
              </w:r>
            </w:hyperlink>
          </w:p>
        </w:tc>
      </w:tr>
      <w:tr>
        <w:trPr/>
        <w:tc>
          <w:tcPr>
            <w:tcW w:w="1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efc2bee9687a460b9c9bf6cd56a32d25_52">
              <w:r>
                <w:rPr>
                  <w:rStyle w:val="InternetLink"/>
                  <w:rFonts w:ascii="Times New Roman;sans-serif" w:hAnsi="Times New Roman;sans-serif"/>
                  <w:b w:val="false"/>
                  <w:color w:val="0000FF"/>
                  <w:sz w:val="18"/>
                  <w:u w:val="single"/>
                </w:rPr>
                <w:t>6. Property and Equipment, Net</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efc2bee9687a460b9c9bf6cd56a32d25_52">
              <w:r>
                <w:rPr>
                  <w:rStyle w:val="InternetLink"/>
                  <w:rFonts w:ascii="Times New Roman;sans-serif" w:hAnsi="Times New Roman;sans-serif"/>
                  <w:b w:val="false"/>
                  <w:color w:val="0000FF"/>
                  <w:sz w:val="18"/>
                  <w:u w:val="single"/>
                </w:rPr>
                <w:t>12</w:t>
              </w:r>
            </w:hyperlink>
          </w:p>
        </w:tc>
      </w:tr>
      <w:tr>
        <w:trPr/>
        <w:tc>
          <w:tcPr>
            <w:tcW w:w="1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efc2bee9687a460b9c9bf6cd56a32d25_55">
              <w:r>
                <w:rPr>
                  <w:rStyle w:val="InternetLink"/>
                  <w:rFonts w:ascii="Times New Roman;sans-serif" w:hAnsi="Times New Roman;sans-serif"/>
                  <w:b w:val="false"/>
                  <w:color w:val="0000FF"/>
                  <w:sz w:val="18"/>
                  <w:u w:val="single"/>
                </w:rPr>
                <w:t xml:space="preserve">7. Goodwill </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efc2bee9687a460b9c9bf6cd56a32d25_55">
              <w:r>
                <w:rPr>
                  <w:rStyle w:val="InternetLink"/>
                  <w:rFonts w:ascii="Times New Roman;sans-serif" w:hAnsi="Times New Roman;sans-serif"/>
                  <w:b w:val="false"/>
                  <w:color w:val="0000FF"/>
                  <w:sz w:val="18"/>
                  <w:u w:val="single"/>
                </w:rPr>
                <w:t>12</w:t>
              </w:r>
            </w:hyperlink>
          </w:p>
        </w:tc>
      </w:tr>
      <w:tr>
        <w:trPr/>
        <w:tc>
          <w:tcPr>
            <w:tcW w:w="1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efc2bee9687a460b9c9bf6cd56a32d25_58">
              <w:r>
                <w:rPr>
                  <w:rStyle w:val="InternetLink"/>
                  <w:rFonts w:ascii="Times New Roman;sans-serif" w:hAnsi="Times New Roman;sans-serif"/>
                  <w:b w:val="false"/>
                  <w:color w:val="0000FF"/>
                  <w:sz w:val="18"/>
                  <w:u w:val="single"/>
                </w:rPr>
                <w:t>8. Intangible Assets, Net</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efc2bee9687a460b9c9bf6cd56a32d25_58">
              <w:r>
                <w:rPr>
                  <w:rStyle w:val="InternetLink"/>
                  <w:rFonts w:ascii="Times New Roman;sans-serif" w:hAnsi="Times New Roman;sans-serif"/>
                  <w:b w:val="false"/>
                  <w:color w:val="0000FF"/>
                  <w:sz w:val="18"/>
                  <w:u w:val="single"/>
                </w:rPr>
                <w:t>12</w:t>
              </w:r>
            </w:hyperlink>
          </w:p>
        </w:tc>
      </w:tr>
      <w:tr>
        <w:trPr/>
        <w:tc>
          <w:tcPr>
            <w:tcW w:w="1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efc2bee9687a460b9c9bf6cd56a32d25_61">
              <w:r>
                <w:rPr>
                  <w:rStyle w:val="InternetLink"/>
                  <w:rFonts w:ascii="Times New Roman;sans-serif" w:hAnsi="Times New Roman;sans-serif"/>
                  <w:b w:val="false"/>
                  <w:color w:val="0000FF"/>
                  <w:sz w:val="18"/>
                  <w:u w:val="single"/>
                </w:rPr>
                <w:t>9. Other Balance Sheet Components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efc2bee9687a460b9c9bf6cd56a32d25_61">
              <w:r>
                <w:rPr>
                  <w:rStyle w:val="InternetLink"/>
                  <w:rFonts w:ascii="Times New Roman;sans-serif" w:hAnsi="Times New Roman;sans-serif"/>
                  <w:b w:val="false"/>
                  <w:color w:val="0000FF"/>
                  <w:sz w:val="18"/>
                  <w:u w:val="single"/>
                </w:rPr>
                <w:t>13</w:t>
              </w:r>
            </w:hyperlink>
          </w:p>
        </w:tc>
      </w:tr>
      <w:tr>
        <w:trPr/>
        <w:tc>
          <w:tcPr>
            <w:tcW w:w="1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fc2bee9687a460b9c9bf6cd56a32d25_64">
              <w:r>
                <w:rPr>
                  <w:rStyle w:val="InternetLink"/>
                  <w:rFonts w:ascii="Times New Roman;sans-serif" w:hAnsi="Times New Roman;sans-serif"/>
                  <w:b w:val="false"/>
                  <w:color w:val="0000FF"/>
                  <w:sz w:val="18"/>
                  <w:u w:val="single"/>
                </w:rPr>
                <w:t>10. Debt and Other Obligations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efc2bee9687a460b9c9bf6cd56a32d25_64">
              <w:r>
                <w:rPr>
                  <w:rStyle w:val="InternetLink"/>
                  <w:rFonts w:ascii="Times New Roman;sans-serif" w:hAnsi="Times New Roman;sans-serif"/>
                  <w:b w:val="false"/>
                  <w:color w:val="0000FF"/>
                  <w:sz w:val="18"/>
                  <w:u w:val="single"/>
                </w:rPr>
                <w:t>13</w:t>
              </w:r>
            </w:hyperlink>
          </w:p>
        </w:tc>
      </w:tr>
      <w:tr>
        <w:trPr/>
        <w:tc>
          <w:tcPr>
            <w:tcW w:w="1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fc2bee9687a460b9c9bf6cd56a32d25_67">
              <w:r>
                <w:rPr>
                  <w:rStyle w:val="InternetLink"/>
                  <w:rFonts w:ascii="Times New Roman;sans-serif" w:hAnsi="Times New Roman;sans-serif"/>
                  <w:b w:val="false"/>
                  <w:color w:val="0000FF"/>
                  <w:sz w:val="18"/>
                  <w:u w:val="single"/>
                </w:rPr>
                <w:t>11. Acquisition</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efc2bee9687a460b9c9bf6cd56a32d25_67">
              <w:r>
                <w:rPr>
                  <w:rStyle w:val="InternetLink"/>
                  <w:rFonts w:ascii="Times New Roman;sans-serif" w:hAnsi="Times New Roman;sans-serif"/>
                  <w:b w:val="false"/>
                  <w:color w:val="0000FF"/>
                  <w:sz w:val="18"/>
                  <w:u w:val="single"/>
                </w:rPr>
                <w:t>14</w:t>
              </w:r>
            </w:hyperlink>
          </w:p>
        </w:tc>
      </w:tr>
      <w:tr>
        <w:trPr/>
        <w:tc>
          <w:tcPr>
            <w:tcW w:w="1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fc2bee9687a460b9c9bf6cd56a32d25_70">
              <w:r>
                <w:rPr>
                  <w:rStyle w:val="InternetLink"/>
                  <w:rFonts w:ascii="Times New Roman;sans-serif" w:hAnsi="Times New Roman;sans-serif"/>
                  <w:b w:val="false"/>
                  <w:color w:val="0000FF"/>
                  <w:sz w:val="18"/>
                  <w:u w:val="single"/>
                </w:rPr>
                <w:t>12. Stock-Based Compensation</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efc2bee9687a460b9c9bf6cd56a32d25_70">
              <w:r>
                <w:rPr>
                  <w:rStyle w:val="InternetLink"/>
                  <w:rFonts w:ascii="Times New Roman;sans-serif" w:hAnsi="Times New Roman;sans-serif"/>
                  <w:b w:val="false"/>
                  <w:color w:val="0000FF"/>
                  <w:sz w:val="18"/>
                  <w:u w:val="single"/>
                </w:rPr>
                <w:t>15</w:t>
              </w:r>
            </w:hyperlink>
          </w:p>
        </w:tc>
      </w:tr>
      <w:tr>
        <w:trPr/>
        <w:tc>
          <w:tcPr>
            <w:tcW w:w="1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fc2bee9687a460b9c9bf6cd56a32d25_73">
              <w:r>
                <w:rPr>
                  <w:rStyle w:val="InternetLink"/>
                  <w:rFonts w:ascii="Times New Roman;sans-serif" w:hAnsi="Times New Roman;sans-serif"/>
                  <w:b w:val="false"/>
                  <w:color w:val="0000FF"/>
                  <w:sz w:val="18"/>
                  <w:u w:val="single"/>
                </w:rPr>
                <w:t>13. Share Repurchases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efc2bee9687a460b9c9bf6cd56a32d25_73">
              <w:r>
                <w:rPr>
                  <w:rStyle w:val="InternetLink"/>
                  <w:rFonts w:ascii="Times New Roman;sans-serif" w:hAnsi="Times New Roman;sans-serif"/>
                  <w:b w:val="false"/>
                  <w:color w:val="0000FF"/>
                  <w:sz w:val="18"/>
                  <w:u w:val="single"/>
                </w:rPr>
                <w:t>16</w:t>
              </w:r>
            </w:hyperlink>
          </w:p>
        </w:tc>
      </w:tr>
      <w:tr>
        <w:trPr/>
        <w:tc>
          <w:tcPr>
            <w:tcW w:w="1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fc2bee9687a460b9c9bf6cd56a32d25_76">
              <w:r>
                <w:rPr>
                  <w:rStyle w:val="InternetLink"/>
                  <w:rFonts w:ascii="Times New Roman;sans-serif" w:hAnsi="Times New Roman;sans-serif"/>
                  <w:b w:val="false"/>
                  <w:color w:val="0000FF"/>
                  <w:sz w:val="18"/>
                  <w:u w:val="single"/>
                </w:rPr>
                <w:t>14. Accumulated Other Comprehensive Loss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efc2bee9687a460b9c9bf6cd56a32d25_76">
              <w:r>
                <w:rPr>
                  <w:rStyle w:val="InternetLink"/>
                  <w:rFonts w:ascii="Times New Roman;sans-serif" w:hAnsi="Times New Roman;sans-serif"/>
                  <w:b w:val="false"/>
                  <w:color w:val="0000FF"/>
                  <w:sz w:val="18"/>
                  <w:u w:val="single"/>
                </w:rPr>
                <w:t>17</w:t>
              </w:r>
            </w:hyperlink>
          </w:p>
        </w:tc>
      </w:tr>
      <w:tr>
        <w:trPr/>
        <w:tc>
          <w:tcPr>
            <w:tcW w:w="1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fc2bee9687a460b9c9bf6cd56a32d25_79">
              <w:r>
                <w:rPr>
                  <w:rStyle w:val="InternetLink"/>
                  <w:rFonts w:ascii="Times New Roman;sans-serif" w:hAnsi="Times New Roman;sans-serif"/>
                  <w:b w:val="false"/>
                  <w:color w:val="0000FF"/>
                  <w:sz w:val="18"/>
                  <w:u w:val="single"/>
                </w:rPr>
                <w:t>15. Loss per Share</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efc2bee9687a460b9c9bf6cd56a32d25_79">
              <w:r>
                <w:rPr>
                  <w:rStyle w:val="InternetLink"/>
                  <w:rFonts w:ascii="Times New Roman;sans-serif" w:hAnsi="Times New Roman;sans-serif"/>
                  <w:b w:val="false"/>
                  <w:color w:val="0000FF"/>
                  <w:sz w:val="18"/>
                  <w:u w:val="single"/>
                </w:rPr>
                <w:t>17</w:t>
              </w:r>
            </w:hyperlink>
          </w:p>
        </w:tc>
      </w:tr>
      <w:tr>
        <w:trPr/>
        <w:tc>
          <w:tcPr>
            <w:tcW w:w="1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fc2bee9687a460b9c9bf6cd56a32d25_82">
              <w:r>
                <w:rPr>
                  <w:rStyle w:val="InternetLink"/>
                  <w:rFonts w:ascii="Times New Roman;sans-serif" w:hAnsi="Times New Roman;sans-serif"/>
                  <w:b w:val="false"/>
                  <w:color w:val="0000FF"/>
                  <w:sz w:val="18"/>
                  <w:u w:val="single"/>
                </w:rPr>
                <w:t>16. Related Party Transactions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efc2bee9687a460b9c9bf6cd56a32d25_82">
              <w:r>
                <w:rPr>
                  <w:rStyle w:val="InternetLink"/>
                  <w:rFonts w:ascii="Times New Roman;sans-serif" w:hAnsi="Times New Roman;sans-serif"/>
                  <w:b w:val="false"/>
                  <w:color w:val="0000FF"/>
                  <w:sz w:val="18"/>
                  <w:u w:val="single"/>
                </w:rPr>
                <w:t>17</w:t>
              </w:r>
            </w:hyperlink>
          </w:p>
        </w:tc>
      </w:tr>
      <w:tr>
        <w:trPr/>
        <w:tc>
          <w:tcPr>
            <w:tcW w:w="1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fc2bee9687a460b9c9bf6cd56a32d25_88">
              <w:r>
                <w:rPr>
                  <w:rStyle w:val="InternetLink"/>
                  <w:rFonts w:ascii="Times New Roman;sans-serif" w:hAnsi="Times New Roman;sans-serif"/>
                  <w:b w:val="false"/>
                  <w:color w:val="0000FF"/>
                  <w:sz w:val="18"/>
                  <w:u w:val="single"/>
                </w:rPr>
                <w:t>17. Segment Information</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efc2bee9687a460b9c9bf6cd56a32d25_88">
              <w:r>
                <w:rPr>
                  <w:rStyle w:val="InternetLink"/>
                  <w:rFonts w:ascii="Times New Roman;sans-serif" w:hAnsi="Times New Roman;sans-serif"/>
                  <w:b w:val="false"/>
                  <w:color w:val="0000FF"/>
                  <w:sz w:val="18"/>
                  <w:u w:val="single"/>
                </w:rPr>
                <w:t>18</w:t>
              </w:r>
            </w:hyperlink>
          </w:p>
        </w:tc>
      </w:tr>
      <w:tr>
        <w:trPr/>
        <w:tc>
          <w:tcPr>
            <w:tcW w:w="1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fc2bee9687a460b9c9bf6cd56a32d25_91">
              <w:r>
                <w:rPr>
                  <w:rStyle w:val="InternetLink"/>
                  <w:rFonts w:ascii="Times New Roman;sans-serif" w:hAnsi="Times New Roman;sans-serif"/>
                  <w:b w:val="false"/>
                  <w:color w:val="0000FF"/>
                  <w:sz w:val="18"/>
                  <w:u w:val="single"/>
                </w:rPr>
                <w:t>18. Commitments and Contingencies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efc2bee9687a460b9c9bf6cd56a32d25_91">
              <w:r>
                <w:rPr>
                  <w:rStyle w:val="InternetLink"/>
                  <w:rFonts w:ascii="Times New Roman;sans-serif" w:hAnsi="Times New Roman;sans-serif"/>
                  <w:b w:val="false"/>
                  <w:color w:val="0000FF"/>
                  <w:sz w:val="18"/>
                  <w:u w:val="single"/>
                </w:rPr>
                <w:t>19</w:t>
              </w:r>
            </w:hyperlink>
          </w:p>
        </w:tc>
      </w:tr>
      <w:tr>
        <w:trPr/>
        <w:tc>
          <w:tcPr>
            <w:tcW w:w="1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fc2bee9687a460b9c9bf6cd56a32d25_94">
              <w:r>
                <w:rPr>
                  <w:rStyle w:val="InternetLink"/>
                  <w:rFonts w:ascii="Times New Roman;sans-serif" w:hAnsi="Times New Roman;sans-serif"/>
                  <w:b w:val="false"/>
                  <w:color w:val="0000FF"/>
                  <w:sz w:val="18"/>
                  <w:u w:val="single"/>
                </w:rPr>
                <w:t>19. Supplemental Cash Flow Information</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efc2bee9687a460b9c9bf6cd56a32d25_94">
              <w:r>
                <w:rPr>
                  <w:rStyle w:val="InternetLink"/>
                  <w:rFonts w:ascii="Times New Roman;sans-serif" w:hAnsi="Times New Roman;sans-serif"/>
                  <w:b w:val="false"/>
                  <w:color w:val="0000FF"/>
                  <w:sz w:val="18"/>
                  <w:u w:val="single"/>
                </w:rPr>
                <w:t>19</w:t>
              </w:r>
            </w:hyperlink>
          </w:p>
        </w:tc>
      </w:tr>
      <w:tr>
        <w:trPr/>
        <w:tc>
          <w:tcPr>
            <w:tcW w:w="1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fc2bee9687a460b9c9bf6cd56a32d25_97">
              <w:r>
                <w:rPr>
                  <w:rStyle w:val="InternetLink"/>
                  <w:rFonts w:ascii="Times New Roman;sans-serif" w:hAnsi="Times New Roman;sans-serif"/>
                  <w:b w:val="false"/>
                  <w:color w:val="0000FF"/>
                  <w:sz w:val="18"/>
                  <w:u w:val="single"/>
                </w:rPr>
                <w:t>20. Revision of Prior Year Interim Financial Statements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efc2bee9687a460b9c9bf6cd56a32d25_97">
              <w:r>
                <w:rPr>
                  <w:rStyle w:val="InternetLink"/>
                  <w:rFonts w:ascii="Times New Roman;sans-serif" w:hAnsi="Times New Roman;sans-serif"/>
                  <w:b w:val="false"/>
                  <w:color w:val="0000FF"/>
                  <w:sz w:val="18"/>
                  <w:u w:val="single"/>
                </w:rPr>
                <w:t>20</w:t>
              </w:r>
            </w:hyperlink>
          </w:p>
        </w:tc>
      </w:tr>
      <w:tr>
        <w:trPr/>
        <w:tc>
          <w:tcPr>
            <w:tcW w:w="16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fc2bee9687a460b9c9bf6cd56a32d25_100">
              <w:r>
                <w:rPr>
                  <w:rStyle w:val="InternetLink"/>
                  <w:rFonts w:ascii="Times New Roman;sans-serif" w:hAnsi="Times New Roman;sans-serif"/>
                  <w:b w:val="false"/>
                  <w:color w:val="0000FF"/>
                  <w:sz w:val="18"/>
                  <w:u w:val="single"/>
                </w:rPr>
                <w:t>Item 2.</w:t>
              </w:r>
            </w:hyperlink>
          </w:p>
        </w:tc>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fc2bee9687a460b9c9bf6cd56a32d25_100">
              <w:r>
                <w:rPr>
                  <w:rStyle w:val="InternetLink"/>
                  <w:rFonts w:ascii="Times New Roman;sans-serif" w:hAnsi="Times New Roman;sans-serif"/>
                  <w:b w:val="false"/>
                  <w:color w:val="0000FF"/>
                  <w:sz w:val="18"/>
                  <w:u w:val="single"/>
                </w:rPr>
                <w:t>Management’s Discussion and Analysis of Financial Condition and Results of Operations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efc2bee9687a460b9c9bf6cd56a32d25_100">
              <w:r>
                <w:rPr>
                  <w:rStyle w:val="InternetLink"/>
                  <w:rFonts w:ascii="Times New Roman;sans-serif" w:hAnsi="Times New Roman;sans-serif"/>
                  <w:b w:val="false"/>
                  <w:color w:val="0000FF"/>
                  <w:sz w:val="18"/>
                  <w:u w:val="single"/>
                </w:rPr>
                <w:t>21</w:t>
              </w:r>
            </w:hyperlink>
          </w:p>
        </w:tc>
      </w:tr>
      <w:tr>
        <w:trPr/>
        <w:tc>
          <w:tcPr>
            <w:tcW w:w="1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fc2bee9687a460b9c9bf6cd56a32d25_103">
              <w:r>
                <w:rPr>
                  <w:rStyle w:val="InternetLink"/>
                  <w:rFonts w:ascii="Times New Roman;sans-serif" w:hAnsi="Times New Roman;sans-serif"/>
                  <w:b w:val="false"/>
                  <w:color w:val="0000FF"/>
                  <w:sz w:val="18"/>
                  <w:u w:val="single"/>
                </w:rPr>
                <w:t>Forward-Looking Statements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efc2bee9687a460b9c9bf6cd56a32d25_103">
              <w:r>
                <w:rPr>
                  <w:rStyle w:val="InternetLink"/>
                  <w:rFonts w:ascii="Times New Roman;sans-serif" w:hAnsi="Times New Roman;sans-serif"/>
                  <w:b w:val="false"/>
                  <w:color w:val="0000FF"/>
                  <w:sz w:val="18"/>
                  <w:u w:val="single"/>
                </w:rPr>
                <w:t>21</w:t>
              </w:r>
            </w:hyperlink>
          </w:p>
        </w:tc>
      </w:tr>
      <w:tr>
        <w:trPr/>
        <w:tc>
          <w:tcPr>
            <w:tcW w:w="1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fc2bee9687a460b9c9bf6cd56a32d25_106">
              <w:r>
                <w:rPr>
                  <w:rStyle w:val="InternetLink"/>
                  <w:rFonts w:ascii="Times New Roman;sans-serif" w:hAnsi="Times New Roman;sans-serif"/>
                  <w:b w:val="false"/>
                  <w:color w:val="0000FF"/>
                  <w:sz w:val="18"/>
                  <w:u w:val="single"/>
                </w:rPr>
                <w:t>General and Business Overview</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efc2bee9687a460b9c9bf6cd56a32d25_106">
              <w:r>
                <w:rPr>
                  <w:rStyle w:val="InternetLink"/>
                  <w:rFonts w:ascii="Times New Roman;sans-serif" w:hAnsi="Times New Roman;sans-serif"/>
                  <w:b w:val="false"/>
                  <w:color w:val="0000FF"/>
                  <w:sz w:val="18"/>
                  <w:u w:val="single"/>
                </w:rPr>
                <w:t>21</w:t>
              </w:r>
            </w:hyperlink>
          </w:p>
        </w:tc>
      </w:tr>
      <w:tr>
        <w:trPr/>
        <w:tc>
          <w:tcPr>
            <w:tcW w:w="1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fc2bee9687a460b9c9bf6cd56a32d25_109">
              <w:r>
                <w:rPr>
                  <w:rStyle w:val="InternetLink"/>
                  <w:rFonts w:ascii="Times New Roman;sans-serif" w:hAnsi="Times New Roman;sans-serif"/>
                  <w:b w:val="false"/>
                  <w:color w:val="0000FF"/>
                  <w:sz w:val="18"/>
                  <w:u w:val="single"/>
                </w:rPr>
                <w:t>Business Environment</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efc2bee9687a460b9c9bf6cd56a32d25_109">
              <w:r>
                <w:rPr>
                  <w:rStyle w:val="InternetLink"/>
                  <w:rFonts w:ascii="Times New Roman;sans-serif" w:hAnsi="Times New Roman;sans-serif"/>
                  <w:b w:val="false"/>
                  <w:color w:val="0000FF"/>
                  <w:sz w:val="18"/>
                  <w:u w:val="single"/>
                </w:rPr>
                <w:t>21</w:t>
              </w:r>
            </w:hyperlink>
          </w:p>
        </w:tc>
      </w:tr>
      <w:tr>
        <w:trPr/>
        <w:tc>
          <w:tcPr>
            <w:tcW w:w="1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fc2bee9687a460b9c9bf6cd56a32d25_112">
              <w:r>
                <w:rPr>
                  <w:rStyle w:val="InternetLink"/>
                  <w:rFonts w:ascii="Times New Roman;sans-serif" w:hAnsi="Times New Roman;sans-serif"/>
                  <w:b w:val="false"/>
                  <w:color w:val="0000FF"/>
                  <w:sz w:val="18"/>
                  <w:u w:val="single"/>
                </w:rPr>
                <w:t>Backlog</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efc2bee9687a460b9c9bf6cd56a32d25_112">
              <w:r>
                <w:rPr>
                  <w:rStyle w:val="InternetLink"/>
                  <w:rFonts w:ascii="Times New Roman;sans-serif" w:hAnsi="Times New Roman;sans-serif"/>
                  <w:b w:val="false"/>
                  <w:color w:val="0000FF"/>
                  <w:sz w:val="18"/>
                  <w:u w:val="single"/>
                </w:rPr>
                <w:t>22</w:t>
              </w:r>
            </w:hyperlink>
          </w:p>
        </w:tc>
      </w:tr>
      <w:tr>
        <w:trPr/>
        <w:tc>
          <w:tcPr>
            <w:tcW w:w="1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fc2bee9687a460b9c9bf6cd56a32d25_115">
              <w:r>
                <w:rPr>
                  <w:rStyle w:val="InternetLink"/>
                  <w:rFonts w:ascii="Times New Roman;sans-serif" w:hAnsi="Times New Roman;sans-serif"/>
                  <w:b w:val="false"/>
                  <w:color w:val="000080"/>
                  <w:sz w:val="18"/>
                  <w:u w:val="single"/>
                </w:rPr>
                <w:t>Business</w:t>
              </w:r>
            </w:hyperlink>
            <w:hyperlink w:anchor="iefc2bee9687a460b9c9bf6cd56a32d25_115">
              <w:r>
                <w:rPr>
                  <w:rStyle w:val="InternetLink"/>
                  <w:rFonts w:ascii="Times New Roman;sans-serif" w:hAnsi="Times New Roman;sans-serif"/>
                  <w:b w:val="false"/>
                  <w:color w:val="000080"/>
                  <w:sz w:val="18"/>
                  <w:u w:val="single"/>
                </w:rPr>
                <w:t xml:space="preserve"> Hi</w:t>
              </w:r>
            </w:hyperlink>
            <w:hyperlink w:anchor="iefc2bee9687a460b9c9bf6cd56a32d25_115">
              <w:r>
                <w:rPr>
                  <w:rStyle w:val="InternetLink"/>
                  <w:rFonts w:ascii="Times New Roman;sans-serif" w:hAnsi="Times New Roman;sans-serif"/>
                  <w:b w:val="false"/>
                  <w:color w:val="000080"/>
                  <w:sz w:val="18"/>
                  <w:u w:val="single"/>
                </w:rPr>
                <w:t>ghlights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efc2bee9687a460b9c9bf6cd56a32d25_115">
              <w:r>
                <w:rPr>
                  <w:rStyle w:val="InternetLink"/>
                  <w:rFonts w:ascii="Times New Roman;sans-serif" w:hAnsi="Times New Roman;sans-serif"/>
                  <w:b w:val="false"/>
                  <w:color w:val="0000FF"/>
                  <w:sz w:val="18"/>
                  <w:u w:val="single"/>
                </w:rPr>
                <w:t>23</w:t>
              </w:r>
            </w:hyperlink>
          </w:p>
        </w:tc>
      </w:tr>
      <w:tr>
        <w:trPr/>
        <w:tc>
          <w:tcPr>
            <w:tcW w:w="1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fc2bee9687a460b9c9bf6cd56a32d25_118">
              <w:r>
                <w:rPr>
                  <w:rStyle w:val="InternetLink"/>
                  <w:rFonts w:ascii="Times New Roman;sans-serif" w:hAnsi="Times New Roman;sans-serif"/>
                  <w:b w:val="false"/>
                  <w:color w:val="0000FF"/>
                  <w:sz w:val="18"/>
                  <w:u w:val="single"/>
                </w:rPr>
                <w:t>Results of Operations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efc2bee9687a460b9c9bf6cd56a32d25_118">
              <w:r>
                <w:rPr>
                  <w:rStyle w:val="InternetLink"/>
                  <w:rFonts w:ascii="Times New Roman;sans-serif" w:hAnsi="Times New Roman;sans-serif"/>
                  <w:b w:val="false"/>
                  <w:color w:val="0000FF"/>
                  <w:sz w:val="18"/>
                  <w:u w:val="single"/>
                </w:rPr>
                <w:t>23</w:t>
              </w:r>
            </w:hyperlink>
          </w:p>
        </w:tc>
      </w:tr>
      <w:tr>
        <w:trPr/>
        <w:tc>
          <w:tcPr>
            <w:tcW w:w="1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fc2bee9687a460b9c9bf6cd56a32d25_121">
              <w:r>
                <w:rPr>
                  <w:rStyle w:val="InternetLink"/>
                  <w:rFonts w:ascii="Times New Roman;sans-serif" w:hAnsi="Times New Roman;sans-serif"/>
                  <w:b w:val="false"/>
                  <w:color w:val="0000FF"/>
                  <w:sz w:val="18"/>
                  <w:u w:val="single"/>
                </w:rPr>
                <w:t>Non-GAAP Financial Measures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efc2bee9687a460b9c9bf6cd56a32d25_121">
              <w:r>
                <w:rPr>
                  <w:rStyle w:val="InternetLink"/>
                  <w:rFonts w:ascii="Times New Roman;sans-serif" w:hAnsi="Times New Roman;sans-serif"/>
                  <w:b w:val="false"/>
                  <w:color w:val="0000FF"/>
                  <w:sz w:val="18"/>
                  <w:u w:val="single"/>
                </w:rPr>
                <w:t>25</w:t>
              </w:r>
            </w:hyperlink>
          </w:p>
        </w:tc>
      </w:tr>
      <w:tr>
        <w:trPr/>
        <w:tc>
          <w:tcPr>
            <w:tcW w:w="1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fc2bee9687a460b9c9bf6cd56a32d25_124">
              <w:r>
                <w:rPr>
                  <w:rStyle w:val="InternetLink"/>
                  <w:rFonts w:ascii="Times New Roman;sans-serif" w:hAnsi="Times New Roman;sans-serif"/>
                  <w:b w:val="false"/>
                  <w:color w:val="0000FF"/>
                  <w:sz w:val="18"/>
                  <w:u w:val="single"/>
                </w:rPr>
                <w:t>Liquidity and Capital Resources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efc2bee9687a460b9c9bf6cd56a32d25_124">
              <w:r>
                <w:rPr>
                  <w:rStyle w:val="InternetLink"/>
                  <w:rFonts w:ascii="Times New Roman;sans-serif" w:hAnsi="Times New Roman;sans-serif"/>
                  <w:b w:val="false"/>
                  <w:color w:val="0000FF"/>
                  <w:sz w:val="18"/>
                  <w:u w:val="single"/>
                </w:rPr>
                <w:t>28</w:t>
              </w:r>
            </w:hyperlink>
          </w:p>
        </w:tc>
      </w:tr>
      <w:tr>
        <w:trPr/>
        <w:tc>
          <w:tcPr>
            <w:tcW w:w="1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fc2bee9687a460b9c9bf6cd56a32d25_127">
              <w:r>
                <w:rPr>
                  <w:rStyle w:val="InternetLink"/>
                  <w:rFonts w:ascii="Times New Roman;sans-serif" w:hAnsi="Times New Roman;sans-serif"/>
                  <w:b w:val="false"/>
                  <w:color w:val="0000FF"/>
                  <w:sz w:val="18"/>
                  <w:u w:val="single"/>
                </w:rPr>
                <w:t>Critical Accounting Policies and Estimates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efc2bee9687a460b9c9bf6cd56a32d25_127">
              <w:r>
                <w:rPr>
                  <w:rStyle w:val="InternetLink"/>
                  <w:rFonts w:ascii="Times New Roman;sans-serif" w:hAnsi="Times New Roman;sans-serif"/>
                  <w:b w:val="false"/>
                  <w:color w:val="0000FF"/>
                  <w:sz w:val="18"/>
                  <w:u w:val="single"/>
                </w:rPr>
                <w:t>28</w:t>
              </w:r>
            </w:hyperlink>
          </w:p>
        </w:tc>
      </w:tr>
      <w:tr>
        <w:trPr/>
        <w:tc>
          <w:tcPr>
            <w:tcW w:w="16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fc2bee9687a460b9c9bf6cd56a32d25_130">
              <w:r>
                <w:rPr>
                  <w:rStyle w:val="InternetLink"/>
                  <w:rFonts w:ascii="Times New Roman;sans-serif" w:hAnsi="Times New Roman;sans-serif"/>
                  <w:b w:val="false"/>
                  <w:color w:val="0000FF"/>
                  <w:sz w:val="18"/>
                  <w:u w:val="single"/>
                </w:rPr>
                <w:t>Item 3.</w:t>
              </w:r>
            </w:hyperlink>
          </w:p>
        </w:tc>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fc2bee9687a460b9c9bf6cd56a32d25_130">
              <w:r>
                <w:rPr>
                  <w:rStyle w:val="InternetLink"/>
                  <w:rFonts w:ascii="Times New Roman;sans-serif" w:hAnsi="Times New Roman;sans-serif"/>
                  <w:b w:val="false"/>
                  <w:color w:val="0000FF"/>
                  <w:sz w:val="18"/>
                  <w:u w:val="single"/>
                </w:rPr>
                <w:t>Quantitative and Qualitative Disclosures about Market Risk</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efc2bee9687a460b9c9bf6cd56a32d25_130">
              <w:r>
                <w:rPr>
                  <w:rStyle w:val="InternetLink"/>
                  <w:rFonts w:ascii="Times New Roman;sans-serif" w:hAnsi="Times New Roman;sans-serif"/>
                  <w:b w:val="false"/>
                  <w:color w:val="0000FF"/>
                  <w:sz w:val="18"/>
                  <w:u w:val="single"/>
                </w:rPr>
                <w:t>28</w:t>
              </w:r>
            </w:hyperlink>
          </w:p>
        </w:tc>
      </w:tr>
      <w:tr>
        <w:trPr/>
        <w:tc>
          <w:tcPr>
            <w:tcW w:w="16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fc2bee9687a460b9c9bf6cd56a32d25_133">
              <w:r>
                <w:rPr>
                  <w:rStyle w:val="InternetLink"/>
                  <w:rFonts w:ascii="Times New Roman;sans-serif" w:hAnsi="Times New Roman;sans-serif"/>
                  <w:b w:val="false"/>
                  <w:color w:val="0000FF"/>
                  <w:sz w:val="18"/>
                  <w:u w:val="single"/>
                </w:rPr>
                <w:t>Item 4.</w:t>
              </w:r>
            </w:hyperlink>
          </w:p>
        </w:tc>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fc2bee9687a460b9c9bf6cd56a32d25_133">
              <w:r>
                <w:rPr>
                  <w:rStyle w:val="InternetLink"/>
                  <w:rFonts w:ascii="Times New Roman;sans-serif" w:hAnsi="Times New Roman;sans-serif"/>
                  <w:b w:val="false"/>
                  <w:color w:val="0000FF"/>
                  <w:sz w:val="18"/>
                  <w:u w:val="single"/>
                </w:rPr>
                <w:t>Controls and Procedures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efc2bee9687a460b9c9bf6cd56a32d25_133">
              <w:r>
                <w:rPr>
                  <w:rStyle w:val="InternetLink"/>
                  <w:rFonts w:ascii="Times New Roman;sans-serif" w:hAnsi="Times New Roman;sans-serif"/>
                  <w:b w:val="false"/>
                  <w:color w:val="0000FF"/>
                  <w:sz w:val="18"/>
                  <w:u w:val="single"/>
                </w:rPr>
                <w:t>29</w:t>
              </w:r>
            </w:hyperlink>
          </w:p>
        </w:tc>
      </w:tr>
      <w:tr>
        <w:trPr/>
        <w:tc>
          <w:tcPr>
            <w:tcW w:w="8192"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fc2bee9687a460b9c9bf6cd56a32d25_136">
              <w:r>
                <w:rPr>
                  <w:rStyle w:val="InternetLink"/>
                  <w:rFonts w:ascii="Times New Roman;sans-serif" w:hAnsi="Times New Roman;sans-serif"/>
                  <w:b/>
                  <w:color w:val="0000FF"/>
                  <w:sz w:val="18"/>
                  <w:u w:val="single"/>
                </w:rPr>
                <w:t>PART II - OTHER INFORMATION</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efc2bee9687a460b9c9bf6cd56a32d25_136">
              <w:r>
                <w:rPr>
                  <w:rStyle w:val="InternetLink"/>
                  <w:rFonts w:ascii="Times New Roman;sans-serif" w:hAnsi="Times New Roman;sans-serif"/>
                  <w:b w:val="false"/>
                  <w:color w:val="0000FF"/>
                  <w:sz w:val="18"/>
                  <w:u w:val="single"/>
                </w:rPr>
                <w:t>30</w:t>
              </w:r>
            </w:hyperlink>
          </w:p>
        </w:tc>
      </w:tr>
      <w:tr>
        <w:trPr/>
        <w:tc>
          <w:tcPr>
            <w:tcW w:w="16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fc2bee9687a460b9c9bf6cd56a32d25_139">
              <w:r>
                <w:rPr>
                  <w:rStyle w:val="InternetLink"/>
                  <w:rFonts w:ascii="Times New Roman;sans-serif" w:hAnsi="Times New Roman;sans-serif"/>
                  <w:b w:val="false"/>
                  <w:color w:val="0000FF"/>
                  <w:sz w:val="18"/>
                  <w:u w:val="single"/>
                </w:rPr>
                <w:t>Item 1.</w:t>
              </w:r>
            </w:hyperlink>
          </w:p>
        </w:tc>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fc2bee9687a460b9c9bf6cd56a32d25_139">
              <w:r>
                <w:rPr>
                  <w:rStyle w:val="InternetLink"/>
                  <w:rFonts w:ascii="Times New Roman;sans-serif" w:hAnsi="Times New Roman;sans-serif"/>
                  <w:b w:val="false"/>
                  <w:color w:val="0000FF"/>
                  <w:sz w:val="18"/>
                  <w:u w:val="single"/>
                </w:rPr>
                <w:t>Legal Proceedings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efc2bee9687a460b9c9bf6cd56a32d25_139">
              <w:r>
                <w:rPr>
                  <w:rStyle w:val="InternetLink"/>
                  <w:rFonts w:ascii="Times New Roman;sans-serif" w:hAnsi="Times New Roman;sans-serif"/>
                  <w:b w:val="false"/>
                  <w:color w:val="0000FF"/>
                  <w:sz w:val="18"/>
                  <w:u w:val="single"/>
                </w:rPr>
                <w:t>30</w:t>
              </w:r>
            </w:hyperlink>
          </w:p>
        </w:tc>
      </w:tr>
      <w:tr>
        <w:trPr/>
        <w:tc>
          <w:tcPr>
            <w:tcW w:w="16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fc2bee9687a460b9c9bf6cd56a32d25_142">
              <w:r>
                <w:rPr>
                  <w:rStyle w:val="InternetLink"/>
                  <w:rFonts w:ascii="Times New Roman;sans-serif" w:hAnsi="Times New Roman;sans-serif"/>
                  <w:b w:val="false"/>
                  <w:color w:val="0000FF"/>
                  <w:sz w:val="18"/>
                  <w:u w:val="single"/>
                </w:rPr>
                <w:t>Item 1A.</w:t>
              </w:r>
            </w:hyperlink>
          </w:p>
        </w:tc>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fc2bee9687a460b9c9bf6cd56a32d25_142">
              <w:r>
                <w:rPr>
                  <w:rStyle w:val="InternetLink"/>
                  <w:rFonts w:ascii="Times New Roman;sans-serif" w:hAnsi="Times New Roman;sans-serif"/>
                  <w:b w:val="false"/>
                  <w:color w:val="0000FF"/>
                  <w:sz w:val="18"/>
                  <w:u w:val="single"/>
                </w:rPr>
                <w:t>Risk Factors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efc2bee9687a460b9c9bf6cd56a32d25_142">
              <w:r>
                <w:rPr>
                  <w:rStyle w:val="InternetLink"/>
                  <w:rFonts w:ascii="Times New Roman;sans-serif" w:hAnsi="Times New Roman;sans-serif"/>
                  <w:b w:val="false"/>
                  <w:color w:val="0000FF"/>
                  <w:sz w:val="18"/>
                  <w:u w:val="single"/>
                </w:rPr>
                <w:t>30</w:t>
              </w:r>
            </w:hyperlink>
          </w:p>
        </w:tc>
      </w:tr>
      <w:tr>
        <w:trPr/>
        <w:tc>
          <w:tcPr>
            <w:tcW w:w="16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fc2bee9687a460b9c9bf6cd56a32d25_145">
              <w:r>
                <w:rPr>
                  <w:rStyle w:val="InternetLink"/>
                  <w:rFonts w:ascii="Times New Roman;sans-serif" w:hAnsi="Times New Roman;sans-serif"/>
                  <w:b w:val="false"/>
                  <w:color w:val="0000FF"/>
                  <w:sz w:val="18"/>
                  <w:u w:val="single"/>
                </w:rPr>
                <w:t>Item 2.</w:t>
              </w:r>
            </w:hyperlink>
          </w:p>
        </w:tc>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fc2bee9687a460b9c9bf6cd56a32d25_145">
              <w:r>
                <w:rPr>
                  <w:rStyle w:val="InternetLink"/>
                  <w:rFonts w:ascii="Times New Roman;sans-serif" w:hAnsi="Times New Roman;sans-serif"/>
                  <w:b w:val="false"/>
                  <w:color w:val="0000FF"/>
                  <w:sz w:val="18"/>
                  <w:u w:val="single"/>
                </w:rPr>
                <w:t>Unregistered Sales of Equity Securities and Use of Proceeds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efc2bee9687a460b9c9bf6cd56a32d25_145">
              <w:r>
                <w:rPr>
                  <w:rStyle w:val="InternetLink"/>
                  <w:rFonts w:ascii="Times New Roman;sans-serif" w:hAnsi="Times New Roman;sans-serif"/>
                  <w:b w:val="false"/>
                  <w:color w:val="0000FF"/>
                  <w:sz w:val="18"/>
                  <w:u w:val="single"/>
                </w:rPr>
                <w:t>30</w:t>
              </w:r>
            </w:hyperlink>
          </w:p>
        </w:tc>
      </w:tr>
      <w:tr>
        <w:trPr/>
        <w:tc>
          <w:tcPr>
            <w:tcW w:w="16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fc2bee9687a460b9c9bf6cd56a32d25_148">
              <w:r>
                <w:rPr>
                  <w:rStyle w:val="InternetLink"/>
                  <w:rFonts w:ascii="Times New Roman;sans-serif" w:hAnsi="Times New Roman;sans-serif"/>
                  <w:b w:val="false"/>
                  <w:color w:val="0000FF"/>
                  <w:sz w:val="18"/>
                  <w:u w:val="single"/>
                </w:rPr>
                <w:t>Item 3.</w:t>
              </w:r>
            </w:hyperlink>
          </w:p>
        </w:tc>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fc2bee9687a460b9c9bf6cd56a32d25_148">
              <w:r>
                <w:rPr>
                  <w:rStyle w:val="InternetLink"/>
                  <w:rFonts w:ascii="Times New Roman;sans-serif" w:hAnsi="Times New Roman;sans-serif"/>
                  <w:b w:val="false"/>
                  <w:color w:val="0000FF"/>
                  <w:sz w:val="18"/>
                  <w:u w:val="single"/>
                </w:rPr>
                <w:t>Defaults upon Senior Securities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efc2bee9687a460b9c9bf6cd56a32d25_148">
              <w:r>
                <w:rPr>
                  <w:rStyle w:val="InternetLink"/>
                  <w:rFonts w:ascii="Times New Roman;sans-serif" w:hAnsi="Times New Roman;sans-serif"/>
                  <w:b w:val="false"/>
                  <w:color w:val="0000FF"/>
                  <w:sz w:val="18"/>
                  <w:u w:val="single"/>
                </w:rPr>
                <w:t>31</w:t>
              </w:r>
            </w:hyperlink>
          </w:p>
        </w:tc>
      </w:tr>
      <w:tr>
        <w:trPr/>
        <w:tc>
          <w:tcPr>
            <w:tcW w:w="16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fc2bee9687a460b9c9bf6cd56a32d25_151">
              <w:r>
                <w:rPr>
                  <w:rStyle w:val="InternetLink"/>
                  <w:rFonts w:ascii="Times New Roman;sans-serif" w:hAnsi="Times New Roman;sans-serif"/>
                  <w:b w:val="false"/>
                  <w:color w:val="0000FF"/>
                  <w:sz w:val="18"/>
                  <w:u w:val="single"/>
                </w:rPr>
                <w:t>Item 4.</w:t>
              </w:r>
            </w:hyperlink>
          </w:p>
        </w:tc>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fc2bee9687a460b9c9bf6cd56a32d25_151">
              <w:r>
                <w:rPr>
                  <w:rStyle w:val="InternetLink"/>
                  <w:rFonts w:ascii="Times New Roman;sans-serif" w:hAnsi="Times New Roman;sans-serif"/>
                  <w:b w:val="false"/>
                  <w:color w:val="0000FF"/>
                  <w:sz w:val="18"/>
                  <w:u w:val="single"/>
                </w:rPr>
                <w:t>Mine Safety Disclosures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efc2bee9687a460b9c9bf6cd56a32d25_151">
              <w:r>
                <w:rPr>
                  <w:rStyle w:val="InternetLink"/>
                  <w:rFonts w:ascii="Times New Roman;sans-serif" w:hAnsi="Times New Roman;sans-serif"/>
                  <w:b w:val="false"/>
                  <w:color w:val="0000FF"/>
                  <w:sz w:val="18"/>
                  <w:u w:val="single"/>
                </w:rPr>
                <w:t>31</w:t>
              </w:r>
            </w:hyperlink>
          </w:p>
        </w:tc>
      </w:tr>
      <w:tr>
        <w:trPr/>
        <w:tc>
          <w:tcPr>
            <w:tcW w:w="16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fc2bee9687a460b9c9bf6cd56a32d25_154">
              <w:r>
                <w:rPr>
                  <w:rStyle w:val="InternetLink"/>
                  <w:rFonts w:ascii="Times New Roman;sans-serif" w:hAnsi="Times New Roman;sans-serif"/>
                  <w:b w:val="false"/>
                  <w:color w:val="0000FF"/>
                  <w:sz w:val="18"/>
                  <w:u w:val="single"/>
                </w:rPr>
                <w:t>Item 5.</w:t>
              </w:r>
            </w:hyperlink>
          </w:p>
        </w:tc>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fc2bee9687a460b9c9bf6cd56a32d25_154">
              <w:r>
                <w:rPr>
                  <w:rStyle w:val="InternetLink"/>
                  <w:rFonts w:ascii="Times New Roman;sans-serif" w:hAnsi="Times New Roman;sans-serif"/>
                  <w:b w:val="false"/>
                  <w:color w:val="0000FF"/>
                  <w:sz w:val="18"/>
                  <w:u w:val="single"/>
                </w:rPr>
                <w:t>Other Information</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efc2bee9687a460b9c9bf6cd56a32d25_154">
              <w:r>
                <w:rPr>
                  <w:rStyle w:val="InternetLink"/>
                  <w:rFonts w:ascii="Times New Roman;sans-serif" w:hAnsi="Times New Roman;sans-serif"/>
                  <w:b w:val="false"/>
                  <w:color w:val="0000FF"/>
                  <w:sz w:val="18"/>
                  <w:u w:val="single"/>
                </w:rPr>
                <w:t>31</w:t>
              </w:r>
            </w:hyperlink>
          </w:p>
        </w:tc>
      </w:tr>
      <w:tr>
        <w:trPr/>
        <w:tc>
          <w:tcPr>
            <w:tcW w:w="16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fc2bee9687a460b9c9bf6cd56a32d25_157">
              <w:r>
                <w:rPr>
                  <w:rStyle w:val="InternetLink"/>
                  <w:rFonts w:ascii="Times New Roman;sans-serif" w:hAnsi="Times New Roman;sans-serif"/>
                  <w:b w:val="false"/>
                  <w:color w:val="0000FF"/>
                  <w:sz w:val="18"/>
                  <w:u w:val="single"/>
                </w:rPr>
                <w:t>Item 6.</w:t>
              </w:r>
            </w:hyperlink>
          </w:p>
        </w:tc>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fc2bee9687a460b9c9bf6cd56a32d25_157">
              <w:r>
                <w:rPr>
                  <w:rStyle w:val="InternetLink"/>
                  <w:rFonts w:ascii="Times New Roman;sans-serif" w:hAnsi="Times New Roman;sans-serif"/>
                  <w:b w:val="false"/>
                  <w:color w:val="0000FF"/>
                  <w:sz w:val="18"/>
                  <w:u w:val="single"/>
                </w:rPr>
                <w:t>Exhibits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efc2bee9687a460b9c9bf6cd56a32d25_157">
              <w:r>
                <w:rPr>
                  <w:rStyle w:val="InternetLink"/>
                  <w:rFonts w:ascii="Times New Roman;sans-serif" w:hAnsi="Times New Roman;sans-serif"/>
                  <w:b w:val="false"/>
                  <w:color w:val="0000FF"/>
                  <w:sz w:val="18"/>
                  <w:u w:val="single"/>
                </w:rPr>
                <w:t>31</w:t>
              </w:r>
            </w:hyperlink>
          </w:p>
        </w:tc>
      </w:tr>
      <w:tr>
        <w:trPr/>
        <w:tc>
          <w:tcPr>
            <w:tcW w:w="1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fc2bee9687a460b9c9bf6cd56a32d25_160">
              <w:r>
                <w:rPr>
                  <w:rStyle w:val="InternetLink"/>
                  <w:rFonts w:ascii="Times New Roman;sans-serif" w:hAnsi="Times New Roman;sans-serif"/>
                  <w:b w:val="false"/>
                  <w:color w:val="0000FF"/>
                  <w:sz w:val="18"/>
                  <w:u w:val="single"/>
                </w:rPr>
                <w:t>SIGNATURES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efc2bee9687a460b9c9bf6cd56a32d25_160">
              <w:r>
                <w:rPr>
                  <w:rStyle w:val="InternetLink"/>
                  <w:rFonts w:ascii="Times New Roman;sans-serif" w:hAnsi="Times New Roman;sans-serif"/>
                  <w:b w:val="false"/>
                  <w:color w:val="0000FF"/>
                  <w:sz w:val="18"/>
                  <w:u w:val="single"/>
                </w:rPr>
                <w:t>32</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efc2bee9687a460b9c9bf6cd56a32d25_7">
        <w:r>
          <w:rPr>
            <w:rStyle w:val="InternetLink"/>
            <w:rFonts w:ascii="Times New Roman;sans-serif" w:hAnsi="Times New Roman;sans-serif"/>
            <w:b w:val="false"/>
            <w:i/>
            <w:color w:val="000000"/>
            <w:sz w:val="20"/>
            <w:u w:val="single"/>
          </w:rPr>
          <w:t>Table of Contents</w:t>
        </w:r>
      </w:hyperlink>
    </w:p>
    <w:p>
      <w:pPr>
        <w:pStyle w:val="TextBody"/>
        <w:bidi w:val="0"/>
        <w:spacing w:lineRule="auto" w:line="288" w:before="120" w:after="180"/>
        <w:jc w:val="center"/>
        <w:rPr>
          <w:rFonts w:ascii="Times New Roman;sans-serif" w:hAnsi="Times New Roman;sans-serif"/>
          <w:b/>
          <w:color w:val="000000"/>
          <w:sz w:val="20"/>
        </w:rPr>
      </w:pPr>
      <w:r>
        <w:rPr>
          <w:rFonts w:ascii="Times New Roman;sans-serif" w:hAnsi="Times New Roman;sans-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TELOS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w:t>
      </w:r>
    </w:p>
    <w:p>
      <w:pPr>
        <w:pStyle w:val="TextBody"/>
        <w:bidi w:val="0"/>
        <w:spacing w:lineRule="auto" w:line="288" w:before="0" w:after="180"/>
        <w:jc w:val="center"/>
        <w:rPr>
          <w:rFonts w:ascii="Times New Roman;sans-serif" w:hAnsi="Times New Roman;sans-serif"/>
          <w:b w:val="false"/>
          <w:i/>
          <w:color w:val="000000"/>
          <w:sz w:val="18"/>
        </w:rPr>
      </w:pPr>
      <w:r>
        <w:rPr>
          <w:rFonts w:ascii="Times New Roman;sans-serif" w:hAnsi="Times New Roman;sans-serif"/>
          <w:b w:val="false"/>
          <w:i/>
          <w:color w:val="000000"/>
          <w:sz w:val="18"/>
        </w:rPr>
        <w:t>(Unaudited)</w:t>
      </w:r>
    </w:p>
    <w:tbl>
      <w:tblPr>
        <w:tblW w:w="10205" w:type="dxa"/>
        <w:jc w:val="left"/>
        <w:tblInd w:w="0" w:type="dxa"/>
        <w:tblLayout w:type="fixed"/>
        <w:tblCellMar>
          <w:top w:w="28" w:type="dxa"/>
          <w:left w:w="28" w:type="dxa"/>
          <w:bottom w:w="28" w:type="dxa"/>
          <w:right w:w="28" w:type="dxa"/>
        </w:tblCellMar>
      </w:tblPr>
      <w:tblGrid>
        <w:gridCol w:w="1673"/>
        <w:gridCol w:w="1227"/>
        <w:gridCol w:w="1233"/>
        <w:gridCol w:w="257"/>
        <w:gridCol w:w="848"/>
        <w:gridCol w:w="142"/>
        <w:gridCol w:w="109"/>
        <w:gridCol w:w="109"/>
        <w:gridCol w:w="109"/>
        <w:gridCol w:w="257"/>
        <w:gridCol w:w="848"/>
        <w:gridCol w:w="142"/>
        <w:gridCol w:w="109"/>
        <w:gridCol w:w="109"/>
        <w:gridCol w:w="109"/>
        <w:gridCol w:w="245"/>
        <w:gridCol w:w="873"/>
        <w:gridCol w:w="136"/>
        <w:gridCol w:w="109"/>
        <w:gridCol w:w="109"/>
        <w:gridCol w:w="109"/>
        <w:gridCol w:w="241"/>
        <w:gridCol w:w="906"/>
        <w:gridCol w:w="196"/>
      </w:tblGrid>
      <w:tr>
        <w:trPr/>
        <w:tc>
          <w:tcPr>
            <w:tcW w:w="1673"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4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 the Nine Months Ended</w:t>
            </w:r>
          </w:p>
        </w:tc>
      </w:tr>
      <w:tr>
        <w:trPr/>
        <w:tc>
          <w:tcPr>
            <w:tcW w:w="4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30, 2022</w:t>
            </w:r>
          </w:p>
        </w:tc>
      </w:tr>
      <w:tr>
        <w:trPr/>
        <w:tc>
          <w:tcPr>
            <w:tcW w:w="4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per share amounts)</w:t>
            </w:r>
          </w:p>
        </w:tc>
      </w:tr>
      <w:tr>
        <w:trPr/>
        <w:tc>
          <w:tcPr>
            <w:tcW w:w="4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 – services</w:t>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34,385 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55,305 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94,866 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153,683 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 – products</w:t>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8,288 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9,453 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15,861 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w:t>
            </w:r>
          </w:p>
        </w:tc>
        <w:tc>
          <w:tcPr>
            <w:tcW w:w="11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36,186 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63,593 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104,319 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169,544 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sales – services (exclusive of depreciation and amortization shown separately below)</w:t>
            </w:r>
          </w:p>
        </w:tc>
        <w:tc>
          <w:tcPr>
            <w:tcW w:w="11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20,683 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36,555 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58,613 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97,311 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sales – products (exclusive of depreciation and amortization shown separately below)</w:t>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545 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5,902 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4,561 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10,886 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1,945 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cost of sales</w:t>
            </w:r>
          </w:p>
        </w:tc>
        <w:tc>
          <w:tcPr>
            <w:tcW w:w="11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23,173 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42,648 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65,465 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108,799 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11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13,013 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20,945 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38,854 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60,745 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 expenses</w:t>
            </w:r>
          </w:p>
        </w:tc>
        <w:tc>
          <w:tcPr>
            <w:tcW w:w="12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Sales and marketing </w:t>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1,728 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5,164 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13,035 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Research and development </w:t>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3,154 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3,981 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8,633 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13,900 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General and administrative </w:t>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17,824 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22,706 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57,187 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72,997 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selling, general and administrative expenses</w:t>
            </w:r>
          </w:p>
        </w:tc>
        <w:tc>
          <w:tcPr>
            <w:tcW w:w="11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22,706 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29,729 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70,984 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99,932 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loss</w:t>
            </w:r>
          </w:p>
        </w:tc>
        <w:tc>
          <w:tcPr>
            <w:tcW w:w="11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(9,693)</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(8,784)</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(32,130)</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(39,187)</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w:t>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1,222 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518 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5,367 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(611)</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before income taxes</w:t>
            </w:r>
          </w:p>
        </w:tc>
        <w:tc>
          <w:tcPr>
            <w:tcW w:w="11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(8,649)</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(8,447)</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(27,374)</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(39,097)</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taxes</w:t>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(8,672)</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(8,455)</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(27,442)</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(39,230)</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per share:</w:t>
            </w:r>
          </w:p>
        </w:tc>
        <w:tc>
          <w:tcPr>
            <w:tcW w:w="12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(0.12)</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(0.13)</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(0.40)</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(0.12)</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(0.13)</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(0.40)</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(0.58)</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shares outstanding:</w:t>
            </w:r>
          </w:p>
        </w:tc>
        <w:tc>
          <w:tcPr>
            <w:tcW w:w="12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69,571 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67,493 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69,062 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67,641 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69,571 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67,493 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69,062 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67,641 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the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efc2bee9687a460b9c9bf6cd56a32d25_7">
        <w:r>
          <w:rPr>
            <w:rStyle w:val="InternetLink"/>
            <w:rFonts w:ascii="Times New Roman;sans-serif" w:hAnsi="Times New Roman;sans-serif"/>
            <w:b w:val="false"/>
            <w:i/>
            <w:color w:val="000000"/>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TELOS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COMPREHENSIVE LOSS</w:t>
      </w:r>
    </w:p>
    <w:p>
      <w:pPr>
        <w:pStyle w:val="TextBody"/>
        <w:bidi w:val="0"/>
        <w:spacing w:lineRule="auto" w:line="288" w:before="0" w:after="180"/>
        <w:jc w:val="center"/>
        <w:rPr>
          <w:rFonts w:ascii="Times New Roman;sans-serif" w:hAnsi="Times New Roman;sans-serif"/>
          <w:b w:val="false"/>
          <w:i/>
          <w:color w:val="000000"/>
          <w:sz w:val="18"/>
        </w:rPr>
      </w:pPr>
      <w:r>
        <w:rPr>
          <w:rFonts w:ascii="Times New Roman;sans-serif" w:hAnsi="Times New Roman;sans-serif"/>
          <w:b w:val="false"/>
          <w:i/>
          <w:color w:val="000000"/>
          <w:sz w:val="18"/>
        </w:rPr>
        <w:t>(Unaudited)</w:t>
      </w:r>
    </w:p>
    <w:tbl>
      <w:tblPr>
        <w:tblW w:w="10143" w:type="dxa"/>
        <w:jc w:val="left"/>
        <w:tblInd w:w="0" w:type="dxa"/>
        <w:tblLayout w:type="fixed"/>
        <w:tblCellMar>
          <w:top w:w="28" w:type="dxa"/>
          <w:left w:w="28" w:type="dxa"/>
          <w:bottom w:w="28" w:type="dxa"/>
          <w:right w:w="28" w:type="dxa"/>
        </w:tblCellMar>
      </w:tblPr>
      <w:tblGrid>
        <w:gridCol w:w="1085"/>
        <w:gridCol w:w="951"/>
        <w:gridCol w:w="963"/>
        <w:gridCol w:w="320"/>
        <w:gridCol w:w="1032"/>
        <w:gridCol w:w="178"/>
        <w:gridCol w:w="109"/>
        <w:gridCol w:w="109"/>
        <w:gridCol w:w="109"/>
        <w:gridCol w:w="320"/>
        <w:gridCol w:w="1032"/>
        <w:gridCol w:w="178"/>
        <w:gridCol w:w="109"/>
        <w:gridCol w:w="109"/>
        <w:gridCol w:w="109"/>
        <w:gridCol w:w="292"/>
        <w:gridCol w:w="1075"/>
        <w:gridCol w:w="162"/>
        <w:gridCol w:w="109"/>
        <w:gridCol w:w="109"/>
        <w:gridCol w:w="109"/>
        <w:gridCol w:w="288"/>
        <w:gridCol w:w="1060"/>
        <w:gridCol w:w="226"/>
      </w:tblGrid>
      <w:tr>
        <w:trPr/>
        <w:tc>
          <w:tcPr>
            <w:tcW w:w="1085"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 the Nine Months Ended</w:t>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30, 2022</w:t>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(8,672)</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(8,455)</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(27,442)</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(39,230)</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 net of tax:</w:t>
            </w:r>
          </w:p>
        </w:tc>
        <w:tc>
          <w:tcPr>
            <w:tcW w:w="1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adjustments</w:t>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loss</w:t>
            </w:r>
          </w:p>
        </w:tc>
        <w:tc>
          <w:tcPr>
            <w:tcW w:w="3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(8,643)</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(8,476)</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(27,411)</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(39,233)</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the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efc2bee9687a460b9c9bf6cd56a32d25_7">
        <w:r>
          <w:rPr>
            <w:rStyle w:val="InternetLink"/>
            <w:rFonts w:ascii="Times New Roman;sans-serif" w:hAnsi="Times New Roman;sans-serif"/>
            <w:b w:val="false"/>
            <w:i/>
            <w:color w:val="000000"/>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TELOS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bidi w:val="0"/>
        <w:spacing w:lineRule="auto" w:line="288" w:before="0" w:after="180"/>
        <w:jc w:val="center"/>
        <w:rPr>
          <w:rFonts w:ascii="Times New Roman;sans-serif" w:hAnsi="Times New Roman;sans-serif"/>
          <w:b w:val="false"/>
          <w:i/>
          <w:color w:val="000000"/>
          <w:sz w:val="18"/>
        </w:rPr>
      </w:pPr>
      <w:r>
        <w:rPr>
          <w:rFonts w:ascii="Times New Roman;sans-serif" w:hAnsi="Times New Roman;sans-serif"/>
          <w:b w:val="false"/>
          <w:i/>
          <w:color w:val="000000"/>
          <w:sz w:val="18"/>
        </w:rPr>
        <w:t>(Unaudited)</w:t>
      </w:r>
    </w:p>
    <w:tbl>
      <w:tblPr>
        <w:tblW w:w="10205" w:type="dxa"/>
        <w:jc w:val="left"/>
        <w:tblInd w:w="0" w:type="dxa"/>
        <w:tblLayout w:type="fixed"/>
        <w:tblCellMar>
          <w:top w:w="28" w:type="dxa"/>
          <w:left w:w="28" w:type="dxa"/>
          <w:bottom w:w="28" w:type="dxa"/>
          <w:right w:w="28" w:type="dxa"/>
        </w:tblCellMar>
      </w:tblPr>
      <w:tblGrid>
        <w:gridCol w:w="2635"/>
        <w:gridCol w:w="2186"/>
        <w:gridCol w:w="2209"/>
        <w:gridCol w:w="262"/>
        <w:gridCol w:w="985"/>
        <w:gridCol w:w="145"/>
        <w:gridCol w:w="118"/>
        <w:gridCol w:w="118"/>
        <w:gridCol w:w="118"/>
        <w:gridCol w:w="257"/>
        <w:gridCol w:w="967"/>
        <w:gridCol w:w="205"/>
      </w:tblGrid>
      <w:tr>
        <w:trPr/>
        <w:tc>
          <w:tcPr>
            <w:tcW w:w="2635" w:type="dxa"/>
            <w:tcBorders/>
            <w:vAlign w:val="center"/>
          </w:tcPr>
          <w:p>
            <w:pPr>
              <w:pStyle w:val="TableContents"/>
              <w:bidi w:val="0"/>
              <w:spacing w:before="0" w:after="283"/>
              <w:jc w:val="left"/>
              <w:rPr>
                <w:sz w:val="4"/>
                <w:szCs w:val="4"/>
              </w:rPr>
            </w:pPr>
            <w:r>
              <w:rPr>
                <w:sz w:val="4"/>
                <w:szCs w:val="4"/>
              </w:rPr>
            </w:r>
          </w:p>
        </w:tc>
        <w:tc>
          <w:tcPr>
            <w:tcW w:w="2186" w:type="dxa"/>
            <w:tcBorders/>
            <w:vAlign w:val="center"/>
          </w:tcPr>
          <w:p>
            <w:pPr>
              <w:pStyle w:val="TableContents"/>
              <w:bidi w:val="0"/>
              <w:spacing w:before="0" w:after="283"/>
              <w:jc w:val="left"/>
              <w:rPr>
                <w:sz w:val="4"/>
                <w:szCs w:val="4"/>
              </w:rPr>
            </w:pPr>
            <w:r>
              <w:rPr>
                <w:sz w:val="4"/>
                <w:szCs w:val="4"/>
              </w:rPr>
            </w:r>
          </w:p>
        </w:tc>
        <w:tc>
          <w:tcPr>
            <w:tcW w:w="22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7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30, 2023</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December 31, 2022</w:t>
            </w:r>
          </w:p>
        </w:tc>
      </w:tr>
      <w:tr>
        <w:trPr/>
        <w:tc>
          <w:tcPr>
            <w:tcW w:w="7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per share amount and share data)</w:t>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3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99,953 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119,305 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25,424 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40,069 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Inventories, net </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984 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2,877 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8,102 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4,819 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assets</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893 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12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136,213 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167,963 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net</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4,787 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Finance lease right-of-use assets, net</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6,917 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7,832 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 net</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341 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Goodwill </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17,922 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17,922 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 net</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38,984 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37,415 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1,038 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1,137 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204,738 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237,397 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 and Stockholders' Equity:</w:t>
            </w:r>
          </w:p>
        </w:tc>
        <w:tc>
          <w:tcPr>
            <w:tcW w:w="13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Liabilities:</w:t>
            </w:r>
          </w:p>
        </w:tc>
        <w:tc>
          <w:tcPr>
            <w:tcW w:w="13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Accounts payable and other accrued liabilities </w:t>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7,457 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22,551 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compensation and benefits</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12,593 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8,388 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Contract liabilities </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5,775 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6,444 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Finance lease obligations – current portion</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1,695 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1,592 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obligations – current portion</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financing obligations – current portion</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1,247 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liabilities</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1,839 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4,919 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12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29,583 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45,502 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Finance lease obligations – non-current portion</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9,965 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11,248 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 – non-current portion</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financing obligations – non-current portion</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7,211 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Deferred income taxes </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795 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758 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Other liabilities </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12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40,717 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65,043 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Commitments and contingencies </w:t>
            </w:r>
          </w:p>
        </w:tc>
        <w:tc>
          <w:tcPr>
            <w:tcW w:w="13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Stockholders’ equity:</w:t>
            </w:r>
          </w:p>
        </w:tc>
        <w:tc>
          <w:tcPr>
            <w:tcW w:w="13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$0.001 par value, 250,000,000 shares authorized, 69,623,209 shares and 67,431,632 shares issued and outstanding as of September 30, 2023 and December 31, 2022, respectively</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431,784 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412,708 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income</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deficit</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(267,847)</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(240,405)</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stockholders’ equity</w:t>
            </w:r>
          </w:p>
        </w:tc>
        <w:tc>
          <w:tcPr>
            <w:tcW w:w="12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164,021 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172,354 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and stockholders’ equity</w:t>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204,738 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237,397 </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the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efc2bee9687a460b9c9bf6cd56a32d25_7">
        <w:r>
          <w:rPr>
            <w:rStyle w:val="InternetLink"/>
            <w:rFonts w:ascii="Times New Roman;sans-serif" w:hAnsi="Times New Roman;sans-serif"/>
            <w:b w:val="false"/>
            <w:i/>
            <w:color w:val="000000"/>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TELOS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bidi w:val="0"/>
        <w:spacing w:lineRule="auto" w:line="288" w:before="0" w:after="180"/>
        <w:jc w:val="center"/>
        <w:rPr>
          <w:rFonts w:ascii="Times New Roman;sans-serif" w:hAnsi="Times New Roman;sans-serif"/>
          <w:b w:val="false"/>
          <w:i/>
          <w:color w:val="000000"/>
          <w:sz w:val="18"/>
        </w:rPr>
      </w:pPr>
      <w:r>
        <w:rPr>
          <w:rFonts w:ascii="Times New Roman;sans-serif" w:hAnsi="Times New Roman;sans-serif"/>
          <w:b w:val="false"/>
          <w:i/>
          <w:color w:val="000000"/>
          <w:sz w:val="18"/>
        </w:rPr>
        <w:t>(Unaudited)</w:t>
      </w:r>
    </w:p>
    <w:tbl>
      <w:tblPr>
        <w:tblW w:w="8861" w:type="dxa"/>
        <w:jc w:val="left"/>
        <w:tblInd w:w="0" w:type="dxa"/>
        <w:tblLayout w:type="fixed"/>
        <w:tblCellMar>
          <w:top w:w="28" w:type="dxa"/>
          <w:left w:w="28" w:type="dxa"/>
          <w:bottom w:w="28" w:type="dxa"/>
          <w:right w:w="28" w:type="dxa"/>
        </w:tblCellMar>
      </w:tblPr>
      <w:tblGrid>
        <w:gridCol w:w="1967"/>
        <w:gridCol w:w="1724"/>
        <w:gridCol w:w="1738"/>
        <w:gridCol w:w="288"/>
        <w:gridCol w:w="1082"/>
        <w:gridCol w:w="160"/>
        <w:gridCol w:w="109"/>
        <w:gridCol w:w="109"/>
        <w:gridCol w:w="109"/>
        <w:gridCol w:w="284"/>
        <w:gridCol w:w="1068"/>
        <w:gridCol w:w="223"/>
      </w:tblGrid>
      <w:tr>
        <w:trPr/>
        <w:tc>
          <w:tcPr>
            <w:tcW w:w="1967" w:type="dxa"/>
            <w:tcBorders/>
            <w:vAlign w:val="center"/>
          </w:tcPr>
          <w:p>
            <w:pPr>
              <w:pStyle w:val="TableContents"/>
              <w:bidi w:val="0"/>
              <w:spacing w:before="0" w:after="283"/>
              <w:jc w:val="left"/>
              <w:rPr>
                <w:sz w:val="4"/>
                <w:szCs w:val="4"/>
              </w:rPr>
            </w:pPr>
            <w:r>
              <w:rPr>
                <w:sz w:val="4"/>
                <w:szCs w:val="4"/>
              </w:rPr>
            </w:r>
          </w:p>
        </w:tc>
        <w:tc>
          <w:tcPr>
            <w:tcW w:w="1724" w:type="dxa"/>
            <w:tcBorders/>
            <w:vAlign w:val="center"/>
          </w:tcPr>
          <w:p>
            <w:pPr>
              <w:pStyle w:val="TableContents"/>
              <w:bidi w:val="0"/>
              <w:spacing w:before="0" w:after="283"/>
              <w:jc w:val="left"/>
              <w:rPr>
                <w:sz w:val="4"/>
                <w:szCs w:val="4"/>
              </w:rPr>
            </w:pPr>
            <w:r>
              <w:rPr>
                <w:sz w:val="4"/>
                <w:szCs w:val="4"/>
              </w:rPr>
            </w:r>
          </w:p>
        </w:tc>
        <w:tc>
          <w:tcPr>
            <w:tcW w:w="173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5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 the Nine Months Ended</w:t>
            </w:r>
          </w:p>
        </w:tc>
      </w:tr>
      <w:tr>
        <w:trPr/>
        <w:tc>
          <w:tcPr>
            <w:tcW w:w="5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30, 2022</w:t>
            </w:r>
          </w:p>
        </w:tc>
      </w:tr>
      <w:tr>
        <w:trPr/>
        <w:tc>
          <w:tcPr>
            <w:tcW w:w="5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operating activities:</w:t>
            </w:r>
          </w:p>
        </w:tc>
        <w:tc>
          <w:tcPr>
            <w:tcW w:w="15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(27,442)</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(39,230)</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loss to cash flows from operations:</w:t>
            </w:r>
          </w:p>
        </w:tc>
        <w:tc>
          <w:tcPr>
            <w:tcW w:w="15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22,462 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48,843 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6,336 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4,427 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 provision</w:t>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Accretion of discount in acquisition holdback</w:t>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disposal of fixed assets</w:t>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doubtful accounts</w:t>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debt issuance costs</w:t>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early extinguishment of other financing obligations</w:t>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(1,427)</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other operating assets and liabilities:</w:t>
            </w:r>
          </w:p>
        </w:tc>
        <w:tc>
          <w:tcPr>
            <w:tcW w:w="1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14,517 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8,763 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Inventories</w:t>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(3,429)</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other current assets, other assets</w:t>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(4,106)</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(2,486)</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and other accrued payables</w:t>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(14,942)</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2,635 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compensation and benefits</w:t>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liabilities</w:t>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(670)</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571 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liabilities</w:t>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(2,703)</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(507)</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in)/provided by operating activities</w:t>
            </w:r>
          </w:p>
        </w:tc>
        <w:tc>
          <w:tcPr>
            <w:tcW w:w="13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(3,367)</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20,118 </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investing activities:</w:t>
            </w:r>
          </w:p>
        </w:tc>
        <w:tc>
          <w:tcPr>
            <w:tcW w:w="15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Capitalized software development costs</w:t>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(11,960)</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(8,580)</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property and equipment</w:t>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(815)</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13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(12,310)</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(9,395)</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financing activities:</w:t>
            </w:r>
          </w:p>
        </w:tc>
        <w:tc>
          <w:tcPr>
            <w:tcW w:w="15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under finance lease obligations</w:t>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(1,180)</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(1,083)</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 of tax withholding related to net share settlement of equity awards</w:t>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(1,676)</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(3,135)</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Repurchase of common stock</w:t>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(7,603)</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 of DFT holdback amount</w:t>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(564)</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for debt issuance costs</w:t>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financing activities</w:t>
            </w:r>
          </w:p>
        </w:tc>
        <w:tc>
          <w:tcPr>
            <w:tcW w:w="13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(3,673)</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(11,821)</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change in cash, cash equivalents, and restricted cash</w:t>
            </w:r>
          </w:p>
        </w:tc>
        <w:tc>
          <w:tcPr>
            <w:tcW w:w="13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(19,350)</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(1,098)</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beginning of period</w:t>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119,438 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126,562 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end of period</w:t>
            </w:r>
          </w:p>
        </w:tc>
        <w:tc>
          <w:tcPr>
            <w:tcW w:w="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100,088 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125,464 </w:t>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the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efc2bee9687a460b9c9bf6cd56a32d25_7">
        <w:r>
          <w:rPr>
            <w:rStyle w:val="InternetLink"/>
            <w:rFonts w:ascii="Times New Roman;sans-serif" w:hAnsi="Times New Roman;sans-serif"/>
            <w:b w:val="false"/>
            <w:i/>
            <w:color w:val="000000"/>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TELOS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CHANGES IN STOCKHOLDERS' EQUITY</w:t>
      </w:r>
    </w:p>
    <w:p>
      <w:pPr>
        <w:pStyle w:val="TextBody"/>
        <w:bidi w:val="0"/>
        <w:spacing w:lineRule="auto" w:line="288" w:before="0" w:after="180"/>
        <w:jc w:val="center"/>
        <w:rPr>
          <w:rFonts w:ascii="Times New Roman;sans-serif" w:hAnsi="Times New Roman;sans-serif"/>
          <w:b w:val="false"/>
          <w:i/>
          <w:color w:val="000000"/>
          <w:sz w:val="18"/>
        </w:rPr>
      </w:pPr>
      <w:r>
        <w:rPr>
          <w:rFonts w:ascii="Times New Roman;sans-serif" w:hAnsi="Times New Roman;sans-serif"/>
          <w:b w:val="false"/>
          <w:i/>
          <w:color w:val="000000"/>
          <w:sz w:val="18"/>
        </w:rPr>
        <w:t>(Unaudited)</w:t>
      </w:r>
    </w:p>
    <w:tbl>
      <w:tblPr>
        <w:tblW w:w="10205" w:type="dxa"/>
        <w:jc w:val="center"/>
        <w:tblInd w:w="0" w:type="dxa"/>
        <w:tblLayout w:type="fixed"/>
        <w:tblCellMar>
          <w:top w:w="28" w:type="dxa"/>
          <w:left w:w="28" w:type="dxa"/>
          <w:bottom w:w="28" w:type="dxa"/>
          <w:right w:w="28" w:type="dxa"/>
        </w:tblCellMar>
      </w:tblPr>
      <w:tblGrid>
        <w:gridCol w:w="988"/>
        <w:gridCol w:w="577"/>
        <w:gridCol w:w="580"/>
        <w:gridCol w:w="323"/>
        <w:gridCol w:w="323"/>
        <w:gridCol w:w="186"/>
        <w:gridCol w:w="109"/>
        <w:gridCol w:w="109"/>
        <w:gridCol w:w="109"/>
        <w:gridCol w:w="196"/>
        <w:gridCol w:w="421"/>
        <w:gridCol w:w="109"/>
        <w:gridCol w:w="109"/>
        <w:gridCol w:w="109"/>
        <w:gridCol w:w="109"/>
        <w:gridCol w:w="209"/>
        <w:gridCol w:w="787"/>
        <w:gridCol w:w="116"/>
        <w:gridCol w:w="109"/>
        <w:gridCol w:w="109"/>
        <w:gridCol w:w="109"/>
        <w:gridCol w:w="421"/>
        <w:gridCol w:w="743"/>
        <w:gridCol w:w="234"/>
        <w:gridCol w:w="109"/>
        <w:gridCol w:w="109"/>
        <w:gridCol w:w="109"/>
        <w:gridCol w:w="211"/>
        <w:gridCol w:w="827"/>
        <w:gridCol w:w="117"/>
        <w:gridCol w:w="109"/>
        <w:gridCol w:w="109"/>
        <w:gridCol w:w="109"/>
        <w:gridCol w:w="215"/>
        <w:gridCol w:w="810"/>
        <w:gridCol w:w="177"/>
      </w:tblGrid>
      <w:tr>
        <w:trPr/>
        <w:tc>
          <w:tcPr>
            <w:tcW w:w="988"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Additional 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Accumulated</w:t>
              <w:br/>
              <w:t>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Total Stockholders’</w:t>
              <w:br/>
              <w:t>Equity</w:t>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0"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June 30, 2023</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69,467 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426,656 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(259,175)</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167,536 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(8,672)</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(8,672)</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gain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stock unit awards vested, net of shares withheld to cover tax withholding</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5,218 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5,218 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September 30, 2023</w:t>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69,623 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431,784 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(267,847)</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164,021 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June 30, 2022</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67,594 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391,967 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(217,752)</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174,312 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(8,455)</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(8,455)</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loss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stock unit awards vested, net of shares withheld to cover tax withholding</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16,127 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16,127 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Repurchase of common stock</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(499)</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(4,681)</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(4,681)</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September 30, 2022</w:t>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67,300 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403,164 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w:t>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(226,207)</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177,033 </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903"/>
        <w:gridCol w:w="619"/>
        <w:gridCol w:w="622"/>
        <w:gridCol w:w="323"/>
        <w:gridCol w:w="323"/>
        <w:gridCol w:w="186"/>
        <w:gridCol w:w="109"/>
        <w:gridCol w:w="109"/>
        <w:gridCol w:w="109"/>
        <w:gridCol w:w="196"/>
        <w:gridCol w:w="421"/>
        <w:gridCol w:w="109"/>
        <w:gridCol w:w="109"/>
        <w:gridCol w:w="109"/>
        <w:gridCol w:w="109"/>
        <w:gridCol w:w="209"/>
        <w:gridCol w:w="787"/>
        <w:gridCol w:w="116"/>
        <w:gridCol w:w="109"/>
        <w:gridCol w:w="109"/>
        <w:gridCol w:w="109"/>
        <w:gridCol w:w="421"/>
        <w:gridCol w:w="743"/>
        <w:gridCol w:w="234"/>
        <w:gridCol w:w="109"/>
        <w:gridCol w:w="109"/>
        <w:gridCol w:w="109"/>
        <w:gridCol w:w="211"/>
        <w:gridCol w:w="827"/>
        <w:gridCol w:w="117"/>
        <w:gridCol w:w="109"/>
        <w:gridCol w:w="109"/>
        <w:gridCol w:w="109"/>
        <w:gridCol w:w="215"/>
        <w:gridCol w:w="810"/>
        <w:gridCol w:w="178"/>
      </w:tblGrid>
      <w:tr>
        <w:trPr/>
        <w:tc>
          <w:tcPr>
            <w:tcW w:w="903"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Additional 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Accumulated</w:t>
              <w:br/>
              <w:t>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Total Stockholders’</w:t>
              <w:br/>
              <w:t>Equity</w:t>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1"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December 31, 2022</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67,431 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412,708 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(240,405)</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172,354 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(27,442)</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(27,442)</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gain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stock unit awards vested, net of shares withheld to cover tax withholding</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(1,676)</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(1,675)</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18,811 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18,811 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for 401K match</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1,942 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September 30, 2023</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69,623 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431,784 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(267,847)</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164,021 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December 31, 2021</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66,767 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367,153 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(186,977)</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180,254 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(39,230)</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(39,230)</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loss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stock unit awards vested, net of shares withheld to cover tax withholding</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(3,136)</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(3,135)</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46,830 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46,830 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Repurchase of common stock</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(859)</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(7,683)</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(7,683)</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September 30, 2022</w:t>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67,300 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403,164 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(226,207)</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177,033 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the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efc2bee9687a460b9c9bf6cd56a32d25_7">
        <w:r>
          <w:rPr>
            <w:rStyle w:val="InternetLink"/>
            <w:rFonts w:ascii="Times New Roman;sans-serif" w:hAnsi="Times New Roman;sans-serif"/>
            <w:b w:val="false"/>
            <w:i/>
            <w:color w:val="000000"/>
            <w:sz w:val="20"/>
            <w:u w:val="single"/>
          </w:rPr>
          <w:t>Table of Contents</w:t>
        </w:r>
      </w:hyperlink>
    </w:p>
    <w:p>
      <w:pPr>
        <w:pStyle w:val="TextBody"/>
        <w:bidi w:val="0"/>
        <w:spacing w:lineRule="auto" w:line="288" w:before="120" w:after="283"/>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TELOS CORPORATION</w:t>
      </w:r>
    </w:p>
    <w:p>
      <w:pPr>
        <w:pStyle w:val="TextBody"/>
        <w:bidi w:val="0"/>
        <w:spacing w:lineRule="auto" w:line="288" w:before="0" w:after="18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NOTES TO THE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1. ORGANIZATION</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Telos Corporation, together with its subsidiaries (collectively, the "Company," "we," "our" or "Telos"), a Maryland corporation, is a leading provider of cyber, cloud and enterprise security solutions for the world's most security-conscious organizations. We own all of the issued and outstanding shares of Xacta Corporation and ubIQuity.com, inc. (a holding company for Xacta Corporation), and 100% ownership interest in Telos Identity Management Solutions, LLC ("Telos ID"), Teloworks, Inc., and Telos APAC Pte. Ltd.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2. SIGNIFICANT ACCOUNTING POLICIES</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Basis of Presentation and Principle of Consolidation</w:t>
      </w:r>
    </w:p>
    <w:p>
      <w:pPr>
        <w:pStyle w:val="TextBody"/>
        <w:bidi w:val="0"/>
        <w:spacing w:lineRule="auto" w:line="288" w:before="200" w:after="283"/>
        <w:jc w:val="left"/>
        <w:rPr/>
      </w:pPr>
      <w:r>
        <w:rPr>
          <w:rFonts w:ascii="Times New Roman;sans-serif" w:hAnsi="Times New Roman;sans-serif"/>
          <w:b w:val="false"/>
          <w:color w:val="000000"/>
          <w:sz w:val="20"/>
        </w:rPr>
        <w:t xml:space="preserve">The accompanying unaudited consolidated financial statements include the accounts of Telos and its subsidiaries (see </w:t>
      </w:r>
      <w:hyperlink w:anchor="iefc2bee9687a460b9c9bf6cd56a32d25_34">
        <w:r>
          <w:rPr>
            <w:rStyle w:val="InternetLink"/>
            <w:rFonts w:ascii="Times New Roman;sans-serif" w:hAnsi="Times New Roman;sans-serif"/>
            <w:b w:val="false"/>
            <w:color w:val="0000FF"/>
            <w:sz w:val="20"/>
            <w:u w:val="single"/>
          </w:rPr>
          <w:t>Note 1 – Organization</w:t>
        </w:r>
      </w:hyperlink>
      <w:r>
        <w:rPr>
          <w:rFonts w:ascii="Times New Roman;sans-serif" w:hAnsi="Times New Roman;sans-serif"/>
          <w:b w:val="false"/>
          <w:color w:val="000000"/>
          <w:sz w:val="20"/>
        </w:rPr>
        <w:t>), all of whose issued and outstanding share capital is wholly owned directly and indirectly by Telos Corporation. All intercompany transactions have been eliminated in consolidation.</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Basis of Presentation for Interim Periods</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Certain information and footnote disclosures normally included for the annual financial statements prepared in accordance with accounting principles generally accepted in the United States of America ("U.S. GAAP") have been condensed or omitted for the interim periods presented. We believe that the unaudited interim financial statements include all adjustments (which are normal and recurring) necessary to state fairly our financial position and the results of operations and cash flows for the periods presented.</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results of operations for the interim periods presented are not necessarily indicative of results that may be expected for the year or future periods. The financial statements should be read in conjunction with our audited consolidated financial statements and the notes thereto for the year ended December 31, 2022, included in our Annual Report on Form 10-K for the fiscal year then ended. We have continued to follow the accounting policies set forth in those financial statements.</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Basis of Comparison - Revision of Previously Issued Interim Financial Statements</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Certain prior-period amounts have been reclassified to conform to the current period presentation. In the current period, the Company reclassified and presented depreciation and amortization separately from the cost of sales line items. The reclassification had no impact on the statement of operations.</w:t>
      </w:r>
    </w:p>
    <w:p>
      <w:pPr>
        <w:pStyle w:val="TextBody"/>
        <w:bidi w:val="0"/>
        <w:spacing w:lineRule="auto" w:line="288" w:before="120" w:after="180"/>
        <w:jc w:val="left"/>
        <w:rPr/>
      </w:pPr>
      <w:r>
        <w:rPr>
          <w:rFonts w:ascii="Times New Roman;sans-serif" w:hAnsi="Times New Roman;sans-serif"/>
          <w:b w:val="false"/>
          <w:color w:val="000000"/>
          <w:sz w:val="20"/>
          <w:shd w:fill="FFFFFF" w:val="clear"/>
        </w:rPr>
        <w:t xml:space="preserve">During the course of preparing the Company's consolidated financial statements for the year ended December 31, 2022, we identified that stock-based compensation expense related to performance-based restricted stock unit (“PSU”) awards with market conditions was erroneously reversed when those PSUs were forfeited during the three and nine months ended September 30, 2022. Although the Company has determined that the error did not have a material impact on its previously issued interim consolidated financial statements, it revised the previously reported interim financial information in conjunction with the issuance of its quarterly filings on Form 10-Q for the quarter ended September 30, 2023. </w:t>
      </w:r>
      <w:r>
        <w:rPr>
          <w:rFonts w:ascii="Times New Roman;sans-serif" w:hAnsi="Times New Roman;sans-serif"/>
          <w:b w:val="false"/>
          <w:color w:val="000000"/>
          <w:sz w:val="20"/>
        </w:rPr>
        <w:t xml:space="preserve">Further information regarding the misstatements and related revisions are included under </w:t>
      </w:r>
      <w:hyperlink w:anchor="iefc2bee9687a460b9c9bf6cd56a32d25_97">
        <w:r>
          <w:rPr>
            <w:rStyle w:val="InternetLink"/>
            <w:rFonts w:ascii="Times New Roman;sans-serif" w:hAnsi="Times New Roman;sans-serif"/>
            <w:b w:val="false"/>
            <w:color w:val="0000FF"/>
            <w:sz w:val="20"/>
            <w:u w:val="single"/>
          </w:rPr>
          <w:t>Note 20 – Revision of Prior Year Interim Financial Statements</w:t>
        </w:r>
      </w:hyperlink>
      <w:r>
        <w:rPr>
          <w:color w:val="000000"/>
        </w:rPr>
        <w:t xml:space="preserve"> </w:t>
      </w:r>
      <w:r>
        <w:rPr>
          <w:rFonts w:ascii="Times New Roman;sans-serif" w:hAnsi="Times New Roman;sans-serif"/>
          <w:b w:val="false"/>
          <w:color w:val="000000"/>
          <w:sz w:val="20"/>
        </w:rPr>
        <w:t>to the unaudited consolidated financial statements.</w:t>
      </w:r>
    </w:p>
    <w:p>
      <w:pPr>
        <w:pStyle w:val="TextBody"/>
        <w:bidi w:val="0"/>
        <w:spacing w:lineRule="auto" w:line="288" w:before="20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Use of Estimates</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Preparing unaudited consolidated financial statements in conformity with U.S. GAAP requires management to make estimates and assumptions that affect the reported amounts of revenue, expenses, assets and liabilities, and disclosure of contingent assets and liabilities. The Company regularly assesses these estimates; however, actual results could differ from those estimates. We base our estimates on historical experience, currently available information, and various other assumptions that we believe are reasonable under the circumstances.</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Management evaluates these estimates and assumptions on an ongoing basis, including those relating to revenue recognition on cost estimation on certain contracts, allowance for credit losses, inventory obsolescence, valuation allowance for deferred tax assets, income taxes, certain assumptions related to stock-based compensation, valuation of intangible assets and goodwill, restructuring expenses accruals, and contingencies. Actual results could differ from those estimates. The impact of changes in estimates is recorded in the period in which they become known.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efc2bee9687a460b9c9bf6cd56a32d25_7">
        <w:r>
          <w:rPr>
            <w:rStyle w:val="InternetLink"/>
            <w:rFonts w:ascii="Times New Roman;sans-serif" w:hAnsi="Times New Roman;sans-serif"/>
            <w:b w:val="false"/>
            <w:i/>
            <w:color w:val="000000"/>
            <w:sz w:val="20"/>
            <w:u w:val="single"/>
          </w:rPr>
          <w:t>Table of Contents</w:t>
        </w:r>
      </w:hyperlink>
    </w:p>
    <w:p>
      <w:pPr>
        <w:pStyle w:val="TextBody"/>
        <w:bidi w:val="0"/>
        <w:spacing w:lineRule="auto" w:line="288" w:before="12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Stock-based Compensation</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grants stock-based compensation awards under the 2016 Omnibus Long-Term Incentive Plan, as amended (the "2016 LTIP"). Our 2016 LTIP provides for the grant of stock options, stock appreciation rights, restricted stock, restricted stock units, and dividend equivalent rights to our senior executives, directors, employees, and other eligible service providers. The stock options granted under the 2016 LTIP expire no more than 10 years after the date of grant.</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service-based restricted stock units ("RSUs") generally vest in installments over a period of up to three years from the date of grant. The PSUs vest upon the achievement of a defined performance target during a defined performance period. The fair value of each RSU award is based on the closing stock price on the date of grant, while the fair value of the PSU awards with market condition is based on using a Monte Carlo simulation.</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estimates the fair value of stock options on the date of the grant using an option pricing model. The option pricing model takes into consideration the current share price of the underlying common stock, exercise price of the option, expected term, risk-free interest rate and the volatility of share price. These considerations directly affect the amount of compensation expense that will ultimately be recognized.</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recognized these stock-based payment transactions when services from the employees, directors and other eligible service providers are received and recognized a corresponding increase in additional paid-in capital in our unaudited consolidated balance sheets. The measurement objective for these equity awards is the estimated fair value at the date of grant of the equity instruments that we are obligated to issue when the employees, directors and other eligible service providers have rendered the requisite service and satisfied any other conditions necessary to earn the right to benefit from the instruments. The stock-based compensation expense for an award is recognized ratably over the requisite service period, which is generally the vesting period or if it is probable that the performance condition will be satisfied. For the comparative periods, the stock-based payment transactions are recognized in accordance with ASC 718, "Compensation - Stock Compensation" and ASU 2018-07, "Compensation - Stock Compensation (Topic 718): Improvements to Non-employee Share-Based Payment Accounting". </w:t>
      </w:r>
    </w:p>
    <w:p>
      <w:pPr>
        <w:pStyle w:val="TextBody"/>
        <w:bidi w:val="0"/>
        <w:spacing w:lineRule="auto" w:line="288" w:before="12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Restructuring Expenses</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the fourth quarter of 2022, the Company committed to a restructuring plan to streamline its workforce and spending to better align its cost structure with its volume of business. The restructuring plan reduced the Company's workforce, with a majority of the affected employees separating from the business in early 2023. In connection with this restructuring plan, we incurred restructuring-related costs, including employee severance and related benefit costs. Employee severance and related benefit costs include cash payments, outplacement services and continuing health insurance coverage. Severance costs pursuant to ongoing-benefit arrangements are recognized when probable and reasonably estimated. Other related costs include external consulting and advisory fees related to implementing the restructuring plan. These costs are recognized at fair value in the period in which the costs are incurred.</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the Company's Annual Report on Form 10-K for the year ended December 31, 2022, the Company estimated that the expected restructuring expenses were $2.8 million as of December 31, 2022. In early 2023, the Company updated its total expected restructuring plan costs to $4.0 million, based on the Company's review of the restructuring plan for the remainder of 2023. The restructuring expenses are recorded under "Selling, general and administrative expenses" in the Company's unaudited consolidated statements of operations.</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At each reporting date, the Company evaluates its restructuring expense accrual to determine if the liabilities reported are still appropriate. Any changes in the estimated costs of executing the approved restructuring plan are reflected in the Company's unaudited consolidated statement of operations.</w:t>
      </w:r>
    </w:p>
    <w:tbl>
      <w:tblPr>
        <w:tblW w:w="9020" w:type="dxa"/>
        <w:jc w:val="left"/>
        <w:tblInd w:w="0" w:type="dxa"/>
        <w:tblLayout w:type="fixed"/>
        <w:tblCellMar>
          <w:top w:w="28" w:type="dxa"/>
          <w:left w:w="28" w:type="dxa"/>
          <w:bottom w:w="28" w:type="dxa"/>
          <w:right w:w="28" w:type="dxa"/>
        </w:tblCellMar>
      </w:tblPr>
      <w:tblGrid>
        <w:gridCol w:w="838"/>
        <w:gridCol w:w="736"/>
        <w:gridCol w:w="736"/>
        <w:gridCol w:w="848"/>
        <w:gridCol w:w="2406"/>
        <w:gridCol w:w="471"/>
        <w:gridCol w:w="109"/>
        <w:gridCol w:w="109"/>
        <w:gridCol w:w="109"/>
        <w:gridCol w:w="393"/>
        <w:gridCol w:w="814"/>
        <w:gridCol w:w="218"/>
        <w:gridCol w:w="109"/>
        <w:gridCol w:w="109"/>
        <w:gridCol w:w="109"/>
        <w:gridCol w:w="196"/>
        <w:gridCol w:w="556"/>
        <w:gridCol w:w="154"/>
      </w:tblGrid>
      <w:tr>
        <w:trPr/>
        <w:tc>
          <w:tcPr>
            <w:tcW w:w="838"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240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3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Table 2: Summary of Changes in Restructuring Expenses Accrual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18"/>
              </w:rPr>
              <w:t xml:space="preserve">Severance and related benefit costs </w:t>
            </w:r>
            <w:r>
              <w:rPr>
                <w:rFonts w:ascii="Times New Roman;sans-serif" w:hAnsi="Times New Roman;sans-serif"/>
                <w:b w:val="false"/>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Other related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Total</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December 31, 2022</w:t>
            </w:r>
          </w:p>
        </w:tc>
        <w:tc>
          <w:tcPr>
            <w:tcW w:w="8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2,763 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(Adjustments)/charges</w:t>
            </w:r>
          </w:p>
        </w:tc>
        <w:tc>
          <w:tcPr>
            <w:tcW w:w="3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1,300 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payments</w:t>
            </w:r>
          </w:p>
        </w:tc>
        <w:tc>
          <w:tcPr>
            <w:tcW w:w="3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(1,981)</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(1,300)</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September 30, 2023</w:t>
            </w:r>
          </w:p>
        </w:tc>
        <w:tc>
          <w:tcPr>
            <w:tcW w:w="8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679 </w:t>
            </w:r>
          </w:p>
        </w:tc>
        <w:tc>
          <w:tcPr>
            <w:tcW w:w="4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jc w:val="left"/>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 xml:space="preserve">Restructuring-related liabilities are reported as part of "Other current liabilities" in the Company's unaudited consolidated balance sheets, see </w:t>
      </w:r>
      <w:hyperlink w:anchor="iefc2bee9687a460b9c9bf6cd56a32d25_61">
        <w:r>
          <w:rPr>
            <w:rStyle w:val="InternetLink"/>
            <w:rFonts w:ascii="Times New Roman;sans-serif" w:hAnsi="Times New Roman;sans-serif"/>
            <w:b w:val="false"/>
            <w:color w:val="0000FF"/>
            <w:sz w:val="16"/>
            <w:u w:val="single"/>
          </w:rPr>
          <w:t>Note 9 - Other Balance Sheet Components</w:t>
        </w:r>
      </w:hyperlink>
      <w:r>
        <w:rPr>
          <w:color w:val="000000"/>
        </w:rPr>
        <w:t xml:space="preserve"> </w:t>
      </w:r>
      <w:r>
        <w:rPr>
          <w:rFonts w:ascii="Times New Roman;sans-serif" w:hAnsi="Times New Roman;sans-serif"/>
          <w:b w:val="false"/>
          <w:color w:val="000000"/>
          <w:sz w:val="16"/>
        </w:rPr>
        <w:t>for further details.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efc2bee9687a460b9c9bf6cd56a32d25_7">
        <w:r>
          <w:rPr>
            <w:rStyle w:val="InternetLink"/>
            <w:rFonts w:ascii="Times New Roman;sans-serif" w:hAnsi="Times New Roman;sans-serif"/>
            <w:b w:val="false"/>
            <w:i/>
            <w:color w:val="000000"/>
            <w:sz w:val="20"/>
            <w:u w:val="single"/>
          </w:rPr>
          <w:t>Table of Contents</w:t>
        </w:r>
      </w:hyperlink>
    </w:p>
    <w:p>
      <w:pPr>
        <w:pStyle w:val="TextBody"/>
        <w:bidi w:val="0"/>
        <w:spacing w:lineRule="auto" w:line="288" w:before="20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Recent Accounting Pronouncements</w:t>
      </w:r>
    </w:p>
    <w:p>
      <w:pPr>
        <w:pStyle w:val="TextBody"/>
        <w:bidi w:val="0"/>
        <w:spacing w:lineRule="auto" w:line="288" w:before="200" w:after="180"/>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new accounting standards are issued by the Financial Accounting Standards Board or other standard-setting bodies and are adopted by the Company as of the specified accounting date. Unless otherwise discussed, the Company believes that issued standards not yet effective will not have a material effect on its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3. REVENUE RECOGNITION</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account for revenue in accordance with ASC Topic 606, "Revenue from Contracts with Customers." The unit of account in ASC 606 is a performance obligation, which is a promise in a contract with a customer to transfer a good or service to the customer.</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majority of our revenue is recognized over time, as control is transferred continuously to our customers, who receive and consume benefits as we perform. Revenue transferred to customers over time accounted for 89% of our revenue for the three and nine months ended September 30, 2023, and 87% and 91% of our revenue for the three and nine months ended September 30, 2022, respectively. All of our business groups earn services revenue under a variety of contract types, including time and materials, firm-fixed price, firm-fixed price level of effort, and cost-plus fixed fee contract types, which may include variable consideration.</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For performance obligations in which control does not continuously transfer to the customer, we recognize revenue at the point in time in which each performance obligation is fully satisfied. This coincides with the point in time the customer obtains control of the product or service, which typically occurs upon customer acceptance or receipt of the product or service, given that we maintain control of the product or service until that point. Revenue transferred to customers at a point in time accounted for 11% of our revenue for the three and nine months ended September 30, 2023, and 13% and 9% of our revenue for the three and nine months ended September 30, 2022, respectively.</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Orders for the sale of software licenses may contain multiple performance obligations, such as maintenance, training, or consulting services, which are typically delivered over time, consistent with the transfer of control disclosed above for the provision of services. When an order contains multiple performance obligations, we allocate the transaction price to the performance obligations based on the standalone selling price of the product or service underlying each performance obligation. The standalone selling price represents the amount we would sell the product or service to a customer on a standalone basis.</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For certain performance obligations where we are not primarily responsible for fulfilling the promise to provide the goods or services to the customer, do not have inventory risk and have limited discretion in establishing the price for the goods or services, we recognize revenue on a net basis.</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provide for anticipated losses on contracts during the period when the loss is determined by recording an expense for the total expected costs that exceed the total estimated revenue for a performance obligation. No contract losses were recorded during the three and nine months ended September 30, 2023, and 2022.</w:t>
      </w:r>
    </w:p>
    <w:p>
      <w:pPr>
        <w:pStyle w:val="TextBody"/>
        <w:bidi w:val="0"/>
        <w:spacing w:lineRule="auto" w:line="288" w:before="12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Disaggregated Revenues</w:t>
      </w:r>
    </w:p>
    <w:p>
      <w:pPr>
        <w:pStyle w:val="TextBody"/>
        <w:bidi w:val="0"/>
        <w:spacing w:lineRule="auto" w:line="288" w:before="120" w:after="180"/>
        <w:jc w:val="left"/>
        <w:rPr/>
      </w:pPr>
      <w:r>
        <w:rPr>
          <w:rFonts w:ascii="Times New Roman;sans-serif" w:hAnsi="Times New Roman;sans-serif"/>
          <w:b w:val="false"/>
          <w:color w:val="000000"/>
          <w:sz w:val="20"/>
        </w:rPr>
        <w:t xml:space="preserve">In addition to our segment reporting, as further discussed in </w:t>
      </w:r>
      <w:hyperlink w:anchor="iefc2bee9687a460b9c9bf6cd56a32d25_88">
        <w:r>
          <w:rPr>
            <w:rStyle w:val="InternetLink"/>
            <w:rFonts w:ascii="Times New Roman;sans-serif" w:hAnsi="Times New Roman;sans-serif"/>
            <w:b w:val="false"/>
            <w:color w:val="0000FF"/>
            <w:sz w:val="20"/>
            <w:u w:val="single"/>
          </w:rPr>
          <w:t>Note 17 – Segment Information</w:t>
        </w:r>
      </w:hyperlink>
      <w:r>
        <w:rPr>
          <w:rFonts w:ascii="Times New Roman;sans-serif" w:hAnsi="Times New Roman;sans-serif"/>
          <w:b w:val="false"/>
          <w:color w:val="000000"/>
          <w:sz w:val="20"/>
        </w:rPr>
        <w:t>, we disaggregate our revenues by customer and contract types. We treat sales to U.S. customers as sales within the U.S., regardless of where the services are performed. Most of our revenues are generated from U.S. customers, while international customers are de minimis; as such, the financial information by geographic location is not presented.</w:t>
      </w:r>
    </w:p>
    <w:tbl>
      <w:tblPr>
        <w:tblW w:w="10205" w:type="dxa"/>
        <w:jc w:val="left"/>
        <w:tblInd w:w="0" w:type="dxa"/>
        <w:tblLayout w:type="fixed"/>
        <w:tblCellMar>
          <w:top w:w="28" w:type="dxa"/>
          <w:left w:w="28" w:type="dxa"/>
          <w:bottom w:w="28" w:type="dxa"/>
          <w:right w:w="28" w:type="dxa"/>
        </w:tblCellMar>
      </w:tblPr>
      <w:tblGrid>
        <w:gridCol w:w="580"/>
        <w:gridCol w:w="507"/>
        <w:gridCol w:w="515"/>
        <w:gridCol w:w="196"/>
        <w:gridCol w:w="646"/>
        <w:gridCol w:w="109"/>
        <w:gridCol w:w="109"/>
        <w:gridCol w:w="109"/>
        <w:gridCol w:w="109"/>
        <w:gridCol w:w="189"/>
        <w:gridCol w:w="189"/>
        <w:gridCol w:w="193"/>
        <w:gridCol w:w="109"/>
        <w:gridCol w:w="109"/>
        <w:gridCol w:w="109"/>
        <w:gridCol w:w="196"/>
        <w:gridCol w:w="646"/>
        <w:gridCol w:w="109"/>
        <w:gridCol w:w="109"/>
        <w:gridCol w:w="109"/>
        <w:gridCol w:w="109"/>
        <w:gridCol w:w="189"/>
        <w:gridCol w:w="189"/>
        <w:gridCol w:w="193"/>
        <w:gridCol w:w="109"/>
        <w:gridCol w:w="109"/>
        <w:gridCol w:w="109"/>
        <w:gridCol w:w="196"/>
        <w:gridCol w:w="736"/>
        <w:gridCol w:w="109"/>
        <w:gridCol w:w="109"/>
        <w:gridCol w:w="109"/>
        <w:gridCol w:w="109"/>
        <w:gridCol w:w="189"/>
        <w:gridCol w:w="189"/>
        <w:gridCol w:w="193"/>
        <w:gridCol w:w="109"/>
        <w:gridCol w:w="109"/>
        <w:gridCol w:w="109"/>
        <w:gridCol w:w="196"/>
        <w:gridCol w:w="736"/>
        <w:gridCol w:w="109"/>
        <w:gridCol w:w="109"/>
        <w:gridCol w:w="109"/>
        <w:gridCol w:w="109"/>
        <w:gridCol w:w="180"/>
        <w:gridCol w:w="180"/>
        <w:gridCol w:w="257"/>
      </w:tblGrid>
      <w:tr>
        <w:trPr/>
        <w:tc>
          <w:tcPr>
            <w:tcW w:w="580"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r>
      <w:tr>
        <w:trPr/>
        <w:tc>
          <w:tcPr>
            <w:tcW w:w="10205" w:type="dxa"/>
            <w:gridSpan w:val="48"/>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Table 3.1: Revenue by Customer Type</w:t>
            </w:r>
          </w:p>
        </w:tc>
      </w:tr>
      <w:tr>
        <w:trPr/>
        <w:tc>
          <w:tcPr>
            <w:tcW w:w="16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5" w:type="dxa"/>
            <w:gridSpan w:val="21"/>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 the Three Months Ended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1" w:type="dxa"/>
            <w:gridSpan w:val="21"/>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 the Nine Months Ended</w:t>
            </w:r>
          </w:p>
        </w:tc>
      </w:tr>
      <w:tr>
        <w:trPr/>
        <w:tc>
          <w:tcPr>
            <w:tcW w:w="1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30, 2022</w:t>
            </w:r>
          </w:p>
        </w:tc>
      </w:tr>
      <w:tr>
        <w:trPr/>
        <w:tc>
          <w:tcPr>
            <w:tcW w:w="1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3"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r>
      <w:tr>
        <w:trPr/>
        <w:tc>
          <w:tcPr>
            <w:tcW w:w="16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Federal</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95 %</w:t>
            </w:r>
          </w:p>
        </w:tc>
      </w:tr>
      <w:tr>
        <w:trPr/>
        <w:tc>
          <w:tcPr>
            <w:tcW w:w="1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State &amp; local, and commercial</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r>
      <w:tr>
        <w:trPr/>
        <w:tc>
          <w:tcPr>
            <w:tcW w:w="16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63,593 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104,319 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169,544 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efc2bee9687a460b9c9bf6cd56a32d25_7">
        <w:r>
          <w:rPr>
            <w:rStyle w:val="InternetLink"/>
            <w:rFonts w:ascii="Times New Roman;sans-serif" w:hAnsi="Times New Roman;sans-serif"/>
            <w:b w:val="false"/>
            <w:i/>
            <w:color w:val="000000"/>
            <w:sz w:val="20"/>
            <w:u w:val="single"/>
          </w:rPr>
          <w:t>Table of Contents</w:t>
        </w:r>
      </w:hyperlink>
    </w:p>
    <w:tbl>
      <w:tblPr>
        <w:tblW w:w="10088" w:type="dxa"/>
        <w:jc w:val="left"/>
        <w:tblInd w:w="0" w:type="dxa"/>
        <w:tblLayout w:type="fixed"/>
        <w:tblCellMar>
          <w:top w:w="28" w:type="dxa"/>
          <w:left w:w="28" w:type="dxa"/>
          <w:bottom w:w="28" w:type="dxa"/>
          <w:right w:w="28" w:type="dxa"/>
        </w:tblCellMar>
      </w:tblPr>
      <w:tblGrid>
        <w:gridCol w:w="538"/>
        <w:gridCol w:w="472"/>
        <w:gridCol w:w="476"/>
        <w:gridCol w:w="196"/>
        <w:gridCol w:w="646"/>
        <w:gridCol w:w="109"/>
        <w:gridCol w:w="109"/>
        <w:gridCol w:w="109"/>
        <w:gridCol w:w="109"/>
        <w:gridCol w:w="189"/>
        <w:gridCol w:w="189"/>
        <w:gridCol w:w="193"/>
        <w:gridCol w:w="109"/>
        <w:gridCol w:w="109"/>
        <w:gridCol w:w="109"/>
        <w:gridCol w:w="196"/>
        <w:gridCol w:w="646"/>
        <w:gridCol w:w="109"/>
        <w:gridCol w:w="109"/>
        <w:gridCol w:w="109"/>
        <w:gridCol w:w="109"/>
        <w:gridCol w:w="189"/>
        <w:gridCol w:w="189"/>
        <w:gridCol w:w="193"/>
        <w:gridCol w:w="109"/>
        <w:gridCol w:w="109"/>
        <w:gridCol w:w="109"/>
        <w:gridCol w:w="196"/>
        <w:gridCol w:w="736"/>
        <w:gridCol w:w="109"/>
        <w:gridCol w:w="109"/>
        <w:gridCol w:w="109"/>
        <w:gridCol w:w="109"/>
        <w:gridCol w:w="189"/>
        <w:gridCol w:w="189"/>
        <w:gridCol w:w="193"/>
        <w:gridCol w:w="109"/>
        <w:gridCol w:w="109"/>
        <w:gridCol w:w="109"/>
        <w:gridCol w:w="196"/>
        <w:gridCol w:w="736"/>
        <w:gridCol w:w="109"/>
        <w:gridCol w:w="109"/>
        <w:gridCol w:w="109"/>
        <w:gridCol w:w="109"/>
        <w:gridCol w:w="180"/>
        <w:gridCol w:w="180"/>
        <w:gridCol w:w="256"/>
      </w:tblGrid>
      <w:tr>
        <w:trPr/>
        <w:tc>
          <w:tcPr>
            <w:tcW w:w="5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10088" w:type="dxa"/>
            <w:gridSpan w:val="48"/>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Table 3.2: Revenue by Contract Type</w:t>
            </w:r>
          </w:p>
        </w:tc>
      </w:tr>
      <w:tr>
        <w:trPr/>
        <w:tc>
          <w:tcPr>
            <w:tcW w:w="1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5" w:type="dxa"/>
            <w:gridSpan w:val="21"/>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 the Three Months Ended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0" w:type="dxa"/>
            <w:gridSpan w:val="21"/>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 the Nine Months Ended</w:t>
            </w:r>
          </w:p>
        </w:tc>
      </w:tr>
      <w:tr>
        <w:trPr/>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30, 2022</w:t>
            </w:r>
          </w:p>
        </w:tc>
      </w:tr>
      <w:tr>
        <w:trPr/>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2"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r>
      <w:tr>
        <w:trPr/>
        <w:tc>
          <w:tcPr>
            <w:tcW w:w="1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Firm fixed-price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140,636 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83 %</w:t>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Time-and-materials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r>
      <w:tr>
        <w:trPr/>
        <w:tc>
          <w:tcPr>
            <w:tcW w:w="1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plus fixed-fee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63,593 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104,319 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169,544 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r>
    </w:tbl>
    <w:tbl>
      <w:tblPr>
        <w:tblW w:w="10205" w:type="dxa"/>
        <w:jc w:val="left"/>
        <w:tblInd w:w="0" w:type="dxa"/>
        <w:tblLayout w:type="fixed"/>
        <w:tblCellMar>
          <w:top w:w="28" w:type="dxa"/>
          <w:left w:w="28" w:type="dxa"/>
          <w:bottom w:w="28" w:type="dxa"/>
          <w:right w:w="28" w:type="dxa"/>
        </w:tblCellMar>
      </w:tblPr>
      <w:tblGrid>
        <w:gridCol w:w="916"/>
        <w:gridCol w:w="806"/>
        <w:gridCol w:w="812"/>
        <w:gridCol w:w="475"/>
        <w:gridCol w:w="475"/>
        <w:gridCol w:w="476"/>
        <w:gridCol w:w="220"/>
        <w:gridCol w:w="220"/>
        <w:gridCol w:w="220"/>
        <w:gridCol w:w="475"/>
        <w:gridCol w:w="475"/>
        <w:gridCol w:w="476"/>
        <w:gridCol w:w="209"/>
        <w:gridCol w:w="209"/>
        <w:gridCol w:w="209"/>
        <w:gridCol w:w="475"/>
        <w:gridCol w:w="475"/>
        <w:gridCol w:w="476"/>
        <w:gridCol w:w="209"/>
        <w:gridCol w:w="209"/>
        <w:gridCol w:w="209"/>
        <w:gridCol w:w="431"/>
        <w:gridCol w:w="431"/>
        <w:gridCol w:w="617"/>
      </w:tblGrid>
      <w:tr>
        <w:trPr/>
        <w:tc>
          <w:tcPr>
            <w:tcW w:w="916"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Table 3.3: Revenue Concentration Greater than 10% of Total Revenue</w:t>
            </w:r>
          </w:p>
        </w:tc>
      </w:tr>
      <w:tr>
        <w:trPr/>
        <w:tc>
          <w:tcPr>
            <w:tcW w:w="2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 the Three Months Ended</w:t>
            </w:r>
          </w:p>
        </w:tc>
        <w:tc>
          <w:tcPr>
            <w:tcW w:w="6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 the Nine Months Ended</w:t>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30, 2023</w:t>
            </w:r>
          </w:p>
        </w:tc>
        <w:tc>
          <w:tcPr>
            <w:tcW w:w="6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30, 2022</w:t>
            </w:r>
          </w:p>
        </w:tc>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30, 2023</w:t>
            </w:r>
          </w:p>
        </w:tc>
        <w:tc>
          <w:tcPr>
            <w:tcW w:w="6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30, 2022</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Department of Defense ("DoD")</w:t>
            </w:r>
          </w:p>
        </w:tc>
        <w:tc>
          <w:tcPr>
            <w:tcW w:w="14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61%</w:t>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77 %</w:t>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65%</w:t>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74 %</w:t>
            </w:r>
          </w:p>
        </w:tc>
      </w:tr>
    </w:tbl>
    <w:tbl>
      <w:tblPr>
        <w:tblW w:w="7956" w:type="dxa"/>
        <w:jc w:val="left"/>
        <w:tblInd w:w="0" w:type="dxa"/>
        <w:tblLayout w:type="fixed"/>
        <w:tblCellMar>
          <w:top w:w="28" w:type="dxa"/>
          <w:left w:w="28" w:type="dxa"/>
          <w:bottom w:w="28" w:type="dxa"/>
          <w:right w:w="28" w:type="dxa"/>
        </w:tblCellMar>
      </w:tblPr>
      <w:tblGrid>
        <w:gridCol w:w="803"/>
        <w:gridCol w:w="707"/>
        <w:gridCol w:w="709"/>
        <w:gridCol w:w="669"/>
        <w:gridCol w:w="669"/>
        <w:gridCol w:w="671"/>
        <w:gridCol w:w="109"/>
        <w:gridCol w:w="109"/>
        <w:gridCol w:w="109"/>
        <w:gridCol w:w="315"/>
        <w:gridCol w:w="1039"/>
        <w:gridCol w:w="175"/>
        <w:gridCol w:w="109"/>
        <w:gridCol w:w="109"/>
        <w:gridCol w:w="109"/>
        <w:gridCol w:w="304"/>
        <w:gridCol w:w="1002"/>
        <w:gridCol w:w="239"/>
      </w:tblGrid>
      <w:tr>
        <w:trPr/>
        <w:tc>
          <w:tcPr>
            <w:tcW w:w="803"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7956"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Table 3.4: Contract Balances</w:t>
            </w:r>
          </w:p>
        </w:tc>
      </w:tr>
      <w:tr>
        <w:trPr/>
        <w:tc>
          <w:tcPr>
            <w:tcW w:w="22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Balance Sheet Presentation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December 31, 2022</w:t>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Billed accounts receivables </w:t>
            </w:r>
            <w:r>
              <w:rPr>
                <w:rFonts w:ascii="Times New Roman;sans-serif" w:hAnsi="Times New Roman;sans-serif"/>
                <w:b w:val="false"/>
                <w:color w:val="000000"/>
                <w:sz w:val="12"/>
              </w:rPr>
              <w:t>(1)</w:t>
            </w:r>
          </w:p>
        </w:tc>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12,355 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13,521 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Unbilled accounts receivable</w:t>
            </w:r>
          </w:p>
        </w:tc>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Accounts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7,211 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11,657 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assets</w:t>
            </w:r>
          </w:p>
        </w:tc>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5,858 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14,891 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liabilities</w:t>
            </w:r>
          </w:p>
        </w:tc>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Contract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5,775 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6,444 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jc w:val="left"/>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Net of allowance for credit losses.</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change in the Company's contract assets and contract liabilities during the current period was primarily the result of the timing differences between the Company's performance, invoicing and customer payments. Revenue recognized for the three and nine months ended September 30, 2023, that was included in the contract liabilities balance at the beginning of each reporting period was $1.2 million and $5.3 million, respectively. Revenue recognized for the three and nine months ended September 30, 2022, that was included in the contract liabilities balance at the beginning of each reporting period was $0.9 million and $5.0 million, respectively.</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2023, we had approximately $79.0 million of remaining performance obligations, which we also refer to as funded backlog. We expect to recognize approximately 84% of our remaining performance obligations over the next 12 months, and the balance thereafter.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4. ACCOUNTS RECEIVABLE, NET</w:t>
      </w:r>
    </w:p>
    <w:tbl>
      <w:tblPr>
        <w:tblW w:w="5766" w:type="dxa"/>
        <w:jc w:val="left"/>
        <w:tblInd w:w="0" w:type="dxa"/>
        <w:tblLayout w:type="fixed"/>
        <w:tblCellMar>
          <w:top w:w="28" w:type="dxa"/>
          <w:left w:w="28" w:type="dxa"/>
          <w:bottom w:w="28" w:type="dxa"/>
          <w:right w:w="28" w:type="dxa"/>
        </w:tblCellMar>
      </w:tblPr>
      <w:tblGrid>
        <w:gridCol w:w="814"/>
        <w:gridCol w:w="717"/>
        <w:gridCol w:w="719"/>
        <w:gridCol w:w="315"/>
        <w:gridCol w:w="1040"/>
        <w:gridCol w:w="175"/>
        <w:gridCol w:w="147"/>
        <w:gridCol w:w="147"/>
        <w:gridCol w:w="147"/>
        <w:gridCol w:w="304"/>
        <w:gridCol w:w="1003"/>
        <w:gridCol w:w="238"/>
      </w:tblGrid>
      <w:tr>
        <w:trPr/>
        <w:tc>
          <w:tcPr>
            <w:tcW w:w="814"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5766"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Table 4: Details of Accounts Receivable, Net</w:t>
            </w:r>
          </w:p>
        </w:tc>
      </w:tr>
      <w:tr>
        <w:trPr/>
        <w:tc>
          <w:tcPr>
            <w:tcW w:w="22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30, 2023</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December 31, 2022</w:t>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Billed accounts receivable</w:t>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12,614 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13,655 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Unbilled accounts receivable</w:t>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7,211 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11,657 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assets</w:t>
            </w:r>
          </w:p>
        </w:tc>
        <w:tc>
          <w:tcPr>
            <w:tcW w:w="13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5,858 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14,891 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Allowance for credit losses </w:t>
            </w:r>
            <w:r>
              <w:rPr>
                <w:rFonts w:ascii="Times New Roman;sans-serif" w:hAnsi="Times New Roman;sans-serif"/>
                <w:b w:val="false"/>
                <w:color w:val="000000"/>
                <w:sz w:val="12"/>
              </w:rPr>
              <w:t>(1)</w:t>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w:t>
            </w:r>
          </w:p>
        </w:tc>
        <w:tc>
          <w:tcPr>
            <w:tcW w:w="3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25,424 </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40,069 </w:t>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jc w:val="left"/>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Includes provision for credit losses, net of recoveries.</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As our primary customer base includes agencies of the U.S. government, we have a concentration of credit risk associated with our accounts receivable, as 91% of our billed and unbilled accounts receivable as of September 30, 2023, were directly with U.S. government customers. While we acknowledge the potential material and adverse risk of such a significant concentration of credit risk, our past experience collecting substantially all of such receivables provides us with an informed basis that such risk, if any, is manageable. We perform ongoing credit evaluations of all of our customers and generally do not require collateral or other guarantee from our customers. We maintain allowances for potential losses.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efc2bee9687a460b9c9bf6cd56a32d25_7">
        <w:r>
          <w:rPr>
            <w:rStyle w:val="InternetLink"/>
            <w:rFonts w:ascii="Times New Roman;sans-serif" w:hAnsi="Times New Roman;sans-serif"/>
            <w:b w:val="false"/>
            <w:i/>
            <w:color w:val="000000"/>
            <w:sz w:val="20"/>
            <w:u w:val="single"/>
          </w:rPr>
          <w:t>Table of Contents</w:t>
        </w:r>
      </w:hyperlink>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5. INVENTORIES, NET</w:t>
      </w:r>
    </w:p>
    <w:tbl>
      <w:tblPr>
        <w:tblW w:w="6234" w:type="dxa"/>
        <w:jc w:val="left"/>
        <w:tblInd w:w="0" w:type="dxa"/>
        <w:tblLayout w:type="fixed"/>
        <w:tblCellMar>
          <w:top w:w="28" w:type="dxa"/>
          <w:left w:w="28" w:type="dxa"/>
          <w:bottom w:w="28" w:type="dxa"/>
          <w:right w:w="28" w:type="dxa"/>
        </w:tblCellMar>
      </w:tblPr>
      <w:tblGrid>
        <w:gridCol w:w="1026"/>
        <w:gridCol w:w="903"/>
        <w:gridCol w:w="905"/>
        <w:gridCol w:w="348"/>
        <w:gridCol w:w="988"/>
        <w:gridCol w:w="193"/>
        <w:gridCol w:w="109"/>
        <w:gridCol w:w="109"/>
        <w:gridCol w:w="109"/>
        <w:gridCol w:w="334"/>
        <w:gridCol w:w="948"/>
        <w:gridCol w:w="262"/>
      </w:tblGrid>
      <w:tr>
        <w:trPr/>
        <w:tc>
          <w:tcPr>
            <w:tcW w:w="102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Table 5: Details of Inventories, Net</w:t>
            </w:r>
          </w:p>
        </w:tc>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December 31, 2022</w:t>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inventory</w:t>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1,749 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3,642 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Allowance for inventory obsolescence</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(765)</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(765)</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Inventories, net</w:t>
            </w:r>
          </w:p>
        </w:tc>
        <w:tc>
          <w:tcPr>
            <w:tcW w:w="3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984 </w:t>
            </w:r>
          </w:p>
        </w:tc>
        <w:tc>
          <w:tcPr>
            <w:tcW w:w="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2,877 </w:t>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6. PROPERTY AND EQUIPMENT, NET</w:t>
      </w:r>
    </w:p>
    <w:tbl>
      <w:tblPr>
        <w:tblW w:w="6743" w:type="dxa"/>
        <w:jc w:val="left"/>
        <w:tblInd w:w="0" w:type="dxa"/>
        <w:tblLayout w:type="fixed"/>
        <w:tblCellMar>
          <w:top w:w="28" w:type="dxa"/>
          <w:left w:w="28" w:type="dxa"/>
          <w:bottom w:w="28" w:type="dxa"/>
          <w:right w:w="28" w:type="dxa"/>
        </w:tblCellMar>
      </w:tblPr>
      <w:tblGrid>
        <w:gridCol w:w="1145"/>
        <w:gridCol w:w="1006"/>
        <w:gridCol w:w="1013"/>
        <w:gridCol w:w="315"/>
        <w:gridCol w:w="1040"/>
        <w:gridCol w:w="175"/>
        <w:gridCol w:w="168"/>
        <w:gridCol w:w="168"/>
        <w:gridCol w:w="168"/>
        <w:gridCol w:w="304"/>
        <w:gridCol w:w="1003"/>
        <w:gridCol w:w="238"/>
      </w:tblGrid>
      <w:tr>
        <w:trPr/>
        <w:tc>
          <w:tcPr>
            <w:tcW w:w="1145"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6743"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Table 6.1: Details of Property and Equipment, Net</w:t>
            </w:r>
          </w:p>
        </w:tc>
      </w:tr>
      <w:tr>
        <w:trPr/>
        <w:tc>
          <w:tcPr>
            <w:tcW w:w="31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30, 2023</w:t>
            </w:r>
          </w:p>
        </w:tc>
        <w:tc>
          <w:tcPr>
            <w:tcW w:w="5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December 31, 2022</w:t>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Furniture and equipment</w:t>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15,659 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16,033 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Leasehold improvement</w:t>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3,211 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3,145 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at cost</w:t>
            </w:r>
          </w:p>
        </w:tc>
        <w:tc>
          <w:tcPr>
            <w:tcW w:w="13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18,870 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19,178 </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depreciation and amortization</w:t>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(15,480)</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(14,391)</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net</w:t>
            </w:r>
          </w:p>
        </w:tc>
        <w:tc>
          <w:tcPr>
            <w:tcW w:w="3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3,390 </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4,787 </w:t>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949" w:type="dxa"/>
        <w:jc w:val="left"/>
        <w:tblInd w:w="0" w:type="dxa"/>
        <w:tblLayout w:type="fixed"/>
        <w:tblCellMar>
          <w:top w:w="28" w:type="dxa"/>
          <w:left w:w="28" w:type="dxa"/>
          <w:bottom w:w="28" w:type="dxa"/>
          <w:right w:w="28" w:type="dxa"/>
        </w:tblCellMar>
      </w:tblPr>
      <w:tblGrid>
        <w:gridCol w:w="988"/>
        <w:gridCol w:w="869"/>
        <w:gridCol w:w="872"/>
        <w:gridCol w:w="413"/>
        <w:gridCol w:w="888"/>
        <w:gridCol w:w="229"/>
        <w:gridCol w:w="132"/>
        <w:gridCol w:w="132"/>
        <w:gridCol w:w="132"/>
        <w:gridCol w:w="413"/>
        <w:gridCol w:w="888"/>
        <w:gridCol w:w="229"/>
        <w:gridCol w:w="109"/>
        <w:gridCol w:w="109"/>
        <w:gridCol w:w="109"/>
        <w:gridCol w:w="347"/>
        <w:gridCol w:w="989"/>
        <w:gridCol w:w="193"/>
        <w:gridCol w:w="111"/>
        <w:gridCol w:w="111"/>
        <w:gridCol w:w="111"/>
        <w:gridCol w:w="340"/>
        <w:gridCol w:w="968"/>
        <w:gridCol w:w="267"/>
      </w:tblGrid>
      <w:tr>
        <w:trPr/>
        <w:tc>
          <w:tcPr>
            <w:tcW w:w="988"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r>
      <w:tr>
        <w:trPr/>
        <w:tc>
          <w:tcPr>
            <w:tcW w:w="9949" w:type="dxa"/>
            <w:gridSpan w:val="24"/>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Table 6.2: Depreciation and Amortization Expense</w:t>
            </w:r>
          </w:p>
        </w:tc>
      </w:tr>
      <w:tr>
        <w:trPr/>
        <w:tc>
          <w:tcPr>
            <w:tcW w:w="27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 the Three Months Ended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 the Nine Months Ended</w:t>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30, 2023</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30, 2023</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30, 2022</w:t>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&amp; amortization expense</w:t>
            </w:r>
          </w:p>
        </w:tc>
        <w:tc>
          <w:tcPr>
            <w:tcW w:w="4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548 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619 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1,700 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1,776 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both"/>
        <w:rPr>
          <w:rFonts w:ascii="Times New Roman;sans-serif" w:hAnsi="Times New Roman;sans-serif"/>
          <w:b w:val="false"/>
          <w:color w:val="000000"/>
          <w:sz w:val="20"/>
        </w:rPr>
      </w:pPr>
      <w:r>
        <w:rPr>
          <w:rFonts w:ascii="Times New Roman;sans-serif" w:hAnsi="Times New Roman;sans-serif"/>
          <w:b w:val="false"/>
          <w:color w:val="000000"/>
          <w:sz w:val="20"/>
        </w:rPr>
        <w:t>7. GOODWILL</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goodwill balance was $17.9 million as of September 30, 2023, and December 31, 2022, of which $3.0 million is allocated to the Security Solutions segment and $14.9 million is allocated to the Secure Networks segment. Goodwill is subject to annual impairment tests and if triggering events are present in the interim before the annual tests, we will assess impairment. No impairment charges to goodwill were recorded for the three and nine months ended September 30, 2023 and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8. INTANGIBLE ASSETS, NET</w:t>
      </w:r>
    </w:p>
    <w:tbl>
      <w:tblPr>
        <w:tblW w:w="10205" w:type="dxa"/>
        <w:jc w:val="left"/>
        <w:tblInd w:w="0" w:type="dxa"/>
        <w:tblLayout w:type="fixed"/>
        <w:tblCellMar>
          <w:top w:w="28" w:type="dxa"/>
          <w:left w:w="28" w:type="dxa"/>
          <w:bottom w:w="28" w:type="dxa"/>
          <w:right w:w="28" w:type="dxa"/>
        </w:tblCellMar>
      </w:tblPr>
      <w:tblGrid>
        <w:gridCol w:w="497"/>
        <w:gridCol w:w="345"/>
        <w:gridCol w:w="347"/>
        <w:gridCol w:w="295"/>
        <w:gridCol w:w="295"/>
        <w:gridCol w:w="297"/>
        <w:gridCol w:w="218"/>
        <w:gridCol w:w="719"/>
        <w:gridCol w:w="121"/>
        <w:gridCol w:w="109"/>
        <w:gridCol w:w="109"/>
        <w:gridCol w:w="109"/>
        <w:gridCol w:w="219"/>
        <w:gridCol w:w="804"/>
        <w:gridCol w:w="122"/>
        <w:gridCol w:w="109"/>
        <w:gridCol w:w="109"/>
        <w:gridCol w:w="109"/>
        <w:gridCol w:w="209"/>
        <w:gridCol w:w="691"/>
        <w:gridCol w:w="116"/>
        <w:gridCol w:w="109"/>
        <w:gridCol w:w="109"/>
        <w:gridCol w:w="109"/>
        <w:gridCol w:w="218"/>
        <w:gridCol w:w="719"/>
        <w:gridCol w:w="121"/>
        <w:gridCol w:w="109"/>
        <w:gridCol w:w="109"/>
        <w:gridCol w:w="109"/>
        <w:gridCol w:w="256"/>
        <w:gridCol w:w="747"/>
        <w:gridCol w:w="143"/>
        <w:gridCol w:w="109"/>
        <w:gridCol w:w="109"/>
        <w:gridCol w:w="109"/>
        <w:gridCol w:w="209"/>
        <w:gridCol w:w="688"/>
        <w:gridCol w:w="174"/>
      </w:tblGrid>
      <w:tr>
        <w:trPr/>
        <w:tc>
          <w:tcPr>
            <w:tcW w:w="497"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10205" w:type="dxa"/>
            <w:gridSpan w:val="3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Table 8.1: Details of Intangible Assets, Net</w:t>
            </w:r>
          </w:p>
        </w:tc>
      </w:tr>
      <w:tr>
        <w:trPr/>
        <w:tc>
          <w:tcPr>
            <w:tcW w:w="11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December 31, 2022</w:t>
            </w:r>
          </w:p>
        </w:tc>
      </w:tr>
      <w:tr>
        <w:trPr/>
        <w:tc>
          <w:tcPr>
            <w:tcW w:w="1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Estimated Useful Life</w:t>
            </w:r>
          </w:p>
        </w:tc>
        <w:tc>
          <w:tcPr>
            <w:tcW w:w="10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Net 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Net Carrying Value</w:t>
            </w:r>
          </w:p>
        </w:tc>
      </w:tr>
      <w:tr>
        <w:trPr/>
        <w:tc>
          <w:tcPr>
            <w:tcW w:w="1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years)</w:t>
            </w:r>
          </w:p>
        </w:tc>
        <w:tc>
          <w:tcPr>
            <w:tcW w:w="8129"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r>
      <w:tr>
        <w:trPr/>
        <w:tc>
          <w:tcPr>
            <w:tcW w:w="1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Acquired technology</w:t>
            </w:r>
          </w:p>
        </w:tc>
        <w:tc>
          <w:tcPr>
            <w:tcW w:w="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3,630 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(983)</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3,630 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(643)</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2,987 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relationship</w:t>
            </w:r>
          </w:p>
        </w:tc>
        <w:tc>
          <w:tcPr>
            <w:tcW w:w="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Software development costs </w:t>
            </w:r>
            <w:r>
              <w:rPr>
                <w:rFonts w:ascii="Times New Roman;sans-serif" w:hAnsi="Times New Roman;sans-serif"/>
                <w:b w:val="false"/>
                <w:color w:val="000000"/>
                <w:sz w:val="12"/>
              </w:rPr>
              <w:t>(1)</w:t>
            </w:r>
          </w:p>
        </w:tc>
        <w:tc>
          <w:tcPr>
            <w:tcW w:w="8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2 - 5</w:t>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46,729 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(10,403)</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36,326 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35,080 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(7,793)</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27,287 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Subtotal</w:t>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50,399 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(11,415)</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38,984 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38,750 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(8,455)</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30,295 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Software held for resale </w:t>
            </w:r>
            <w:r>
              <w:rPr>
                <w:rFonts w:ascii="Times New Roman;sans-serif" w:hAnsi="Times New Roman;sans-serif"/>
                <w:b w:val="false"/>
                <w:color w:val="000000"/>
                <w:sz w:val="12"/>
              </w:rPr>
              <w:t>(2)</w:t>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7,120 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7,120 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50,399 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(11,415)</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38,984 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45,870 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(8,455)</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37,415 </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jc w:val="left"/>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An impairment charge of $0.3 million was recorded against software development costs in the third quarter of 2023 related to the write-off of a certain software project.</w:t>
      </w:r>
    </w:p>
    <w:p>
      <w:pPr>
        <w:pStyle w:val="TextBody"/>
        <w:bidi w:val="0"/>
        <w:spacing w:lineRule="auto" w:line="288" w:before="120" w:after="180"/>
        <w:jc w:val="left"/>
        <w:rPr/>
      </w:pPr>
      <w:r>
        <w:rPr>
          <w:rFonts w:ascii="Times New Roman;sans-serif" w:hAnsi="Times New Roman;sans-serif"/>
          <w:b w:val="false"/>
          <w:color w:val="000000"/>
          <w:sz w:val="10"/>
        </w:rPr>
        <w:t>(2)</w:t>
      </w:r>
      <w:r>
        <w:rPr>
          <w:color w:val="000000"/>
        </w:rPr>
        <w:t xml:space="preserve"> </w:t>
      </w:r>
      <w:r>
        <w:rPr>
          <w:rFonts w:ascii="Times New Roman;sans-serif" w:hAnsi="Times New Roman;sans-serif"/>
          <w:b w:val="false"/>
          <w:color w:val="000000"/>
          <w:sz w:val="16"/>
        </w:rPr>
        <w:t xml:space="preserve">This amount is net of $0.6 million charged into cost for sales for the period ended December 31, 2022. See </w:t>
      </w:r>
      <w:hyperlink w:anchor="iefc2bee9687a460b9c9bf6cd56a32d25_64">
        <w:r>
          <w:rPr>
            <w:rStyle w:val="InternetLink"/>
            <w:rFonts w:ascii="Times New Roman;sans-serif" w:hAnsi="Times New Roman;sans-serif"/>
            <w:b w:val="false"/>
            <w:color w:val="0000FF"/>
            <w:sz w:val="16"/>
            <w:u w:val="single"/>
          </w:rPr>
          <w:t>Note 10 – Debt and Other Obligations</w:t>
        </w:r>
      </w:hyperlink>
      <w:r>
        <w:rPr>
          <w:color w:val="000000"/>
        </w:rPr>
        <w:t xml:space="preserve"> </w:t>
      </w:r>
      <w:r>
        <w:rPr>
          <w:rFonts w:ascii="Times New Roman;sans-serif" w:hAnsi="Times New Roman;sans-serif"/>
          <w:b w:val="false"/>
          <w:color w:val="000000"/>
          <w:sz w:val="16"/>
        </w:rPr>
        <w:t xml:space="preserve">for related details. </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evaluates its intangible assets for potential impairment whenever there is evidence that events or changes in circumstances indicate that the carrying value may not be recoverable. As a result of the interim assessment, the Company identified conditions demonstrating an impairment of certain software development costs. An impairment charge of $0.3 million was recorded under "Research and Development" expenses in the Company's unaudited consolidated statements of operations for the three and nine months ended September 30, 2023. No similar impairment charges were recorded during the three and nine months ended September 30,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efc2bee9687a460b9c9bf6cd56a32d25_7">
        <w:r>
          <w:rPr>
            <w:rStyle w:val="InternetLink"/>
            <w:rFonts w:ascii="Times New Roman;sans-serif" w:hAnsi="Times New Roman;sans-serif"/>
            <w:b w:val="false"/>
            <w:i/>
            <w:color w:val="000000"/>
            <w:sz w:val="20"/>
            <w:u w:val="single"/>
          </w:rPr>
          <w:t>Table of Contents</w:t>
        </w:r>
      </w:hyperlink>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No impairment charges were recorded on other intangible assets during the three and nine months ended September 30, 2023, and 2022.</w:t>
      </w:r>
    </w:p>
    <w:tbl>
      <w:tblPr>
        <w:tblW w:w="10205" w:type="dxa"/>
        <w:jc w:val="left"/>
        <w:tblInd w:w="0" w:type="dxa"/>
        <w:tblLayout w:type="fixed"/>
        <w:tblCellMar>
          <w:top w:w="28" w:type="dxa"/>
          <w:left w:w="28" w:type="dxa"/>
          <w:bottom w:w="28" w:type="dxa"/>
          <w:right w:w="28" w:type="dxa"/>
        </w:tblCellMar>
      </w:tblPr>
      <w:tblGrid>
        <w:gridCol w:w="1286"/>
        <w:gridCol w:w="1118"/>
        <w:gridCol w:w="1123"/>
        <w:gridCol w:w="319"/>
        <w:gridCol w:w="906"/>
        <w:gridCol w:w="177"/>
        <w:gridCol w:w="120"/>
        <w:gridCol w:w="120"/>
        <w:gridCol w:w="120"/>
        <w:gridCol w:w="378"/>
        <w:gridCol w:w="812"/>
        <w:gridCol w:w="210"/>
        <w:gridCol w:w="109"/>
        <w:gridCol w:w="109"/>
        <w:gridCol w:w="109"/>
        <w:gridCol w:w="318"/>
        <w:gridCol w:w="907"/>
        <w:gridCol w:w="177"/>
        <w:gridCol w:w="110"/>
        <w:gridCol w:w="110"/>
        <w:gridCol w:w="110"/>
        <w:gridCol w:w="312"/>
        <w:gridCol w:w="890"/>
        <w:gridCol w:w="255"/>
      </w:tblGrid>
      <w:tr>
        <w:trPr/>
        <w:tc>
          <w:tcPr>
            <w:tcW w:w="128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Table 8.2: Amortization Expense</w:t>
            </w:r>
          </w:p>
        </w:tc>
      </w:tr>
      <w:tr>
        <w:trPr/>
        <w:tc>
          <w:tcPr>
            <w:tcW w:w="35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 the Three Months Ended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 the Nine Months Ended</w:t>
            </w:r>
          </w:p>
        </w:tc>
      </w:tr>
      <w:tr>
        <w:trPr/>
        <w:tc>
          <w:tcPr>
            <w:tcW w:w="3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30, 2023</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30, 2023</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30, 2022</w:t>
            </w:r>
          </w:p>
        </w:tc>
      </w:tr>
      <w:tr>
        <w:trPr/>
        <w:tc>
          <w:tcPr>
            <w:tcW w:w="3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r>
      <w:tr>
        <w:trPr/>
        <w:tc>
          <w:tcPr>
            <w:tcW w:w="35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expense related to:</w:t>
            </w:r>
          </w:p>
        </w:tc>
        <w:tc>
          <w:tcPr>
            <w:tcW w:w="1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Software development costs - cost of sales </w:t>
            </w:r>
            <w:r>
              <w:rPr>
                <w:rFonts w:ascii="Times New Roman;sans-serif" w:hAnsi="Times New Roman;sans-serif"/>
                <w:b w:val="false"/>
                <w:color w:val="000000"/>
                <w:sz w:val="12"/>
              </w:rPr>
              <w:t>(1)</w:t>
            </w:r>
            <w:r>
              <w:rPr>
                <w:color w:val="000000"/>
              </w:rPr>
              <w:t xml:space="preserve"> </w:t>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1,767 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1,767 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Software development costs - research and development</w:t>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843 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1,034 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intangible assets - general and administrative</w:t>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1,865 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471 </w:t>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2,960 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1,318 </w:t>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jc w:val="left"/>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 xml:space="preserve">Amortization expense for software development costs related to assets to be sold, leased, or otherwise marketed are charged under cost of sales on the unaudited consolidated statements of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9. OTHER BALANCE SHEET COMPONENTS</w:t>
      </w:r>
    </w:p>
    <w:tbl>
      <w:tblPr>
        <w:tblW w:w="8036" w:type="dxa"/>
        <w:jc w:val="left"/>
        <w:tblInd w:w="0" w:type="dxa"/>
        <w:tblLayout w:type="fixed"/>
        <w:tblCellMar>
          <w:top w:w="28" w:type="dxa"/>
          <w:left w:w="28" w:type="dxa"/>
          <w:bottom w:w="28" w:type="dxa"/>
          <w:right w:w="28" w:type="dxa"/>
        </w:tblCellMar>
      </w:tblPr>
      <w:tblGrid>
        <w:gridCol w:w="1210"/>
        <w:gridCol w:w="1062"/>
        <w:gridCol w:w="1072"/>
        <w:gridCol w:w="421"/>
        <w:gridCol w:w="1195"/>
        <w:gridCol w:w="234"/>
        <w:gridCol w:w="234"/>
        <w:gridCol w:w="234"/>
        <w:gridCol w:w="234"/>
        <w:gridCol w:w="421"/>
        <w:gridCol w:w="1388"/>
        <w:gridCol w:w="331"/>
      </w:tblGrid>
      <w:tr>
        <w:trPr/>
        <w:tc>
          <w:tcPr>
            <w:tcW w:w="1210"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8036"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Table 9.1: Details of Accounts Payable and Other Accrued Liabilities</w:t>
            </w:r>
          </w:p>
        </w:tc>
      </w:tr>
      <w:tr>
        <w:trPr/>
        <w:tc>
          <w:tcPr>
            <w:tcW w:w="33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30, 2023</w:t>
            </w:r>
          </w:p>
        </w:tc>
        <w:tc>
          <w:tcPr>
            <w:tcW w:w="7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December 31, 2022</w:t>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2,761 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12,606 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payables</w:t>
            </w:r>
          </w:p>
        </w:tc>
        <w:tc>
          <w:tcPr>
            <w:tcW w:w="1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4,696 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9,945 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and other accrued liabilities</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7,457 </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22,551 </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5873" w:type="dxa"/>
        <w:jc w:val="left"/>
        <w:tblInd w:w="0" w:type="dxa"/>
        <w:tblLayout w:type="fixed"/>
        <w:tblCellMar>
          <w:top w:w="28" w:type="dxa"/>
          <w:left w:w="28" w:type="dxa"/>
          <w:bottom w:w="28" w:type="dxa"/>
          <w:right w:w="28" w:type="dxa"/>
        </w:tblCellMar>
      </w:tblPr>
      <w:tblGrid>
        <w:gridCol w:w="835"/>
        <w:gridCol w:w="735"/>
        <w:gridCol w:w="739"/>
        <w:gridCol w:w="348"/>
        <w:gridCol w:w="989"/>
        <w:gridCol w:w="193"/>
        <w:gridCol w:w="163"/>
        <w:gridCol w:w="163"/>
        <w:gridCol w:w="163"/>
        <w:gridCol w:w="334"/>
        <w:gridCol w:w="949"/>
        <w:gridCol w:w="262"/>
      </w:tblGrid>
      <w:tr>
        <w:trPr/>
        <w:tc>
          <w:tcPr>
            <w:tcW w:w="83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5873"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Table 9.2: Details of Other Current Liabilities</w:t>
            </w:r>
          </w:p>
        </w:tc>
      </w:tr>
      <w:tr>
        <w:trPr/>
        <w:tc>
          <w:tcPr>
            <w:tcW w:w="23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30, 2023</w:t>
            </w:r>
          </w:p>
        </w:tc>
        <w:tc>
          <w:tcPr>
            <w:tcW w:w="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December 31, 2022</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accrued expenses</w:t>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736 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1,530 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Restructuring expenses accrual</w:t>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679 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2,763 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424 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626 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liabilities</w:t>
            </w:r>
          </w:p>
        </w:tc>
        <w:tc>
          <w:tcPr>
            <w:tcW w:w="3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1,839 </w:t>
            </w:r>
          </w:p>
        </w:tc>
        <w:tc>
          <w:tcPr>
            <w:tcW w:w="1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4,919 </w:t>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10. DEBT AND OTHER OBLIGATIONS</w:t>
      </w:r>
    </w:p>
    <w:p>
      <w:pPr>
        <w:pStyle w:val="TextBody"/>
        <w:bidi w:val="0"/>
        <w:spacing w:lineRule="auto" w:line="288" w:before="12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Revolving Credit Facility</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On December 30, 2022, we entered into a Credit Agreement (the "Credit Agreement"), by and among the Company, as borrower, Xacta Corporation, ubIQuity.com, inc, Teloworks, Inc., and Telos Identity Management Solutions, LLC, as guarantors, the lenders party thereto (the "Lenders"), and JPMorgan Chase Bank N.A., as administrative agent for the Lenders (in such capacity, the "Agent"). The Credit Agreement provides for a $30.0 million senior secured revolving credit facility with a maturity date of December 30, 2025, with the option of issuing letters of credit thereunder with a sub-limit of $5.0 million, and with an uncommitted expansion feature of up to $30.0 million of additional revolver capacity (the "Loan"). The Loan is subject to acceleration in the event of customary events of default. The Company has not drawn any amount under the Loan.</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Borrowings under the Credit Agreement will accrue interest, at our option, at one of three variable rates, plus a specified margin. We can elect to borrow at (i) the Alternative Base Rate, plus 0.9%; (ii) Adjusted Daily Simple Secured Overnight Financing Rate ("SOFR"), plus 1.9%; and (iii) Adjusted Term SOFR, plus 1.9%, as such capitalized terms are defined and calculated in the Credit Agreement. The Company may elect to convert borrowings from one type of borrowing to another type per the terms of the Credit Agreement. After the occurrence and during the continuance of any event of default, the interest rate may increase by an additional 2.0%. We are obligated to pay accrued interest (i) with respect to amounts accruing interest based on the Alternative Base Rate, each calendar quarter and on the maturity date, (ii) with respect to amounts accruing interest based on Adjusted Daily Simple SOFR, on each one-month anniversary of the borrowing and on the maturity date, and (iii) with respect to amounts accruing interest based on Adjusted Term SOFR, at the end of the period specified per the Credit Agreement and on the maturity date. Upon five, three, or one day's prior notice, as applicable, we may prepay any portion or the entire amount of the Loan. We also paid costs and customary fees, including a closing fee, commitment fees and letter of credit participation fee, if any, payable to the Agent and Lenders, as applicable, in connection with the Loan.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efc2bee9687a460b9c9bf6cd56a32d25_7">
        <w:r>
          <w:rPr>
            <w:rStyle w:val="InternetLink"/>
            <w:rFonts w:ascii="Times New Roman;sans-serif" w:hAnsi="Times New Roman;sans-serif"/>
            <w:b w:val="false"/>
            <w:i/>
            <w:color w:val="000000"/>
            <w:sz w:val="20"/>
            <w:u w:val="single"/>
          </w:rPr>
          <w:t>Table of Contents</w:t>
        </w:r>
      </w:hyperlink>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Loan under the Credit Agreement is collateralized by substantially all of the Company's assets, including the Company's pledge of its domestic and material foreign subsidiary equity interests.</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Loan has various covenants that may, among other things, affect our ability to create, incur, assume or suffer any indebtedness, merge into or consolidate with another entity, acquire entity interests, sell or transfer certain assets, enter into certain arrangements (such as sale and leaseback and swap agreements) or restrictive agreements, pay dividends and make certain restricted payments, and amend material documents related to any subordinated indebtedness and corporate agreements. The Credit Agreement also requires certain financial covenants to maintain a Senior Leverage Ratio (as defined in the Credit Agreement) on the last day of any fiscal quarter, no greater than 3-to-1. We were in compliance with all covenants as of September 30, 2023.</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occurrence of an event of default under the Credit Agreement could result in the Loan and other obligations becoming immediately due and payable and allow the Lenders to exercise all rights and remedies available to them under the Credit Agreement.</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On April 12, 2023, the Credit Agreement was amended to exclude from collateral the (i) amount collectible from a third party related to an Accounts Receivable Purchase Agreement and (ii) receivables generated by the Company from the sale of goods supplied to this third party in an amount not to exceed $25.0 million.</w:t>
      </w:r>
    </w:p>
    <w:p>
      <w:pPr>
        <w:pStyle w:val="TextBody"/>
        <w:bidi w:val="0"/>
        <w:spacing w:lineRule="auto" w:line="288" w:before="12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Other Financing Obligations</w:t>
      </w:r>
    </w:p>
    <w:p>
      <w:pPr>
        <w:pStyle w:val="TextBody"/>
        <w:bidi w:val="0"/>
        <w:spacing w:lineRule="auto" w:line="288" w:before="120" w:after="180"/>
        <w:jc w:val="left"/>
        <w:rPr/>
      </w:pPr>
      <w:r>
        <w:rPr>
          <w:rFonts w:ascii="Times New Roman;sans-serif" w:hAnsi="Times New Roman;sans-serif"/>
          <w:b w:val="false"/>
          <w:color w:val="000000"/>
          <w:sz w:val="20"/>
        </w:rPr>
        <w:t xml:space="preserve">We entered into a Master Purchase Agreement ("MPA") with a third-party buyer ("Buyer") for $9.1 million relating to software licenses under a specific delivery order ("DO") with our customer, resulting in proceeds from other financing obligations of $9.1 million in November 2022. Under the MPA, we sold, assigned and transferred all of our rights, title and interest in (i) the DO payments from the customer and (ii) the underlying licenses. The DO covers a base period with an option for the customer to exercise three additional 12-month periods through January 2026. The DO payments assigned to the Buyer are billable to the customer at the beginning of the base period and for each option year exercised. The underlying licenses were acquired for resale, see </w:t>
      </w:r>
      <w:hyperlink w:anchor="iefc2bee9687a460b9c9bf6cd56a32d25_58">
        <w:r>
          <w:rPr>
            <w:rStyle w:val="InternetLink"/>
            <w:rFonts w:ascii="Times New Roman;sans-serif" w:hAnsi="Times New Roman;sans-serif"/>
            <w:b w:val="false"/>
            <w:color w:val="0000FF"/>
            <w:sz w:val="20"/>
            <w:u w:val="single"/>
          </w:rPr>
          <w:t>Note 8 – Intangible Assets, net</w:t>
        </w:r>
      </w:hyperlink>
      <w:r>
        <w:rPr>
          <w:color w:val="000000"/>
        </w:rPr>
        <w:t xml:space="preserve"> </w:t>
      </w:r>
      <w:r>
        <w:rPr>
          <w:rFonts w:ascii="Times New Roman;sans-serif" w:hAnsi="Times New Roman;sans-serif"/>
          <w:b w:val="false"/>
          <w:color w:val="000000"/>
          <w:sz w:val="20"/>
        </w:rPr>
        <w:t>for further details.</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9, 2023, the customer notified us that it would not exercise the first option period under the DO. The MPA provides that, if the customer terminates the DO for non-renewal and the Buyer reasonably concludes that the customer's actions constitute grounds for filing a claim with the customer's contracting officer, the Buyer and Telos will cooperate in preparing such a claim, which would be filed in Telos' name. The Buyer has notified Telos of its intent to pursue a claim against the customer.</w:t>
      </w:r>
    </w:p>
    <w:p>
      <w:pPr>
        <w:pStyle w:val="TextBody"/>
        <w:bidi w:val="0"/>
        <w:spacing w:lineRule="auto" w:line="288" w:before="120" w:after="180"/>
        <w:jc w:val="left"/>
        <w:rPr/>
      </w:pPr>
      <w:r>
        <w:rPr>
          <w:rFonts w:ascii="Times New Roman;sans-serif" w:hAnsi="Times New Roman;sans-serif"/>
          <w:b w:val="false"/>
          <w:color w:val="000000"/>
          <w:sz w:val="20"/>
        </w:rPr>
        <w:t xml:space="preserve">Concurrently, the Company transferred all the rights, title and interest in the underlying licenses in exchange for the extinguishment of the outstanding financing obligations. The Company evaluated the transfer of the underlying licenses as consideration paid for the outstanding financing obligations under ASC 470-10, </w:t>
      </w:r>
      <w:r>
        <w:rPr>
          <w:rFonts w:ascii="Times New Roman;sans-serif" w:hAnsi="Times New Roman;sans-serif"/>
          <w:b w:val="false"/>
          <w:i/>
          <w:color w:val="000000"/>
          <w:sz w:val="20"/>
        </w:rPr>
        <w:t>Debt</w:t>
      </w:r>
      <w:r>
        <w:rPr>
          <w:rFonts w:ascii="Times New Roman;sans-serif" w:hAnsi="Times New Roman;sans-serif"/>
          <w:b w:val="false"/>
          <w:color w:val="000000"/>
          <w:sz w:val="20"/>
        </w:rPr>
        <w:t>, and the provisions of the MPA, and concluded that the transaction resulted in an extinguishment of debt. The Company recorded the difference between the carrying value of the Company's debt instrument and the underlying licenses as a gain on early extinguishment of other financing obligations. No gain was reported for the three months ended September 30, 2023. For the nine months ended September 30, 2023, the Company reported a gain of $1.4 million, which was recorded as "Other income" in the unaudited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11. ACQUISITION</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On July 30, 2021, the Company acquired the assets of Diamond Fortress Technologies ("DFT") and wholly-owned subsidiaries for a total purchase consideration of $6.7 million, inclusive of $0.3 million related to a pre-existing contractual arrangement with DFT. Upon closing, $5.9 million of cash was paid with an additional $0.6 million payable to DFT 18 months after the close date (the "holdback"). The holdback amount has been discounted to its present value of $0.5 million using a discount rate relevant to the acquisition. On February 2, 2023, the Company paid DFT the holdback amount of $0.6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efc2bee9687a460b9c9bf6cd56a32d25_7">
        <w:r>
          <w:rPr>
            <w:rStyle w:val="InternetLink"/>
            <w:rFonts w:ascii="Times New Roman;sans-serif" w:hAnsi="Times New Roman;sans-serif"/>
            <w:b w:val="false"/>
            <w:i/>
            <w:color w:val="000000"/>
            <w:sz w:val="20"/>
            <w:u w:val="single"/>
          </w:rPr>
          <w:t>Table of Contents</w:t>
        </w:r>
      </w:hyperlink>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12. STOCK-BASED COMPENSATION</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 recognized for restricted stock units and stock options granted to employees and non-employees is included in the consolidated statement of operations. There were no income tax benefits recognized on the stock-based compensation expense for both periods.</w:t>
      </w:r>
    </w:p>
    <w:tbl>
      <w:tblPr>
        <w:tblW w:w="9395" w:type="dxa"/>
        <w:jc w:val="left"/>
        <w:tblInd w:w="0" w:type="dxa"/>
        <w:tblLayout w:type="fixed"/>
        <w:tblCellMar>
          <w:top w:w="28" w:type="dxa"/>
          <w:left w:w="28" w:type="dxa"/>
          <w:bottom w:w="28" w:type="dxa"/>
          <w:right w:w="28" w:type="dxa"/>
        </w:tblCellMar>
      </w:tblPr>
      <w:tblGrid>
        <w:gridCol w:w="798"/>
        <w:gridCol w:w="702"/>
        <w:gridCol w:w="704"/>
        <w:gridCol w:w="347"/>
        <w:gridCol w:w="990"/>
        <w:gridCol w:w="193"/>
        <w:gridCol w:w="114"/>
        <w:gridCol w:w="114"/>
        <w:gridCol w:w="114"/>
        <w:gridCol w:w="314"/>
        <w:gridCol w:w="1041"/>
        <w:gridCol w:w="175"/>
        <w:gridCol w:w="114"/>
        <w:gridCol w:w="114"/>
        <w:gridCol w:w="114"/>
        <w:gridCol w:w="314"/>
        <w:gridCol w:w="1041"/>
        <w:gridCol w:w="175"/>
        <w:gridCol w:w="114"/>
        <w:gridCol w:w="114"/>
        <w:gridCol w:w="114"/>
        <w:gridCol w:w="309"/>
        <w:gridCol w:w="1023"/>
        <w:gridCol w:w="243"/>
      </w:tblGrid>
      <w:tr>
        <w:trPr/>
        <w:tc>
          <w:tcPr>
            <w:tcW w:w="798"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r>
      <w:tr>
        <w:trPr/>
        <w:tc>
          <w:tcPr>
            <w:tcW w:w="9395" w:type="dxa"/>
            <w:gridSpan w:val="24"/>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Table 12.1: Details of Stock Compensation Expense by Department</w:t>
            </w:r>
          </w:p>
        </w:tc>
      </w:tr>
      <w:tr>
        <w:trPr/>
        <w:tc>
          <w:tcPr>
            <w:tcW w:w="22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 the Three Months Ended</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 the Nine Months Ended</w:t>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30, 2023</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30, 2022</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30, 2023</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30, 2022</w:t>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sales – services</w:t>
            </w:r>
          </w:p>
        </w:tc>
        <w:tc>
          <w:tcPr>
            <w:tcW w:w="3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929 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624 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2,798 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Sales and marketing</w:t>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611 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3,699 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897 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1,945 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2,884 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8"/>
              </w:rPr>
              <w:t xml:space="preserve">General and administrative </w:t>
            </w:r>
            <w:r>
              <w:rPr>
                <w:rFonts w:ascii="Times New Roman;sans-serif" w:hAnsi="Times New Roman;sans-serif"/>
                <w:b w:val="false"/>
                <w:color w:val="000000"/>
                <w:sz w:val="12"/>
              </w:rPr>
              <w:t>(1)</w:t>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4,793 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13,399 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19,768 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39,462 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5,218 </w:t>
            </w:r>
          </w:p>
        </w:tc>
        <w:tc>
          <w:tcPr>
            <w:tcW w:w="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15,836 </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22,462 </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48,843 </w:t>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jc w:val="left"/>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During the three and nine months ended September 30, 2023, the stock-based compensation expense related to stock options was $0.1 million and $0.2 million, respectively, and is recorded as part of selling, general and administrative expenses. There was no similar expense in 2022.</w:t>
      </w:r>
    </w:p>
    <w:p>
      <w:pPr>
        <w:pStyle w:val="TextBody"/>
        <w:bidi w:val="0"/>
        <w:spacing w:lineRule="auto" w:line="288" w:before="12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Restricted Stock</w:t>
      </w:r>
    </w:p>
    <w:tbl>
      <w:tblPr>
        <w:tblW w:w="10205" w:type="dxa"/>
        <w:jc w:val="left"/>
        <w:tblInd w:w="0" w:type="dxa"/>
        <w:tblLayout w:type="fixed"/>
        <w:tblCellMar>
          <w:top w:w="28" w:type="dxa"/>
          <w:left w:w="28" w:type="dxa"/>
          <w:bottom w:w="28" w:type="dxa"/>
          <w:right w:w="28" w:type="dxa"/>
        </w:tblCellMar>
      </w:tblPr>
      <w:tblGrid>
        <w:gridCol w:w="989"/>
        <w:gridCol w:w="871"/>
        <w:gridCol w:w="876"/>
        <w:gridCol w:w="459"/>
        <w:gridCol w:w="462"/>
        <w:gridCol w:w="376"/>
        <w:gridCol w:w="112"/>
        <w:gridCol w:w="112"/>
        <w:gridCol w:w="112"/>
        <w:gridCol w:w="500"/>
        <w:gridCol w:w="500"/>
        <w:gridCol w:w="501"/>
        <w:gridCol w:w="112"/>
        <w:gridCol w:w="112"/>
        <w:gridCol w:w="112"/>
        <w:gridCol w:w="459"/>
        <w:gridCol w:w="462"/>
        <w:gridCol w:w="277"/>
        <w:gridCol w:w="112"/>
        <w:gridCol w:w="112"/>
        <w:gridCol w:w="112"/>
        <w:gridCol w:w="531"/>
        <w:gridCol w:w="1510"/>
        <w:gridCol w:w="424"/>
      </w:tblGrid>
      <w:tr>
        <w:trPr/>
        <w:tc>
          <w:tcPr>
            <w:tcW w:w="98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Table 12.2: Restricted Stock Unit Activity</w:t>
            </w:r>
          </w:p>
        </w:tc>
      </w:tr>
      <w:tr>
        <w:trPr/>
        <w:tc>
          <w:tcPr>
            <w:tcW w:w="27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Service-Based</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Performance-Based</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Total Shares</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Weighted-Average Grant Date Fair Value</w:t>
            </w:r>
          </w:p>
        </w:tc>
      </w:tr>
      <w:tr>
        <w:trPr/>
        <w:tc>
          <w:tcPr>
            <w:tcW w:w="2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Unvested outstanding units as of December 31, 2022</w:t>
            </w:r>
          </w:p>
        </w:tc>
        <w:tc>
          <w:tcPr>
            <w:tcW w:w="9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3,570,082 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336,785 </w:t>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3,906,867 </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19.53 </w:t>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Granted</w:t>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1,743,689 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1,743,689 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Vested</w:t>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(1,807,929)</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(1,807,929)</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25.96 </w:t>
            </w:r>
          </w:p>
        </w:tc>
        <w:tc>
          <w:tcPr>
            <w:tcW w:w="4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Forfeited</w:t>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(396,694)</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(71,177)</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(467,871)</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14.39 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Unvested outstanding units as of September 30, 2023</w:t>
            </w:r>
          </w:p>
        </w:tc>
        <w:tc>
          <w:tcPr>
            <w:tcW w:w="9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3,109,148 </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265,608 </w:t>
            </w:r>
          </w:p>
        </w:tc>
        <w:tc>
          <w:tcPr>
            <w:tcW w:w="5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3,374,756 </w:t>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8.34 </w:t>
            </w:r>
          </w:p>
        </w:tc>
        <w:tc>
          <w:tcPr>
            <w:tcW w:w="4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2023, the intrinsic value of the RSUs and PSUs outstanding and vested or expected to vest was $8.1 million. There were approximately $7.1 million of total compensation costs related to stock-based awards not yet recognized as of September 30, 2023, which is expected to be recognized on a straight-line basis over a weighted average remaining vesting period of 0.6 years.</w:t>
      </w:r>
    </w:p>
    <w:p>
      <w:pPr>
        <w:pStyle w:val="TextBody"/>
        <w:bidi w:val="0"/>
        <w:spacing w:lineRule="auto" w:line="288" w:before="12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Stock Options</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uses the Black-Scholes option pricing model to calculate the estimated fair value of stock options on the date of grant. Option awards are generally granted with an exercise price equal to the market price of the Company's stock at the date of grant. The following weighted-average assumptions are used in the Black-Scholes valuation model to estimate the fair value of stock option awards, as granted.</w:t>
      </w:r>
    </w:p>
    <w:p>
      <w:pPr>
        <w:pStyle w:val="TextBody"/>
        <w:bidi w:val="0"/>
        <w:spacing w:lineRule="auto" w:line="288" w:before="120" w:after="180"/>
        <w:ind w:left="0" w:right="0" w:hanging="360"/>
        <w:jc w:val="left"/>
        <w:rPr/>
      </w:pPr>
      <w:r>
        <w:rPr>
          <w:color w:val="000000"/>
        </w:rPr>
        <w:t>•</w:t>
      </w:r>
      <w:r>
        <w:rPr>
          <w:rFonts w:ascii="Times New Roman;sans-serif" w:hAnsi="Times New Roman;sans-serif"/>
          <w:b w:val="false"/>
          <w:i/>
          <w:color w:val="000000"/>
          <w:sz w:val="20"/>
        </w:rPr>
        <w:t>Expected term of the option</w:t>
      </w:r>
      <w:r>
        <w:rPr>
          <w:color w:val="000000"/>
        </w:rPr>
        <w:t xml:space="preserve"> – </w:t>
      </w:r>
      <w:r>
        <w:rPr>
          <w:rFonts w:ascii="Times New Roman;sans-serif" w:hAnsi="Times New Roman;sans-serif"/>
          <w:b w:val="false"/>
          <w:color w:val="000000"/>
          <w:sz w:val="20"/>
        </w:rPr>
        <w:t xml:space="preserve">For options granted to employees and directors, the Company estimates the term over which option holders are expected to hold their stock option by using the "simplified method" in accordance with Staff Accounting Bulletin ("SAB") No. 107, </w:t>
      </w:r>
      <w:r>
        <w:rPr>
          <w:rFonts w:ascii="Times New Roman;sans-serif" w:hAnsi="Times New Roman;sans-serif"/>
          <w:b w:val="false"/>
          <w:i/>
          <w:color w:val="000000"/>
          <w:sz w:val="20"/>
        </w:rPr>
        <w:t>Share-Based Payments</w:t>
      </w:r>
      <w:r>
        <w:rPr>
          <w:rFonts w:ascii="Times New Roman;sans-serif" w:hAnsi="Times New Roman;sans-serif"/>
          <w:b w:val="false"/>
          <w:color w:val="000000"/>
          <w:sz w:val="20"/>
        </w:rPr>
        <w:t xml:space="preserve">, and SAB No. 110, </w:t>
      </w:r>
      <w:r>
        <w:rPr>
          <w:rFonts w:ascii="Times New Roman;sans-serif" w:hAnsi="Times New Roman;sans-serif"/>
          <w:b w:val="false"/>
          <w:i/>
          <w:color w:val="000000"/>
          <w:sz w:val="20"/>
        </w:rPr>
        <w:t>Simplified Method for Plain Vanilla Share Options</w:t>
      </w:r>
      <w:r>
        <w:rPr>
          <w:rFonts w:ascii="Times New Roman;sans-serif" w:hAnsi="Times New Roman;sans-serif"/>
          <w:b w:val="false"/>
          <w:color w:val="000000"/>
          <w:sz w:val="20"/>
        </w:rPr>
        <w:t>, to calculate the expected term of stock options determined to be "plain vanilla." The Company's stock option exercise history does not provide a reasonable basis to compute the expected term for stock options. Under this approach, the expected term is presumed to be a midpoint between the vesting date and the contractual end of the stock option grant. For options granted to non-employees, the Company elected to use the contractual term as the expected term.</w:t>
      </w:r>
    </w:p>
    <w:p>
      <w:pPr>
        <w:pStyle w:val="TextBody"/>
        <w:bidi w:val="0"/>
        <w:spacing w:lineRule="auto" w:line="288" w:before="120" w:after="180"/>
        <w:ind w:left="0" w:right="0" w:hanging="360"/>
        <w:jc w:val="left"/>
        <w:rPr/>
      </w:pPr>
      <w:r>
        <w:rPr>
          <w:color w:val="000000"/>
        </w:rPr>
        <w:t>•</w:t>
      </w:r>
      <w:r>
        <w:rPr>
          <w:rFonts w:ascii="Times New Roman;sans-serif" w:hAnsi="Times New Roman;sans-serif"/>
          <w:b w:val="false"/>
          <w:i/>
          <w:color w:val="000000"/>
          <w:sz w:val="20"/>
        </w:rPr>
        <w:t>Risk-free interest rate</w:t>
      </w:r>
      <w:r>
        <w:rPr>
          <w:color w:val="000000"/>
        </w:rPr>
        <w:t xml:space="preserve"> – </w:t>
      </w:r>
      <w:r>
        <w:rPr>
          <w:rFonts w:ascii="Times New Roman;sans-serif" w:hAnsi="Times New Roman;sans-serif"/>
          <w:b w:val="false"/>
          <w:color w:val="000000"/>
          <w:sz w:val="20"/>
        </w:rPr>
        <w:t xml:space="preserve">Based on the daily yield curve rates for U.S. Treasury obligations with terms that approximate the expected term of the stock options. </w:t>
      </w:r>
    </w:p>
    <w:p>
      <w:pPr>
        <w:pStyle w:val="TextBody"/>
        <w:bidi w:val="0"/>
        <w:spacing w:lineRule="auto" w:line="288" w:before="120" w:after="180"/>
        <w:ind w:left="0" w:right="0" w:hanging="360"/>
        <w:jc w:val="left"/>
        <w:rPr/>
      </w:pPr>
      <w:r>
        <w:rPr>
          <w:color w:val="000000"/>
        </w:rPr>
        <w:t>•</w:t>
      </w:r>
      <w:r>
        <w:rPr>
          <w:rFonts w:ascii="Times New Roman;sans-serif" w:hAnsi="Times New Roman;sans-serif"/>
          <w:b w:val="false"/>
          <w:i/>
          <w:color w:val="000000"/>
          <w:sz w:val="20"/>
        </w:rPr>
        <w:t>Expected volatility</w:t>
      </w:r>
      <w:r>
        <w:rPr>
          <w:color w:val="000000"/>
        </w:rPr>
        <w:t xml:space="preserve"> – </w:t>
      </w:r>
      <w:r>
        <w:rPr>
          <w:rFonts w:ascii="Times New Roman;sans-serif" w:hAnsi="Times New Roman;sans-serif"/>
          <w:b w:val="false"/>
          <w:color w:val="000000"/>
          <w:sz w:val="20"/>
        </w:rPr>
        <w:t>Due to the absence of the Company's historical price volatility for the expected contractual term of the stock options, the Company utilized the historical price volatility of a peer group.</w:t>
      </w:r>
    </w:p>
    <w:p>
      <w:pPr>
        <w:pStyle w:val="TextBody"/>
        <w:bidi w:val="0"/>
        <w:spacing w:lineRule="auto" w:line="288" w:before="120" w:after="180"/>
        <w:ind w:left="0" w:right="0" w:hanging="360"/>
        <w:jc w:val="left"/>
        <w:rPr/>
      </w:pPr>
      <w:r>
        <w:rPr>
          <w:color w:val="000000"/>
        </w:rPr>
        <w:t>•</w:t>
      </w:r>
      <w:r>
        <w:rPr>
          <w:rFonts w:ascii="Times New Roman;sans-serif" w:hAnsi="Times New Roman;sans-serif"/>
          <w:b w:val="false"/>
          <w:i/>
          <w:color w:val="000000"/>
          <w:sz w:val="20"/>
        </w:rPr>
        <w:t>Expected dividend yield</w:t>
      </w:r>
      <w:r>
        <w:rPr>
          <w:color w:val="000000"/>
        </w:rPr>
        <w:t xml:space="preserve"> – </w:t>
      </w:r>
      <w:r>
        <w:rPr>
          <w:rFonts w:ascii="Times New Roman;sans-serif" w:hAnsi="Times New Roman;sans-serif"/>
          <w:b w:val="false"/>
          <w:color w:val="000000"/>
          <w:sz w:val="20"/>
        </w:rPr>
        <w:t>The Company has not declared dividends, nor does it expect to in the foreseeable future. Therefore, a zero value was assumed for the expected dividend yield.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efc2bee9687a460b9c9bf6cd56a32d25_7">
        <w:r>
          <w:rPr>
            <w:rStyle w:val="InternetLink"/>
            <w:rFonts w:ascii="Times New Roman;sans-serif" w:hAnsi="Times New Roman;sans-serif"/>
            <w:b w:val="false"/>
            <w:i/>
            <w:color w:val="000000"/>
            <w:sz w:val="20"/>
            <w:u w:val="single"/>
          </w:rPr>
          <w:t>Table of Contents</w:t>
        </w:r>
      </w:hyperlink>
    </w:p>
    <w:tbl>
      <w:tblPr>
        <w:tblW w:w="8646" w:type="dxa"/>
        <w:jc w:val="left"/>
        <w:tblInd w:w="0" w:type="dxa"/>
        <w:tblLayout w:type="fixed"/>
        <w:tblCellMar>
          <w:top w:w="28" w:type="dxa"/>
          <w:left w:w="28" w:type="dxa"/>
          <w:bottom w:w="28" w:type="dxa"/>
          <w:right w:w="28" w:type="dxa"/>
        </w:tblCellMar>
      </w:tblPr>
      <w:tblGrid>
        <w:gridCol w:w="1490"/>
        <w:gridCol w:w="1302"/>
        <w:gridCol w:w="1302"/>
        <w:gridCol w:w="510"/>
        <w:gridCol w:w="510"/>
        <w:gridCol w:w="510"/>
        <w:gridCol w:w="466"/>
        <w:gridCol w:w="466"/>
        <w:gridCol w:w="466"/>
        <w:gridCol w:w="466"/>
        <w:gridCol w:w="466"/>
        <w:gridCol w:w="692"/>
      </w:tblGrid>
      <w:tr>
        <w:trPr/>
        <w:tc>
          <w:tcPr>
            <w:tcW w:w="1490"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r>
      <w:tr>
        <w:trPr/>
        <w:tc>
          <w:tcPr>
            <w:tcW w:w="8646"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Table 12.3: Stock Options Fair Value and Weighted-Average Assumptions</w:t>
            </w:r>
          </w:p>
        </w:tc>
      </w:tr>
      <w:tr>
        <w:trPr/>
        <w:tc>
          <w:tcPr>
            <w:tcW w:w="40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 the Nine Months Ended</w:t>
            </w:r>
          </w:p>
        </w:tc>
      </w:tr>
      <w:tr>
        <w:trPr/>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30, 2023</w:t>
            </w:r>
          </w:p>
        </w:tc>
        <w:tc>
          <w:tcPr>
            <w:tcW w:w="13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30, 2022</w:t>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fair value of underlying stock options</w:t>
            </w:r>
          </w:p>
        </w:tc>
        <w:tc>
          <w:tcPr>
            <w:tcW w:w="15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$1.06</w:t>
            </w:r>
          </w:p>
        </w:tc>
        <w:tc>
          <w:tcPr>
            <w:tcW w:w="13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Expected term (in years)</w:t>
            </w:r>
          </w:p>
        </w:tc>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5.5 - 10.0</w:t>
            </w:r>
          </w:p>
        </w:tc>
        <w:tc>
          <w:tcPr>
            <w:tcW w:w="13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w:t>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Risk-free interest rate</w:t>
            </w:r>
          </w:p>
        </w:tc>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3.5%</w:t>
            </w:r>
          </w:p>
        </w:tc>
        <w:tc>
          <w:tcPr>
            <w:tcW w:w="13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18"/>
              </w:rPr>
              <w:t>%</w:t>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Expected volatility</w:t>
            </w:r>
          </w:p>
        </w:tc>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30.7% - 35.1%</w:t>
            </w:r>
          </w:p>
        </w:tc>
        <w:tc>
          <w:tcPr>
            <w:tcW w:w="13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18"/>
              </w:rPr>
              <w:t>%</w:t>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Expected dividend yield</w:t>
            </w:r>
          </w:p>
        </w:tc>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18"/>
              </w:rPr>
              <w:t>%</w:t>
            </w:r>
          </w:p>
        </w:tc>
        <w:tc>
          <w:tcPr>
            <w:tcW w:w="13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18"/>
              </w:rPr>
              <w:t>%</w:t>
            </w:r>
          </w:p>
        </w:tc>
      </w:tr>
    </w:tbl>
    <w:tbl>
      <w:tblPr>
        <w:tblW w:w="10205" w:type="dxa"/>
        <w:jc w:val="left"/>
        <w:tblInd w:w="0" w:type="dxa"/>
        <w:tblLayout w:type="fixed"/>
        <w:tblCellMar>
          <w:top w:w="28" w:type="dxa"/>
          <w:left w:w="28" w:type="dxa"/>
          <w:bottom w:w="28" w:type="dxa"/>
          <w:right w:w="28" w:type="dxa"/>
        </w:tblCellMar>
      </w:tblPr>
      <w:tblGrid>
        <w:gridCol w:w="787"/>
        <w:gridCol w:w="690"/>
        <w:gridCol w:w="694"/>
        <w:gridCol w:w="519"/>
        <w:gridCol w:w="468"/>
        <w:gridCol w:w="469"/>
        <w:gridCol w:w="109"/>
        <w:gridCol w:w="109"/>
        <w:gridCol w:w="109"/>
        <w:gridCol w:w="473"/>
        <w:gridCol w:w="1125"/>
        <w:gridCol w:w="265"/>
        <w:gridCol w:w="109"/>
        <w:gridCol w:w="109"/>
        <w:gridCol w:w="109"/>
        <w:gridCol w:w="760"/>
        <w:gridCol w:w="760"/>
        <w:gridCol w:w="761"/>
        <w:gridCol w:w="109"/>
        <w:gridCol w:w="109"/>
        <w:gridCol w:w="109"/>
        <w:gridCol w:w="261"/>
        <w:gridCol w:w="980"/>
        <w:gridCol w:w="212"/>
      </w:tblGrid>
      <w:tr>
        <w:trPr/>
        <w:tc>
          <w:tcPr>
            <w:tcW w:w="787"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Table 12.4: Stock Option Activity</w:t>
            </w:r>
          </w:p>
        </w:tc>
      </w:tr>
      <w:tr>
        <w:trPr/>
        <w:tc>
          <w:tcPr>
            <w:tcW w:w="21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Stock Options 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Weighted-Average Exercise 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Weighted-Average Remaining Contractual Term</w:t>
            </w:r>
          </w:p>
          <w:p>
            <w:pPr>
              <w:pStyle w:val="TableContents"/>
              <w:bidi w:val="0"/>
              <w:spacing w:lineRule="auto" w:line="240" w:before="0" w:after="0"/>
              <w:jc w:val="center"/>
              <w:rPr>
                <w:rFonts w:ascii="Times New Roman;sans-serif" w:hAnsi="Times New Roman;sans-serif"/>
                <w:b w:val="false"/>
                <w:i/>
                <w:color w:val="000000"/>
                <w:sz w:val="16"/>
              </w:rPr>
            </w:pPr>
            <w:r>
              <w:rPr>
                <w:rFonts w:ascii="Times New Roman;sans-serif" w:hAnsi="Times New Roman;sans-serif"/>
                <w:b w:val="false"/>
                <w:i/>
                <w:color w:val="000000"/>
                <w:sz w:val="16"/>
              </w:rPr>
              <w:t>(in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Aggregate Intrinsic Value</w:t>
            </w:r>
          </w:p>
        </w:tc>
      </w:tr>
      <w:tr>
        <w:trPr/>
        <w:tc>
          <w:tcPr>
            <w:tcW w:w="2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option balance as of December 31, 2022</w:t>
            </w:r>
          </w:p>
        </w:tc>
        <w:tc>
          <w:tcPr>
            <w:tcW w:w="9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Granted</w:t>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400,000 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Exercised</w:t>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Forfeited, cancelled, or expired</w:t>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option balance as of September 30, 2023</w:t>
            </w:r>
          </w:p>
        </w:tc>
        <w:tc>
          <w:tcPr>
            <w:tcW w:w="9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400,000 </w:t>
            </w:r>
          </w:p>
        </w:tc>
        <w:tc>
          <w:tcPr>
            <w:tcW w:w="4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236,000 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Exercisable stock option as of September 30, 2023</w:t>
            </w:r>
          </w:p>
        </w:tc>
        <w:tc>
          <w:tcPr>
            <w:tcW w:w="98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6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aggregate intrinsic value is calculated as the difference between the exercise price of the underlying stock option awards and the quoted closing price of the Company's common stock as of September 30, 2023.</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the stock options is expensed on a straight-line basis over the vesting period of one year, including the stock options granted to directors, as the next annual stockholders meeting is expected to occur at the same approximate time each year.</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2023, there were approximately $0.3 million of unrecognized compensation costs related to non-vested stock options.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13. SHARE REPURCHASES</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On May 24, 2022, the Company announced that the Board of Directors approved a new share repurchase program ("SRP") authorizing the Company to repurchase up to $50.0 million of its common stock. Pursuant to this authorization, the Company may repurchase shares of its common stock on a discretionary basis from time to time through open market purchases. The repurchase program has no expiration date and may be modified, suspended, or terminated at any time. As of September 30, 2023, there was approximately $38.7 million of the authorization remaining for future common stock repurchases under the SRP.</w:t>
      </w:r>
    </w:p>
    <w:tbl>
      <w:tblPr>
        <w:tblW w:w="10115" w:type="dxa"/>
        <w:jc w:val="left"/>
        <w:tblInd w:w="0" w:type="dxa"/>
        <w:tblLayout w:type="fixed"/>
        <w:tblCellMar>
          <w:top w:w="28" w:type="dxa"/>
          <w:left w:w="28" w:type="dxa"/>
          <w:bottom w:w="28" w:type="dxa"/>
          <w:right w:w="28" w:type="dxa"/>
        </w:tblCellMar>
      </w:tblPr>
      <w:tblGrid>
        <w:gridCol w:w="1047"/>
        <w:gridCol w:w="922"/>
        <w:gridCol w:w="925"/>
        <w:gridCol w:w="420"/>
        <w:gridCol w:w="872"/>
        <w:gridCol w:w="237"/>
        <w:gridCol w:w="124"/>
        <w:gridCol w:w="124"/>
        <w:gridCol w:w="124"/>
        <w:gridCol w:w="348"/>
        <w:gridCol w:w="988"/>
        <w:gridCol w:w="193"/>
        <w:gridCol w:w="109"/>
        <w:gridCol w:w="109"/>
        <w:gridCol w:w="109"/>
        <w:gridCol w:w="420"/>
        <w:gridCol w:w="872"/>
        <w:gridCol w:w="237"/>
        <w:gridCol w:w="120"/>
        <w:gridCol w:w="120"/>
        <w:gridCol w:w="120"/>
        <w:gridCol w:w="340"/>
        <w:gridCol w:w="967"/>
        <w:gridCol w:w="268"/>
      </w:tblGrid>
      <w:tr>
        <w:trPr/>
        <w:tc>
          <w:tcPr>
            <w:tcW w:w="1047"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10115" w:type="dxa"/>
            <w:gridSpan w:val="24"/>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Table 13: Share Repurchase Program Activity</w:t>
            </w:r>
          </w:p>
        </w:tc>
      </w:tr>
      <w:tr>
        <w:trPr/>
        <w:tc>
          <w:tcPr>
            <w:tcW w:w="28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 the Three Months Ended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 the Nine Months Ended</w:t>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30, 2023</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30, 2023</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30, 2022</w:t>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per share and share data)</w:t>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Amount paid for shares repurchased </w:t>
            </w:r>
            <w:r>
              <w:rPr>
                <w:rFonts w:ascii="Times New Roman;sans-serif" w:hAnsi="Times New Roman;sans-serif"/>
                <w:b w:val="false"/>
                <w:color w:val="000000"/>
                <w:sz w:val="12"/>
              </w:rPr>
              <w:t>(1)</w:t>
            </w:r>
          </w:p>
        </w:tc>
        <w:tc>
          <w:tcPr>
            <w:tcW w:w="4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4,681 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7,683 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Number of shares repurchased</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498,731 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859,170 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Average per share price paid </w:t>
            </w:r>
            <w:r>
              <w:rPr>
                <w:rFonts w:ascii="Times New Roman;sans-serif" w:hAnsi="Times New Roman;sans-serif"/>
                <w:b w:val="false"/>
                <w:color w:val="000000"/>
                <w:sz w:val="12"/>
              </w:rPr>
              <w:t>(1)</w:t>
            </w:r>
          </w:p>
        </w:tc>
        <w:tc>
          <w:tcPr>
            <w:tcW w:w="4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9.38 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8.94 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jc w:val="left"/>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Includes commissions paid for repurchases on the open market.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efc2bee9687a460b9c9bf6cd56a32d25_7">
        <w:r>
          <w:rPr>
            <w:rStyle w:val="InternetLink"/>
            <w:rFonts w:ascii="Times New Roman;sans-serif" w:hAnsi="Times New Roman;sans-serif"/>
            <w:b w:val="false"/>
            <w:i/>
            <w:color w:val="000000"/>
            <w:sz w:val="20"/>
            <w:u w:val="single"/>
          </w:rPr>
          <w:t>Table of Contents</w:t>
        </w:r>
      </w:hyperlink>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14. ACCUMULATED OTHER COMPREHENSIVE LOSS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functional currency is the U.S. dollar. For one of our wholly-owned subsidiaries, the functional currency is the local currency. For this subsidiary, the translation of its foreign currency into U.S. dollars is performed for assets and liabilities using current foreign currency exchange rates in effect at the balance sheet date and for revenue and expense accounts using average foreign currency exchange rates during the periods presented. Translation gains and losses are included in stockholders’ equity as a component of accumulated other comprehensive losses.</w:t>
      </w:r>
    </w:p>
    <w:tbl>
      <w:tblPr>
        <w:tblW w:w="8249" w:type="dxa"/>
        <w:jc w:val="left"/>
        <w:tblInd w:w="0" w:type="dxa"/>
        <w:tblLayout w:type="fixed"/>
        <w:tblCellMar>
          <w:top w:w="28" w:type="dxa"/>
          <w:left w:w="28" w:type="dxa"/>
          <w:bottom w:w="28" w:type="dxa"/>
          <w:right w:w="28" w:type="dxa"/>
        </w:tblCellMar>
      </w:tblPr>
      <w:tblGrid>
        <w:gridCol w:w="1487"/>
        <w:gridCol w:w="1307"/>
        <w:gridCol w:w="1316"/>
        <w:gridCol w:w="411"/>
        <w:gridCol w:w="1041"/>
        <w:gridCol w:w="228"/>
        <w:gridCol w:w="228"/>
        <w:gridCol w:w="228"/>
        <w:gridCol w:w="228"/>
        <w:gridCol w:w="411"/>
        <w:gridCol w:w="1041"/>
        <w:gridCol w:w="323"/>
      </w:tblGrid>
      <w:tr>
        <w:trPr/>
        <w:tc>
          <w:tcPr>
            <w:tcW w:w="1487"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8249"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Table 14: Details of Accumulated Other Comprehensive Loss</w:t>
            </w:r>
          </w:p>
        </w:tc>
      </w:tr>
      <w:tr>
        <w:trPr/>
        <w:tc>
          <w:tcPr>
            <w:tcW w:w="41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30, 2023</w:t>
            </w:r>
          </w:p>
        </w:tc>
        <w:tc>
          <w:tcPr>
            <w:tcW w:w="6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December 31, 2022</w:t>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Cumulative foreign currency translation loss</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Cumulative actuarial gain on pension liability adjustment</w:t>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loss</w:t>
            </w:r>
          </w:p>
        </w:tc>
        <w:tc>
          <w:tcPr>
            <w:tcW w:w="4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w:t>
            </w:r>
          </w:p>
        </w:tc>
        <w:tc>
          <w:tcPr>
            <w:tcW w:w="3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15. LOSS PER SHARE</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For the period of net loss, potentially dilutive securities are not included in the calculation of diluted net earnings/(loss) per share, because to do so would be anti-dilutive.</w:t>
      </w:r>
    </w:p>
    <w:tbl>
      <w:tblPr>
        <w:tblW w:w="10205" w:type="dxa"/>
        <w:jc w:val="left"/>
        <w:tblInd w:w="0" w:type="dxa"/>
        <w:tblLayout w:type="fixed"/>
        <w:tblCellMar>
          <w:top w:w="28" w:type="dxa"/>
          <w:left w:w="28" w:type="dxa"/>
          <w:bottom w:w="28" w:type="dxa"/>
          <w:right w:w="28" w:type="dxa"/>
        </w:tblCellMar>
      </w:tblPr>
      <w:tblGrid>
        <w:gridCol w:w="1102"/>
        <w:gridCol w:w="968"/>
        <w:gridCol w:w="976"/>
        <w:gridCol w:w="458"/>
        <w:gridCol w:w="458"/>
        <w:gridCol w:w="460"/>
        <w:gridCol w:w="210"/>
        <w:gridCol w:w="210"/>
        <w:gridCol w:w="210"/>
        <w:gridCol w:w="458"/>
        <w:gridCol w:w="458"/>
        <w:gridCol w:w="460"/>
        <w:gridCol w:w="123"/>
        <w:gridCol w:w="123"/>
        <w:gridCol w:w="123"/>
        <w:gridCol w:w="458"/>
        <w:gridCol w:w="458"/>
        <w:gridCol w:w="460"/>
        <w:gridCol w:w="200"/>
        <w:gridCol w:w="200"/>
        <w:gridCol w:w="200"/>
        <w:gridCol w:w="416"/>
        <w:gridCol w:w="416"/>
        <w:gridCol w:w="600"/>
      </w:tblGrid>
      <w:tr>
        <w:trPr/>
        <w:tc>
          <w:tcPr>
            <w:tcW w:w="1102"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Table 15: Potentially Dilutive Securities</w:t>
            </w:r>
          </w:p>
        </w:tc>
      </w:tr>
      <w:tr>
        <w:trPr/>
        <w:tc>
          <w:tcPr>
            <w:tcW w:w="30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 the Three Months Ended</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 the Nine Months Ended</w:t>
            </w:r>
          </w:p>
        </w:tc>
      </w:tr>
      <w:tr>
        <w:trPr/>
        <w:tc>
          <w:tcPr>
            <w:tcW w:w="3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30, 2023</w:t>
            </w:r>
          </w:p>
        </w:tc>
        <w:tc>
          <w:tcPr>
            <w:tcW w:w="6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30, 2022</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30, 2023</w:t>
            </w:r>
          </w:p>
        </w:tc>
        <w:tc>
          <w:tcPr>
            <w:tcW w:w="6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30, 2022</w:t>
            </w:r>
          </w:p>
        </w:tc>
      </w:tr>
      <w:tr>
        <w:trPr/>
        <w:tc>
          <w:tcPr>
            <w:tcW w:w="3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r>
      <w:tr>
        <w:trPr/>
        <w:tc>
          <w:tcPr>
            <w:tcW w:w="3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Unvested restricted stock and restricted stock units</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667 </w:t>
            </w:r>
          </w:p>
        </w:tc>
        <w:tc>
          <w:tcPr>
            <w:tcW w:w="4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833 </w:t>
            </w:r>
          </w:p>
        </w:tc>
        <w:tc>
          <w:tcPr>
            <w:tcW w:w="4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522 </w:t>
            </w:r>
          </w:p>
        </w:tc>
        <w:tc>
          <w:tcPr>
            <w:tcW w:w="4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435 </w:t>
            </w:r>
          </w:p>
        </w:tc>
        <w:tc>
          <w:tcPr>
            <w:tcW w:w="6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9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667 </w:t>
            </w:r>
          </w:p>
        </w:tc>
        <w:tc>
          <w:tcPr>
            <w:tcW w:w="4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833 </w:t>
            </w:r>
          </w:p>
        </w:tc>
        <w:tc>
          <w:tcPr>
            <w:tcW w:w="4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522 </w:t>
            </w:r>
          </w:p>
        </w:tc>
        <w:tc>
          <w:tcPr>
            <w:tcW w:w="4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435 </w:t>
            </w:r>
          </w:p>
        </w:tc>
        <w:tc>
          <w:tcPr>
            <w:tcW w:w="6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and nine months ended September 30, 2023, and 2022, the outstanding PSUs aggregating to 265,608 and 336,785, respectively, have been excluded from the calculation of potentially dilutive securities above because the issuance of shares is contingent upon the satisfaction of certain conditions that were not satisfied by the end of the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16. RELATED PARTY TRANSACTIONS</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Emmett J. Wood, the brother of our Chairman and CEO, had been an employee of the Company since 1996. In January 2023, he tendered his resignation as an employee, effective February 7, 2023. The amount paid to him as compensation for his remaining tenure in 2023 was $249,000. For the three and nine months ended September 30, 2022, the Company paid him $91,000 and $696,000, respectively.</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One of the Company’s directors serves as a consultant to the Company. On January 1, 2023, the director and the Company amended the consulting agreement under which he provides services ("2023 consulting agreement"), extending his services through June 30, 2023, with the option to further extend for another six months by mutual agreement of the parties. The Company, at its election, would pay the director's 2023 consultancy fees in a fixed amount, in the form of restricted stock units. Consequently, on January 3, 2023, the Company granted the director 16,859 RSUs, one-half of which vested on March 3, 2023, and the other half vested on May 18, 2023, as compensation for the first half of his 2023 consulting services. In July 2023, the director and the Company amended the 2023 consulting agreement, extending his services through December 31, 2023. The amended 2023 consulting agreement stipulates a firm-fixed monthly retainer fee, plus additional fees and contingent bonus payments upon achievement of certain contract goals, payable in cash. Cash payments made for his consulting services were $32,000 for the three and nine months ended September 30, 2023. </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1, 2022, the Company granted him 26,091 RSUs for his consulting services in 2022, which RSUs vested quarterly in four equal amounts through the end of the year. No cash payments were made for the three months ended September 30, 2022, while the amounts paid in cash for his consulting services were $25,000 for the nine months ended September 30, 2022.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efc2bee9687a460b9c9bf6cd56a32d25_7">
        <w:r>
          <w:rPr>
            <w:rStyle w:val="InternetLink"/>
            <w:rFonts w:ascii="Times New Roman;sans-serif" w:hAnsi="Times New Roman;sans-serif"/>
            <w:b w:val="false"/>
            <w:i/>
            <w:color w:val="000000"/>
            <w:sz w:val="20"/>
            <w:u w:val="single"/>
          </w:rPr>
          <w:t>Table of Contents</w:t>
        </w:r>
      </w:hyperlink>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17. SEGMENT INFORMATION</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operate our business in two reportable and operating segments: Security Solutions and Secure Networks. These segments enable the alignment of our strategies and objectives and provide a framework for the timely and rational allocation of resources within the business lines.</w:t>
      </w:r>
    </w:p>
    <w:p>
      <w:pPr>
        <w:pStyle w:val="TextBody"/>
        <w:bidi w:val="0"/>
        <w:spacing w:lineRule="auto" w:line="288" w:before="120" w:after="180"/>
        <w:ind w:left="0" w:right="0" w:hanging="360"/>
        <w:jc w:val="left"/>
        <w:rPr/>
      </w:pPr>
      <w:r>
        <w:rPr>
          <w:color w:val="000000"/>
        </w:rPr>
        <w:t>•</w:t>
      </w:r>
      <w:r>
        <w:rPr>
          <w:rFonts w:ascii="Times New Roman;sans-serif" w:hAnsi="Times New Roman;sans-serif"/>
          <w:b w:val="false"/>
          <w:color w:val="000000"/>
          <w:sz w:val="20"/>
        </w:rPr>
        <w:t>Our Security Solutions segment is primarily focused on cybersecurity, cloud and identity solutions, and secure messaging through Xacta</w:t>
      </w:r>
      <w:r>
        <w:rPr>
          <w:rFonts w:ascii="Times New Roman;sans-serif" w:hAnsi="Times New Roman;sans-serif"/>
          <w:b w:val="false"/>
          <w:color w:val="000000"/>
          <w:sz w:val="13"/>
        </w:rPr>
        <w:t>®</w:t>
      </w:r>
      <w:r>
        <w:rPr>
          <w:rFonts w:ascii="Times New Roman;sans-serif" w:hAnsi="Times New Roman;sans-serif"/>
          <w:b w:val="false"/>
          <w:color w:val="000000"/>
          <w:sz w:val="20"/>
        </w:rPr>
        <w:t>, Telos Ghost</w:t>
      </w:r>
      <w:r>
        <w:rPr>
          <w:rFonts w:ascii="Times New Roman;sans-serif" w:hAnsi="Times New Roman;sans-serif"/>
          <w:b w:val="false"/>
          <w:color w:val="000000"/>
          <w:sz w:val="13"/>
        </w:rPr>
        <w:t>®</w:t>
      </w:r>
      <w:r>
        <w:rPr>
          <w:rFonts w:ascii="Times New Roman;sans-serif" w:hAnsi="Times New Roman;sans-serif"/>
          <w:b w:val="false"/>
          <w:color w:val="000000"/>
          <w:sz w:val="20"/>
        </w:rPr>
        <w:t xml:space="preserve">, Telos Advanced Cyber Analytics ("Telos ACA"), Telos Automated Message Handling System ("AMHS") and Telos ID offerings. We recognize revenue on contracts by providing various system platforms in the cloud, on-premises, and in hybrid cloud environments, as well as software sales or software-as-a-service. Revenue associated with the segment's custom solutions is recognized as work progresses or upon delivery of services and products. Fluctuation in revenue from period to period is the result of the volume of software sales, and the progress or completion of cloud or cybersecurity solutions during the period. The majority of the operating costs relate to labor, material, and overhead costs. Software sales have immaterial operating costs associated with them, thus yielding higher margins. Gross profit and margin are a function of operational efficiency on security solutions and changes in the volume of software sales. </w:t>
      </w:r>
    </w:p>
    <w:p>
      <w:pPr>
        <w:pStyle w:val="TextBody"/>
        <w:bidi w:val="0"/>
        <w:spacing w:lineRule="auto" w:line="288" w:before="120" w:after="180"/>
        <w:ind w:left="0" w:right="0" w:hanging="360"/>
        <w:jc w:val="left"/>
        <w:rPr/>
      </w:pPr>
      <w:r>
        <w:rPr>
          <w:color w:val="000000"/>
        </w:rPr>
        <w:t>•</w:t>
      </w:r>
      <w:r>
        <w:rPr>
          <w:rFonts w:ascii="Times New Roman;sans-serif" w:hAnsi="Times New Roman;sans-serif"/>
          <w:b w:val="false"/>
          <w:color w:val="000000"/>
          <w:sz w:val="20"/>
        </w:rPr>
        <w:t>Our Secure Networks segment provides secure networking architectures and solutions to our customers through secure mobility solutions, and network management and defense services. Revenue is recognized over time as the work progresses on contracts related to managing network services and information delivery. Contract costs include labor, material, and overhead costs. Variances in costs recognized from period to period primarily reflect increases and decreases in activity levels on individual contracts.</w:t>
      </w:r>
    </w:p>
    <w:tbl>
      <w:tblPr>
        <w:tblW w:w="10205" w:type="dxa"/>
        <w:jc w:val="left"/>
        <w:tblInd w:w="0" w:type="dxa"/>
        <w:tblLayout w:type="fixed"/>
        <w:tblCellMar>
          <w:top w:w="28" w:type="dxa"/>
          <w:left w:w="28" w:type="dxa"/>
          <w:bottom w:w="28" w:type="dxa"/>
          <w:right w:w="28" w:type="dxa"/>
        </w:tblCellMar>
      </w:tblPr>
      <w:tblGrid>
        <w:gridCol w:w="1142"/>
        <w:gridCol w:w="1002"/>
        <w:gridCol w:w="1009"/>
        <w:gridCol w:w="310"/>
        <w:gridCol w:w="1023"/>
        <w:gridCol w:w="172"/>
        <w:gridCol w:w="109"/>
        <w:gridCol w:w="109"/>
        <w:gridCol w:w="109"/>
        <w:gridCol w:w="310"/>
        <w:gridCol w:w="1023"/>
        <w:gridCol w:w="172"/>
        <w:gridCol w:w="109"/>
        <w:gridCol w:w="109"/>
        <w:gridCol w:w="109"/>
        <w:gridCol w:w="288"/>
        <w:gridCol w:w="1058"/>
        <w:gridCol w:w="159"/>
        <w:gridCol w:w="109"/>
        <w:gridCol w:w="109"/>
        <w:gridCol w:w="109"/>
        <w:gridCol w:w="284"/>
        <w:gridCol w:w="1043"/>
        <w:gridCol w:w="229"/>
      </w:tblGrid>
      <w:tr>
        <w:trPr/>
        <w:tc>
          <w:tcPr>
            <w:tcW w:w="114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Table 17: Results of Operations by Business Segment</w:t>
            </w:r>
          </w:p>
        </w:tc>
      </w:tr>
      <w:tr>
        <w:trPr/>
        <w:tc>
          <w:tcPr>
            <w:tcW w:w="31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 the Three Months Ended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 the Nine Months Ended</w:t>
            </w:r>
          </w:p>
        </w:tc>
      </w:tr>
      <w:tr>
        <w:trPr/>
        <w:tc>
          <w:tcPr>
            <w:tcW w:w="3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30, 2022</w:t>
            </w:r>
          </w:p>
        </w:tc>
      </w:tr>
      <w:tr>
        <w:trPr/>
        <w:tc>
          <w:tcPr>
            <w:tcW w:w="3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r>
      <w:tr>
        <w:trPr/>
        <w:tc>
          <w:tcPr>
            <w:tcW w:w="3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w:t>
            </w:r>
          </w:p>
        </w:tc>
        <w:tc>
          <w:tcPr>
            <w:tcW w:w="1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Security Solutions</w:t>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19,795 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32,440 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56,764 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90,178 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Secure Networks</w:t>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16,391 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31,153 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47,555 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79,366 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w:t>
            </w:r>
          </w:p>
        </w:tc>
        <w:tc>
          <w:tcPr>
            <w:tcW w:w="13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36,186 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63,593 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104,319 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169,544 </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15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Security Solutions</w:t>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9,354 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15,577 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29,179 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47,062 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Secure Networks</w:t>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5,368 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9,675 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13,683 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gross profit</w:t>
            </w:r>
          </w:p>
        </w:tc>
        <w:tc>
          <w:tcPr>
            <w:tcW w:w="13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13,013 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20,945 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38,854 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60,745 </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 expenses</w:t>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22,706 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29,729 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70,984 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99,932 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loss</w:t>
            </w:r>
          </w:p>
        </w:tc>
        <w:tc>
          <w:tcPr>
            <w:tcW w:w="13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(9,693)</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(8,784)</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(32,130)</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(39,187)</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w:t>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1,222 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518 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5,367 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648 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(611)</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(558)</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before income taxes</w:t>
            </w:r>
          </w:p>
        </w:tc>
        <w:tc>
          <w:tcPr>
            <w:tcW w:w="13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(8,649)</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(8,447)</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(27,374)</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(39,097)</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taxes</w:t>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3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(8,672)</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(8,455)</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(27,442)</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(39,230)</w:t>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measure each segment's profitability based on gross profit. We account for inter-segment sales and transfers as if the sales or transfers were to third parties, that is, at current market prices. Interest income, interest expense, other income and expense items, and income taxes, as reported in the consolidated financial statements, are not part of the segment profitability measure and are primarily recorded at the corporate level.</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Management does not utilize total assets by segment to evaluate segment performance or allocate resources. As a result, assets are not tracked by segment, and therefore, total assets by segment are not disclosed.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efc2bee9687a460b9c9bf6cd56a32d25_7">
        <w:r>
          <w:rPr>
            <w:rStyle w:val="InternetLink"/>
            <w:rFonts w:ascii="Times New Roman;sans-serif" w:hAnsi="Times New Roman;sans-serif"/>
            <w:b w:val="false"/>
            <w:i/>
            <w:color w:val="000000"/>
            <w:sz w:val="20"/>
            <w:u w:val="single"/>
          </w:rPr>
          <w:t>Table of Contents</w:t>
        </w:r>
      </w:hyperlink>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18. COMMITMENTS AND CONTINGENCIES</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Legal Proceedings</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7, 2022, Telos and certain of its current and former officers were named as defendants in a lawsuit filed in the United States District Court for the Eastern District of Virginia ("Court"). In the complaint, the Plaintiffs, who purported to represent a class of purchasers of Telos common stock between November 19, 2020, and March 16, 2022, alleged that the defendants violated securities laws by failing to disclose delays relating to the launch of certain contracts between Telos and the Transportation Security Administration ("TSA") and the Centers for Medicare and Medicaid Services and to take into account those delays when providing a financial forecast for the Company's 2021 performance. On June 15, 2022, the Plaintiffs filed a consolidated complaint that added claims (i) concerning Telos' disclosure of revenue projections for these contracts, (ii) against the directors of Telos at the time of its initial public offering, and (iii) pursuant to Sections 11 and 15 of the Securities Act of 1933. On February 1, 2023, the Court dismissed the lawsuit in its entirety for failure to state a claim. The Court's order of dismissal provided the Plaintiffs the opportunity to file a motion for leave to file an amended complaint, should they have a good faith basis to do so. On March 13, 2023, the Court granted the parties' consent motion permitting the filing of a consolidated amended class action complaint and establishing a briefing schedule for Telos' motion to dismiss that amended complaint. On April 14, 2023, Telos moved to dismiss the consolidated amended class action complaint. At the conclusion of a hearing held on June 21, 2023, the Court dismissed the consolidated amended class action complaint with prejudice. No appeal from the order of dismissal was taken, and it is final.</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may be a party to litigation or claims arising in the ordinary course of business. Management does not believe that there are litigation or claims that would have a material adverse effect on the business, or the unaudited consolidated financial statements of the Company as of September 30, 2023.</w:t>
      </w:r>
    </w:p>
    <w:p>
      <w:pPr>
        <w:pStyle w:val="TextBody"/>
        <w:bidi w:val="0"/>
        <w:spacing w:lineRule="auto" w:line="288" w:before="12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Other - Government Contracts</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As a U.S. government contractor, we are subject to various audits and investigations by the U.S. government to determine whether our operations are being conducted in accordance with applicable regulatory requirements. U.S. government investigations of our operations, whether relating to government contracts or conducted for other reasons, could result in administrative, civil, or criminal liabilities, including repayments, fines or penalties being imposed upon us, suspension, proposed debarment, debarment from eligibility for future U.S. government contracting, or suspension of export privileges. Suspension or debarment could have a material adverse effect on us because of our dependence on contracts with the U.S. government. U.S. government investigations often take years to complete and many result in no adverse action against us. We also provide products and services to customers outside of the United States, which are subject to U.S. and foreign laws and regulations and foreign procurement policies and practices. Our compliance with local regulations or applicable U.S. government regulations also may be audited or investigated.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19. SUPPLEMENTAL CASH FLOW INFORMATION</w:t>
      </w:r>
    </w:p>
    <w:tbl>
      <w:tblPr>
        <w:tblW w:w="7814" w:type="dxa"/>
        <w:jc w:val="left"/>
        <w:tblInd w:w="0" w:type="dxa"/>
        <w:tblLayout w:type="fixed"/>
        <w:tblCellMar>
          <w:top w:w="28" w:type="dxa"/>
          <w:left w:w="28" w:type="dxa"/>
          <w:bottom w:w="28" w:type="dxa"/>
          <w:right w:w="28" w:type="dxa"/>
        </w:tblCellMar>
      </w:tblPr>
      <w:tblGrid>
        <w:gridCol w:w="1131"/>
        <w:gridCol w:w="991"/>
        <w:gridCol w:w="997"/>
        <w:gridCol w:w="375"/>
        <w:gridCol w:w="1409"/>
        <w:gridCol w:w="208"/>
        <w:gridCol w:w="208"/>
        <w:gridCol w:w="208"/>
        <w:gridCol w:w="208"/>
        <w:gridCol w:w="375"/>
        <w:gridCol w:w="1409"/>
        <w:gridCol w:w="295"/>
      </w:tblGrid>
      <w:tr>
        <w:trPr/>
        <w:tc>
          <w:tcPr>
            <w:tcW w:w="113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r>
      <w:tr>
        <w:trPr/>
        <w:tc>
          <w:tcPr>
            <w:tcW w:w="7814"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Table 19.1: Details of Cash, Cash Equivalents, and Restricted Cash</w:t>
            </w:r>
          </w:p>
        </w:tc>
      </w:tr>
      <w:tr>
        <w:trPr/>
        <w:tc>
          <w:tcPr>
            <w:tcW w:w="31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30, 2023</w:t>
            </w:r>
          </w:p>
        </w:tc>
        <w:tc>
          <w:tcPr>
            <w:tcW w:w="6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December 31, 2022</w:t>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99,953 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119,305 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Restricted cash </w:t>
            </w:r>
            <w:r>
              <w:rPr>
                <w:rFonts w:ascii="Times New Roman;sans-serif" w:hAnsi="Times New Roman;sans-serif"/>
                <w:b w:val="false"/>
                <w:color w:val="000000"/>
                <w:sz w:val="12"/>
              </w:rPr>
              <w:t>(1)</w:t>
            </w:r>
          </w:p>
        </w:tc>
        <w:tc>
          <w:tcPr>
            <w:tcW w:w="1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w:t>
            </w:r>
          </w:p>
        </w:tc>
        <w:tc>
          <w:tcPr>
            <w:tcW w:w="3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100,088 </w:t>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119,438 </w:t>
            </w:r>
          </w:p>
        </w:tc>
        <w:tc>
          <w:tcPr>
            <w:tcW w:w="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jc w:val="left"/>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Restricted cash consists of a commercial money market account held as a deposit on the Ashburn lease and is recorded under "Other assets" on the unaudited consolidated balance sheets.</w:t>
      </w:r>
    </w:p>
    <w:tbl>
      <w:tblPr>
        <w:tblW w:w="9373" w:type="dxa"/>
        <w:jc w:val="left"/>
        <w:tblInd w:w="0" w:type="dxa"/>
        <w:tblLayout w:type="fixed"/>
        <w:tblCellMar>
          <w:top w:w="28" w:type="dxa"/>
          <w:left w:w="28" w:type="dxa"/>
          <w:bottom w:w="28" w:type="dxa"/>
          <w:right w:w="28" w:type="dxa"/>
        </w:tblCellMar>
      </w:tblPr>
      <w:tblGrid>
        <w:gridCol w:w="2059"/>
        <w:gridCol w:w="1805"/>
        <w:gridCol w:w="1805"/>
        <w:gridCol w:w="413"/>
        <w:gridCol w:w="888"/>
        <w:gridCol w:w="229"/>
        <w:gridCol w:w="200"/>
        <w:gridCol w:w="200"/>
        <w:gridCol w:w="200"/>
        <w:gridCol w:w="400"/>
        <w:gridCol w:w="860"/>
        <w:gridCol w:w="314"/>
      </w:tblGrid>
      <w:tr>
        <w:trPr/>
        <w:tc>
          <w:tcPr>
            <w:tcW w:w="2059" w:type="dxa"/>
            <w:tcBorders/>
            <w:vAlign w:val="center"/>
          </w:tcPr>
          <w:p>
            <w:pPr>
              <w:pStyle w:val="TableContents"/>
              <w:bidi w:val="0"/>
              <w:spacing w:before="0" w:after="283"/>
              <w:jc w:val="left"/>
              <w:rPr>
                <w:sz w:val="4"/>
                <w:szCs w:val="4"/>
              </w:rPr>
            </w:pPr>
            <w:r>
              <w:rPr>
                <w:sz w:val="4"/>
                <w:szCs w:val="4"/>
              </w:rPr>
            </w:r>
          </w:p>
        </w:tc>
        <w:tc>
          <w:tcPr>
            <w:tcW w:w="1805" w:type="dxa"/>
            <w:tcBorders/>
            <w:vAlign w:val="center"/>
          </w:tcPr>
          <w:p>
            <w:pPr>
              <w:pStyle w:val="TableContents"/>
              <w:bidi w:val="0"/>
              <w:spacing w:before="0" w:after="283"/>
              <w:jc w:val="left"/>
              <w:rPr>
                <w:sz w:val="4"/>
                <w:szCs w:val="4"/>
              </w:rPr>
            </w:pPr>
            <w:r>
              <w:rPr>
                <w:sz w:val="4"/>
                <w:szCs w:val="4"/>
              </w:rPr>
            </w:r>
          </w:p>
        </w:tc>
        <w:tc>
          <w:tcPr>
            <w:tcW w:w="1805"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rPr/>
        <w:tc>
          <w:tcPr>
            <w:tcW w:w="9373"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Table 19.2: Supplemental Cash Flow Information</w:t>
            </w:r>
          </w:p>
        </w:tc>
      </w:tr>
      <w:tr>
        <w:trPr/>
        <w:tc>
          <w:tcPr>
            <w:tcW w:w="56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 the Nine Months Ended</w:t>
            </w:r>
          </w:p>
        </w:tc>
      </w:tr>
      <w:tr>
        <w:trPr/>
        <w:tc>
          <w:tcPr>
            <w:tcW w:w="5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30, 2023</w:t>
            </w:r>
          </w:p>
        </w:tc>
        <w:tc>
          <w:tcPr>
            <w:tcW w:w="6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30, 2022</w:t>
            </w:r>
          </w:p>
        </w:tc>
      </w:tr>
      <w:tr>
        <w:trPr/>
        <w:tc>
          <w:tcPr>
            <w:tcW w:w="5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during the period for:</w:t>
            </w:r>
          </w:p>
        </w:tc>
        <w:tc>
          <w:tcPr>
            <w:tcW w:w="15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w:t>
            </w:r>
          </w:p>
        </w:tc>
        <w:tc>
          <w:tcPr>
            <w:tcW w:w="4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548 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523 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w:t>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188 </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investing and financing activities:</w:t>
            </w:r>
          </w:p>
        </w:tc>
        <w:tc>
          <w:tcPr>
            <w:tcW w:w="1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ROU assets obtained in exchange for operating lease liabilities</w:t>
            </w:r>
          </w:p>
        </w:tc>
        <w:tc>
          <w:tcPr>
            <w:tcW w:w="4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396 </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expenditure activity in accounts payable and other accrued liabilities</w:t>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for 401K match</w:t>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1,943 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 transferred to extinguish other financing obligations</w:t>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7,089 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repurchases under SRP</w:t>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80 </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efc2bee9687a460b9c9bf6cd56a32d25_7">
        <w:r>
          <w:rPr>
            <w:rStyle w:val="InternetLink"/>
            <w:rFonts w:ascii="Times New Roman;sans-serif" w:hAnsi="Times New Roman;sans-serif"/>
            <w:b w:val="false"/>
            <w:i/>
            <w:color w:val="000000"/>
            <w:sz w:val="20"/>
            <w:u w:val="single"/>
          </w:rPr>
          <w:t>Table of Contents</w:t>
        </w:r>
      </w:hyperlink>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20. REVISION OF PRIOR YEAR INTERIM FINANCIAL STATEMENTS</w:t>
      </w:r>
    </w:p>
    <w:p>
      <w:pPr>
        <w:pStyle w:val="TextBody"/>
        <w:bidi w:val="0"/>
        <w:spacing w:lineRule="auto" w:line="288" w:before="120" w:after="180"/>
        <w:jc w:val="left"/>
        <w:rPr/>
      </w:pPr>
      <w:r>
        <w:rPr>
          <w:rFonts w:ascii="Times New Roman;sans-serif" w:hAnsi="Times New Roman;sans-serif"/>
          <w:b w:val="false"/>
          <w:color w:val="000000"/>
          <w:sz w:val="20"/>
          <w:shd w:fill="FFFFFF" w:val="clear"/>
        </w:rPr>
        <w:t xml:space="preserve">During the course of preparing the Company's consolidated financial statements for the year ended December 31, 2022, we identified that stock-based compensation expense related to the PSU awards with market conditions was erroneously reversed when those PSUs were forfeited. </w:t>
      </w:r>
      <w:r>
        <w:rPr>
          <w:rFonts w:ascii="Times New Roman;sans-serif" w:hAnsi="Times New Roman;sans-serif"/>
          <w:b w:val="false"/>
          <w:color w:val="000000"/>
          <w:sz w:val="20"/>
        </w:rPr>
        <w:t xml:space="preserve">Due to the error, general and administrative expense was understated by $1.1 million and $4.6 million for the three and nine months ended September 30, 2022. Although the Company has determined that </w:t>
      </w:r>
      <w:r>
        <w:rPr>
          <w:rFonts w:ascii="Times New Roman;sans-serif" w:hAnsi="Times New Roman;sans-serif"/>
          <w:b w:val="false"/>
          <w:color w:val="000000"/>
          <w:sz w:val="20"/>
          <w:shd w:fill="FFFFFF" w:val="clear"/>
        </w:rPr>
        <w:t xml:space="preserve">the error did not have a material impact on its previously issued interim consolidated financial statements, it revised the previously reported interim financial information in conjunction with the issuance of its quarterly filings on Form 10-Q for the quarter ended September 30, 2023. The errors had no net impact on cash flows from operating, investing or financing activities in the consolidated statement of cash flows. </w:t>
      </w:r>
    </w:p>
    <w:p>
      <w:pPr>
        <w:pStyle w:val="TextBody"/>
        <w:bidi w:val="0"/>
        <w:spacing w:lineRule="auto" w:line="288" w:before="120" w:after="180"/>
        <w:jc w:val="left"/>
        <w:rPr/>
      </w:pPr>
      <w:r>
        <w:rPr>
          <w:rFonts w:ascii="Times New Roman;sans-serif" w:hAnsi="Times New Roman;sans-serif"/>
          <w:b w:val="false"/>
          <w:color w:val="000000"/>
          <w:sz w:val="20"/>
          <w:shd w:fill="FFFFFF" w:val="clear"/>
        </w:rPr>
        <w:t>The following tables set forth the effects of the revisions of previously issued unaudited quarterly consolidated financial statements to correct for prior period errors.</w:t>
      </w:r>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762"/>
        <w:gridCol w:w="671"/>
        <w:gridCol w:w="673"/>
        <w:gridCol w:w="266"/>
        <w:gridCol w:w="880"/>
        <w:gridCol w:w="147"/>
        <w:gridCol w:w="111"/>
        <w:gridCol w:w="111"/>
        <w:gridCol w:w="111"/>
        <w:gridCol w:w="211"/>
        <w:gridCol w:w="601"/>
        <w:gridCol w:w="119"/>
        <w:gridCol w:w="111"/>
        <w:gridCol w:w="111"/>
        <w:gridCol w:w="111"/>
        <w:gridCol w:w="200"/>
        <w:gridCol w:w="661"/>
        <w:gridCol w:w="111"/>
        <w:gridCol w:w="109"/>
        <w:gridCol w:w="109"/>
        <w:gridCol w:w="109"/>
        <w:gridCol w:w="266"/>
        <w:gridCol w:w="880"/>
        <w:gridCol w:w="148"/>
        <w:gridCol w:w="110"/>
        <w:gridCol w:w="110"/>
        <w:gridCol w:w="110"/>
        <w:gridCol w:w="211"/>
        <w:gridCol w:w="601"/>
        <w:gridCol w:w="119"/>
        <w:gridCol w:w="110"/>
        <w:gridCol w:w="110"/>
        <w:gridCol w:w="110"/>
        <w:gridCol w:w="199"/>
        <w:gridCol w:w="657"/>
        <w:gridCol w:w="169"/>
      </w:tblGrid>
      <w:tr>
        <w:trPr/>
        <w:tc>
          <w:tcPr>
            <w:tcW w:w="762"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10205" w:type="dxa"/>
            <w:gridSpan w:val="3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Table 20.1: Impact of the Correction to the Unaudited Consolidated Statement of Operations</w:t>
            </w:r>
          </w:p>
        </w:tc>
      </w:tr>
      <w:tr>
        <w:trPr/>
        <w:tc>
          <w:tcPr>
            <w:tcW w:w="21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 the Three Months Ended September 30,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0"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 the Nine Months Ended September 30, 2022</w:t>
            </w:r>
          </w:p>
        </w:tc>
      </w:tr>
      <w:tr>
        <w:trPr/>
        <w:tc>
          <w:tcPr>
            <w:tcW w:w="2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As Previously Reported</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Adjustment</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As Revised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As Previously Reported</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Adjustment</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As Revised</w:t>
            </w:r>
          </w:p>
        </w:tc>
      </w:tr>
      <w:tr>
        <w:trPr/>
        <w:tc>
          <w:tcPr>
            <w:tcW w:w="2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9"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per share data)</w:t>
            </w:r>
          </w:p>
        </w:tc>
      </w:tr>
      <w:tr>
        <w:trPr/>
        <w:tc>
          <w:tcPr>
            <w:tcW w:w="2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21,591 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22,706 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68,379 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4,618 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72,997 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selling, general and administrative expenses</w:t>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28,614 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29,729 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95,314 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4,618 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99,932 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loss</w:t>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(7,669)</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(1,115)</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(8,784)</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(34,569)</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(4,618)</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(39,187)</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before income taxes</w:t>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(7,332)</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(1,115)</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(8,447)</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(34,479)</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(4,618)</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(39,097)</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(7,340)</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(1,115)</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(8,455)</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(34,612)</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(4,618)</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(39,230)</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per share, basic</w:t>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(0.11)</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(0.02)</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(0.13)</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(0.51)</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(0.07)</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(0.58)</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per share, diluted</w:t>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(0.11)</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(0.02)</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(0.13)</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(0.51)</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(0.07)</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(0.58)</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30"/>
        <w:gridCol w:w="465"/>
        <w:gridCol w:w="470"/>
        <w:gridCol w:w="326"/>
        <w:gridCol w:w="1038"/>
        <w:gridCol w:w="181"/>
        <w:gridCol w:w="112"/>
        <w:gridCol w:w="112"/>
        <w:gridCol w:w="112"/>
        <w:gridCol w:w="204"/>
        <w:gridCol w:w="649"/>
        <w:gridCol w:w="112"/>
        <w:gridCol w:w="112"/>
        <w:gridCol w:w="112"/>
        <w:gridCol w:w="112"/>
        <w:gridCol w:w="201"/>
        <w:gridCol w:w="636"/>
        <w:gridCol w:w="112"/>
        <w:gridCol w:w="111"/>
        <w:gridCol w:w="111"/>
        <w:gridCol w:w="111"/>
        <w:gridCol w:w="302"/>
        <w:gridCol w:w="1101"/>
        <w:gridCol w:w="168"/>
        <w:gridCol w:w="111"/>
        <w:gridCol w:w="111"/>
        <w:gridCol w:w="111"/>
        <w:gridCol w:w="201"/>
        <w:gridCol w:w="641"/>
        <w:gridCol w:w="111"/>
        <w:gridCol w:w="111"/>
        <w:gridCol w:w="111"/>
        <w:gridCol w:w="111"/>
        <w:gridCol w:w="199"/>
        <w:gridCol w:w="718"/>
        <w:gridCol w:w="169"/>
      </w:tblGrid>
      <w:tr>
        <w:trPr/>
        <w:tc>
          <w:tcPr>
            <w:tcW w:w="530"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10205" w:type="dxa"/>
            <w:gridSpan w:val="3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Table 20.2: Impact of the Correction to the Unaudited Consolidated Statement of Comprehensive Loss</w:t>
            </w:r>
          </w:p>
        </w:tc>
      </w:tr>
      <w:tr>
        <w:trPr/>
        <w:tc>
          <w:tcPr>
            <w:tcW w:w="14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 the Three Months Ended September 30, 2022</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6"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 the Nine Months Ended September 30, 2022</w:t>
            </w:r>
          </w:p>
        </w:tc>
      </w:tr>
      <w:tr>
        <w:trPr/>
        <w:tc>
          <w:tcPr>
            <w:tcW w:w="1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As Previously Reported</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Adjustment</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As Revised</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As Previously Reported</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Adjustment</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As Revised</w:t>
            </w:r>
          </w:p>
        </w:tc>
      </w:tr>
      <w:tr>
        <w:trPr/>
        <w:tc>
          <w:tcPr>
            <w:tcW w:w="1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0"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r>
      <w:tr>
        <w:trPr/>
        <w:tc>
          <w:tcPr>
            <w:tcW w:w="1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(7,340)</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(1,115)</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(8,455)</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(34,612)</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(4,618)</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(39,230)</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loss</w:t>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(7,361)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(1,115)</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(8,476)</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(34,615)</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(4,618)</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(39,233)</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96"/>
        <w:gridCol w:w="485"/>
        <w:gridCol w:w="489"/>
        <w:gridCol w:w="239"/>
        <w:gridCol w:w="955"/>
        <w:gridCol w:w="133"/>
        <w:gridCol w:w="112"/>
        <w:gridCol w:w="112"/>
        <w:gridCol w:w="112"/>
        <w:gridCol w:w="216"/>
        <w:gridCol w:w="638"/>
        <w:gridCol w:w="112"/>
        <w:gridCol w:w="112"/>
        <w:gridCol w:w="112"/>
        <w:gridCol w:w="112"/>
        <w:gridCol w:w="203"/>
        <w:gridCol w:w="803"/>
        <w:gridCol w:w="112"/>
        <w:gridCol w:w="112"/>
        <w:gridCol w:w="112"/>
        <w:gridCol w:w="112"/>
        <w:gridCol w:w="239"/>
        <w:gridCol w:w="955"/>
        <w:gridCol w:w="133"/>
        <w:gridCol w:w="112"/>
        <w:gridCol w:w="112"/>
        <w:gridCol w:w="112"/>
        <w:gridCol w:w="256"/>
        <w:gridCol w:w="531"/>
        <w:gridCol w:w="144"/>
        <w:gridCol w:w="112"/>
        <w:gridCol w:w="112"/>
        <w:gridCol w:w="112"/>
        <w:gridCol w:w="203"/>
        <w:gridCol w:w="803"/>
        <w:gridCol w:w="180"/>
      </w:tblGrid>
      <w:tr>
        <w:trPr/>
        <w:tc>
          <w:tcPr>
            <w:tcW w:w="696"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10205" w:type="dxa"/>
            <w:gridSpan w:val="3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Table 20.3: Impact of the Correction to the Unaudited Consolidated Statement of Changes in Stockholders' Equity</w:t>
            </w:r>
          </w:p>
        </w:tc>
      </w:tr>
      <w:tr>
        <w:trPr/>
        <w:tc>
          <w:tcPr>
            <w:tcW w:w="16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 the Three Months Ended September 30, 2022</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6"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 the Nine Months Ended September 30, 2022</w:t>
            </w:r>
          </w:p>
        </w:tc>
      </w:tr>
      <w:tr>
        <w:trPr/>
        <w:tc>
          <w:tcPr>
            <w:tcW w:w="1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As Previously Reported</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Adjustment</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As Revised</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As Previously Reported</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Adjustment</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As Revised</w:t>
            </w:r>
          </w:p>
        </w:tc>
      </w:tr>
      <w:tr>
        <w:trPr/>
        <w:tc>
          <w:tcPr>
            <w:tcW w:w="1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5"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r>
      <w:tr>
        <w:trPr/>
        <w:tc>
          <w:tcPr>
            <w:tcW w:w="1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 beginning</w:t>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388,464 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391,967 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367,153 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367,153 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15,012 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16,127 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42,212 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4,618 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46,830 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 end</w:t>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398,546 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4,618 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403,164 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398,546 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4,618 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403,164 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deficit, beginning</w:t>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(214,249)</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(3,503)</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(217,752)</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(186,977)</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(186,977)</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(7,340)</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(1,115)</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(8,455)</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(34,612)</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(4,618)</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(39,230)</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deficit, end</w:t>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(221,589)</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(4,618)</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(226,207)</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(221,589)</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(4,618)</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(226,207)</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efc2bee9687a460b9c9bf6cd56a32d25_7">
        <w:r>
          <w:rPr>
            <w:rStyle w:val="InternetLink"/>
            <w:rFonts w:ascii="Times New Roman;sans-serif" w:hAnsi="Times New Roman;sans-serif"/>
            <w:b w:val="false"/>
            <w:i/>
            <w:color w:val="000000"/>
            <w:sz w:val="20"/>
            <w:u w:val="single"/>
          </w:rPr>
          <w:t>Table of Contents</w:t>
        </w:r>
      </w:hyperlink>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10-Q contains forward-looking statements. Any statements contained herein that are not statements of historical fact may be deemed to be forward-looking statements. Without limiting the foregoing, the words "believes," "anticipates," "plans," "expects," and similar expressions are intended to identify forward-looking statements. Several important factors could cause the Company's actual results to differ materially from those indicated by such forward-looking statements. These factors include, without limitation, those set forth in the risk factors section included in the Company's Form 10-K for the year ended December 31, 2022, as filed with the Securities and Exchange Commission ("SEC") on March 16,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ans-serif" w:hAnsi="Times New Roman;sans-serif"/>
          <w:b/>
          <w:color w:val="000000"/>
          <w:sz w:val="20"/>
        </w:rPr>
      </w:pPr>
      <w:r>
        <w:rPr>
          <w:rFonts w:ascii="Times New Roman;sans-serif" w:hAnsi="Times New Roman;sans-serif"/>
          <w:b/>
          <w:color w:val="000000"/>
          <w:sz w:val="20"/>
        </w:rPr>
        <w:t>General and Business Overview</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offer technologically advanced, software-based security solutions that empower and protect the world's most security-conscious organizations against rapidly evolving, sophisticated and pervasive threats. Our portfolio of security products, services and expertise empowers our customers with capabilities to reach new markets, serve their stakeholders more effectively, and successfully defend the nation or their enterprise. We protect our customers' people, information, and digital assets so they can pursue their corporate goals and conduct their global missions with confidence in their security and privacy. Our primary customers include the U.S. federal government, large commercial businesses, state and local governments, and international customers. Our consolidated revenue is largely attributable to prime contracts or to subcontracts with our contractors engaged in work for the U.S. government, with the remaining attributable to state, local and commercial markets.</w:t>
      </w:r>
    </w:p>
    <w:p>
      <w:pPr>
        <w:pStyle w:val="TextBody"/>
        <w:bidi w:val="0"/>
        <w:spacing w:lineRule="auto" w:line="288" w:before="120" w:after="180"/>
        <w:jc w:val="left"/>
        <w:rPr/>
      </w:pPr>
      <w:r>
        <w:rPr>
          <w:rFonts w:ascii="Times New Roman;sans-serif" w:hAnsi="Times New Roman;sans-serif"/>
          <w:b w:val="false"/>
          <w:color w:val="000000"/>
          <w:sz w:val="20"/>
        </w:rPr>
        <w:t xml:space="preserve">Information regarding our two reportable segments – Security Solutions and Secure Networks – is presented in </w:t>
      </w:r>
      <w:hyperlink w:anchor="iefc2bee9687a460b9c9bf6cd56a32d25_88">
        <w:r>
          <w:rPr>
            <w:rStyle w:val="InternetLink"/>
          </w:rPr>
          <w:t xml:space="preserve">Note 17 </w:t>
        </w:r>
      </w:hyperlink>
      <w:hyperlink w:anchor="iefc2bee9687a460b9c9bf6cd56a32d25_58">
        <w:r>
          <w:rPr>
            <w:rStyle w:val="InternetLink"/>
          </w:rPr>
          <w:t>–</w:t>
        </w:r>
      </w:hyperlink>
      <w:hyperlink w:anchor="iefc2bee9687a460b9c9bf6cd56a32d25_88">
        <w:r>
          <w:rPr>
            <w:rStyle w:val="InternetLink"/>
          </w:rPr>
          <w:t xml:space="preserve"> Segment Information</w:t>
        </w:r>
      </w:hyperlink>
      <w:r>
        <w:rPr>
          <w:color w:val="000000"/>
        </w:rPr>
        <w:t xml:space="preserve"> </w:t>
      </w:r>
      <w:r>
        <w:rPr>
          <w:rFonts w:ascii="Times New Roman;sans-serif" w:hAnsi="Times New Roman;sans-serif"/>
          <w:b w:val="false"/>
          <w:color w:val="000000"/>
          <w:sz w:val="20"/>
        </w:rPr>
        <w:t>to the unaudited consolidated financial statements at Item 1 of this Form 10-Q.</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Fiscal year 2023 continues to be a transition year for Telos, focusing on streamlining our operations and rebuilding and growing the revenue base by generating new business wins. Our 2023 business development priorities are to:</w:t>
      </w:r>
    </w:p>
    <w:p>
      <w:pPr>
        <w:pStyle w:val="TextBody"/>
        <w:bidi w:val="0"/>
        <w:spacing w:lineRule="auto" w:line="288" w:before="120" w:after="180"/>
        <w:ind w:left="0" w:right="0" w:hanging="360"/>
        <w:jc w:val="left"/>
        <w:rPr/>
      </w:pPr>
      <w:r>
        <w:rPr>
          <w:color w:val="000000"/>
        </w:rPr>
        <w:t>•</w:t>
      </w:r>
      <w:r>
        <w:rPr>
          <w:rFonts w:ascii="Times New Roman;sans-serif" w:hAnsi="Times New Roman;sans-serif"/>
          <w:b w:val="false"/>
          <w:color w:val="000000"/>
          <w:sz w:val="20"/>
        </w:rPr>
        <w:t>Reorganize internally to consolidate and centralize business development resources;</w:t>
      </w:r>
    </w:p>
    <w:p>
      <w:pPr>
        <w:pStyle w:val="TextBody"/>
        <w:bidi w:val="0"/>
        <w:spacing w:lineRule="auto" w:line="288" w:before="120" w:after="180"/>
        <w:ind w:left="0" w:right="0" w:hanging="360"/>
        <w:jc w:val="left"/>
        <w:rPr/>
      </w:pPr>
      <w:r>
        <w:rPr>
          <w:color w:val="000000"/>
        </w:rPr>
        <w:t>•</w:t>
      </w:r>
      <w:r>
        <w:rPr>
          <w:rFonts w:ascii="Times New Roman;sans-serif" w:hAnsi="Times New Roman;sans-serif"/>
          <w:b w:val="false"/>
          <w:color w:val="000000"/>
          <w:sz w:val="20"/>
        </w:rPr>
        <w:t>Add new talent to drive execution of solution development and new business generation;</w:t>
      </w:r>
    </w:p>
    <w:p>
      <w:pPr>
        <w:pStyle w:val="TextBody"/>
        <w:bidi w:val="0"/>
        <w:spacing w:lineRule="auto" w:line="288" w:before="120" w:after="180"/>
        <w:ind w:left="0" w:right="0" w:hanging="360"/>
        <w:jc w:val="left"/>
        <w:rPr/>
      </w:pPr>
      <w:r>
        <w:rPr>
          <w:color w:val="000000"/>
        </w:rPr>
        <w:t>•</w:t>
      </w:r>
      <w:r>
        <w:rPr>
          <w:rFonts w:ascii="Times New Roman;sans-serif" w:hAnsi="Times New Roman;sans-serif"/>
          <w:b w:val="false"/>
          <w:color w:val="000000"/>
          <w:sz w:val="20"/>
        </w:rPr>
        <w:t xml:space="preserve">Maximize existing strategic partnerships for market expansion; and </w:t>
      </w:r>
    </w:p>
    <w:p>
      <w:pPr>
        <w:pStyle w:val="TextBody"/>
        <w:bidi w:val="0"/>
        <w:spacing w:lineRule="auto" w:line="288" w:before="120" w:after="180"/>
        <w:ind w:left="0" w:right="0" w:hanging="360"/>
        <w:jc w:val="left"/>
        <w:rPr/>
      </w:pPr>
      <w:r>
        <w:rPr>
          <w:color w:val="000000"/>
        </w:rPr>
        <w:t>•</w:t>
      </w:r>
      <w:r>
        <w:rPr>
          <w:rFonts w:ascii="Times New Roman;sans-serif" w:hAnsi="Times New Roman;sans-serif"/>
          <w:b w:val="false"/>
          <w:color w:val="000000"/>
          <w:sz w:val="20"/>
        </w:rPr>
        <w:t>Increase our opportunity portfolio and quality of contract vehicles.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ans-serif" w:hAnsi="Times New Roman;sans-serif"/>
          <w:b/>
          <w:color w:val="000000"/>
          <w:sz w:val="20"/>
        </w:rPr>
      </w:pPr>
      <w:r>
        <w:rPr>
          <w:rFonts w:ascii="Times New Roman;sans-serif" w:hAnsi="Times New Roman;sans-serif"/>
          <w:b/>
          <w:color w:val="000000"/>
          <w:sz w:val="20"/>
        </w:rPr>
        <w:t>Business Environment</w:t>
      </w:r>
    </w:p>
    <w:p>
      <w:pPr>
        <w:pStyle w:val="TextBody"/>
        <w:bidi w:val="0"/>
        <w:spacing w:lineRule="auto" w:line="288" w:before="120" w:after="180"/>
        <w:jc w:val="left"/>
        <w:rPr>
          <w:rFonts w:ascii="Times New Roman;sans-serif" w:hAnsi="Times New Roman;sans-serif"/>
          <w:b/>
          <w:i/>
          <w:color w:val="000000"/>
          <w:sz w:val="20"/>
        </w:rPr>
      </w:pPr>
      <w:r>
        <w:rPr>
          <w:rFonts w:ascii="Times New Roman;sans-serif" w:hAnsi="Times New Roman;sans-serif"/>
          <w:b/>
          <w:i/>
          <w:color w:val="000000"/>
          <w:sz w:val="20"/>
        </w:rPr>
        <w:t>U.S. Budget</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President’s proposed FY2024 budget released in March called for a $26 billion increase for the Department of Defense ("DoD") next year, a little more than 3% above the FY2023 enacted level. The debt ceiling legislation (the "Fiscal Responsibility Act") subsequently enacted into law in early June contains spending caps which reflected that level of defense spending, as have the House and Senate versions of the defense authorization and appropriations bills. While there are many in Congress who want to boost this increase further to offset current and expected inflation and the continued threats posed by foreign adversaries, final decisions on FY 2024 defense spending are now not likely to be made until December at the very earliest. </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President's FY2024 budget also proposed increased investments for cybersecurity within numerous federal civilian departments and agencies. In general, the President's budget reflects the prioritization of accelerated cloud adoption, IT modernization, further private sector collaboration for sector risk management responsibilities, ensuring adequate cyber threat information sharing, and supply chain risk management. These priorities align with the solutions Telos has been developing and bringing to market for the past several years. </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However, such increased spending by civilian agencies on cybersecurity could be difficult to achieve, given the caps on non-defense discretionary spending included in the Fiscal Responsibility Act and subsequent efforts by the House majority to seek further reductions in all non-defense discretionary spending. This could impact future cybersecurity investments by current and potential civilian federal customers.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efc2bee9687a460b9c9bf6cd56a32d25_7">
        <w:r>
          <w:rPr>
            <w:rStyle w:val="InternetLink"/>
            <w:rFonts w:ascii="Times New Roman;sans-serif" w:hAnsi="Times New Roman;sans-serif"/>
            <w:b w:val="false"/>
            <w:i/>
            <w:color w:val="000000"/>
            <w:sz w:val="20"/>
            <w:u w:val="single"/>
          </w:rPr>
          <w:t>Table of Contents</w:t>
        </w:r>
      </w:hyperlink>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Congress was unable to enact any of its annual appropriation bills before the start of FY2024 on October 1, 2023 and instead approved a Continuing Resolution (“CR”), which funded the government at FY2023 levels until November 17, 2023 and restricted new contracts and acceleration of current programs. It is unlikely Congress will enact any individual appropriation bills before the current CR expires, and prospects for approving another CR by then are uncertain. Failure to enact a new CR by November 17, 2023 would result in a federal government shutdown after that date. Finally, under the terms of the Fiscal Responsibility Act, if all appropriations legislation is not enacted by January 1, 2024, and the government remains under another CR, appropriations government-wide will revert to the FY2023 level minus an additional one percent. This uncertainty could impact federal customers' ability to move forward on their planned expenditures in FY2024. </w:t>
      </w:r>
    </w:p>
    <w:p>
      <w:pPr>
        <w:pStyle w:val="TextBody"/>
        <w:bidi w:val="0"/>
        <w:spacing w:lineRule="auto" w:line="288" w:before="120" w:after="180"/>
        <w:jc w:val="left"/>
        <w:rPr>
          <w:rFonts w:ascii="Times New Roman;sans-serif" w:hAnsi="Times New Roman;sans-serif"/>
          <w:b/>
          <w:i/>
          <w:color w:val="000000"/>
          <w:sz w:val="20"/>
        </w:rPr>
      </w:pPr>
      <w:r>
        <w:rPr>
          <w:rFonts w:ascii="Times New Roman;sans-serif" w:hAnsi="Times New Roman;sans-serif"/>
          <w:b/>
          <w:i/>
          <w:color w:val="000000"/>
          <w:sz w:val="20"/>
        </w:rPr>
        <w:t>Cybersecurity Landscape</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recent years, we have seen cybersecurity threats become more complex, with threat actors leveraging a wide variety of tactics to exploit their victims. With this growing threat, below are some trends to consider when looking at the cybersecurity landscape:</w:t>
      </w:r>
    </w:p>
    <w:p>
      <w:pPr>
        <w:pStyle w:val="TextBody"/>
        <w:bidi w:val="0"/>
        <w:spacing w:lineRule="auto" w:line="288" w:before="120" w:after="180"/>
        <w:jc w:val="left"/>
        <w:rPr/>
      </w:pPr>
      <w:r>
        <w:rPr>
          <w:rFonts w:ascii="Times New Roman;sans-serif" w:hAnsi="Times New Roman;sans-serif"/>
          <w:b w:val="false"/>
          <w:i/>
          <w:color w:val="000000"/>
          <w:sz w:val="20"/>
          <w:u w:val="single"/>
        </w:rPr>
        <w:t>Rising Threats, Rising Liability</w:t>
      </w:r>
      <w:r>
        <w:rPr>
          <w:rFonts w:ascii="Times New Roman;sans-serif" w:hAnsi="Times New Roman;sans-serif"/>
          <w:b w:val="false"/>
          <w:color w:val="000000"/>
          <w:sz w:val="20"/>
        </w:rPr>
        <w:t>: Ransomware remains arguably the most severe cyber threat to enterprises in the commercial, state, and local government and education sectors. One reason for the rise of ransomware attacks is that it is exceedingly profitable for cybercriminals, and ransomware victims generally settle the ransom rather than restoring the system from backups or dealing with the fallout from a data breach. Aside from the financial costs of paying the ransom and restoring the system, the consequences of a successful ransomware attack can include damage to the organization's reputation, stolen sensitive data being used for malicious purposes, and loss of business.</w:t>
      </w:r>
    </w:p>
    <w:p>
      <w:pPr>
        <w:pStyle w:val="TextBody"/>
        <w:bidi w:val="0"/>
        <w:spacing w:lineRule="auto" w:line="288" w:before="120" w:after="180"/>
        <w:jc w:val="left"/>
        <w:rPr/>
      </w:pPr>
      <w:r>
        <w:rPr>
          <w:rFonts w:ascii="Times New Roman;sans-serif" w:hAnsi="Times New Roman;sans-serif"/>
          <w:b w:val="false"/>
          <w:i/>
          <w:color w:val="000000"/>
          <w:sz w:val="20"/>
          <w:u w:val="single"/>
        </w:rPr>
        <w:t>The Nation's Critical Systems Are Still at Risk</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Critical infrastructure and industrial Internet of Things ("IoT") are among the categories at greatest risk of cyberattacks.</w:t>
      </w:r>
    </w:p>
    <w:p>
      <w:pPr>
        <w:pStyle w:val="TextBody"/>
        <w:bidi w:val="0"/>
        <w:spacing w:lineRule="auto" w:line="288" w:before="120" w:after="180"/>
        <w:jc w:val="left"/>
        <w:rPr/>
      </w:pPr>
      <w:r>
        <w:rPr>
          <w:rFonts w:ascii="Times New Roman;sans-serif" w:hAnsi="Times New Roman;sans-serif"/>
          <w:b w:val="false"/>
          <w:i/>
          <w:color w:val="000000"/>
          <w:sz w:val="20"/>
          <w:u w:val="single"/>
        </w:rPr>
        <w:t>The Challenging Complexity of Regulatory Compliance</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Government mandates stronger security in highly regulated industries. These government initiatives and audit fatigue continue to burden highly regulated organizations, with automation solutions being recognized as the most effective remedy for the many repetitive and redundant tasks that security compliance requires.</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the SEC has finalized and adopted new cybersecurity rules for publicly traded companies, which will require registrants to disclose additional cyber-related information in their regulatory filings. Specifically, they will have to: (1) regularly disclose their governance methods, risk analysis and management processes; (2) meet specific disclosure requirements and deadlines for reporting and describing material cyber incidents; and (3) describe the board's oversight of risks from cybersecurity threats, and management's expertise and role in assessing and managing material risks from cybersecurity threats. The required reporting of this information will lead many companies to proactively establish policies that will improve their cyber risk management posture and enable them to better withstand heightened public and regulatory scrutiny. </w:t>
      </w:r>
    </w:p>
    <w:p>
      <w:pPr>
        <w:pStyle w:val="TextBody"/>
        <w:bidi w:val="0"/>
        <w:spacing w:lineRule="auto" w:line="288" w:before="120" w:after="180"/>
        <w:jc w:val="left"/>
        <w:rPr/>
      </w:pPr>
      <w:r>
        <w:rPr>
          <w:rFonts w:ascii="Times New Roman;sans-serif" w:hAnsi="Times New Roman;sans-serif"/>
          <w:b w:val="false"/>
          <w:i/>
          <w:color w:val="000000"/>
          <w:sz w:val="20"/>
          <w:u w:val="single"/>
        </w:rPr>
        <w:t>Identity Assurance and Privacy Protection are Essential for Today's Enterprises</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Identity and access management continues to be a major cybersecurity concern for organizations and individuals that need to ensure their security and protect their privacy. Trusted identities are essential to confidence in IT and physical security strategies and to the success of Zero Trust security models and architectures.</w:t>
      </w:r>
    </w:p>
    <w:p>
      <w:pPr>
        <w:pStyle w:val="TextBody"/>
        <w:bidi w:val="0"/>
        <w:spacing w:lineRule="auto" w:line="288" w:before="120" w:after="180"/>
        <w:jc w:val="left"/>
        <w:rPr/>
      </w:pPr>
      <w:r>
        <w:rPr>
          <w:rFonts w:ascii="Times New Roman;sans-serif" w:hAnsi="Times New Roman;sans-serif"/>
          <w:b w:val="false"/>
          <w:i/>
          <w:color w:val="000000"/>
          <w:sz w:val="20"/>
          <w:u w:val="single"/>
        </w:rPr>
        <w:t>Artificial Intelligence</w:t>
      </w:r>
      <w:r>
        <w:rPr>
          <w:rFonts w:ascii="Times New Roman;sans-serif" w:hAnsi="Times New Roman;sans-serif"/>
          <w:b w:val="false"/>
          <w:color w:val="000000"/>
          <w:sz w:val="20"/>
        </w:rPr>
        <w:t>: Cybercriminals are using Artificial Intelligence ("AI") to launch more sophisticated attacks that can quickly adapt to changing environments, making detection harder. To protect against AI-powered cyberattacks, organizations must stay vigilant and adopt advanced cybersecurity tools and techniques that can detect and respond to these threats timely before they can cause damage.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ans-serif" w:hAnsi="Times New Roman;sans-serif"/>
          <w:b/>
          <w:color w:val="000000"/>
          <w:sz w:val="20"/>
        </w:rPr>
      </w:pPr>
      <w:r>
        <w:rPr>
          <w:rFonts w:ascii="Times New Roman;sans-serif" w:hAnsi="Times New Roman;sans-serif"/>
          <w:b/>
          <w:color w:val="000000"/>
          <w:sz w:val="20"/>
        </w:rPr>
        <w:t>Backlog</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Backlog is a useful measure in developing our annual budgeted revenue by estimating for the upcoming year our continuing business from existing customers and active contracts. We consider backlog, both funded and unfunded (as explained below), other expected annual renewals, and expansion planned by our current customers.</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Total backlog consists of the aggregate contract revenues remaining to be earned by us at a given time over the life of our contracts, whether funded or unfunded. Funded backlog consists of the aggregate contract revenues remaining to be earned at a given time, which, in the case of U.S. government contracts, means that they have been funded by the procuring agency. Unfunded backlog is the difference between total backlog and funded backlog and includes potential revenues that may be earned if customers exercise delivery orders and/or renewal options to continue these contracts. Based on historical experience, we generally assume option year renewals to be exercised. Most of our customers fund contracts on the basis of one year or less, and, as a result, funded backlog is generally expected to be earned within one year from any point in time, whereas unfunded backlog is expected to be earned over a longer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efc2bee9687a460b9c9bf6cd56a32d25_7">
        <w:r>
          <w:rPr>
            <w:rStyle w:val="InternetLink"/>
            <w:rFonts w:ascii="Times New Roman;sans-serif" w:hAnsi="Times New Roman;sans-serif"/>
            <w:b w:val="false"/>
            <w:i/>
            <w:color w:val="000000"/>
            <w:sz w:val="20"/>
            <w:u w:val="single"/>
          </w:rPr>
          <w:t>Table of Contents</w:t>
        </w:r>
      </w:hyperlink>
    </w:p>
    <w:p>
      <w:pPr>
        <w:pStyle w:val="TextBody"/>
        <w:bidi w:val="0"/>
        <w:spacing w:lineRule="auto" w:line="288" w:before="120" w:after="180"/>
        <w:jc w:val="left"/>
        <w:rPr>
          <w:rFonts w:ascii="Times New Roman;sans-serif" w:hAnsi="Times New Roman;sans-serif"/>
          <w:b/>
          <w:color w:val="000000"/>
          <w:sz w:val="20"/>
        </w:rPr>
      </w:pPr>
      <w:r>
        <w:rPr>
          <w:rFonts w:ascii="Times New Roman;sans-serif" w:hAnsi="Times New Roman;sans-serif"/>
          <w:b/>
          <w:color w:val="000000"/>
          <w:sz w:val="20"/>
        </w:rPr>
        <w:t>Business Highlights</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Although a number of factors have contributed to the results of our third quarter of fiscal year 2023, the notable events and significant factors are described below. More details on these changes are presented below within our "Results of Operations" section.</w:t>
      </w:r>
    </w:p>
    <w:p>
      <w:pPr>
        <w:pStyle w:val="TextBody"/>
        <w:bidi w:val="0"/>
        <w:spacing w:lineRule="auto" w:line="288" w:before="120" w:after="180"/>
        <w:ind w:left="0" w:right="0" w:hanging="360"/>
        <w:jc w:val="left"/>
        <w:rPr/>
      </w:pPr>
      <w:r>
        <w:rPr>
          <w:color w:val="000000"/>
        </w:rPr>
        <w:t>•</w:t>
      </w:r>
      <w:r>
        <w:rPr>
          <w:rFonts w:ascii="Times New Roman;sans-serif" w:hAnsi="Times New Roman;sans-serif"/>
          <w:b w:val="false"/>
          <w:color w:val="000000"/>
          <w:sz w:val="20"/>
        </w:rPr>
        <w:t>The completion of certain programs and lower revenue on ongoing major programs resulted in a decline in the current quarter's revenue compared with 2022 results.</w:t>
      </w:r>
    </w:p>
    <w:p>
      <w:pPr>
        <w:pStyle w:val="TextBody"/>
        <w:bidi w:val="0"/>
        <w:spacing w:lineRule="auto" w:line="288" w:before="120" w:after="180"/>
        <w:ind w:left="0" w:right="0" w:hanging="360"/>
        <w:jc w:val="left"/>
        <w:rPr/>
      </w:pPr>
      <w:r>
        <w:rPr>
          <w:color w:val="000000"/>
        </w:rPr>
        <w:t>•</w:t>
      </w:r>
      <w:r>
        <w:rPr>
          <w:rFonts w:ascii="Times New Roman;sans-serif" w:hAnsi="Times New Roman;sans-serif"/>
          <w:b w:val="false"/>
          <w:color w:val="000000"/>
          <w:sz w:val="20"/>
        </w:rPr>
        <w:t>Gross margin increased significantly primarily due to revenue mix and improved margins due to strong program management within Secure Networks programs.</w:t>
      </w:r>
    </w:p>
    <w:p>
      <w:pPr>
        <w:pStyle w:val="TextBody"/>
        <w:bidi w:val="0"/>
        <w:spacing w:lineRule="auto" w:line="288" w:before="120" w:after="180"/>
        <w:ind w:left="0" w:right="0" w:hanging="360"/>
        <w:jc w:val="left"/>
        <w:rPr/>
      </w:pPr>
      <w:r>
        <w:rPr>
          <w:color w:val="000000"/>
        </w:rPr>
        <w:t>•</w:t>
      </w:r>
      <w:r>
        <w:rPr>
          <w:rFonts w:ascii="Times New Roman;sans-serif" w:hAnsi="Times New Roman;sans-serif"/>
          <w:b w:val="false"/>
          <w:color w:val="000000"/>
          <w:sz w:val="20"/>
        </w:rPr>
        <w:t>Operating costs are lower through a combination of lower stock-based compensation and the results of the restructuring plan announced in the first quarter of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ans-serif" w:hAnsi="Times New Roman;sans-serif"/>
          <w:b/>
          <w:color w:val="000000"/>
          <w:sz w:val="20"/>
        </w:rPr>
      </w:pPr>
      <w:r>
        <w:rPr>
          <w:rFonts w:ascii="Times New Roman;sans-serif" w:hAnsi="Times New Roman;sans-serif"/>
          <w:b/>
          <w:color w:val="000000"/>
          <w:sz w:val="20"/>
        </w:rPr>
        <w:t xml:space="preserve">Results of Operations </w:t>
      </w:r>
    </w:p>
    <w:tbl>
      <w:tblPr>
        <w:tblW w:w="10205" w:type="dxa"/>
        <w:jc w:val="left"/>
        <w:tblInd w:w="0" w:type="dxa"/>
        <w:tblLayout w:type="fixed"/>
        <w:tblCellMar>
          <w:top w:w="28" w:type="dxa"/>
          <w:left w:w="28" w:type="dxa"/>
          <w:bottom w:w="28" w:type="dxa"/>
          <w:right w:w="28" w:type="dxa"/>
        </w:tblCellMar>
      </w:tblPr>
      <w:tblGrid>
        <w:gridCol w:w="1389"/>
        <w:gridCol w:w="1150"/>
        <w:gridCol w:w="1114"/>
        <w:gridCol w:w="242"/>
        <w:gridCol w:w="798"/>
        <w:gridCol w:w="316"/>
        <w:gridCol w:w="134"/>
        <w:gridCol w:w="134"/>
        <w:gridCol w:w="134"/>
        <w:gridCol w:w="242"/>
        <w:gridCol w:w="798"/>
        <w:gridCol w:w="316"/>
        <w:gridCol w:w="109"/>
        <w:gridCol w:w="109"/>
        <w:gridCol w:w="109"/>
        <w:gridCol w:w="225"/>
        <w:gridCol w:w="847"/>
        <w:gridCol w:w="294"/>
        <w:gridCol w:w="109"/>
        <w:gridCol w:w="109"/>
        <w:gridCol w:w="109"/>
        <w:gridCol w:w="224"/>
        <w:gridCol w:w="842"/>
        <w:gridCol w:w="352"/>
      </w:tblGrid>
      <w:tr>
        <w:trPr/>
        <w:tc>
          <w:tcPr>
            <w:tcW w:w="1389"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r>
      <w:tr>
        <w:trPr/>
        <w:tc>
          <w:tcPr>
            <w:tcW w:w="6767"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Table MD&amp;A 1: Consolidated Results of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6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 the Three Months Ended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 the Nine Months Ended</w:t>
            </w:r>
          </w:p>
        </w:tc>
      </w:tr>
      <w:tr>
        <w:trPr/>
        <w:tc>
          <w:tcPr>
            <w:tcW w:w="3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30, 2023</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30, 2022</w:t>
            </w:r>
          </w:p>
        </w:tc>
      </w:tr>
      <w:tr>
        <w:trPr/>
        <w:tc>
          <w:tcPr>
            <w:tcW w:w="3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r>
      <w:tr>
        <w:trPr/>
        <w:tc>
          <w:tcPr>
            <w:tcW w:w="36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w:t>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36,186 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63,593 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104,319 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169,544 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sales (exclusive of depreciation and amortization shown separately below)</w:t>
            </w:r>
          </w:p>
        </w:tc>
        <w:tc>
          <w:tcPr>
            <w:tcW w:w="10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21,228 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42,457 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63,174 </w:t>
            </w:r>
          </w:p>
        </w:tc>
        <w:tc>
          <w:tcPr>
            <w:tcW w:w="2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108,197 </w:t>
            </w:r>
          </w:p>
        </w:tc>
        <w:tc>
          <w:tcPr>
            <w:tcW w:w="3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1,945 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2,291 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602 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cost of sales</w:t>
            </w:r>
          </w:p>
        </w:tc>
        <w:tc>
          <w:tcPr>
            <w:tcW w:w="10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23,173 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42,648 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65,465 </w:t>
            </w:r>
          </w:p>
        </w:tc>
        <w:tc>
          <w:tcPr>
            <w:tcW w:w="2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108,799 </w:t>
            </w:r>
          </w:p>
        </w:tc>
        <w:tc>
          <w:tcPr>
            <w:tcW w:w="3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10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13,013 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20,945 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38,854 </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60,745 </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Gross margin</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i/>
                <w:color w:val="000000"/>
                <w:sz w:val="18"/>
              </w:rPr>
              <w:t>36.0</w:t>
            </w: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i/>
                <w:color w:val="000000"/>
                <w:sz w:val="18"/>
              </w:rPr>
            </w:pPr>
            <w:r>
              <w:rPr>
                <w:rFonts w:ascii="Times New Roman;sans-serif" w:hAnsi="Times New Roman;sans-serif"/>
                <w:b/>
                <w:i/>
                <w:color w:val="000000"/>
                <w:sz w:val="18"/>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i/>
                <w:color w:val="000000"/>
                <w:sz w:val="18"/>
              </w:rPr>
              <w:t>32.9</w:t>
            </w: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i/>
                <w:color w:val="000000"/>
                <w:sz w:val="18"/>
              </w:rPr>
            </w:pPr>
            <w:r>
              <w:rPr>
                <w:rFonts w:ascii="Times New Roman;sans-serif" w:hAnsi="Times New Roman;sans-serif"/>
                <w:b/>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i/>
                <w:color w:val="000000"/>
                <w:sz w:val="18"/>
              </w:rPr>
              <w:t>37.2</w:t>
            </w:r>
            <w:r>
              <w:rPr>
                <w:color w:val="000000"/>
              </w:rPr>
              <w:t> </w:t>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i/>
                <w:color w:val="000000"/>
                <w:sz w:val="18"/>
              </w:rPr>
            </w:pPr>
            <w:r>
              <w:rPr>
                <w:rFonts w:ascii="Times New Roman;sans-serif" w:hAnsi="Times New Roman;sans-serif"/>
                <w:b/>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i/>
                <w:color w:val="000000"/>
                <w:sz w:val="18"/>
              </w:rPr>
              <w:t>35.8</w:t>
            </w:r>
            <w:r>
              <w:rPr>
                <w:color w:val="000000"/>
              </w:rPr>
              <w:t> </w:t>
            </w:r>
          </w:p>
        </w:tc>
        <w:tc>
          <w:tcPr>
            <w:tcW w:w="3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i/>
                <w:color w:val="000000"/>
                <w:sz w:val="18"/>
              </w:rPr>
            </w:pPr>
            <w:r>
              <w:rPr>
                <w:rFonts w:ascii="Times New Roman;sans-serif" w:hAnsi="Times New Roman;sans-serif"/>
                <w:b/>
                <w:i/>
                <w:color w:val="000000"/>
                <w:sz w:val="18"/>
              </w:rPr>
              <w:t>%</w:t>
            </w:r>
          </w:p>
        </w:tc>
      </w:tr>
      <w:tr>
        <w:trPr/>
        <w:tc>
          <w:tcPr>
            <w:tcW w:w="36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 expenses</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22,706 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29,729 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70,984 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99,932 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Selling, general and administrative expenses as percentage of revenue</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i/>
                <w:color w:val="000000"/>
                <w:sz w:val="18"/>
              </w:rPr>
              <w:t>62.7</w:t>
            </w: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i/>
                <w:color w:val="000000"/>
                <w:sz w:val="18"/>
              </w:rPr>
            </w:pPr>
            <w:r>
              <w:rPr>
                <w:rFonts w:ascii="Times New Roman;sans-serif" w:hAnsi="Times New Roman;sans-serif"/>
                <w:b/>
                <w:i/>
                <w:color w:val="000000"/>
                <w:sz w:val="18"/>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i/>
                <w:color w:val="000000"/>
                <w:sz w:val="18"/>
              </w:rPr>
              <w:t>46.7</w:t>
            </w: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i/>
                <w:color w:val="000000"/>
                <w:sz w:val="18"/>
              </w:rPr>
            </w:pPr>
            <w:r>
              <w:rPr>
                <w:rFonts w:ascii="Times New Roman;sans-serif" w:hAnsi="Times New Roman;sans-serif"/>
                <w:b/>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i/>
                <w:color w:val="000000"/>
                <w:sz w:val="18"/>
              </w:rPr>
              <w:t>68.0</w:t>
            </w:r>
            <w:r>
              <w:rPr>
                <w:color w:val="000000"/>
              </w:rPr>
              <w:t> </w:t>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i/>
                <w:color w:val="000000"/>
                <w:sz w:val="18"/>
              </w:rPr>
            </w:pPr>
            <w:r>
              <w:rPr>
                <w:rFonts w:ascii="Times New Roman;sans-serif" w:hAnsi="Times New Roman;sans-serif"/>
                <w:b/>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i/>
                <w:color w:val="000000"/>
                <w:sz w:val="18"/>
              </w:rPr>
              <w:t>58.9</w:t>
            </w:r>
            <w:r>
              <w:rPr>
                <w:color w:val="000000"/>
              </w:rPr>
              <w:t> </w:t>
            </w:r>
          </w:p>
        </w:tc>
        <w:tc>
          <w:tcPr>
            <w:tcW w:w="3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i/>
                <w:color w:val="000000"/>
                <w:sz w:val="18"/>
              </w:rPr>
            </w:pPr>
            <w:r>
              <w:rPr>
                <w:rFonts w:ascii="Times New Roman;sans-serif" w:hAnsi="Times New Roman;sans-serif"/>
                <w:b/>
                <w:i/>
                <w:color w:val="000000"/>
                <w:sz w:val="18"/>
              </w:rPr>
              <w:t>%</w:t>
            </w:r>
          </w:p>
        </w:tc>
      </w:tr>
      <w:tr>
        <w:trPr/>
        <w:tc>
          <w:tcPr>
            <w:tcW w:w="36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loss</w:t>
            </w:r>
          </w:p>
        </w:tc>
        <w:tc>
          <w:tcPr>
            <w:tcW w:w="10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(9,693)</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(8,784)</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(32,130)</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(39,187)</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518 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5,367 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648 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(611)</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(558)</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before income taxes</w:t>
            </w:r>
          </w:p>
        </w:tc>
        <w:tc>
          <w:tcPr>
            <w:tcW w:w="10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(8,649)</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(8,447)</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(27,374)</w:t>
            </w:r>
          </w:p>
        </w:tc>
        <w:tc>
          <w:tcPr>
            <w:tcW w:w="2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(39,097)</w:t>
            </w:r>
          </w:p>
        </w:tc>
        <w:tc>
          <w:tcPr>
            <w:tcW w:w="3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taxes</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(8,672)</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(8,455)</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(27,442)</w:t>
            </w:r>
          </w:p>
        </w:tc>
        <w:tc>
          <w:tcPr>
            <w:tcW w:w="2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(39,230)</w:t>
            </w:r>
          </w:p>
        </w:tc>
        <w:tc>
          <w:tcPr>
            <w:tcW w:w="3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jc w:val="left"/>
        <w:rPr>
          <w:rFonts w:ascii="Times New Roman;sans-serif" w:hAnsi="Times New Roman;sans-serif"/>
          <w:b/>
          <w:i/>
          <w:color w:val="000000"/>
          <w:sz w:val="20"/>
        </w:rPr>
      </w:pPr>
      <w:r>
        <w:rPr>
          <w:rFonts w:ascii="Times New Roman;sans-serif" w:hAnsi="Times New Roman;sans-serif"/>
          <w:b/>
          <w:i/>
          <w:color w:val="000000"/>
          <w:sz w:val="20"/>
        </w:rPr>
        <w:t>Consolidated Results</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segments have different factors driving revenue fluctuations and profitability. The discussion of the changes in our revenue and profitability is set forth in greater detail under the section that follows "Segment Results." We generate revenue from the delivery of products and services to our customers. Cost of sales, for both products and services, consists of labor, materials, subcontracting costs and an allocation of indirect costs.</w:t>
      </w:r>
    </w:p>
    <w:p>
      <w:pPr>
        <w:pStyle w:val="TextBody"/>
        <w:bidi w:val="0"/>
        <w:spacing w:lineRule="auto" w:line="288" w:before="120" w:after="180"/>
        <w:jc w:val="left"/>
        <w:rPr/>
      </w:pPr>
      <w:r>
        <w:rPr>
          <w:rFonts w:ascii="Times New Roman;sans-serif" w:hAnsi="Times New Roman;sans-serif"/>
          <w:b w:val="false"/>
          <w:i/>
          <w:color w:val="000000"/>
          <w:sz w:val="20"/>
        </w:rPr>
        <w:t xml:space="preserve">Selling, general, and administrative expenses (SG&amp;A). </w:t>
      </w:r>
      <w:r>
        <w:rPr>
          <w:rFonts w:ascii="Times New Roman;sans-serif" w:hAnsi="Times New Roman;sans-serif"/>
          <w:b w:val="false"/>
          <w:color w:val="000000"/>
          <w:sz w:val="20"/>
        </w:rPr>
        <w:t>SG&amp;A decreased by $7.0 million, or 23.6%, for the three months ended September 30, 2023, compared to the same period in 2022. Sales and marketing expenses decreased by $1.3 million, research and development expenses decreased by $0.8 million, and general and administrative expenses decreased by $4.9 million. Lower compensation costs are the primary driver for reductions across all of these areas.</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SG&amp;A decreased by $28.9 million, or 29.0%, for the nine months ended September 30, 2023, as compared to the same period in the prior year. Sales and marketing expenses decreased by $7.9 million primarily due to lower compensation costs. Research and development expenses decreased by $5.3 million due to lower compensation costs and increased capitalization of software development. General and administrative expenses also decreased by $15.8 million due to lower compensation costs, partially offset by restructuring expenses.</w:t>
      </w:r>
    </w:p>
    <w:p>
      <w:pPr>
        <w:pStyle w:val="TextBody"/>
        <w:bidi w:val="0"/>
        <w:spacing w:lineRule="auto" w:line="288" w:before="120" w:after="180"/>
        <w:jc w:val="left"/>
        <w:rPr/>
      </w:pPr>
      <w:r>
        <w:rPr>
          <w:rFonts w:ascii="Times New Roman;sans-serif" w:hAnsi="Times New Roman;sans-serif"/>
          <w:b w:val="false"/>
          <w:i/>
          <w:color w:val="000000"/>
          <w:sz w:val="20"/>
        </w:rPr>
        <w:t xml:space="preserve">Other income. </w:t>
      </w:r>
      <w:r>
        <w:rPr>
          <w:rFonts w:ascii="Times New Roman;sans-serif" w:hAnsi="Times New Roman;sans-serif"/>
          <w:b w:val="false"/>
          <w:color w:val="000000"/>
          <w:sz w:val="20"/>
        </w:rPr>
        <w:t xml:space="preserve">Other income increased by $0.7 million for the three months ended September 30, 2023, due to increases in dividend income from money market placements as a result of increasing interest rates, compared to the same period in 2022. </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increased by $4.7 million for the nine months ended September 30, 2023, as compared to the same period in the prior year, primarily due to an increase in dividend income from money market placement of $3.3 million, and a gain on early extinguishment of other financing obligations of $1.4 million in 2023 without a similar gain in the same period in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efc2bee9687a460b9c9bf6cd56a32d25_7">
        <w:r>
          <w:rPr>
            <w:rStyle w:val="InternetLink"/>
            <w:rFonts w:ascii="Times New Roman;sans-serif" w:hAnsi="Times New Roman;sans-serif"/>
            <w:b w:val="false"/>
            <w:i/>
            <w:color w:val="000000"/>
            <w:sz w:val="20"/>
            <w:u w:val="single"/>
          </w:rPr>
          <w:t>Table of Contents</w:t>
        </w:r>
      </w:hyperlink>
    </w:p>
    <w:p>
      <w:pPr>
        <w:pStyle w:val="TextBody"/>
        <w:bidi w:val="0"/>
        <w:spacing w:lineRule="auto" w:line="288" w:before="120" w:after="180"/>
        <w:jc w:val="left"/>
        <w:rPr/>
      </w:pPr>
      <w:r>
        <w:rPr>
          <w:rFonts w:ascii="Times New Roman;sans-serif" w:hAnsi="Times New Roman;sans-serif"/>
          <w:b w:val="false"/>
          <w:i/>
          <w:color w:val="000000"/>
          <w:sz w:val="20"/>
        </w:rPr>
        <w:t>Interest expense</w:t>
      </w:r>
      <w:r>
        <w:rPr>
          <w:rFonts w:ascii="Times New Roman;sans-serif" w:hAnsi="Times New Roman;sans-serif"/>
          <w:b w:val="false"/>
          <w:color w:val="000000"/>
          <w:sz w:val="20"/>
        </w:rPr>
        <w:t>. There was no significant change in interest expense between comparable periods.</w:t>
      </w:r>
    </w:p>
    <w:p>
      <w:pPr>
        <w:pStyle w:val="TextBody"/>
        <w:bidi w:val="0"/>
        <w:spacing w:lineRule="auto" w:line="288" w:before="120" w:after="180"/>
        <w:jc w:val="left"/>
        <w:rPr/>
      </w:pPr>
      <w:r>
        <w:rPr>
          <w:rFonts w:ascii="Times New Roman;sans-serif" w:hAnsi="Times New Roman;sans-serif"/>
          <w:b w:val="false"/>
          <w:i/>
          <w:color w:val="000000"/>
          <w:sz w:val="20"/>
        </w:rPr>
        <w:t>Provision for income taxes</w:t>
      </w:r>
      <w:r>
        <w:rPr>
          <w:rFonts w:ascii="Times New Roman;sans-serif" w:hAnsi="Times New Roman;sans-serif"/>
          <w:b w:val="false"/>
          <w:color w:val="000000"/>
          <w:sz w:val="20"/>
        </w:rPr>
        <w:t>. The change in the income tax provision for the three and nine months ended September 30, 2023, compared to the same period in 2022, is based on the estimated annual effective tax rate applied to the pretax loss incurred for the quarter plus discrete tax items, based on our expectation of pretax loss for the fiscal year.</w:t>
      </w:r>
    </w:p>
    <w:p>
      <w:pPr>
        <w:pStyle w:val="TextBody"/>
        <w:bidi w:val="0"/>
        <w:spacing w:lineRule="auto" w:line="288" w:before="120" w:after="180"/>
        <w:jc w:val="left"/>
        <w:rPr>
          <w:rFonts w:ascii="Times New Roman;sans-serif" w:hAnsi="Times New Roman;sans-serif"/>
          <w:b/>
          <w:i/>
          <w:color w:val="000000"/>
          <w:sz w:val="20"/>
        </w:rPr>
      </w:pPr>
      <w:r>
        <w:rPr>
          <w:rFonts w:ascii="Times New Roman;sans-serif" w:hAnsi="Times New Roman;sans-serif"/>
          <w:b/>
          <w:i/>
          <w:color w:val="000000"/>
          <w:sz w:val="20"/>
        </w:rPr>
        <w:t>Segment Results</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accounting policies of each business segment are the same as those followed by the Company as a whole. Management evaluates business segment performance based on gross profit.</w:t>
      </w:r>
    </w:p>
    <w:tbl>
      <w:tblPr>
        <w:tblW w:w="10205" w:type="dxa"/>
        <w:jc w:val="left"/>
        <w:tblInd w:w="0" w:type="dxa"/>
        <w:tblLayout w:type="fixed"/>
        <w:tblCellMar>
          <w:top w:w="28" w:type="dxa"/>
          <w:left w:w="28" w:type="dxa"/>
          <w:bottom w:w="28" w:type="dxa"/>
          <w:right w:w="28" w:type="dxa"/>
        </w:tblCellMar>
      </w:tblPr>
      <w:tblGrid>
        <w:gridCol w:w="1383"/>
        <w:gridCol w:w="1205"/>
        <w:gridCol w:w="1217"/>
        <w:gridCol w:w="239"/>
        <w:gridCol w:w="790"/>
        <w:gridCol w:w="312"/>
        <w:gridCol w:w="109"/>
        <w:gridCol w:w="109"/>
        <w:gridCol w:w="109"/>
        <w:gridCol w:w="239"/>
        <w:gridCol w:w="790"/>
        <w:gridCol w:w="312"/>
        <w:gridCol w:w="109"/>
        <w:gridCol w:w="109"/>
        <w:gridCol w:w="109"/>
        <w:gridCol w:w="239"/>
        <w:gridCol w:w="790"/>
        <w:gridCol w:w="312"/>
        <w:gridCol w:w="109"/>
        <w:gridCol w:w="109"/>
        <w:gridCol w:w="109"/>
        <w:gridCol w:w="238"/>
        <w:gridCol w:w="784"/>
        <w:gridCol w:w="374"/>
      </w:tblGrid>
      <w:tr>
        <w:trPr/>
        <w:tc>
          <w:tcPr>
            <w:tcW w:w="1383"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Table MD&amp;A 2: Security Solutions Segment - Financial Results</w:t>
            </w:r>
          </w:p>
        </w:tc>
      </w:tr>
      <w:tr>
        <w:trPr/>
        <w:tc>
          <w:tcPr>
            <w:tcW w:w="38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 the Three Months Ended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 the Nine Months Ended</w:t>
            </w:r>
          </w:p>
        </w:tc>
      </w:tr>
      <w:tr>
        <w:trPr/>
        <w:tc>
          <w:tcPr>
            <w:tcW w:w="3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30, 2022</w:t>
            </w:r>
          </w:p>
        </w:tc>
      </w:tr>
      <w:tr>
        <w:trPr/>
        <w:tc>
          <w:tcPr>
            <w:tcW w:w="3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r>
      <w:tr>
        <w:trPr/>
        <w:tc>
          <w:tcPr>
            <w:tcW w:w="3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w:t>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19,795 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32,440 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56,764 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90,178 </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sales (exclusive of depreciation and amortization shown separately below)</w:t>
            </w:r>
          </w:p>
        </w:tc>
        <w:tc>
          <w:tcPr>
            <w:tcW w:w="10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8,498 </w:t>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16,680 </w:t>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25,304 </w:t>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42,536 </w:t>
            </w:r>
          </w:p>
        </w:tc>
        <w:tc>
          <w:tcPr>
            <w:tcW w:w="3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1,943 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2,281 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580 </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cost of sales</w:t>
            </w:r>
          </w:p>
        </w:tc>
        <w:tc>
          <w:tcPr>
            <w:tcW w:w="10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10,441 </w:t>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16,863 </w:t>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27,585 </w:t>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43,116 </w:t>
            </w:r>
          </w:p>
        </w:tc>
        <w:tc>
          <w:tcPr>
            <w:tcW w:w="3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9,354 </w:t>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15,577 </w:t>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29,179 </w:t>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47,062 </w:t>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i/>
                <w:color w:val="000000"/>
                <w:sz w:val="18"/>
              </w:rPr>
            </w:pPr>
            <w:r>
              <w:rPr>
                <w:rFonts w:ascii="Times New Roman;sans-serif" w:hAnsi="Times New Roman;sans-serif"/>
                <w:b w:val="false"/>
                <w:i/>
                <w:color w:val="000000"/>
                <w:sz w:val="18"/>
              </w:rPr>
              <w:t>Gross margin</w:t>
            </w:r>
          </w:p>
        </w:tc>
        <w:tc>
          <w:tcPr>
            <w:tcW w:w="102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47.3 </w:t>
            </w:r>
          </w:p>
        </w:tc>
        <w:tc>
          <w:tcPr>
            <w:tcW w:w="31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48.0 </w:t>
            </w:r>
          </w:p>
        </w:tc>
        <w:tc>
          <w:tcPr>
            <w:tcW w:w="31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51.4 </w:t>
            </w:r>
          </w:p>
        </w:tc>
        <w:tc>
          <w:tcPr>
            <w:tcW w:w="31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52.2 </w:t>
            </w:r>
          </w:p>
        </w:tc>
        <w:tc>
          <w:tcPr>
            <w:tcW w:w="37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w:t>
            </w:r>
          </w:p>
        </w:tc>
      </w:tr>
    </w:tbl>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September 30, 2023, Security Solutions segment revenue decreased by $12.6 million, or 39.0%, compared to the same period in 2022, primarily due to lower revenues on ongoing programs.</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Security Solutions segment revenue for the nine months ended September 30, 2023, decreased by $33.4 million, or 37.1%, compared to the same period in 2022, primarily due to lower revenues on ongoing programs.</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 for Security Solutions decreased by $6.2 million, or 39.9%, for the third quarter of 2023 compared with the same period in 2022, primarily due to the decrease in revenue and a slight decrease in gross margin. Segment gross margin decreased to 47.3% for the third quarter of 2023 from 48.0% for the same period in 2022, primarily due to amortization of software development costs partially offset by favorable revenue mix.</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nine months ended September 30, 2023, Security Solutions segment gross profit decreased by $17.9 million, or 38.0%, compared to the same period in 2022, primarily due to the decrease in revenue and a small decrease in gross margin. Segment gross margin decreased from 52.2% to 51.4%, primarily due to amortization of software development costs partially offset by favorable revenue mix within the portfolio. </w:t>
      </w:r>
    </w:p>
    <w:tbl>
      <w:tblPr>
        <w:tblW w:w="10205" w:type="dxa"/>
        <w:jc w:val="left"/>
        <w:tblInd w:w="0" w:type="dxa"/>
        <w:tblLayout w:type="fixed"/>
        <w:tblCellMar>
          <w:top w:w="28" w:type="dxa"/>
          <w:left w:w="28" w:type="dxa"/>
          <w:bottom w:w="28" w:type="dxa"/>
          <w:right w:w="28" w:type="dxa"/>
        </w:tblCellMar>
      </w:tblPr>
      <w:tblGrid>
        <w:gridCol w:w="1383"/>
        <w:gridCol w:w="1205"/>
        <w:gridCol w:w="1217"/>
        <w:gridCol w:w="239"/>
        <w:gridCol w:w="790"/>
        <w:gridCol w:w="312"/>
        <w:gridCol w:w="109"/>
        <w:gridCol w:w="109"/>
        <w:gridCol w:w="109"/>
        <w:gridCol w:w="239"/>
        <w:gridCol w:w="790"/>
        <w:gridCol w:w="312"/>
        <w:gridCol w:w="109"/>
        <w:gridCol w:w="109"/>
        <w:gridCol w:w="109"/>
        <w:gridCol w:w="239"/>
        <w:gridCol w:w="790"/>
        <w:gridCol w:w="312"/>
        <w:gridCol w:w="109"/>
        <w:gridCol w:w="109"/>
        <w:gridCol w:w="109"/>
        <w:gridCol w:w="238"/>
        <w:gridCol w:w="784"/>
        <w:gridCol w:w="374"/>
      </w:tblGrid>
      <w:tr>
        <w:trPr/>
        <w:tc>
          <w:tcPr>
            <w:tcW w:w="1383"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Table MD&amp;A 3: Secure Networks Segment - Financial Results</w:t>
            </w:r>
          </w:p>
        </w:tc>
      </w:tr>
      <w:tr>
        <w:trPr/>
        <w:tc>
          <w:tcPr>
            <w:tcW w:w="38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 the Three Months Ended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 the Nine Months Ended</w:t>
            </w:r>
          </w:p>
        </w:tc>
      </w:tr>
      <w:tr>
        <w:trPr/>
        <w:tc>
          <w:tcPr>
            <w:tcW w:w="3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30, 2022</w:t>
            </w:r>
          </w:p>
        </w:tc>
      </w:tr>
      <w:tr>
        <w:trPr/>
        <w:tc>
          <w:tcPr>
            <w:tcW w:w="3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r>
      <w:tr>
        <w:trPr/>
        <w:tc>
          <w:tcPr>
            <w:tcW w:w="3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w:t>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16,391 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31,153 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47,555 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79,366 </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sales (exclusive of depreciation and amortization shown separately below)</w:t>
            </w:r>
          </w:p>
        </w:tc>
        <w:tc>
          <w:tcPr>
            <w:tcW w:w="10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12,730 </w:t>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25,777 </w:t>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37,870 </w:t>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65,661 </w:t>
            </w:r>
          </w:p>
        </w:tc>
        <w:tc>
          <w:tcPr>
            <w:tcW w:w="3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cost of sales</w:t>
            </w:r>
          </w:p>
        </w:tc>
        <w:tc>
          <w:tcPr>
            <w:tcW w:w="10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12,732 </w:t>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25,785 </w:t>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37,880 </w:t>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65,683 </w:t>
            </w:r>
          </w:p>
        </w:tc>
        <w:tc>
          <w:tcPr>
            <w:tcW w:w="3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3,659 </w:t>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5,368 </w:t>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9,675 </w:t>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13,683 </w:t>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i/>
                <w:color w:val="000000"/>
                <w:sz w:val="18"/>
              </w:rPr>
            </w:pPr>
            <w:r>
              <w:rPr>
                <w:rFonts w:ascii="Times New Roman;sans-serif" w:hAnsi="Times New Roman;sans-serif"/>
                <w:b w:val="false"/>
                <w:i/>
                <w:color w:val="000000"/>
                <w:sz w:val="18"/>
              </w:rPr>
              <w:t>Gross margin</w:t>
            </w:r>
          </w:p>
        </w:tc>
        <w:tc>
          <w:tcPr>
            <w:tcW w:w="102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22.3 </w:t>
            </w:r>
          </w:p>
        </w:tc>
        <w:tc>
          <w:tcPr>
            <w:tcW w:w="31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17.2 </w:t>
            </w:r>
          </w:p>
        </w:tc>
        <w:tc>
          <w:tcPr>
            <w:tcW w:w="31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20.3 </w:t>
            </w:r>
          </w:p>
        </w:tc>
        <w:tc>
          <w:tcPr>
            <w:tcW w:w="31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17.2 </w:t>
            </w:r>
          </w:p>
        </w:tc>
        <w:tc>
          <w:tcPr>
            <w:tcW w:w="37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w:t>
            </w:r>
          </w:p>
        </w:tc>
      </w:tr>
    </w:tbl>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Secure Networks segment revenue for the three months ended September 30, 2023, decreased by $14.8 million, or 47.4%, compared to the same period in 2022, primarily due to the successful completion of certain programs and lower revenue on ongoing major programs as expected.</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For the nine months ended September 30, 2023, Secure Networks segment revenue decreased by $31.8 million, or 40.1%, compared to the same period in 2022, primarily due to the successful completion of certain programs and lower revenue on ongoing major programs as expected.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efc2bee9687a460b9c9bf6cd56a32d25_7">
        <w:r>
          <w:rPr>
            <w:rStyle w:val="InternetLink"/>
            <w:rFonts w:ascii="Times New Roman;sans-serif" w:hAnsi="Times New Roman;sans-serif"/>
            <w:b w:val="false"/>
            <w:i/>
            <w:color w:val="000000"/>
            <w:sz w:val="20"/>
            <w:u w:val="single"/>
          </w:rPr>
          <w:t>Table of Contents</w:t>
        </w:r>
      </w:hyperlink>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 for Secure Networks decreased by $1.7 million, or 31.8%, for the third quarter of 2023, compared with the same period in 2022, primarily due to lower revenue but partially offset by higher gross margins. Segment gross margin increased to 22.3% for the third quarter of 2023 from 17.2% for the same period in 2022, primarily due to strong program management and the successful wind-down of certain lower-margin programs.</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nine months ended September 30, 2023, Secure Networks segment gross profit decreased by $4.0 million, or 29.3%, compared to the same period in 2022, primarily due to lower revenue, partially offset by higher gross margins. Segment gross margin increased from 17.2% in 2022 to 20.3% in 2023 due to strong program management and a shift in the mix across the portfolio driven by the successful wind-down of lower-margin programs.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ans-serif" w:hAnsi="Times New Roman;sans-serif"/>
          <w:b/>
          <w:color w:val="000000"/>
          <w:sz w:val="20"/>
        </w:rPr>
      </w:pPr>
      <w:r>
        <w:rPr>
          <w:rFonts w:ascii="Times New Roman;sans-serif" w:hAnsi="Times New Roman;sans-serif"/>
          <w:b/>
          <w:color w:val="000000"/>
          <w:sz w:val="20"/>
        </w:rPr>
        <w:t>Non-GAAP Financial Measures</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our results determined in accordance with U.S. GAAP, we believe the non-GAAP financial measures of EBITDA, Adjusted EBITDA, EBITDA Margin, Adjusted EBITDA Margin, Adjusted Net (Loss)/Income, Adjusted Earnings Per Share ("EPS"), Non-GAAP Gross Profit, Non-GAAP Gross Margin and Free Cash Flow are useful in evaluating our operating performance. We believe that this non-GAAP financial information, when taken collectively with our GAAP results, may be helpful to readers of our financial statements because it provides consistency and comparability with past financial performance and assists in comparisons with other companies, some of which use similar non-GAAP financial information to supplement their GAAP results. The non-GAAP financial information is presented for supplemental informational purposes only, should not be considered a substitute for financial information presented in accordance with GAAP, and may be different from similarly-titled non-GAAP measures used by other companies. A reconciliation is provided below for each of these non-GAAP financial measures to the most directly comparable financial measure stated in accordance with GAAP.</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these non-GAAP financial measures facilitate comparison of our operating performance on a consistent basis between periods by excluding certain items that may, or could, have a disproportionately positive or negative impact on our results of operations in any particular period. When viewed in combination with our results prepared in accordance with GAAP, these non-GAAP financial measures help provide a broader picture of factors and trends affecting our results of operations.</w:t>
      </w:r>
    </w:p>
    <w:p>
      <w:pPr>
        <w:pStyle w:val="TextBody"/>
        <w:bidi w:val="0"/>
        <w:spacing w:lineRule="auto" w:line="288" w:before="120" w:after="180"/>
        <w:jc w:val="left"/>
        <w:rPr/>
      </w:pPr>
      <w:r>
        <w:rPr>
          <w:rFonts w:ascii="Times New Roman;sans-serif" w:hAnsi="Times New Roman;sans-serif"/>
          <w:b/>
          <w:i/>
          <w:color w:val="000000"/>
          <w:sz w:val="20"/>
        </w:rPr>
        <w:t>EBITDA, Adjusted EBITDA, EBITDA Margin and Adjusted EBITDA Margin</w:t>
      </w:r>
      <w:r>
        <w:rPr>
          <w:color w:val="000000"/>
        </w:rPr>
        <w:t xml:space="preserve"> </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EBITDA, Adjusted EBITDA, EBITDA Margin and Adjusted EBITDA Margin are supplemental measures of operating performance that are not made under GAAP and do not represent, and should not be considered as, an alternative to net loss as determined by GAAP. We define EBITDA as net (loss)/income, adjusted for non-operating (income)/expense, interest expense, provision for/(benefit from) income taxes, and depreciation and amortization. We define Adjusted EBITDA as EBITDA, adjusted for stock-based compensation expense and restructuring expenses. We define EBITDA Margin as EBITDA as a percentage of total revenue. We define Adjusted EBITDA Margin as Adjusted EBITDA as a percentage of total revenue.</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EBITDA, EBITDA Margin, Adjusted EBITDA and Adjusted EBITDA Margin provide the Board, management and investors with clear representation of our core operating performance and trends, provide greater visibility into the long-term financial performance of the Company, and eliminate the impact of items that do not relate to the ongoing operating performance of the business. Further, Adjusted EBITDA and Adjusted EBITDA Margin are used by the Board and management to prepare and approve our annual budget, and to evaluate the performance of certain management personnel when determining incentive compensation.</w:t>
      </w:r>
    </w:p>
    <w:tbl>
      <w:tblPr>
        <w:tblW w:w="10205" w:type="dxa"/>
        <w:jc w:val="left"/>
        <w:tblInd w:w="0" w:type="dxa"/>
        <w:tblLayout w:type="fixed"/>
        <w:tblCellMar>
          <w:top w:w="28" w:type="dxa"/>
          <w:left w:w="28" w:type="dxa"/>
          <w:bottom w:w="28" w:type="dxa"/>
          <w:right w:w="28" w:type="dxa"/>
        </w:tblCellMar>
      </w:tblPr>
      <w:tblGrid>
        <w:gridCol w:w="722"/>
        <w:gridCol w:w="280"/>
        <w:gridCol w:w="254"/>
        <w:gridCol w:w="198"/>
        <w:gridCol w:w="585"/>
        <w:gridCol w:w="110"/>
        <w:gridCol w:w="110"/>
        <w:gridCol w:w="110"/>
        <w:gridCol w:w="110"/>
        <w:gridCol w:w="239"/>
        <w:gridCol w:w="239"/>
        <w:gridCol w:w="243"/>
        <w:gridCol w:w="110"/>
        <w:gridCol w:w="110"/>
        <w:gridCol w:w="110"/>
        <w:gridCol w:w="198"/>
        <w:gridCol w:w="585"/>
        <w:gridCol w:w="110"/>
        <w:gridCol w:w="110"/>
        <w:gridCol w:w="110"/>
        <w:gridCol w:w="110"/>
        <w:gridCol w:w="239"/>
        <w:gridCol w:w="239"/>
        <w:gridCol w:w="243"/>
        <w:gridCol w:w="110"/>
        <w:gridCol w:w="110"/>
        <w:gridCol w:w="110"/>
        <w:gridCol w:w="198"/>
        <w:gridCol w:w="676"/>
        <w:gridCol w:w="110"/>
        <w:gridCol w:w="110"/>
        <w:gridCol w:w="110"/>
        <w:gridCol w:w="110"/>
        <w:gridCol w:w="222"/>
        <w:gridCol w:w="208"/>
        <w:gridCol w:w="209"/>
        <w:gridCol w:w="110"/>
        <w:gridCol w:w="110"/>
        <w:gridCol w:w="110"/>
        <w:gridCol w:w="198"/>
        <w:gridCol w:w="676"/>
        <w:gridCol w:w="110"/>
        <w:gridCol w:w="110"/>
        <w:gridCol w:w="110"/>
        <w:gridCol w:w="110"/>
        <w:gridCol w:w="188"/>
        <w:gridCol w:w="188"/>
        <w:gridCol w:w="428"/>
      </w:tblGrid>
      <w:tr>
        <w:trPr/>
        <w:tc>
          <w:tcPr>
            <w:tcW w:w="722"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r>
      <w:tr>
        <w:trPr/>
        <w:tc>
          <w:tcPr>
            <w:tcW w:w="10205" w:type="dxa"/>
            <w:gridSpan w:val="48"/>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Table MD&amp;A 4: Reconciliation of Net Loss to EBITDA, Adjusted EBITDA, EBITDA Margin and Adjusted EBITDA Margin</w:t>
            </w:r>
          </w:p>
        </w:tc>
      </w:tr>
      <w:tr>
        <w:trPr/>
        <w:tc>
          <w:tcPr>
            <w:tcW w:w="12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8" w:type="dxa"/>
            <w:gridSpan w:val="21"/>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For the Three Months Ended</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1" w:type="dxa"/>
            <w:gridSpan w:val="21"/>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For the Nine Months Ended</w:t>
            </w:r>
          </w:p>
        </w:tc>
      </w:tr>
      <w:tr>
        <w:trPr/>
        <w:tc>
          <w:tcPr>
            <w:tcW w:w="1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September 30, 2023</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September 30, 2022</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September 30, 2023</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September 30, 2022</w:t>
            </w:r>
          </w:p>
        </w:tc>
      </w:tr>
      <w:tr>
        <w:trPr/>
        <w:tc>
          <w:tcPr>
            <w:tcW w:w="1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Amount</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Margin</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Amount</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Margin</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Amount</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Margin</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Amount</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Margin</w:t>
            </w:r>
          </w:p>
        </w:tc>
      </w:tr>
      <w:tr>
        <w:trPr/>
        <w:tc>
          <w:tcPr>
            <w:tcW w:w="1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9"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r>
      <w:tr>
        <w:trPr/>
        <w:tc>
          <w:tcPr>
            <w:tcW w:w="12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(8,672)</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(24.0 %)</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(8,455)</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(13.3 %)</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(27,442)</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(26.3) %</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(39,230)</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(23.1) %</w:t>
            </w:r>
          </w:p>
        </w:tc>
      </w:tr>
      <w:tr>
        <w:trPr/>
        <w:tc>
          <w:tcPr>
            <w:tcW w:w="12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income</w:t>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(1,222)</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(3.4 %)</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(518)</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(0.8 %)</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(5,367)</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 %</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(648)</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(0.4) %</w:t>
            </w:r>
          </w:p>
        </w:tc>
      </w:tr>
      <w:tr>
        <w:trPr/>
        <w:tc>
          <w:tcPr>
            <w:tcW w:w="12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expense</w:t>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0.5 %</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0.3 %</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0.6 %</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0.3 %</w:t>
            </w:r>
          </w:p>
        </w:tc>
      </w:tr>
      <w:tr>
        <w:trPr/>
        <w:tc>
          <w:tcPr>
            <w:tcW w:w="12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Provision for income taxes</w:t>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0.1 %</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6"/>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0.1 %</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0.1 %</w:t>
            </w:r>
          </w:p>
        </w:tc>
      </w:tr>
      <w:tr>
        <w:trPr/>
        <w:tc>
          <w:tcPr>
            <w:tcW w:w="12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w:t>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3,215 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8.9 %</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2.4 %</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6,336 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6.0 %</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4,427 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2.6 %</w:t>
            </w:r>
          </w:p>
        </w:tc>
      </w:tr>
      <w:tr>
        <w:trPr/>
        <w:tc>
          <w:tcPr>
            <w:tcW w:w="12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EBITDA (Non-GAAP)</w:t>
            </w:r>
          </w:p>
        </w:tc>
        <w:tc>
          <w:tcPr>
            <w:tcW w:w="7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(6,478)</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(17.9 %)</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(7,267)</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(11.4 %)</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(25,794)</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(24.7) %</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(34,760)</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(20.5) %</w:t>
            </w:r>
          </w:p>
        </w:tc>
      </w:tr>
      <w:tr>
        <w:trPr/>
        <w:tc>
          <w:tcPr>
            <w:tcW w:w="12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Stock-based compensation expense </w:t>
            </w:r>
            <w:r>
              <w:rPr>
                <w:rFonts w:ascii="Times New Roman;sans-serif" w:hAnsi="Times New Roman;sans-serif"/>
                <w:b w:val="false"/>
                <w:color w:val="000000"/>
                <w:sz w:val="10"/>
              </w:rPr>
              <w:t>(1)</w:t>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5,218 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14.4 %</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15,836 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24.9 %</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22,462 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21.5 %</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48,843 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28.8 %</w:t>
            </w:r>
          </w:p>
        </w:tc>
      </w:tr>
      <w:tr>
        <w:trPr/>
        <w:tc>
          <w:tcPr>
            <w:tcW w:w="12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Restructuring expenses </w:t>
            </w:r>
            <w:r>
              <w:rPr>
                <w:rFonts w:ascii="Times New Roman;sans-serif" w:hAnsi="Times New Roman;sans-serif"/>
                <w:b w:val="false"/>
                <w:color w:val="000000"/>
                <w:sz w:val="10"/>
              </w:rPr>
              <w:t>(2)</w:t>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6"/>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6"/>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1.2 %</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6"/>
              </w:rPr>
              <w:t>%</w:t>
            </w:r>
          </w:p>
        </w:tc>
      </w:tr>
      <w:tr>
        <w:trPr/>
        <w:tc>
          <w:tcPr>
            <w:tcW w:w="12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Adjusted EBITDA (Non-GAAP)</w:t>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(1,260)</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(3.5 %)</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8,569 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13.5 %</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(2,135)</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(2.0 %)</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14,083 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8.3 </w:t>
            </w:r>
          </w:p>
        </w:tc>
        <w:tc>
          <w:tcPr>
            <w:tcW w:w="4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6"/>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efc2bee9687a460b9c9bf6cd56a32d25_7">
        <w:r>
          <w:rPr>
            <w:rStyle w:val="InternetLink"/>
            <w:rFonts w:ascii="Times New Roman;sans-serif" w:hAnsi="Times New Roman;sans-serif"/>
            <w:b w:val="false"/>
            <w:i/>
            <w:color w:val="000000"/>
            <w:sz w:val="20"/>
            <w:u w:val="single"/>
          </w:rPr>
          <w:t>Table of Contents</w:t>
        </w:r>
      </w:hyperlink>
    </w:p>
    <w:p>
      <w:pPr>
        <w:pStyle w:val="TextBody"/>
        <w:bidi w:val="0"/>
        <w:spacing w:lineRule="auto" w:line="288" w:before="120" w:after="180"/>
        <w:ind w:left="0" w:right="0" w:hanging="180"/>
        <w:jc w:val="left"/>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The stock-based compensation adjustment to EBITDA is made up of stock-based compensation expense for the awarded RSUs, PSUs and stock options, and other sources. Stock-based compensation expense for the awarded RSUs, PSUs and stock options was $5.2 million and $18.6 million for the three and nine months ended September 30, 2023, respectively, and $16.1 million and $46.8 million for the three and nine months ended September 30, 2022, respectively. No stock-based compensation from other sources was recorded for the three months ended September 30, 2023, while $3.8 million was recorded for the nine months ended September 30, 2023. Stock-based compensation (adjustment)/expense from other sources was $(0.3) million and $2.0 million for the three and nine months ended September 30, 2022, respectively. The other sources of stock-based compensation consist of accrued compensation, which the Company intends to settle in shares of the Company's common stock. However, it is the Company’s discretion whether this compensation will ultimately be paid in stock or cash. The Company has the right to dictate the form of these payments up until the date at which they are paid. Any change to the expected payment form would result in out-of-quarter adjustments to this add back to Adjusted EBITDA.</w:t>
      </w:r>
    </w:p>
    <w:p>
      <w:pPr>
        <w:pStyle w:val="TextBody"/>
        <w:bidi w:val="0"/>
        <w:spacing w:lineRule="auto" w:line="288" w:before="120" w:after="180"/>
        <w:ind w:left="0" w:right="0" w:hanging="180"/>
        <w:jc w:val="left"/>
        <w:rPr/>
      </w:pPr>
      <w:r>
        <w:rPr>
          <w:rFonts w:ascii="Times New Roman;sans-serif" w:hAnsi="Times New Roman;sans-serif"/>
          <w:b w:val="false"/>
          <w:color w:val="000000"/>
          <w:sz w:val="10"/>
        </w:rPr>
        <w:t>(2)</w:t>
      </w:r>
      <w:r>
        <w:rPr>
          <w:color w:val="000000"/>
        </w:rPr>
        <w:t xml:space="preserve"> </w:t>
      </w:r>
      <w:r>
        <w:rPr>
          <w:rFonts w:ascii="Times New Roman;sans-serif" w:hAnsi="Times New Roman;sans-serif"/>
          <w:b w:val="false"/>
          <w:color w:val="000000"/>
          <w:sz w:val="16"/>
        </w:rPr>
        <w:t xml:space="preserve">The restructuring expenses to EBITDA include severance and other related benefit costs (including outplacement services and continuing health insurance coverage), external consulting and advisory fees related to implementing the restructuring plan. </w:t>
      </w:r>
    </w:p>
    <w:p>
      <w:pPr>
        <w:pStyle w:val="TextBody"/>
        <w:bidi w:val="0"/>
        <w:spacing w:lineRule="auto" w:line="288" w:before="120" w:after="180"/>
        <w:jc w:val="left"/>
        <w:rPr>
          <w:rFonts w:ascii="Times New Roman;sans-serif" w:hAnsi="Times New Roman;sans-serif"/>
          <w:b/>
          <w:i/>
          <w:color w:val="000000"/>
          <w:sz w:val="20"/>
        </w:rPr>
      </w:pPr>
      <w:r>
        <w:rPr>
          <w:rFonts w:ascii="Times New Roman;sans-serif" w:hAnsi="Times New Roman;sans-serif"/>
          <w:b/>
          <w:i/>
          <w:color w:val="000000"/>
          <w:sz w:val="20"/>
        </w:rPr>
        <w:t>Adjusted Net (Loss)/Income and Adjusted EPS</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Adjusted Net (Loss)/Income and Adjusted EPS are supplemental measures of operating performance that are not made under GAAP and do not represent, and should not be considered as, alternatives to net (loss)/income as determined by GAAP. We define Adjusted Net (Loss)/Income as net loss, adjusted for non-operating (income)/expense, stock-based compensation expense and restructuring expense. We define Adjusted EPS as Adjusted Net (Loss)/Income divided by the weighted-average number of common shares outstanding for the period.</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Adjusted Net (Loss)/Income and Adjusted EPS provide the Board, management and investors with clear representation of our core operating performance and trends, provide greater visibility into the long-term financial performance of the Company, and eliminate the impact of items that do not relate to the ongoing operating performance of the business. </w:t>
      </w:r>
    </w:p>
    <w:tbl>
      <w:tblPr>
        <w:tblW w:w="10543" w:type="dxa"/>
        <w:jc w:val="left"/>
        <w:tblInd w:w="0" w:type="dxa"/>
        <w:tblLayout w:type="fixed"/>
        <w:tblCellMar>
          <w:top w:w="28" w:type="dxa"/>
          <w:left w:w="28" w:type="dxa"/>
          <w:bottom w:w="28" w:type="dxa"/>
          <w:right w:w="28" w:type="dxa"/>
        </w:tblCellMar>
      </w:tblPr>
      <w:tblGrid>
        <w:gridCol w:w="690"/>
        <w:gridCol w:w="341"/>
        <w:gridCol w:w="350"/>
        <w:gridCol w:w="196"/>
        <w:gridCol w:w="571"/>
        <w:gridCol w:w="109"/>
        <w:gridCol w:w="109"/>
        <w:gridCol w:w="109"/>
        <w:gridCol w:w="109"/>
        <w:gridCol w:w="196"/>
        <w:gridCol w:w="481"/>
        <w:gridCol w:w="109"/>
        <w:gridCol w:w="109"/>
        <w:gridCol w:w="109"/>
        <w:gridCol w:w="109"/>
        <w:gridCol w:w="196"/>
        <w:gridCol w:w="571"/>
        <w:gridCol w:w="109"/>
        <w:gridCol w:w="109"/>
        <w:gridCol w:w="109"/>
        <w:gridCol w:w="109"/>
        <w:gridCol w:w="196"/>
        <w:gridCol w:w="481"/>
        <w:gridCol w:w="109"/>
        <w:gridCol w:w="109"/>
        <w:gridCol w:w="109"/>
        <w:gridCol w:w="109"/>
        <w:gridCol w:w="196"/>
        <w:gridCol w:w="661"/>
        <w:gridCol w:w="109"/>
        <w:gridCol w:w="109"/>
        <w:gridCol w:w="109"/>
        <w:gridCol w:w="109"/>
        <w:gridCol w:w="196"/>
        <w:gridCol w:w="481"/>
        <w:gridCol w:w="109"/>
        <w:gridCol w:w="109"/>
        <w:gridCol w:w="109"/>
        <w:gridCol w:w="109"/>
        <w:gridCol w:w="196"/>
        <w:gridCol w:w="661"/>
        <w:gridCol w:w="109"/>
        <w:gridCol w:w="109"/>
        <w:gridCol w:w="109"/>
        <w:gridCol w:w="109"/>
        <w:gridCol w:w="196"/>
        <w:gridCol w:w="481"/>
        <w:gridCol w:w="154"/>
      </w:tblGrid>
      <w:tr>
        <w:trPr/>
        <w:tc>
          <w:tcPr>
            <w:tcW w:w="69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43" w:type="dxa"/>
            <w:gridSpan w:val="48"/>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Table MD&amp;A 5: Reconciliation of Net Loss to Non-GAAP Adjusted Net (Loss)/Income and Adjusted EPS</w:t>
            </w:r>
          </w:p>
        </w:tc>
      </w:tr>
      <w:tr>
        <w:trPr/>
        <w:tc>
          <w:tcPr>
            <w:tcW w:w="1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21"/>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For the Three Months Ended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0" w:type="dxa"/>
            <w:gridSpan w:val="21"/>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For the Nine Months Ended</w:t>
            </w:r>
          </w:p>
        </w:tc>
      </w:tr>
      <w:tr>
        <w:trP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September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September 30, 2022</w:t>
            </w:r>
          </w:p>
        </w:tc>
      </w:tr>
      <w:tr>
        <w:trP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Earnings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Earnings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Earnings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Earnings Per Share</w:t>
            </w:r>
          </w:p>
        </w:tc>
      </w:tr>
      <w:tr>
        <w:trP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2"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per share data)</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(27,442)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(39,230)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(0.58)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Adjustments:</w:t>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income</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Stock-based compensation expense </w:t>
            </w:r>
            <w:r>
              <w:rPr>
                <w:rFonts w:ascii="Times New Roman;sans-serif" w:hAnsi="Times New Roman;sans-serif"/>
                <w:b w:val="false"/>
                <w:color w:val="000000"/>
                <w:sz w:val="10"/>
              </w:rPr>
              <w:t>(1)</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48,843 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Restructuring expenses </w:t>
            </w:r>
            <w:r>
              <w:rPr>
                <w:rFonts w:ascii="Times New Roman;sans-serif" w:hAnsi="Times New Roman;sans-serif"/>
                <w:b w:val="false"/>
                <w:color w:val="000000"/>
                <w:sz w:val="10"/>
              </w:rPr>
              <w:t>(2)</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Adjusted net (loss)/income, Adjusted EPS (Non-GAAP)</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(4,676)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(0.07)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(9,150)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Weighted-average shares of common stock outstanding, basic</w:t>
            </w:r>
          </w:p>
        </w:tc>
        <w:tc>
          <w:tcPr>
            <w:tcW w:w="7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69,571 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67,493 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69,062 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67,641 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ind w:left="0" w:right="0" w:hanging="180"/>
        <w:jc w:val="left"/>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The stock-based compensation adjustment to net (loss)/income is made up of stock-based compensation expense for the awarded RSUs, PSUs and stock options, and other sources. Stock-based compensation expense for the awarded RSUs, PSUs and stock options was $5.2 million and $18.6 million for the three and nine months ended September 30, 2023, respectively, and $16.1 million and $46.8 million for the three and nine months ended September 30, 2022, respectively. No stock-based compensation from other sources was recorded for the three months ended September 30, 2023, while $3.8 million was recorded for the nine months ended September 30, 2023. Stock-based compensation (adjustment)/expense from other sources was $(0.3) million and $2.0 million for the three and nine months ended September 30, 2022, respectively. The other sources of stock-based compensation consist of accrued compensation, which the Company intends to settle in shares of the Company's common stock. However, it is the Company’s discretion whether this compensation will ultimately be paid in stock or cash. The Company has the right to dictate the form of these payments up until the date at which they are paid. Any change to the expected payment form would result in out-of-quarter adjustments to this add back to Adjusted Net (Loss)/Income.</w:t>
      </w:r>
    </w:p>
    <w:p>
      <w:pPr>
        <w:pStyle w:val="TextBody"/>
        <w:bidi w:val="0"/>
        <w:spacing w:lineRule="auto" w:line="288" w:before="120" w:after="180"/>
        <w:ind w:left="0" w:right="0" w:hanging="180"/>
        <w:jc w:val="left"/>
        <w:rPr/>
      </w:pPr>
      <w:r>
        <w:rPr>
          <w:rFonts w:ascii="Times New Roman;sans-serif" w:hAnsi="Times New Roman;sans-serif"/>
          <w:b w:val="false"/>
          <w:color w:val="000000"/>
          <w:sz w:val="10"/>
        </w:rPr>
        <w:t>(2)</w:t>
      </w:r>
      <w:r>
        <w:rPr>
          <w:color w:val="000000"/>
        </w:rPr>
        <w:t xml:space="preserve"> </w:t>
      </w:r>
      <w:r>
        <w:rPr>
          <w:rFonts w:ascii="Times New Roman;sans-serif" w:hAnsi="Times New Roman;sans-serif"/>
          <w:b w:val="false"/>
          <w:color w:val="000000"/>
          <w:sz w:val="16"/>
        </w:rPr>
        <w:t>The restructuring expenses to net loss include severance and other related benefit costs (including outplacement services and continuing health insurance coverage), external consulting and advisory fees related to implementing the restructuring plan.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efc2bee9687a460b9c9bf6cd56a32d25_7">
        <w:r>
          <w:rPr>
            <w:rStyle w:val="InternetLink"/>
            <w:rFonts w:ascii="Times New Roman;sans-serif" w:hAnsi="Times New Roman;sans-serif"/>
            <w:b w:val="false"/>
            <w:i/>
            <w:color w:val="000000"/>
            <w:sz w:val="20"/>
            <w:u w:val="single"/>
          </w:rPr>
          <w:t>Table of Contents</w:t>
        </w:r>
      </w:hyperlink>
    </w:p>
    <w:p>
      <w:pPr>
        <w:pStyle w:val="TextBody"/>
        <w:bidi w:val="0"/>
        <w:spacing w:lineRule="auto" w:line="288" w:before="120" w:after="180"/>
        <w:jc w:val="left"/>
        <w:rPr>
          <w:rFonts w:ascii="Times New Roman;sans-serif" w:hAnsi="Times New Roman;sans-serif"/>
          <w:b/>
          <w:i/>
          <w:color w:val="000000"/>
          <w:sz w:val="20"/>
        </w:rPr>
      </w:pPr>
      <w:r>
        <w:rPr>
          <w:rFonts w:ascii="Times New Roman;sans-serif" w:hAnsi="Times New Roman;sans-serif"/>
          <w:b/>
          <w:i/>
          <w:color w:val="000000"/>
          <w:sz w:val="20"/>
        </w:rPr>
        <w:t>Non-GAAP Gross Profit and Non-GAAP Gross Margin</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Non-GAAP Gross Profit and Non-GAAP Gross Margin are supplemental measures of operating performance that are not made under GAAP and do not represent, and should not be considered as, alternatives to gross profit and gross margin as determined by GAAP. We define Non-GAAP Gross Profit as gross profit, adjusted for stock-based compensation expense, and depreciation and amortization charged under cost of sales. We define Non-GAAP Gross Margin as Non-GAAP Gross Profit as a percentage of total revenue.</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Non-GAAP Gross Profit and Non-GAAP Gross Margin provide management and investors a clear representation of the core economics of gross profit and gross margin without the impact of non-cash expenses and sunk costs expended.</w:t>
      </w:r>
    </w:p>
    <w:tbl>
      <w:tblPr>
        <w:tblW w:w="10205" w:type="dxa"/>
        <w:jc w:val="left"/>
        <w:tblInd w:w="0" w:type="dxa"/>
        <w:tblLayout w:type="fixed"/>
        <w:tblCellMar>
          <w:top w:w="28" w:type="dxa"/>
          <w:left w:w="28" w:type="dxa"/>
          <w:bottom w:w="28" w:type="dxa"/>
          <w:right w:w="28" w:type="dxa"/>
        </w:tblCellMar>
      </w:tblPr>
      <w:tblGrid>
        <w:gridCol w:w="509"/>
        <w:gridCol w:w="447"/>
        <w:gridCol w:w="452"/>
        <w:gridCol w:w="200"/>
        <w:gridCol w:w="660"/>
        <w:gridCol w:w="111"/>
        <w:gridCol w:w="111"/>
        <w:gridCol w:w="111"/>
        <w:gridCol w:w="111"/>
        <w:gridCol w:w="210"/>
        <w:gridCol w:w="210"/>
        <w:gridCol w:w="211"/>
        <w:gridCol w:w="111"/>
        <w:gridCol w:w="111"/>
        <w:gridCol w:w="111"/>
        <w:gridCol w:w="200"/>
        <w:gridCol w:w="660"/>
        <w:gridCol w:w="111"/>
        <w:gridCol w:w="111"/>
        <w:gridCol w:w="111"/>
        <w:gridCol w:w="111"/>
        <w:gridCol w:w="210"/>
        <w:gridCol w:w="210"/>
        <w:gridCol w:w="211"/>
        <w:gridCol w:w="111"/>
        <w:gridCol w:w="111"/>
        <w:gridCol w:w="111"/>
        <w:gridCol w:w="200"/>
        <w:gridCol w:w="660"/>
        <w:gridCol w:w="111"/>
        <w:gridCol w:w="111"/>
        <w:gridCol w:w="111"/>
        <w:gridCol w:w="111"/>
        <w:gridCol w:w="210"/>
        <w:gridCol w:w="210"/>
        <w:gridCol w:w="211"/>
        <w:gridCol w:w="111"/>
        <w:gridCol w:w="111"/>
        <w:gridCol w:w="111"/>
        <w:gridCol w:w="200"/>
        <w:gridCol w:w="660"/>
        <w:gridCol w:w="111"/>
        <w:gridCol w:w="111"/>
        <w:gridCol w:w="111"/>
        <w:gridCol w:w="111"/>
        <w:gridCol w:w="198"/>
        <w:gridCol w:w="198"/>
        <w:gridCol w:w="293"/>
      </w:tblGrid>
      <w:tr>
        <w:trPr/>
        <w:tc>
          <w:tcPr>
            <w:tcW w:w="50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r>
      <w:tr>
        <w:trPr/>
        <w:tc>
          <w:tcPr>
            <w:tcW w:w="10205" w:type="dxa"/>
            <w:gridSpan w:val="48"/>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Table MD&amp;A 6: Reconciliation of Gross Profit to Non-GAAP Gross Profit; Gross Margin to Non-GAAP Gross Margin</w:t>
            </w:r>
          </w:p>
        </w:tc>
      </w:tr>
      <w:tr>
        <w:trPr/>
        <w:tc>
          <w:tcPr>
            <w:tcW w:w="1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3" w:type="dxa"/>
            <w:gridSpan w:val="21"/>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 the Three Months Ended</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1" w:type="dxa"/>
            <w:gridSpan w:val="21"/>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 the Nine Months Ended</w:t>
            </w:r>
          </w:p>
        </w:tc>
      </w:tr>
      <w:tr>
        <w:trPr/>
        <w:tc>
          <w:tcPr>
            <w:tcW w:w="1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30, 2023</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30, 2022</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30, 2023</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30, 2022</w:t>
            </w:r>
          </w:p>
        </w:tc>
      </w:tr>
      <w:tr>
        <w:trPr/>
        <w:tc>
          <w:tcPr>
            <w:tcW w:w="1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Amount</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Margin</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Amount</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Margin</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Amount</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Margin</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Amount</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Margin</w:t>
            </w:r>
          </w:p>
        </w:tc>
      </w:tr>
      <w:tr>
        <w:trPr/>
        <w:tc>
          <w:tcPr>
            <w:tcW w:w="1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r>
      <w:tr>
        <w:trPr/>
        <w:tc>
          <w:tcPr>
            <w:tcW w:w="1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13,013 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36.0 %</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20,945 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32.9 %</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38,854 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37.2 %</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60,745 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35.8 %</w:t>
            </w:r>
          </w:p>
        </w:tc>
      </w:tr>
      <w:tr>
        <w:trPr/>
        <w:tc>
          <w:tcPr>
            <w:tcW w:w="1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w:t>
            </w:r>
          </w:p>
        </w:tc>
        <w:tc>
          <w:tcPr>
            <w:tcW w:w="9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 — cost of sales</w:t>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0.6 %</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1.6 %</w:t>
            </w:r>
          </w:p>
        </w:tc>
      </w:tr>
      <w:tr>
        <w:trPr/>
        <w:tc>
          <w:tcPr>
            <w:tcW w:w="1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 — cost of sales</w:t>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5.3 %</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0.3 %</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0.4 %</w:t>
            </w:r>
          </w:p>
        </w:tc>
      </w:tr>
      <w:tr>
        <w:trPr/>
        <w:tc>
          <w:tcPr>
            <w:tcW w:w="1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gross profit</w:t>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15,031 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41.5 %</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22,065 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34.7 %</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41,769 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40.0 %</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64,145 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37.8 %</w:t>
            </w:r>
          </w:p>
        </w:tc>
      </w:tr>
    </w:tbl>
    <w:p>
      <w:pPr>
        <w:pStyle w:val="TextBody"/>
        <w:bidi w:val="0"/>
        <w:spacing w:lineRule="auto" w:line="288" w:before="120" w:after="180"/>
        <w:jc w:val="left"/>
        <w:rPr>
          <w:rFonts w:ascii="Times New Roman;sans-serif" w:hAnsi="Times New Roman;sans-serif"/>
          <w:b/>
          <w:i/>
          <w:color w:val="000000"/>
          <w:sz w:val="20"/>
        </w:rPr>
      </w:pPr>
      <w:r>
        <w:rPr>
          <w:rFonts w:ascii="Times New Roman;sans-serif" w:hAnsi="Times New Roman;sans-serif"/>
          <w:b/>
          <w:i/>
          <w:color w:val="000000"/>
          <w:sz w:val="20"/>
        </w:rPr>
        <w:t>Free Cash Flow</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Free cash flow, as reconciled in the table below, is a non-GAAP financial measure defined as net cash provided by/(used in) operating activities, less purchases of property and equipment, and capitalized software development costs. This non-GAAP financial measure may be a useful measure for investors and other users of our financial statements as a supplemental measure of our cash performance and to assess the quality of our earnings as a key performance measure in evaluating management.</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use Free Cash Flow to understand the cash flows that directly correspond with our operations and the investments we must make in those operations, using a methodology that combines operating cash flows and capital expenditures. Further, Free Cash Flow may be useful to management and investors in evaluating the Company's operating performance and liquidity.</w:t>
      </w:r>
    </w:p>
    <w:tbl>
      <w:tblPr>
        <w:tblW w:w="10205" w:type="dxa"/>
        <w:jc w:val="left"/>
        <w:tblInd w:w="0" w:type="dxa"/>
        <w:tblLayout w:type="fixed"/>
        <w:tblCellMar>
          <w:top w:w="28" w:type="dxa"/>
          <w:left w:w="28" w:type="dxa"/>
          <w:bottom w:w="28" w:type="dxa"/>
          <w:right w:w="28" w:type="dxa"/>
        </w:tblCellMar>
      </w:tblPr>
      <w:tblGrid>
        <w:gridCol w:w="1239"/>
        <w:gridCol w:w="1054"/>
        <w:gridCol w:w="1059"/>
        <w:gridCol w:w="304"/>
        <w:gridCol w:w="975"/>
        <w:gridCol w:w="169"/>
        <w:gridCol w:w="109"/>
        <w:gridCol w:w="109"/>
        <w:gridCol w:w="109"/>
        <w:gridCol w:w="300"/>
        <w:gridCol w:w="990"/>
        <w:gridCol w:w="166"/>
        <w:gridCol w:w="109"/>
        <w:gridCol w:w="109"/>
        <w:gridCol w:w="109"/>
        <w:gridCol w:w="280"/>
        <w:gridCol w:w="1024"/>
        <w:gridCol w:w="155"/>
        <w:gridCol w:w="109"/>
        <w:gridCol w:w="109"/>
        <w:gridCol w:w="109"/>
        <w:gridCol w:w="295"/>
        <w:gridCol w:w="975"/>
        <w:gridCol w:w="239"/>
      </w:tblGrid>
      <w:tr>
        <w:trPr/>
        <w:tc>
          <w:tcPr>
            <w:tcW w:w="123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Table MD&amp;A 7: Free Cash Flow</w:t>
            </w:r>
          </w:p>
        </w:tc>
      </w:tr>
      <w:tr>
        <w:trPr/>
        <w:tc>
          <w:tcPr>
            <w:tcW w:w="33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 the Three Months Ended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 the Nine Months Ended</w:t>
            </w:r>
          </w:p>
        </w:tc>
      </w:tr>
      <w:tr>
        <w:trPr/>
        <w:tc>
          <w:tcPr>
            <w:tcW w:w="3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30, 2022</w:t>
            </w:r>
          </w:p>
        </w:tc>
      </w:tr>
      <w:tr>
        <w:trPr/>
        <w:tc>
          <w:tcPr>
            <w:tcW w:w="3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r>
      <w:tr>
        <w:trPr/>
        <w:tc>
          <w:tcPr>
            <w:tcW w:w="3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by/(used in) operating activities</w:t>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846 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11,986 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20,118 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w:t>
            </w:r>
          </w:p>
        </w:tc>
        <w:tc>
          <w:tcPr>
            <w:tcW w:w="14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property and equipment</w:t>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(815)</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Capitalized software development costs</w:t>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(3,762)</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(11,960)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(8,580)</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Free cash flow (Non-GAAP)</w:t>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(2,996)</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8,366 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(15,677)</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10,723 </w:t>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Each of EBITDA, Adjusted EBITDA, EBITDA Margin, Adjusted EBITDA Margin, Adjusted Net (Loss)/Income, Adjusted EPS, Non-GAAP Gross Profit, Non-GAAP Gross Margin and Free Cash Flow has limitations as an analytical tool, and you should not consider any of them in isolation, or as a substitute for analysis of our results as reported under GAAP. Among other limitations, each of EBITDA, Adjusted EBITDA, EBITDA Margin, Adjusted EBITDA Margin, Adjusted Net (Loss)/Income, Adjusted EPS, Non-GAAP Gross Profit, Non-GAAP Gross Margin and Free Cash Flow does not reflect our cash expenditures, or future requirements, for capital expenditures or contractual commitments, does not reflect the impact of certain cash and non-cash charges resulting from matters we consider not to be indicative of our ongoing operations, and does not reflect income tax expense or benefit. Other companies in our industry may calculate Adjusted EBITDA, Adjusted EBITDA Margin, Adjusted Net (Loss)/Income, Adjusted EPS, Non-GAAP Gross Profit, Non-GAAP Gross Margin and Free Cash Flow differently than we do, which limits their usefulness as comparative measures. Because of these limitations, neither EBITDA, Adjusted EBITDA, EBITDA Margin, Adjusted EBITDA Margin, Adjusted Net (Loss)/Income, Adjusted EPS, Non-GAAP Gross Profit, Non-GAAP Gross Margin nor Free Cash Flow should be considered as a replacement for gross profit, gross margin, net (loss)/income, earnings per share or net cash flows (used in)/provided by operating activities, as determined by GAAP, or as a measure of our profitability. We compensate for these limitations by relying primarily on our GAAP results and using non-GAAP measures only for supplemental purposes.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efc2bee9687a460b9c9bf6cd56a32d25_7">
        <w:r>
          <w:rPr>
            <w:rStyle w:val="InternetLink"/>
            <w:rFonts w:ascii="Times New Roman;sans-serif" w:hAnsi="Times New Roman;sans-serif"/>
            <w:b w:val="false"/>
            <w:i/>
            <w:color w:val="000000"/>
            <w:sz w:val="20"/>
            <w:u w:val="single"/>
          </w:rPr>
          <w:t>Table of Contents</w:t>
        </w:r>
      </w:hyperlink>
    </w:p>
    <w:p>
      <w:pPr>
        <w:pStyle w:val="TextBody"/>
        <w:bidi w:val="0"/>
        <w:spacing w:lineRule="auto" w:line="288" w:before="120" w:after="180"/>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Our primary sources of liquidity are cash on hand, future operating cash flows, and, if needed, borrowings under our $30.0 million revolving credit facility, with an available expansion feature of up to $30.0 million of additional revolver facility. While a variety of factors related to sources and uses of cash, such as timeliness of accounts receivable collections, vendor credit terms, or significant collateral requirements, ultimately impact our liquidity, such factors may or may not have a direct impact on our liquidity.</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2023, we had cash and cash equivalents of $100.0 million and our working capital was $106.6 million.</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place a strong emphasis on liquidity management. This focus gives us the flexibility for capital deployment while preserving a strong balance sheet to position us for future opportunities. We believe we have adequate funds on hand to execute our financial and operating strategy. Our overall financial position and liquidity are strong. Although no assurances can be given, we believe the available cash balances and access to our revolving credit facility are sufficient to maintain the liquidity we require to meet our operating, investing and financing needs for the next 12 months.</w:t>
      </w:r>
    </w:p>
    <w:p>
      <w:pPr>
        <w:pStyle w:val="TextBody"/>
        <w:bidi w:val="0"/>
        <w:spacing w:lineRule="auto" w:line="288" w:before="120" w:after="180"/>
        <w:jc w:val="left"/>
        <w:rPr>
          <w:rFonts w:ascii="Times New Roman;sans-serif" w:hAnsi="Times New Roman;sans-serif"/>
          <w:b/>
          <w:i/>
          <w:color w:val="000000"/>
          <w:sz w:val="20"/>
        </w:rPr>
      </w:pPr>
      <w:r>
        <w:rPr>
          <w:rFonts w:ascii="Times New Roman;sans-serif" w:hAnsi="Times New Roman;sans-serif"/>
          <w:b/>
          <w:i/>
          <w:color w:val="000000"/>
          <w:sz w:val="20"/>
        </w:rPr>
        <w:t>Cash Flow</w:t>
      </w:r>
    </w:p>
    <w:tbl>
      <w:tblPr>
        <w:tblW w:w="9462" w:type="dxa"/>
        <w:jc w:val="left"/>
        <w:tblInd w:w="0" w:type="dxa"/>
        <w:tblLayout w:type="fixed"/>
        <w:tblCellMar>
          <w:top w:w="28" w:type="dxa"/>
          <w:left w:w="28" w:type="dxa"/>
          <w:bottom w:w="28" w:type="dxa"/>
          <w:right w:w="28" w:type="dxa"/>
        </w:tblCellMar>
      </w:tblPr>
      <w:tblGrid>
        <w:gridCol w:w="1482"/>
        <w:gridCol w:w="1301"/>
        <w:gridCol w:w="1311"/>
        <w:gridCol w:w="448"/>
        <w:gridCol w:w="1648"/>
        <w:gridCol w:w="249"/>
        <w:gridCol w:w="249"/>
        <w:gridCol w:w="249"/>
        <w:gridCol w:w="249"/>
        <w:gridCol w:w="448"/>
        <w:gridCol w:w="1476"/>
        <w:gridCol w:w="352"/>
      </w:tblGrid>
      <w:tr>
        <w:trPr/>
        <w:tc>
          <w:tcPr>
            <w:tcW w:w="1482"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64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r>
      <w:tr>
        <w:trPr/>
        <w:tc>
          <w:tcPr>
            <w:tcW w:w="9462"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Table MD&amp;A 8: Net Change in Cash, Cash Equivalents, and Restricted Cash</w:t>
            </w:r>
          </w:p>
        </w:tc>
      </w:tr>
      <w:tr>
        <w:trPr/>
        <w:tc>
          <w:tcPr>
            <w:tcW w:w="40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 the Nine Months Ended</w:t>
            </w:r>
          </w:p>
        </w:tc>
      </w:tr>
      <w:tr>
        <w:trPr/>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30, 2023</w:t>
            </w:r>
          </w:p>
        </w:tc>
        <w:tc>
          <w:tcPr>
            <w:tcW w:w="7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30, 2022</w:t>
            </w:r>
          </w:p>
        </w:tc>
      </w:tr>
      <w:tr>
        <w:trPr/>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in)/provided by operating activities</w:t>
            </w:r>
          </w:p>
        </w:tc>
        <w:tc>
          <w:tcPr>
            <w:tcW w:w="4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6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(3,367)</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20,118 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2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(12,310)</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(9,395)</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financing activities</w:t>
            </w:r>
          </w:p>
        </w:tc>
        <w:tc>
          <w:tcPr>
            <w:tcW w:w="2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(3,673)</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(11,821)</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change in cash, cash equivalents, and restricted cash</w:t>
            </w:r>
          </w:p>
        </w:tc>
        <w:tc>
          <w:tcPr>
            <w:tcW w:w="4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6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(19,350)</w:t>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(1,098)</w:t>
            </w:r>
          </w:p>
        </w:tc>
        <w:tc>
          <w:tcPr>
            <w:tcW w:w="3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 for the nine months ended September 30, 2023, was $3.4 million, a decrease in cash inflow of $23.5 million in cash outflow, compared to the same period in 2022. The change is primarily driven by the Company's operating losses, the timing of receipts of customer payments, the timing of payments to vendors and employees, and the timing of inventory turnover, adjusted for certain non-cash items (i.e. stock-based compensation costs lower by $26.4 million) that do not impact cash flows from operating activities.</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for the nine months ended September 30, 2023, increased by $2.9 million compared to the same period of the prior year, primarily due to the higher investment in software development costs of $12.0 million and $8.6 million for the nine months ended September 30, 2023 and 2022, respectively, partially offset by the slight decrease in purchases of property and equipment.</w:t>
      </w:r>
    </w:p>
    <w:p>
      <w:pPr>
        <w:pStyle w:val="TextBody"/>
        <w:bidi w:val="0"/>
        <w:spacing w:lineRule="auto" w:line="288" w:before="120" w:after="180"/>
        <w:jc w:val="left"/>
        <w:rPr/>
      </w:pPr>
      <w:r>
        <w:rPr>
          <w:rFonts w:ascii="Times New Roman;sans-serif" w:hAnsi="Times New Roman;sans-serif"/>
          <w:b w:val="false"/>
          <w:color w:val="000000"/>
          <w:sz w:val="20"/>
        </w:rPr>
        <w:t xml:space="preserve">Net cash used in financing activities for the nine months ended September 30, 2023, decreased by $8.1 million compared to the same period in 2022. This is primarily attributable to the decrease in payment of tax withholding related to net share settlement of equity awards of $1.7 million for the nine months ended September 30, 2023, compared with $3.1 million in the same period of 2022, and the cash outflow on repurchases of common stock of $7.6 million in 2022 compared with $0.1 million in 2023 under the share repurchase program (see </w:t>
      </w:r>
      <w:hyperlink w:anchor="iefc2bee9687a460b9c9bf6cd56a32d25_73">
        <w:r>
          <w:rPr>
            <w:rStyle w:val="InternetLink"/>
            <w:rFonts w:ascii="Times New Roman;sans-serif" w:hAnsi="Times New Roman;sans-serif"/>
            <w:b w:val="false"/>
            <w:color w:val="0000FF"/>
            <w:sz w:val="20"/>
            <w:u w:val="single"/>
          </w:rPr>
          <w:t>Note 13 – Share Repurchases</w:t>
        </w:r>
      </w:hyperlink>
      <w:r>
        <w:rPr>
          <w:rFonts w:ascii="Times New Roman;sans-serif" w:hAnsi="Times New Roman;sans-serif"/>
          <w:b w:val="false"/>
          <w:color w:val="000000"/>
          <w:sz w:val="20"/>
        </w:rPr>
        <w:t>). This is partially offset by the payment of the DFT holdback amount of $0.6 million in February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accounting principles generally accepted in the U.S. requires us to make estimates, judgments, and assumptions that affect the amounts reported. Actual results could differ from those estimates. The 2022 Form 10-K, as filed with the SEC on March 16, 2023, includes a summary of critical accounting policies we believe are the most important to aid in understanding our financial results. There have been no changes to those critical accounting policies that have had a material impact on our reported amounts of assets, liabilities, revenues, or expenses during the nine months ended September 30,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efc2bee9687a460b9c9bf6cd56a32d25_7">
        <w:r>
          <w:rPr>
            <w:rStyle w:val="InternetLink"/>
            <w:rFonts w:ascii="Times New Roman;sans-serif" w:hAnsi="Times New Roman;sans-serif"/>
            <w:b w:val="false"/>
            <w:i/>
            <w:color w:val="000000"/>
            <w:sz w:val="20"/>
            <w:u w:val="single"/>
          </w:rPr>
          <w:t>Table of Contents</w:t>
        </w:r>
      </w:hyperlink>
    </w:p>
    <w:p>
      <w:pPr>
        <w:pStyle w:val="TextBody"/>
        <w:bidi w:val="0"/>
        <w:spacing w:lineRule="auto" w:line="288" w:before="120" w:after="180"/>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12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Evaluation of Disclosure Controls and Procedures</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maintains disclosure controls and procedures (as defined in Rules 13a-15(e) and 15d-15(e) under the Securities Exchange Act of 1934, as amended (the "Exchange Act")), which are designed to ensure that information required to be disclosed by the Company in reports that it files or submits under the Exchange Act, including this Report, are recorded, processed, summarized and reported within the time periods specified in the SEC's rules and forms. These disclosure controls and procedures include controls and procedures designed to ensure that information required to be disclosed by the Company under the Exchange Act is accumulated and communicated to the Company's management, including its principal executive officer ("CEO") and principal financial officer ("CFO") as appropriate to allow timely decisions regarding required disclosure.</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management, including the Company's CEO and CFO, conducted an evaluation of the effectiveness of the Company's disclosure controls and procedures as of the end of the period covered by this Report and, based on that evaluation, the CEO and CFO concluded that the Company’s disclosure controls and procedures were effective at the reasonable assurance level as of September 30, 2023.</w:t>
      </w:r>
    </w:p>
    <w:p>
      <w:pPr>
        <w:pStyle w:val="TextBody"/>
        <w:bidi w:val="0"/>
        <w:spacing w:lineRule="auto" w:line="288" w:before="12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Changes in Internal Control over Financial Reporting</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There was no change in the Company's internal control over financial reporting during the quarter ended September 30, 2023, identified in connection with management’s evaluation required by paragraph (d) of Rules 13a-15 and 15d-15 under the Exchange Act, that have materially affected, or are reasonably likely to materially affect, the Company’s internal control over financial reporting.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efc2bee9687a460b9c9bf6cd56a32d25_7">
        <w:r>
          <w:rPr>
            <w:rStyle w:val="InternetLink"/>
            <w:rFonts w:ascii="Times New Roman;sans-serif" w:hAnsi="Times New Roman;sans-serif"/>
            <w:b w:val="false"/>
            <w:i/>
            <w:color w:val="000000"/>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120" w:after="180"/>
        <w:jc w:val="left"/>
        <w:rPr/>
      </w:pPr>
      <w:r>
        <w:rPr>
          <w:rFonts w:ascii="Times New Roman;sans-serif" w:hAnsi="Times New Roman;sans-serif"/>
          <w:b w:val="false"/>
          <w:color w:val="000000"/>
          <w:sz w:val="20"/>
        </w:rPr>
        <w:t xml:space="preserve">Information regarding legal proceedings is included under </w:t>
      </w:r>
      <w:hyperlink w:anchor="iefc2bee9687a460b9c9bf6cd56a32d25_91">
        <w:r>
          <w:rPr>
            <w:rStyle w:val="InternetLink"/>
            <w:rFonts w:ascii="Times New Roman;sans-serif" w:hAnsi="Times New Roman;sans-serif"/>
            <w:b w:val="false"/>
            <w:color w:val="0000FF"/>
            <w:sz w:val="20"/>
            <w:u w:val="single"/>
          </w:rPr>
          <w:t>Note 18 – Commitments and Contingencies</w:t>
        </w:r>
      </w:hyperlink>
      <w:r>
        <w:rPr>
          <w:color w:val="000000"/>
        </w:rPr>
        <w:t xml:space="preserve"> </w:t>
      </w:r>
      <w:r>
        <w:rPr>
          <w:rFonts w:ascii="Times New Roman;sans-serif" w:hAnsi="Times New Roman;sans-serif"/>
          <w:b w:val="false"/>
          <w:color w:val="000000"/>
          <w:sz w:val="20"/>
        </w:rPr>
        <w:t>to the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have disclosed under "Item 1A – Risk Factors" in our Annual Report on Form 10-K for the year ended December 31, 2022, the risk factors that may materially affect our business, financial conditions or results of operations. Except as set forth below, there have been no material changes from the risk factors previously disclosed. You should carefully consider the risk factors set forth below and in the Annual Report on Form 10-K, and other information set forth elsewhere in this Quarterly Report on Form 10-Q. You should be aware that these risk factors and other information may not describe every risk facing the Company. In addition, risks and uncertainties not currently known to us or that we currently do not believe are material could also materially and adversely affect our business, financial condition or results of operations.</w:t>
      </w:r>
    </w:p>
    <w:p>
      <w:pPr>
        <w:pStyle w:val="TextBody"/>
        <w:bidi w:val="0"/>
        <w:spacing w:lineRule="auto" w:line="288" w:before="120" w:after="180"/>
        <w:jc w:val="left"/>
        <w:rPr>
          <w:rFonts w:ascii="Times New Roman;sans-serif" w:hAnsi="Times New Roman;sans-serif"/>
          <w:b/>
          <w:i/>
          <w:color w:val="000000"/>
          <w:sz w:val="20"/>
        </w:rPr>
      </w:pPr>
      <w:r>
        <w:rPr>
          <w:rFonts w:ascii="Times New Roman;sans-serif" w:hAnsi="Times New Roman;sans-serif"/>
          <w:b/>
          <w:i/>
          <w:color w:val="000000"/>
          <w:sz w:val="20"/>
        </w:rPr>
        <w:t>An impairment charge of goodwill or other intangibles could have a material adverse impact on our results of operations.</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Goodwill was $17.9 million as of September 30, 2023, and December 31, 2022, of which $3.0 million is allocated to the Security Solutions segment and $14.9 million is allocated to the Secure Networks segment. Intangible assets were $39.0 million and $37.4 million as of September 30, 2023, and December 31, 2022, respectively. Under GAAP, we are required to test the carrying value of goodwill and intangible assets at least annually or sooner if events occur that indicate impairment could exist. These events or circumstances could include a significant change in the business climate, including a sustained decline in a reporting unit’s fair value, legal and regulatory factors, operating performance indicators, competition and other factors. GAAP requires us to assign and then test goodwill at the reporting unit level. </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over a sustained period of time, we experience a decrease in our stock price and market capitalization, which may serve as an estimate of the fair value of our reporting unit, an indication of impairment may have occurred. If the fair value of our reporting unit is less than its net book value, we may be required to record goodwill impairment charges in the future. In addition, if the revenue and cash flows generated from any of our other intangible assets is not sufficient to support its net book value, we may be required to record an impairment charge. </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first three quarters of 2023, the price per share of our common stock as traded on the NASDAQ Global Market declined below net book value per share. If our stock price drops and remains below net book value per share or other negative business factors described above exist, we may be required to perform a goodwill impairment analysis before the end of the year. That analysis or the annual analysis may result in an impairment charge that could be significant and could have a material adverse impact on our results of operations for the period in which the charge is taken. </w:t>
      </w:r>
    </w:p>
    <w:p>
      <w:pPr>
        <w:pStyle w:val="TextBody"/>
        <w:bidi w:val="0"/>
        <w:spacing w:lineRule="auto" w:line="288" w:before="120" w:after="180"/>
        <w:jc w:val="left"/>
        <w:rPr/>
      </w:pPr>
      <w:r>
        <w:rPr>
          <w:rFonts w:ascii="Times New Roman;sans-serif" w:hAnsi="Times New Roman;sans-serif"/>
          <w:b/>
          <w:i/>
          <w:color w:val="000000"/>
          <w:sz w:val="20"/>
        </w:rPr>
        <w:t>A decline in the federal budget, changes in spending or budgetary priorities of the U.S. government, a prolonged U.S. government shutdown or delays in contract awards may significantly and adversely affect our future revenues, cash flow and financial results.</w:t>
      </w:r>
      <w:r>
        <w:rPr>
          <w:color w:val="000000"/>
        </w:rPr>
        <w:t xml:space="preserve"> </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recent years, U.S. government appropriations have been affected by larger U.S. government budgetary issues and related legislation. As a result, DoD funding levels have fluctuated and have been difficult to predict. Future spending levels are subject to a wide range of factors, including Congressional action. In addition, over the last few years, the U.S. government has been unable to complete its budget process before the end of its fiscal year, resulting in both a government shutdown and continuing resolutions to extend sufficient funds only for U.S. government agencies to continue operating. Not long ago, the federal government was shut down due to a lack of funding for over one month between late 2018 and early 2019, and currently, the federal government is funded under a continuing resolution until November 17, 2023. Moreover, the national debt has recently threatened to reach the statutory debt ceiling in 2023, and such an event in future years could result in the U.S. government defaulting on its debts.</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government spending levels are difficult to predict beyond the near term due to numerous factors, including the external threat environment, future government priorities and the state of government finances. Significant changes in government spending or changes in U.S. government priorities, policies and requirements could have a material adverse effect on our results of operations, financial condition or liquidity.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 None.</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(b) None.</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(c) 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efc2bee9687a460b9c9bf6cd56a32d25_7">
        <w:r>
          <w:rPr>
            <w:rStyle w:val="InternetLink"/>
            <w:rFonts w:ascii="Times New Roman;sans-serif" w:hAnsi="Times New Roman;sans-serif"/>
            <w:b w:val="false"/>
            <w:i/>
            <w:color w:val="000000"/>
            <w:sz w:val="20"/>
            <w:u w:val="single"/>
          </w:rPr>
          <w:t>Table of Contents</w:t>
        </w:r>
      </w:hyperlink>
    </w:p>
    <w:p>
      <w:pPr>
        <w:pStyle w:val="TextBody"/>
        <w:bidi w:val="0"/>
        <w:spacing w:lineRule="auto" w:line="288" w:before="120" w:after="180"/>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 None.</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(b) 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 None.</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(b) None.</w:t>
      </w:r>
    </w:p>
    <w:p>
      <w:pPr>
        <w:pStyle w:val="TextBody"/>
        <w:bidi w:val="0"/>
        <w:spacing w:lineRule="auto" w:line="288" w:before="120" w:after="18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(c) During the three months ended September 30, 2023, no director or officer of the Company adopted or terminated a "Rule 10b5-1 trading arrangement" or "non-Rule 10b5-1 trading arrangement," as each term is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84"/>
        <w:gridCol w:w="250"/>
        <w:gridCol w:w="251"/>
        <w:gridCol w:w="109"/>
        <w:gridCol w:w="109"/>
        <w:gridCol w:w="109"/>
        <w:gridCol w:w="2685"/>
        <w:gridCol w:w="2636"/>
        <w:gridCol w:w="3772"/>
      </w:tblGrid>
      <w:tr>
        <w:trPr/>
        <w:tc>
          <w:tcPr>
            <w:tcW w:w="284"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36" w:type="dxa"/>
            <w:tcBorders/>
            <w:vAlign w:val="center"/>
          </w:tcPr>
          <w:p>
            <w:pPr>
              <w:pStyle w:val="TableContents"/>
              <w:bidi w:val="0"/>
              <w:spacing w:before="0" w:after="283"/>
              <w:jc w:val="left"/>
              <w:rPr>
                <w:sz w:val="4"/>
                <w:szCs w:val="4"/>
              </w:rPr>
            </w:pPr>
            <w:r>
              <w:rPr>
                <w:sz w:val="4"/>
                <w:szCs w:val="4"/>
              </w:rPr>
            </w:r>
          </w:p>
        </w:tc>
        <w:tc>
          <w:tcPr>
            <w:tcW w:w="3772" w:type="dxa"/>
            <w:tcBorders/>
            <w:vAlign w:val="center"/>
          </w:tcPr>
          <w:p>
            <w:pPr>
              <w:pStyle w:val="TableContents"/>
              <w:bidi w:val="0"/>
              <w:spacing w:before="0" w:after="283"/>
              <w:jc w:val="left"/>
              <w:rPr>
                <w:sz w:val="4"/>
                <w:szCs w:val="4"/>
              </w:rPr>
            </w:pPr>
            <w:r>
              <w:rPr>
                <w:sz w:val="4"/>
                <w:szCs w:val="4"/>
              </w:rPr>
            </w:r>
          </w:p>
        </w:tc>
      </w:tr>
      <w:tr>
        <w:trPr/>
        <w:tc>
          <w:tcPr>
            <w:tcW w:w="7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Description</w:t>
            </w:r>
          </w:p>
        </w:tc>
      </w:tr>
      <w:tr>
        <w:trPr/>
        <w:tc>
          <w:tcPr>
            <w:tcW w:w="7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3">
              <w:r>
                <w:rPr>
                  <w:rStyle w:val="InternetLink"/>
                  <w:rFonts w:ascii="Times New Roman;sans-serif" w:hAnsi="Times New Roman;sans-serif"/>
                  <w:b w:val="false"/>
                  <w:color w:val="0000FF"/>
                  <w:sz w:val="18"/>
                  <w:u w:val="single"/>
                </w:rPr>
                <w:t>10.1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80"/>
                  <w:sz w:val="18"/>
                  <w:u w:val="single"/>
                </w:rPr>
                <w:t xml:space="preserve">Annual Incentive Plan, as amended (Incorporated by reference to Exhibit 99.1 filed with the Company's Current Report on Form 8-K on </w:t>
              </w:r>
            </w:hyperlink>
            <w:hyperlink r:id="rId5">
              <w:r>
                <w:rPr>
                  <w:rStyle w:val="InternetLink"/>
                  <w:rFonts w:ascii="Times New Roman;sans-serif" w:hAnsi="Times New Roman;sans-serif"/>
                  <w:b w:val="false"/>
                  <w:color w:val="000080"/>
                  <w:sz w:val="18"/>
                  <w:u w:val="single"/>
                </w:rPr>
                <w:t>September 20, 2023)</w:t>
              </w:r>
            </w:hyperlink>
          </w:p>
        </w:tc>
      </w:tr>
      <w:tr>
        <w:trPr/>
        <w:tc>
          <w:tcPr>
            <w:tcW w:w="7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tls-20230930xexhibit311q323.htm">
              <w:r>
                <w:rPr>
                  <w:rStyle w:val="InternetLink"/>
                  <w:rFonts w:ascii="Times New Roman;sans-serif" w:hAnsi="Times New Roman;sans-serif"/>
                  <w:b w:val="false"/>
                  <w:color w:val="0000FF"/>
                  <w:sz w:val="18"/>
                  <w:u w:val="single"/>
                </w:rPr>
                <w:t>31.1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tls-20230930xexhibit311q323.htm">
              <w:r>
                <w:rPr>
                  <w:rStyle w:val="InternetLink"/>
                  <w:rFonts w:ascii="Times New Roman;sans-serif" w:hAnsi="Times New Roman;sans-serif"/>
                  <w:b w:val="false"/>
                  <w:color w:val="0000FF"/>
                  <w:sz w:val="18"/>
                  <w:u w:val="single"/>
                </w:rPr>
                <w:t>Certification of Chief Executive Officer pursuant to Section 302 of the Sarbanes-Oxley Act of 2002</w:t>
              </w:r>
            </w:hyperlink>
          </w:p>
        </w:tc>
      </w:tr>
      <w:tr>
        <w:trPr/>
        <w:tc>
          <w:tcPr>
            <w:tcW w:w="7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tls-20230930xexhibit312q323.htm">
              <w:r>
                <w:rPr>
                  <w:rStyle w:val="InternetLink"/>
                  <w:rFonts w:ascii="Times New Roman;sans-serif" w:hAnsi="Times New Roman;sans-serif"/>
                  <w:b w:val="false"/>
                  <w:color w:val="0000FF"/>
                  <w:sz w:val="18"/>
                  <w:u w:val="single"/>
                </w:rPr>
                <w:t>31.2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tls-20230930xexhibit312q323.htm">
              <w:r>
                <w:rPr>
                  <w:rStyle w:val="InternetLink"/>
                  <w:rFonts w:ascii="Times New Roman;sans-serif" w:hAnsi="Times New Roman;sans-serif"/>
                  <w:b w:val="false"/>
                  <w:color w:val="0000FF"/>
                  <w:sz w:val="18"/>
                  <w:u w:val="single"/>
                </w:rPr>
                <w:t>Certification of Chief Financial Officer pursuant to Section 302 of the Sarbanes-Oxley Act of 2002</w:t>
              </w:r>
            </w:hyperlink>
          </w:p>
        </w:tc>
      </w:tr>
      <w:tr>
        <w:trPr/>
        <w:tc>
          <w:tcPr>
            <w:tcW w:w="7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tls-20230930xexhibit32q323.htm">
              <w:r>
                <w:rPr>
                  <w:rStyle w:val="InternetLink"/>
                  <w:rFonts w:ascii="Times New Roman;sans-serif" w:hAnsi="Times New Roman;sans-serif"/>
                  <w:b w:val="false"/>
                  <w:color w:val="0000FF"/>
                  <w:sz w:val="18"/>
                  <w:u w:val="single"/>
                </w:rPr>
                <w:t>32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tls-20230930xexhibit32q323.htm">
              <w:r>
                <w:rPr>
                  <w:rStyle w:val="InternetLink"/>
                  <w:rFonts w:ascii="Times New Roman;sans-serif" w:hAnsi="Times New Roman;sans-serif"/>
                  <w:b w:val="false"/>
                  <w:color w:val="0000FF"/>
                  <w:sz w:val="18"/>
                  <w:u w:val="single"/>
                </w:rPr>
                <w:t>Certification pursuant to 18 U.S.C. Section 1350, as Adopted pursuant to Section 906 of the Sarbanes-Oxley Act of 2002</w:t>
              </w:r>
            </w:hyperlink>
          </w:p>
        </w:tc>
      </w:tr>
      <w:tr>
        <w:trPr/>
        <w:tc>
          <w:tcPr>
            <w:tcW w:w="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101.INS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XBRL Instance Document - the instance document does not appear in the Interactive Data File because its XBRL tags are embedded within the Inline XBRL document</w:t>
            </w:r>
          </w:p>
        </w:tc>
      </w:tr>
      <w:tr>
        <w:trPr/>
        <w:tc>
          <w:tcPr>
            <w:tcW w:w="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101.SCH</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XBRL Taxonomy Extension Schema Document</w:t>
            </w:r>
          </w:p>
        </w:tc>
      </w:tr>
      <w:tr>
        <w:trPr/>
        <w:tc>
          <w:tcPr>
            <w:tcW w:w="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101.CAL</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XBRL Taxonomy Extension Calculation Linkbase Document</w:t>
            </w:r>
          </w:p>
        </w:tc>
      </w:tr>
      <w:tr>
        <w:trPr/>
        <w:tc>
          <w:tcPr>
            <w:tcW w:w="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101.DEF</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XBRL Taxonomy Extension Definition Linkbase Document</w:t>
            </w:r>
          </w:p>
        </w:tc>
      </w:tr>
      <w:tr>
        <w:trPr/>
        <w:tc>
          <w:tcPr>
            <w:tcW w:w="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101.LAB</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XBRL Taxonomy Extension Label Linkbase Document</w:t>
            </w:r>
          </w:p>
        </w:tc>
      </w:tr>
      <w:tr>
        <w:trPr/>
        <w:tc>
          <w:tcPr>
            <w:tcW w:w="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101.PRE</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XBRL Taxonomy Extension Presentation Linkbase Document</w:t>
            </w:r>
          </w:p>
        </w:tc>
      </w:tr>
      <w:tr>
        <w:trPr/>
        <w:tc>
          <w:tcPr>
            <w:tcW w:w="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Cover Page Interactive Data File - the cover page iXBRL tags are embedded within the Inline XBRL document contained in Exhibit 101</w:t>
            </w:r>
          </w:p>
        </w:tc>
      </w:tr>
    </w:tbl>
    <w:tbl>
      <w:tblPr>
        <w:tblW w:w="5576" w:type="dxa"/>
        <w:jc w:val="left"/>
        <w:tblInd w:w="0" w:type="dxa"/>
        <w:tblLayout w:type="fixed"/>
        <w:tblCellMar>
          <w:top w:w="28" w:type="dxa"/>
          <w:left w:w="28" w:type="dxa"/>
          <w:bottom w:w="28" w:type="dxa"/>
          <w:right w:w="28" w:type="dxa"/>
        </w:tblCellMar>
      </w:tblPr>
      <w:tblGrid>
        <w:gridCol w:w="124"/>
        <w:gridCol w:w="109"/>
        <w:gridCol w:w="109"/>
        <w:gridCol w:w="1532"/>
        <w:gridCol w:w="1532"/>
        <w:gridCol w:w="217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217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constitutes a management contract or compensatory plan or arrangement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filed herewith</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furnished herewith</w:t>
            </w:r>
          </w:p>
        </w:tc>
      </w:tr>
    </w:tbl>
    <w:p>
      <w:pPr>
        <w:pStyle w:val="TextBody"/>
        <w:bidi w:val="0"/>
        <w:spacing w:before="12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efc2bee9687a460b9c9bf6cd56a32d25_7">
        <w:r>
          <w:rPr>
            <w:rStyle w:val="InternetLink"/>
            <w:rFonts w:ascii="Times New Roman;sans-serif" w:hAnsi="Times New Roman;sans-serif"/>
            <w:b w:val="false"/>
            <w:i/>
            <w:color w:val="000000"/>
            <w:sz w:val="20"/>
            <w:u w:val="single"/>
          </w:rPr>
          <w:t>Table of Contents</w:t>
        </w:r>
      </w:hyperlink>
    </w:p>
    <w:p>
      <w:pPr>
        <w:pStyle w:val="TextBody"/>
        <w:bidi w:val="0"/>
        <w:spacing w:lineRule="auto" w:line="288" w:before="120" w:after="18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7886" w:type="dxa"/>
        <w:jc w:val="left"/>
        <w:tblInd w:w="0" w:type="dxa"/>
        <w:tblLayout w:type="fixed"/>
        <w:tblCellMar>
          <w:top w:w="28" w:type="dxa"/>
          <w:left w:w="28" w:type="dxa"/>
          <w:bottom w:w="28" w:type="dxa"/>
          <w:right w:w="28" w:type="dxa"/>
        </w:tblCellMar>
      </w:tblPr>
      <w:tblGrid>
        <w:gridCol w:w="2141"/>
        <w:gridCol w:w="1881"/>
        <w:gridCol w:w="1887"/>
        <w:gridCol w:w="109"/>
        <w:gridCol w:w="109"/>
        <w:gridCol w:w="109"/>
        <w:gridCol w:w="483"/>
        <w:gridCol w:w="483"/>
        <w:gridCol w:w="684"/>
      </w:tblGrid>
      <w:tr>
        <w:trPr/>
        <w:tc>
          <w:tcPr>
            <w:tcW w:w="2141" w:type="dxa"/>
            <w:tcBorders/>
            <w:vAlign w:val="center"/>
          </w:tcPr>
          <w:p>
            <w:pPr>
              <w:pStyle w:val="TableContents"/>
              <w:bidi w:val="0"/>
              <w:spacing w:before="0" w:after="283"/>
              <w:jc w:val="left"/>
              <w:rPr>
                <w:sz w:val="4"/>
                <w:szCs w:val="4"/>
              </w:rPr>
            </w:pPr>
            <w:r>
              <w:rPr>
                <w:sz w:val="4"/>
                <w:szCs w:val="4"/>
              </w:rPr>
            </w:r>
          </w:p>
        </w:tc>
        <w:tc>
          <w:tcPr>
            <w:tcW w:w="1881" w:type="dxa"/>
            <w:tcBorders/>
            <w:vAlign w:val="center"/>
          </w:tcPr>
          <w:p>
            <w:pPr>
              <w:pStyle w:val="TableContents"/>
              <w:bidi w:val="0"/>
              <w:spacing w:before="0" w:after="283"/>
              <w:jc w:val="left"/>
              <w:rPr>
                <w:sz w:val="4"/>
                <w:szCs w:val="4"/>
              </w:rPr>
            </w:pPr>
            <w:r>
              <w:rPr>
                <w:sz w:val="4"/>
                <w:szCs w:val="4"/>
              </w:rPr>
            </w:r>
          </w:p>
        </w:tc>
        <w:tc>
          <w:tcPr>
            <w:tcW w:w="18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r>
      <w:tr>
        <w:trPr/>
        <w:tc>
          <w:tcPr>
            <w:tcW w:w="5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TELOS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John B. Wood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November 9, 2023</w:t>
            </w:r>
          </w:p>
        </w:tc>
      </w:tr>
      <w:tr>
        <w:trPr/>
        <w:tc>
          <w:tcPr>
            <w:tcW w:w="59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 John B. Wood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Mark Bendza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November 9, 2023</w:t>
            </w:r>
          </w:p>
        </w:tc>
      </w:tr>
      <w:tr>
        <w:trPr/>
        <w:tc>
          <w:tcPr>
            <w:tcW w:w="59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 Mark Bendza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(Principal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Victoria Harding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November 9, 2023</w:t>
            </w:r>
          </w:p>
        </w:tc>
      </w:tr>
      <w:tr>
        <w:trPr/>
        <w:tc>
          <w:tcPr>
            <w:tcW w:w="59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 Victoria Harding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Controller and Chief Accounting Officer (Principal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200" w:after="283"/>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120" w:after="180"/>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John B. Wood, certify that:</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Telos Corporation;</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to the audit committee of registrant's board of directors (or persons performing the equivalent functions):</w:t>
      </w:r>
    </w:p>
    <w:p>
      <w:pPr>
        <w:pStyle w:val="TextBody"/>
        <w:bidi w:val="0"/>
        <w:spacing w:lineRule="auto" w:line="288" w:before="2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200" w:after="283"/>
        <w:jc w:val="left"/>
        <w:rPr/>
      </w:pPr>
      <w:r>
        <w:rPr/>
      </w:r>
    </w:p>
    <w:p>
      <w:pPr>
        <w:pStyle w:val="TextBody"/>
        <w:bidi w:val="0"/>
        <w:spacing w:before="200" w:after="283"/>
        <w:jc w:val="left"/>
        <w:rPr/>
      </w:pPr>
      <w:r>
        <w:rPr/>
      </w:r>
    </w:p>
    <w:tbl>
      <w:tblPr>
        <w:tblW w:w="4782" w:type="dxa"/>
        <w:jc w:val="left"/>
        <w:tblInd w:w="0" w:type="dxa"/>
        <w:tblLayout w:type="fixed"/>
        <w:tblCellMar>
          <w:top w:w="28" w:type="dxa"/>
          <w:left w:w="28" w:type="dxa"/>
          <w:bottom w:w="28" w:type="dxa"/>
          <w:right w:w="28" w:type="dxa"/>
        </w:tblCellMar>
      </w:tblPr>
      <w:tblGrid>
        <w:gridCol w:w="124"/>
        <w:gridCol w:w="109"/>
        <w:gridCol w:w="109"/>
        <w:gridCol w:w="1295"/>
        <w:gridCol w:w="1295"/>
        <w:gridCol w:w="18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9, 2023</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John B. Wood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B. Wood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4"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8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20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 Mark Bendza, certify that:</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Telos Corporation;</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to the audit committee of registrant's board of directors (or persons performing the equivalent functions):</w:t>
      </w:r>
    </w:p>
    <w:p>
      <w:pPr>
        <w:pStyle w:val="TextBody"/>
        <w:bidi w:val="0"/>
        <w:spacing w:lineRule="auto" w:line="288" w:before="2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200" w:after="283"/>
        <w:jc w:val="left"/>
        <w:rPr/>
      </w:pPr>
      <w:r>
        <w:rPr/>
      </w:r>
    </w:p>
    <w:tbl>
      <w:tblPr>
        <w:tblW w:w="4662" w:type="dxa"/>
        <w:jc w:val="left"/>
        <w:tblInd w:w="0" w:type="dxa"/>
        <w:tblLayout w:type="fixed"/>
        <w:tblCellMar>
          <w:top w:w="28" w:type="dxa"/>
          <w:left w:w="28" w:type="dxa"/>
          <w:bottom w:w="28" w:type="dxa"/>
          <w:right w:w="28" w:type="dxa"/>
        </w:tblCellMar>
      </w:tblPr>
      <w:tblGrid>
        <w:gridCol w:w="124"/>
        <w:gridCol w:w="109"/>
        <w:gridCol w:w="109"/>
        <w:gridCol w:w="1260"/>
        <w:gridCol w:w="1260"/>
        <w:gridCol w:w="180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80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9, 2023</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Mark Bendza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 Bendza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5"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80"/>
        <w:jc w:val="righ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Exhibit 32</w:t>
      </w:r>
    </w:p>
    <w:p>
      <w:pPr>
        <w:pStyle w:val="TextBody"/>
        <w:bidi w:val="0"/>
        <w:spacing w:lineRule="auto" w:line="288" w:before="120" w:after="18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CERTIFICATION PURSUANT TO 18 U.S.C. SECTION 1350, </w:t>
        <w:br/>
        <w:t>AS ADOPTED PURSUANT TO SECTION 906 OF THE SARBANES-OXLEY ACT OF 2002</w:t>
      </w:r>
    </w:p>
    <w:p>
      <w:pPr>
        <w:pStyle w:val="TextBody"/>
        <w:bidi w:val="0"/>
        <w:spacing w:lineRule="auto" w:line="288" w:before="120" w:after="18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connection with the Quarterly Report of Telos Corporation (the "Company") on Form 10-Q for the period ended September 30, 2023, as filed with the Securities and Exchange Commission on the date hereof (the "Report"), we, John B. Wood and Mark Bendza, certify, pursuant to 18 U.S.C. § 1350, as adopted pursuant to § 906 of the Sarbanes-Oxley Act of 2002, that to our knowledge:</w:t>
      </w:r>
    </w:p>
    <w:p>
      <w:pPr>
        <w:pStyle w:val="TextBody"/>
        <w:bidi w:val="0"/>
        <w:spacing w:lineRule="auto" w:line="288" w:before="120" w:after="18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(1)The Report fully complies with the requirements of section 13(a) or 15(d) of the Securities Exchange Act of 1934, as amended; and</w:t>
      </w:r>
    </w:p>
    <w:p>
      <w:pPr>
        <w:pStyle w:val="TextBody"/>
        <w:bidi w:val="0"/>
        <w:spacing w:lineRule="auto" w:line="288" w:before="120" w:after="180"/>
        <w:jc w:val="left"/>
        <w:rPr/>
      </w:pPr>
      <w:r>
        <w:rPr>
          <w:rFonts w:ascii="Times New Roman;sans-serif" w:hAnsi="Times New Roman;sans-serif"/>
          <w:b w:val="false"/>
          <w:color w:val="000000"/>
          <w:sz w:val="20"/>
          <w:shd w:fill="FFFFFF" w:val="clear"/>
        </w:rPr>
        <w:t xml:space="preserve">(2)The information </w:t>
      </w:r>
      <w:r>
        <w:rPr>
          <w:rFonts w:ascii="Times New Roman;sans-serif" w:hAnsi="Times New Roman;sans-serif"/>
          <w:b w:val="false"/>
          <w:color w:val="000000"/>
          <w:sz w:val="20"/>
        </w:rPr>
        <w:t>contained</w:t>
      </w:r>
      <w:r>
        <w:rPr>
          <w:color w:val="000000"/>
          <w:shd w:fill="FFFFFF" w:val="clear"/>
        </w:rPr>
        <w:t xml:space="preserve"> </w:t>
      </w:r>
      <w:r>
        <w:rPr>
          <w:rFonts w:ascii="Times New Roman;sans-serif" w:hAnsi="Times New Roman;sans-serif"/>
          <w:b w:val="false"/>
          <w:color w:val="000000"/>
          <w:sz w:val="20"/>
          <w:shd w:fill="FFFFFF" w:val="clear"/>
        </w:rPr>
        <w:t>in the Report fairly presents, in all material respects, the financial condition and results of operations of the Company.</w:t>
      </w:r>
    </w:p>
    <w:tbl>
      <w:tblPr>
        <w:tblW w:w="4782" w:type="dxa"/>
        <w:jc w:val="right"/>
        <w:tblInd w:w="0" w:type="dxa"/>
        <w:tblLayout w:type="fixed"/>
        <w:tblCellMar>
          <w:top w:w="28" w:type="dxa"/>
          <w:left w:w="28" w:type="dxa"/>
          <w:bottom w:w="28" w:type="dxa"/>
          <w:right w:w="28" w:type="dxa"/>
        </w:tblCellMar>
      </w:tblPr>
      <w:tblGrid>
        <w:gridCol w:w="124"/>
        <w:gridCol w:w="109"/>
        <w:gridCol w:w="109"/>
        <w:gridCol w:w="1295"/>
        <w:gridCol w:w="1295"/>
        <w:gridCol w:w="18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9, 2023</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John B. Wood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B. Wood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(Principal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9, 2023</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Mark Bendza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 Bendza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(Principal Financial Officer)</w:t>
            </w:r>
          </w:p>
        </w:tc>
      </w:tr>
    </w:tbl>
    <w:p>
      <w:pPr>
        <w:pStyle w:val="TextBody"/>
        <w:bidi w:val="0"/>
        <w:jc w:val="righ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320121/000032012123000052/telos-annualincentiveplane.htm" TargetMode="External"/><Relationship Id="rId4" Type="http://schemas.openxmlformats.org/officeDocument/2006/relationships/hyperlink" Target="https://www.sec.gov/Archives/edgar/data/320121/000032012123000052/telos-annualincentiveplane.htm" TargetMode="External"/><Relationship Id="rId5" Type="http://schemas.openxmlformats.org/officeDocument/2006/relationships/hyperlink" Target="https://www.sec.gov/Archives/edgar/data/320121/000032012123000052/telos-annualincentiveplane.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17349</Words>
  <Characters>96332</Characters>
  <CharactersWithSpaces>112001</CharactersWithSpaces>
  <Paragraphs>2589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