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filename1.htm"/>
      <w:bookmarkStart w:id="1" w:name="ksfilename1"/>
      <w:bookmarkStart w:id="2" w:name="filename1.htm"/>
      <w:bookmarkStart w:id="3" w:name="ksfilename1"/>
      <w:bookmarkEnd w:id="2"/>
      <w:bookmarkEnd w:id="3"/>
    </w:p>
    <w:tbl>
      <w:tblPr>
        <w:tblW w:w="5000" w:type="pct"/>
        <w:jc w:val="center"/>
        <w:tblInd w:w="0" w:type="dxa"/>
        <w:tblCellMar>
          <w:top w:w="0" w:type="dxa"/>
          <w:left w:w="0" w:type="dxa"/>
          <w:bottom w:w="0" w:type="dxa"/>
          <w:right w:w="0" w:type="dxa"/>
        </w:tblCellMar>
      </w:tblPr>
      <w:tblGrid>
        <w:gridCol w:w="7452"/>
        <w:gridCol w:w="190"/>
        <w:gridCol w:w="2563"/>
      </w:tblGrid>
      <w:tr>
        <w:trPr/>
        <w:tc>
          <w:tcPr>
            <w:tcW w:w="745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2563" w:type="dxa"/>
            <w:tcBorders/>
            <w:shd w:fill="auto" w:val="clear"/>
            <w:vAlign w:val="center"/>
          </w:tcPr>
          <w:p>
            <w:pPr>
              <w:pStyle w:val="TableContents"/>
              <w:spacing w:before="0" w:after="283"/>
              <w:rPr>
                <w:sz w:val="4"/>
                <w:szCs w:val="4"/>
              </w:rPr>
            </w:pPr>
            <w:r>
              <w:rPr>
                <w:sz w:val="4"/>
                <w:szCs w:val="4"/>
              </w:rPr>
            </w:r>
          </w:p>
        </w:tc>
      </w:tr>
      <w:tr>
        <w:trPr/>
        <w:tc>
          <w:tcPr>
            <w:tcW w:w="7452" w:type="dxa"/>
            <w:vMerge w:val="restart"/>
            <w:tcBorders/>
            <w:shd w:fill="auto" w:val="clear"/>
            <w:vAlign w:val="bottom"/>
          </w:tcPr>
          <w:p>
            <w:pPr>
              <w:pStyle w:val="TableContents"/>
              <w:spacing w:before="0" w:after="283"/>
              <w:rPr/>
            </w:pPr>
            <w:r>
              <w:rPr/>
              <w:drawing>
                <wp:inline distT="0" distB="0" distL="0" distR="0">
                  <wp:extent cx="19240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514350"/>
                          </a:xfrm>
                          <a:prstGeom prst="rect">
                            <a:avLst/>
                          </a:prstGeom>
                        </pic:spPr>
                      </pic:pic>
                    </a:graphicData>
                  </a:graphic>
                </wp:inline>
              </w:drawing>
            </w:r>
            <w:r>
              <w:rPr/>
              <w:t xml:space="preserve"> </w:t>
            </w:r>
          </w:p>
        </w:tc>
        <w:tc>
          <w:tcPr>
            <w:tcW w:w="190" w:type="dxa"/>
            <w:tcBorders>
              <w:left w:val="single" w:sz="2" w:space="0" w:color="000000"/>
            </w:tcBorders>
            <w:shd w:fill="auto" w:val="clear"/>
            <w:tcMar>
              <w:left w:w="28" w:type="dxa"/>
            </w:tcMar>
            <w:vAlign w:val="bottom"/>
          </w:tcPr>
          <w:p>
            <w:pPr>
              <w:pStyle w:val="TableContents"/>
              <w:spacing w:before="0" w:after="283"/>
              <w:rPr/>
            </w:pPr>
            <w:r>
              <w:rPr/>
              <w:t> </w:t>
            </w:r>
          </w:p>
        </w:tc>
        <w:tc>
          <w:tcPr>
            <w:tcW w:w="2563" w:type="dxa"/>
            <w:vMerge w:val="restart"/>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Telos Corporation</w:t>
            </w:r>
          </w:p>
          <w:p>
            <w:pPr>
              <w:pStyle w:val="TableContents"/>
              <w:spacing w:before="0" w:after="0"/>
              <w:rPr>
                <w:rFonts w:ascii="Times New Roman" w:hAnsi="Times New Roman"/>
                <w:sz w:val="20"/>
              </w:rPr>
            </w:pPr>
            <w:r>
              <w:rPr>
                <w:rFonts w:ascii="Times New Roman" w:hAnsi="Times New Roman"/>
                <w:sz w:val="20"/>
              </w:rPr>
              <w:t>19886 Ashburn Road</w:t>
            </w:r>
          </w:p>
          <w:p>
            <w:pPr>
              <w:pStyle w:val="TableContents"/>
              <w:spacing w:before="0" w:after="0"/>
              <w:rPr>
                <w:rFonts w:ascii="Times New Roman" w:hAnsi="Times New Roman"/>
                <w:sz w:val="20"/>
              </w:rPr>
            </w:pPr>
            <w:r>
              <w:rPr>
                <w:rFonts w:ascii="Times New Roman" w:hAnsi="Times New Roman"/>
                <w:sz w:val="20"/>
              </w:rPr>
              <w:t>Ashburn, Virginia 20147-2358</w:t>
            </w:r>
          </w:p>
          <w:p>
            <w:pPr>
              <w:pStyle w:val="TableContents"/>
              <w:spacing w:before="0" w:after="0"/>
              <w:rPr>
                <w:rFonts w:ascii="Times New Roman" w:hAnsi="Times New Roman"/>
                <w:sz w:val="20"/>
              </w:rPr>
            </w:pPr>
            <w:r>
              <w:rPr>
                <w:rFonts w:ascii="Times New Roman" w:hAnsi="Times New Roman"/>
                <w:sz w:val="20"/>
              </w:rPr>
              <w:t>Phone (703) 724-3800</w:t>
            </w:r>
          </w:p>
          <w:p>
            <w:pPr>
              <w:pStyle w:val="TableContents"/>
              <w:spacing w:before="0" w:after="15"/>
              <w:rPr>
                <w:rFonts w:ascii="Times New Roman" w:hAnsi="Times New Roman"/>
                <w:b/>
                <w:sz w:val="20"/>
              </w:rPr>
            </w:pPr>
            <w:r>
              <w:rPr>
                <w:rFonts w:ascii="Times New Roman" w:hAnsi="Times New Roman"/>
                <w:b/>
                <w:sz w:val="20"/>
              </w:rPr>
              <w:t>www.telos.com</w:t>
            </w:r>
          </w:p>
        </w:tc>
      </w:tr>
      <w:tr>
        <w:trPr/>
        <w:tc>
          <w:tcPr>
            <w:tcW w:w="7452" w:type="dxa"/>
            <w:vMerge w:val="continue"/>
            <w:tcBorders/>
            <w:shd w:fill="auto" w:val="clear"/>
            <w:vAlign w:val="bottom"/>
          </w:tcPr>
          <w:p>
            <w:pPr>
              <w:pStyle w:val="Normal"/>
              <w:rPr/>
            </w:pPr>
            <w:r>
              <w:rPr/>
            </w:r>
          </w:p>
        </w:tc>
        <w:tc>
          <w:tcPr>
            <w:tcW w:w="190" w:type="dxa"/>
            <w:tcBorders>
              <w:left w:val="single" w:sz="2" w:space="0" w:color="000000"/>
            </w:tcBorders>
            <w:shd w:fill="auto" w:val="clear"/>
            <w:tcMar>
              <w:left w:w="28" w:type="dxa"/>
            </w:tcMar>
            <w:vAlign w:val="bottom"/>
          </w:tcPr>
          <w:p>
            <w:pPr>
              <w:pStyle w:val="TableContents"/>
              <w:spacing w:before="0" w:after="283"/>
              <w:rPr/>
            </w:pPr>
            <w:r>
              <w:rPr/>
              <w:t> </w:t>
            </w:r>
          </w:p>
        </w:tc>
        <w:tc>
          <w:tcPr>
            <w:tcW w:w="2563" w:type="dxa"/>
            <w:vMerge w:val="continue"/>
            <w:tcBorders/>
            <w:shd w:fill="auto" w:val="clear"/>
            <w:vAlign w:val="bottom"/>
          </w:tcPr>
          <w:p>
            <w:pPr>
              <w:pStyle w:val="Normal"/>
              <w:rPr/>
            </w:pPr>
            <w:r>
              <w:rPr/>
            </w:r>
          </w:p>
        </w:tc>
      </w:tr>
      <w:tr>
        <w:trPr/>
        <w:tc>
          <w:tcPr>
            <w:tcW w:w="7452" w:type="dxa"/>
            <w:vMerge w:val="continue"/>
            <w:tcBorders/>
            <w:shd w:fill="auto" w:val="clear"/>
            <w:vAlign w:val="bottom"/>
          </w:tcPr>
          <w:p>
            <w:pPr>
              <w:pStyle w:val="Normal"/>
              <w:rPr/>
            </w:pPr>
            <w:r>
              <w:rPr/>
            </w:r>
          </w:p>
        </w:tc>
        <w:tc>
          <w:tcPr>
            <w:tcW w:w="190" w:type="dxa"/>
            <w:tcBorders>
              <w:left w:val="single" w:sz="2" w:space="0" w:color="000000"/>
            </w:tcBorders>
            <w:shd w:fill="auto" w:val="clear"/>
            <w:tcMar>
              <w:left w:w="28" w:type="dxa"/>
            </w:tcMar>
            <w:vAlign w:val="bottom"/>
          </w:tcPr>
          <w:p>
            <w:pPr>
              <w:pStyle w:val="TableContents"/>
              <w:spacing w:before="0" w:after="283"/>
              <w:rPr/>
            </w:pPr>
            <w:r>
              <w:rPr/>
              <w:t> </w:t>
            </w:r>
          </w:p>
        </w:tc>
        <w:tc>
          <w:tcPr>
            <w:tcW w:w="2563" w:type="dxa"/>
            <w:vMerge w:val="continue"/>
            <w:tcBorders/>
            <w:shd w:fill="auto" w:val="clear"/>
            <w:vAlign w:val="bottom"/>
          </w:tcPr>
          <w:p>
            <w:pPr>
              <w:pStyle w:val="Normal"/>
              <w:rPr/>
            </w:pPr>
            <w:r>
              <w:rPr/>
            </w:r>
          </w:p>
        </w:tc>
      </w:tr>
      <w:tr>
        <w:trPr/>
        <w:tc>
          <w:tcPr>
            <w:tcW w:w="7452" w:type="dxa"/>
            <w:vMerge w:val="continue"/>
            <w:tcBorders/>
            <w:shd w:fill="auto" w:val="clear"/>
            <w:vAlign w:val="bottom"/>
          </w:tcPr>
          <w:p>
            <w:pPr>
              <w:pStyle w:val="Normal"/>
              <w:rPr/>
            </w:pPr>
            <w:r>
              <w:rPr/>
            </w:r>
          </w:p>
        </w:tc>
        <w:tc>
          <w:tcPr>
            <w:tcW w:w="190" w:type="dxa"/>
            <w:tcBorders>
              <w:left w:val="single" w:sz="2" w:space="0" w:color="000000"/>
            </w:tcBorders>
            <w:shd w:fill="auto" w:val="clear"/>
            <w:tcMar>
              <w:left w:w="28" w:type="dxa"/>
            </w:tcMar>
            <w:vAlign w:val="bottom"/>
          </w:tcPr>
          <w:p>
            <w:pPr>
              <w:pStyle w:val="TableContents"/>
              <w:spacing w:before="0" w:after="283"/>
              <w:rPr/>
            </w:pPr>
            <w:r>
              <w:rPr/>
              <w:t> </w:t>
            </w:r>
          </w:p>
        </w:tc>
        <w:tc>
          <w:tcPr>
            <w:tcW w:w="2563" w:type="dxa"/>
            <w:vMerge w:val="continue"/>
            <w:tcBorders/>
            <w:shd w:fill="auto" w:val="clear"/>
            <w:vAlign w:val="bottom"/>
          </w:tcPr>
          <w:p>
            <w:pPr>
              <w:pStyle w:val="Normal"/>
              <w:rPr/>
            </w:pPr>
            <w:r>
              <w:rPr/>
            </w:r>
          </w:p>
        </w:tc>
      </w:tr>
      <w:tr>
        <w:trPr/>
        <w:tc>
          <w:tcPr>
            <w:tcW w:w="7452" w:type="dxa"/>
            <w:vMerge w:val="continue"/>
            <w:tcBorders/>
            <w:shd w:fill="auto" w:val="clear"/>
            <w:vAlign w:val="bottom"/>
          </w:tcPr>
          <w:p>
            <w:pPr>
              <w:pStyle w:val="Normal"/>
              <w:rPr/>
            </w:pPr>
            <w:r>
              <w:rPr/>
            </w:r>
          </w:p>
        </w:tc>
        <w:tc>
          <w:tcPr>
            <w:tcW w:w="190" w:type="dxa"/>
            <w:tcBorders>
              <w:left w:val="single" w:sz="2" w:space="0" w:color="000000"/>
            </w:tcBorders>
            <w:shd w:fill="auto" w:val="clear"/>
            <w:tcMar>
              <w:left w:w="28" w:type="dxa"/>
            </w:tcMar>
            <w:vAlign w:val="bottom"/>
          </w:tcPr>
          <w:p>
            <w:pPr>
              <w:pStyle w:val="TableContents"/>
              <w:spacing w:before="0" w:after="283"/>
              <w:rPr/>
            </w:pPr>
            <w:r>
              <w:rPr/>
              <w:t> </w:t>
            </w:r>
          </w:p>
        </w:tc>
        <w:tc>
          <w:tcPr>
            <w:tcW w:w="2563" w:type="dxa"/>
            <w:vMerge w:val="continue"/>
            <w:tcBorders/>
            <w:shd w:fill="auto" w:val="clear"/>
            <w:vAlign w:val="bottom"/>
          </w:tcPr>
          <w:p>
            <w:pPr>
              <w:pStyle w:val="Normal"/>
              <w:rPr/>
            </w:pPr>
            <w:r>
              <w:rPr/>
            </w:r>
          </w:p>
        </w:tc>
      </w:tr>
      <w:tr>
        <w:trPr/>
        <w:tc>
          <w:tcPr>
            <w:tcW w:w="7452" w:type="dxa"/>
            <w:vMerge w:val="continue"/>
            <w:tcBorders/>
            <w:shd w:fill="auto" w:val="clear"/>
            <w:vAlign w:val="bottom"/>
          </w:tcPr>
          <w:p>
            <w:pPr>
              <w:pStyle w:val="Normal"/>
              <w:rPr/>
            </w:pPr>
            <w:r>
              <w:rPr/>
            </w:r>
          </w:p>
        </w:tc>
        <w:tc>
          <w:tcPr>
            <w:tcW w:w="190" w:type="dxa"/>
            <w:tcBorders>
              <w:left w:val="single" w:sz="2" w:space="0" w:color="000000"/>
            </w:tcBorders>
            <w:shd w:fill="auto" w:val="clear"/>
            <w:tcMar>
              <w:left w:w="28" w:type="dxa"/>
            </w:tcMar>
            <w:vAlign w:val="bottom"/>
          </w:tcPr>
          <w:p>
            <w:pPr>
              <w:pStyle w:val="TableContents"/>
              <w:spacing w:before="0" w:after="283"/>
              <w:rPr/>
            </w:pPr>
            <w:r>
              <w:rPr/>
              <w:t> </w:t>
            </w:r>
          </w:p>
        </w:tc>
        <w:tc>
          <w:tcPr>
            <w:tcW w:w="2563" w:type="dxa"/>
            <w:vMerge w:val="continue"/>
            <w:tcBorders/>
            <w:shd w:fill="auto" w:val="clear"/>
            <w:vAlign w:val="bottom"/>
          </w:tcPr>
          <w:p>
            <w:pPr>
              <w:pStyle w:val="Normal"/>
              <w:rPr/>
            </w:pPr>
            <w:r>
              <w:rPr/>
            </w:r>
          </w:p>
        </w:tc>
      </w:tr>
      <w:tr>
        <w:trPr/>
        <w:tc>
          <w:tcPr>
            <w:tcW w:w="7452" w:type="dxa"/>
            <w:vMerge w:val="continue"/>
            <w:tcBorders/>
            <w:shd w:fill="auto" w:val="clear"/>
            <w:vAlign w:val="bottom"/>
          </w:tcPr>
          <w:p>
            <w:pPr>
              <w:pStyle w:val="Normal"/>
              <w:rPr/>
            </w:pPr>
            <w:r>
              <w:rPr/>
            </w:r>
          </w:p>
        </w:tc>
        <w:tc>
          <w:tcPr>
            <w:tcW w:w="190" w:type="dxa"/>
            <w:tcBorders>
              <w:left w:val="single" w:sz="2" w:space="0" w:color="000000"/>
            </w:tcBorders>
            <w:shd w:fill="auto" w:val="clear"/>
            <w:tcMar>
              <w:left w:w="28" w:type="dxa"/>
            </w:tcMar>
            <w:vAlign w:val="bottom"/>
          </w:tcPr>
          <w:p>
            <w:pPr>
              <w:pStyle w:val="TableContents"/>
              <w:spacing w:before="0" w:after="283"/>
              <w:rPr/>
            </w:pPr>
            <w:r>
              <w:rPr/>
              <w:t> </w:t>
            </w:r>
          </w:p>
        </w:tc>
        <w:tc>
          <w:tcPr>
            <w:tcW w:w="2563" w:type="dxa"/>
            <w:vMerge w:val="continue"/>
            <w:tcBorders/>
            <w:shd w:fill="auto" w:val="clear"/>
            <w:vAlign w:val="bottom"/>
          </w:tcPr>
          <w:p>
            <w:pPr>
              <w:pStyle w:val="Normal"/>
              <w:rPr/>
            </w:pPr>
            <w:r>
              <w:rPr/>
            </w:r>
          </w:p>
        </w:tc>
      </w:tr>
    </w:tbl>
    <w:p>
      <w:pPr>
        <w:pStyle w:val="TextBody"/>
        <w:spacing w:before="180" w:after="0"/>
        <w:rPr>
          <w:rFonts w:ascii="Times New Roman" w:hAnsi="Times New Roman"/>
          <w:sz w:val="20"/>
        </w:rPr>
      </w:pPr>
      <w:r>
        <w:rPr>
          <w:rFonts w:ascii="Times New Roman" w:hAnsi="Times New Roman"/>
          <w:sz w:val="20"/>
        </w:rPr>
        <w:t xml:space="preserve">December 7, 2011 </w:t>
      </w:r>
    </w:p>
    <w:p>
      <w:pPr>
        <w:pStyle w:val="TextBody"/>
        <w:spacing w:before="180" w:after="0"/>
        <w:rPr>
          <w:rFonts w:ascii="Times New Roman" w:hAnsi="Times New Roman"/>
          <w:b/>
          <w:sz w:val="20"/>
          <w:u w:val="single"/>
        </w:rPr>
      </w:pPr>
      <w:r>
        <w:rPr>
          <w:rFonts w:ascii="Times New Roman" w:hAnsi="Times New Roman"/>
          <w:b/>
          <w:sz w:val="20"/>
          <w:u w:val="single"/>
        </w:rPr>
        <w:t xml:space="preserve">VIA EDGAR and EMAIL </w:t>
      </w:r>
    </w:p>
    <w:p>
      <w:pPr>
        <w:pStyle w:val="TextBody"/>
        <w:spacing w:before="180" w:after="0"/>
        <w:rPr>
          <w:rFonts w:ascii="Times New Roman" w:hAnsi="Times New Roman"/>
          <w:sz w:val="20"/>
        </w:rPr>
      </w:pPr>
      <w:r>
        <w:rPr>
          <w:rFonts w:ascii="Times New Roman" w:hAnsi="Times New Roman"/>
          <w:sz w:val="20"/>
        </w:rPr>
        <w:t xml:space="preserve">U.S. Securities and Exchange Commission </w:t>
      </w:r>
    </w:p>
    <w:p>
      <w:pPr>
        <w:pStyle w:val="TextBody"/>
        <w:spacing w:before="0" w:after="0"/>
        <w:rPr>
          <w:rFonts w:ascii="Times New Roman" w:hAnsi="Times New Roman"/>
          <w:sz w:val="20"/>
        </w:rPr>
      </w:pPr>
      <w:r>
        <w:rPr>
          <w:rFonts w:ascii="Times New Roman" w:hAnsi="Times New Roman"/>
          <w:sz w:val="20"/>
        </w:rPr>
        <w:t xml:space="preserve">Division of Corporation Finance </w:t>
      </w:r>
    </w:p>
    <w:p>
      <w:pPr>
        <w:pStyle w:val="TextBody"/>
        <w:spacing w:before="0" w:after="0"/>
        <w:rPr>
          <w:rFonts w:ascii="Times New Roman" w:hAnsi="Times New Roman"/>
          <w:sz w:val="20"/>
        </w:rPr>
      </w:pPr>
      <w:r>
        <w:rPr>
          <w:rFonts w:ascii="Times New Roman" w:hAnsi="Times New Roman"/>
          <w:sz w:val="20"/>
        </w:rPr>
        <w:t xml:space="preserve">Attn. Ms. Maryse Mills-Apenteng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7"/>
        <w:gridCol w:w="421"/>
        <w:gridCol w:w="9537"/>
      </w:tblGrid>
      <w:tr>
        <w:trPr/>
        <w:tc>
          <w:tcPr>
            <w:tcW w:w="247"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247" w:type="dxa"/>
            <w:tcBorders/>
            <w:shd w:fill="auto" w:val="clear"/>
          </w:tcPr>
          <w:p>
            <w:pPr>
              <w:pStyle w:val="TableContents"/>
              <w:spacing w:before="0" w:after="283"/>
              <w:rPr>
                <w:rFonts w:ascii="Times New Roman" w:hAnsi="Times New Roman"/>
                <w:sz w:val="20"/>
              </w:rPr>
            </w:pPr>
            <w:r>
              <w:rPr>
                <w:rFonts w:ascii="Times New Roman" w:hAnsi="Times New Roman"/>
                <w:sz w:val="20"/>
              </w:rPr>
              <w:t>Re:</w:t>
            </w:r>
          </w:p>
        </w:tc>
        <w:tc>
          <w:tcPr>
            <w:tcW w:w="421" w:type="dxa"/>
            <w:tcBorders/>
            <w:shd w:fill="auto" w:val="clear"/>
            <w:vAlign w:val="bottom"/>
          </w:tcPr>
          <w:p>
            <w:pPr>
              <w:pStyle w:val="TableContents"/>
              <w:spacing w:before="0" w:after="283"/>
              <w:rPr/>
            </w:pPr>
            <w:r>
              <w:rPr/>
              <w:t>  </w:t>
            </w:r>
          </w:p>
        </w:tc>
        <w:tc>
          <w:tcPr>
            <w:tcW w:w="95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Telos Corporation</w:t>
            </w:r>
          </w:p>
        </w:tc>
      </w:tr>
      <w:tr>
        <w:trPr/>
        <w:tc>
          <w:tcPr>
            <w:tcW w:w="247" w:type="dxa"/>
            <w:tcBorders/>
            <w:shd w:fill="auto" w:val="clea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pPr>
            <w:r>
              <w:rPr/>
              <w:t>  </w:t>
            </w:r>
          </w:p>
        </w:tc>
        <w:tc>
          <w:tcPr>
            <w:tcW w:w="95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10-K for the Fiscal Year Ended December 31, 2011</w:t>
            </w:r>
          </w:p>
        </w:tc>
      </w:tr>
      <w:tr>
        <w:trPr/>
        <w:tc>
          <w:tcPr>
            <w:tcW w:w="247" w:type="dxa"/>
            <w:tcBorders/>
            <w:shd w:fill="auto" w:val="clea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pPr>
            <w:r>
              <w:rPr/>
              <w:t>  </w:t>
            </w:r>
          </w:p>
        </w:tc>
        <w:tc>
          <w:tcPr>
            <w:tcW w:w="95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Filed March 31, 2011</w:t>
            </w:r>
          </w:p>
        </w:tc>
      </w:tr>
      <w:tr>
        <w:trPr/>
        <w:tc>
          <w:tcPr>
            <w:tcW w:w="247" w:type="dxa"/>
            <w:tcBorders/>
            <w:shd w:fill="auto" w:val="clea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pPr>
            <w:r>
              <w:rPr/>
              <w:t>  </w:t>
            </w:r>
          </w:p>
        </w:tc>
        <w:tc>
          <w:tcPr>
            <w:tcW w:w="95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File Number: 001-08443</w:t>
            </w:r>
          </w:p>
        </w:tc>
      </w:tr>
    </w:tbl>
    <w:p>
      <w:pPr>
        <w:pStyle w:val="TextBody"/>
        <w:spacing w:before="180" w:after="0"/>
        <w:rPr>
          <w:rFonts w:ascii="Times New Roman" w:hAnsi="Times New Roman"/>
          <w:sz w:val="20"/>
        </w:rPr>
      </w:pPr>
      <w:r>
        <w:rPr>
          <w:rFonts w:ascii="Times New Roman" w:hAnsi="Times New Roman"/>
          <w:sz w:val="20"/>
        </w:rPr>
        <w:t xml:space="preserve">Dear Ms. Mills-Apenteng: </w:t>
      </w:r>
    </w:p>
    <w:p>
      <w:pPr>
        <w:pStyle w:val="TextBody"/>
        <w:spacing w:before="180" w:after="0"/>
        <w:rPr>
          <w:rFonts w:ascii="Times New Roman" w:hAnsi="Times New Roman"/>
          <w:sz w:val="20"/>
        </w:rPr>
      </w:pPr>
      <w:r>
        <w:rPr>
          <w:rFonts w:ascii="Times New Roman" w:hAnsi="Times New Roman"/>
          <w:sz w:val="20"/>
        </w:rPr>
        <w:t>This letter is in response to comments made by the Staff of the Securities and Exchange Commission in its correspondence dated November 30, 2011 to Telos Corporation (the </w:t>
      </w:r>
      <w:r>
        <w:rPr>
          <w:rFonts w:ascii="Times New Roman" w:hAnsi="Times New Roman"/>
          <w:sz w:val="20"/>
          <w:u w:val="single"/>
        </w:rPr>
        <w:t>Company</w:t>
      </w:r>
      <w:r>
        <w:rPr>
          <w:rFonts w:ascii="Times New Roman" w:hAnsi="Times New Roman"/>
          <w:sz w:val="20"/>
        </w:rPr>
        <w:t xml:space="preserve">) with respect to the above-referenced filing. </w:t>
      </w:r>
    </w:p>
    <w:p>
      <w:pPr>
        <w:pStyle w:val="TextBody"/>
        <w:spacing w:before="180" w:after="0"/>
        <w:rPr>
          <w:rFonts w:ascii="Times New Roman" w:hAnsi="Times New Roman"/>
          <w:sz w:val="20"/>
        </w:rPr>
      </w:pPr>
      <w:r>
        <w:rPr>
          <w:rFonts w:ascii="Times New Roman" w:hAnsi="Times New Roman"/>
          <w:sz w:val="20"/>
        </w:rPr>
        <w:t xml:space="preserve">The Company is in receipt of the Staffs comment letter and is actively engaged in preparing a response. Due to the travel schedules of the Companys senior finance executives combined with the holiday season, the Company is not able to respond within the requested ten (10) business day deadline included in the comment letter. Therefore, in accordance with our discussions with the Staff last week and today, the Company will respond to the Staffs comment letter on or before January 13, 2012. </w:t>
      </w:r>
    </w:p>
    <w:p>
      <w:pPr>
        <w:pStyle w:val="TextBody"/>
        <w:spacing w:before="180" w:after="0"/>
        <w:rPr>
          <w:rFonts w:ascii="Times New Roman" w:hAnsi="Times New Roman"/>
          <w:sz w:val="20"/>
        </w:rPr>
      </w:pPr>
      <w:r>
        <w:rPr>
          <w:rFonts w:ascii="Times New Roman" w:hAnsi="Times New Roman"/>
          <w:sz w:val="20"/>
        </w:rPr>
        <w:t xml:space="preserve">If you have any questions regarding the foregoing or require any additional information, please do not hesitate to contact the undersigned at (703) 726-2270 or Christopher R. Johnson of Miles &amp; Stockbridge at (410) 385-3532. Thank you very much. </w:t>
      </w:r>
    </w:p>
    <w:p>
      <w:pPr>
        <w:pStyle w:val="TextBody"/>
        <w:spacing w:before="180" w:after="0"/>
        <w:rPr>
          <w:rFonts w:ascii="Times New Roman" w:hAnsi="Times New Roman"/>
          <w:b/>
          <w:sz w:val="20"/>
        </w:rPr>
      </w:pPr>
      <w:r>
        <w:rPr>
          <w:rFonts w:ascii="Times New Roman" w:hAnsi="Times New Roman"/>
          <w:b/>
          <w:sz w:val="20"/>
        </w:rPr>
        <w:t xml:space="preserve">TELOS CORPORATION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285"/>
        <w:gridCol w:w="162"/>
        <w:gridCol w:w="3635"/>
      </w:tblGrid>
      <w:tr>
        <w:trPr/>
        <w:tc>
          <w:tcPr>
            <w:tcW w:w="28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3635" w:type="dxa"/>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2" w:type="dxa"/>
            <w:tcBorders/>
            <w:shd w:fill="auto" w:val="clear"/>
            <w:vAlign w:val="bottom"/>
          </w:tcPr>
          <w:p>
            <w:pPr>
              <w:pStyle w:val="TableContents"/>
              <w:spacing w:before="0" w:after="283"/>
              <w:rPr/>
            </w:pPr>
            <w:r>
              <w:rPr/>
              <w:t> </w:t>
            </w:r>
          </w:p>
        </w:tc>
        <w:tc>
          <w:tcPr>
            <w:tcW w:w="3635"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Michael P. Flaherty</w:t>
            </w:r>
          </w:p>
        </w:tc>
      </w:tr>
      <w:tr>
        <w:trPr/>
        <w:tc>
          <w:tcPr>
            <w:tcW w:w="285" w:type="dxa"/>
            <w:tcBorders/>
            <w:shd w:fill="auto" w:val="clea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36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Michael P. Flaherty</w:t>
            </w:r>
          </w:p>
        </w:tc>
      </w:tr>
      <w:tr>
        <w:trPr/>
        <w:tc>
          <w:tcPr>
            <w:tcW w:w="285" w:type="dxa"/>
            <w:tcBorders/>
            <w:shd w:fill="auto" w:val="clea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36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Executive Vice President, General</w:t>
            </w:r>
          </w:p>
        </w:tc>
      </w:tr>
      <w:tr>
        <w:trPr/>
        <w:tc>
          <w:tcPr>
            <w:tcW w:w="285" w:type="dxa"/>
            <w:tcBorders/>
            <w:shd w:fill="auto" w:val="clea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36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Counsel, and Chief Administrative Officer</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3"/>
        <w:gridCol w:w="306"/>
        <w:gridCol w:w="9696"/>
      </w:tblGrid>
      <w:tr>
        <w:trPr/>
        <w:tc>
          <w:tcPr>
            <w:tcW w:w="20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9696"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rFonts w:ascii="Times New Roman" w:hAnsi="Times New Roman"/>
                <w:sz w:val="20"/>
              </w:rPr>
            </w:pPr>
            <w:r>
              <w:rPr>
                <w:rFonts w:ascii="Times New Roman" w:hAnsi="Times New Roman"/>
                <w:sz w:val="20"/>
              </w:rPr>
              <w:t>cc:</w:t>
            </w:r>
          </w:p>
        </w:tc>
        <w:tc>
          <w:tcPr>
            <w:tcW w:w="306" w:type="dxa"/>
            <w:tcBorders/>
            <w:shd w:fill="auto" w:val="clear"/>
            <w:vAlign w:val="bottom"/>
          </w:tcPr>
          <w:p>
            <w:pPr>
              <w:pStyle w:val="TableContents"/>
              <w:spacing w:before="0" w:after="283"/>
              <w:rPr/>
            </w:pPr>
            <w:r>
              <w:rPr/>
              <w:t>  </w:t>
            </w:r>
          </w:p>
        </w:tc>
        <w:tc>
          <w:tcPr>
            <w:tcW w:w="96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Ryan Houseal, Securities and Exchange Commission</w:t>
            </w:r>
          </w:p>
        </w:tc>
      </w:tr>
      <w:tr>
        <w:trPr/>
        <w:tc>
          <w:tcPr>
            <w:tcW w:w="203" w:type="dxa"/>
            <w:tcBorders/>
            <w:shd w:fill="auto" w:val="clea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pPr>
            <w:r>
              <w:rPr/>
              <w:t>  </w:t>
            </w:r>
          </w:p>
        </w:tc>
        <w:tc>
          <w:tcPr>
            <w:tcW w:w="96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Christopher R. Johnson, Miles &amp; Stockbridge P.C.</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256</Words>
  <CharactersWithSpaces>1633</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Correspondence</dc:title>
</cp:coreProperties>
</file>