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u w:val="single" w:color="auto"/>
          <w:color w:val="0E32E1"/>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wp:posOffset>
            </wp:positionH>
            <wp:positionV relativeFrom="paragraph">
              <wp:posOffset>335280</wp:posOffset>
            </wp:positionV>
            <wp:extent cx="67722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wp:posOffset>
            </wp:positionH>
            <wp:positionV relativeFrom="paragraph">
              <wp:posOffset>14605</wp:posOffset>
            </wp:positionV>
            <wp:extent cx="67722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5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307"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30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148"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7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Commission file number: 001-08443</w:t>
      </w:r>
    </w:p>
    <w:p>
      <w:pPr>
        <w:spacing w:after="0" w:line="169"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TELOS CORPORATION</w:t>
      </w:r>
    </w:p>
    <w:p>
      <w:pPr>
        <w:spacing w:after="0" w:line="6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124" w:lineRule="exact"/>
        <w:rPr>
          <w:sz w:val="24"/>
          <w:szCs w:val="24"/>
          <w:color w:val="auto"/>
        </w:rPr>
      </w:pPr>
    </w:p>
    <w:tbl>
      <w:tblPr>
        <w:tblLayout w:type="fixed"/>
        <w:tblInd w:w="480" w:type="dxa"/>
        <w:tblCellMar>
          <w:top w:w="0" w:type="dxa"/>
          <w:left w:w="0" w:type="dxa"/>
          <w:bottom w:w="0" w:type="dxa"/>
          <w:right w:w="0" w:type="dxa"/>
        </w:tblCellMar>
      </w:tblPr>
      <w:tr>
        <w:trPr>
          <w:trHeight w:val="233"/>
        </w:trPr>
        <w:tc>
          <w:tcPr>
            <w:tcW w:w="5360" w:type="dxa"/>
            <w:vAlign w:val="bottom"/>
          </w:tcPr>
          <w:p>
            <w:pPr>
              <w:jc w:val="center"/>
              <w:ind w:right="970"/>
              <w:spacing w:after="0"/>
              <w:rPr>
                <w:sz w:val="20"/>
                <w:szCs w:val="20"/>
                <w:color w:val="auto"/>
              </w:rPr>
            </w:pPr>
            <w:r>
              <w:rPr>
                <w:rFonts w:ascii="Arial" w:cs="Arial" w:eastAsia="Arial" w:hAnsi="Arial"/>
                <w:sz w:val="18"/>
                <w:szCs w:val="18"/>
                <w:b w:val="1"/>
                <w:bCs w:val="1"/>
                <w:color w:val="auto"/>
                <w:w w:val="98"/>
              </w:rPr>
              <w:t>Maryland</w:t>
            </w:r>
          </w:p>
        </w:tc>
        <w:tc>
          <w:tcPr>
            <w:tcW w:w="3660" w:type="dxa"/>
            <w:vAlign w:val="bottom"/>
          </w:tcPr>
          <w:p>
            <w:pPr>
              <w:jc w:val="center"/>
              <w:ind w:left="970"/>
              <w:spacing w:after="0"/>
              <w:rPr>
                <w:sz w:val="20"/>
                <w:szCs w:val="20"/>
                <w:color w:val="auto"/>
              </w:rPr>
            </w:pPr>
            <w:r>
              <w:rPr>
                <w:rFonts w:ascii="Arial" w:cs="Arial" w:eastAsia="Arial" w:hAnsi="Arial"/>
                <w:sz w:val="18"/>
                <w:szCs w:val="18"/>
                <w:b w:val="1"/>
                <w:bCs w:val="1"/>
                <w:color w:val="auto"/>
                <w:w w:val="91"/>
              </w:rPr>
              <w:t>52-0880974</w:t>
            </w:r>
          </w:p>
        </w:tc>
      </w:tr>
      <w:tr>
        <w:trPr>
          <w:trHeight w:val="230"/>
        </w:trPr>
        <w:tc>
          <w:tcPr>
            <w:tcW w:w="5360" w:type="dxa"/>
            <w:vAlign w:val="bottom"/>
          </w:tcPr>
          <w:p>
            <w:pPr>
              <w:jc w:val="center"/>
              <w:ind w:right="97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60" w:type="dxa"/>
            <w:vAlign w:val="bottom"/>
          </w:tcPr>
          <w:p>
            <w:pPr>
              <w:jc w:val="center"/>
              <w:ind w:left="950"/>
              <w:spacing w:after="0"/>
              <w:rPr>
                <w:sz w:val="20"/>
                <w:szCs w:val="20"/>
                <w:color w:val="auto"/>
              </w:rPr>
            </w:pPr>
            <w:r>
              <w:rPr>
                <w:rFonts w:ascii="Arial" w:cs="Arial" w:eastAsia="Arial" w:hAnsi="Arial"/>
                <w:sz w:val="18"/>
                <w:szCs w:val="18"/>
                <w:color w:val="auto"/>
                <w:w w:val="94"/>
              </w:rPr>
              <w:t>(I.R.S. Employer Identification No.)</w:t>
            </w:r>
          </w:p>
        </w:tc>
      </w:tr>
      <w:tr>
        <w:trPr>
          <w:trHeight w:val="283"/>
        </w:trPr>
        <w:tc>
          <w:tcPr>
            <w:tcW w:w="5360" w:type="dxa"/>
            <w:vAlign w:val="bottom"/>
          </w:tcPr>
          <w:p>
            <w:pPr>
              <w:jc w:val="center"/>
              <w:ind w:right="990"/>
              <w:spacing w:after="0"/>
              <w:rPr>
                <w:sz w:val="20"/>
                <w:szCs w:val="20"/>
                <w:color w:val="auto"/>
              </w:rPr>
            </w:pPr>
            <w:r>
              <w:rPr>
                <w:rFonts w:ascii="Arial" w:cs="Arial" w:eastAsia="Arial" w:hAnsi="Arial"/>
                <w:sz w:val="18"/>
                <w:szCs w:val="18"/>
                <w:b w:val="1"/>
                <w:bCs w:val="1"/>
                <w:color w:val="auto"/>
                <w:w w:val="91"/>
              </w:rPr>
              <w:t>19886 Ashburn Road, Ashburn, Virginia</w:t>
            </w:r>
          </w:p>
        </w:tc>
        <w:tc>
          <w:tcPr>
            <w:tcW w:w="3660" w:type="dxa"/>
            <w:vAlign w:val="bottom"/>
          </w:tcPr>
          <w:p>
            <w:pPr>
              <w:jc w:val="center"/>
              <w:ind w:left="970"/>
              <w:spacing w:after="0"/>
              <w:rPr>
                <w:sz w:val="20"/>
                <w:szCs w:val="20"/>
                <w:color w:val="auto"/>
              </w:rPr>
            </w:pPr>
            <w:r>
              <w:rPr>
                <w:rFonts w:ascii="Arial" w:cs="Arial" w:eastAsia="Arial" w:hAnsi="Arial"/>
                <w:sz w:val="18"/>
                <w:szCs w:val="18"/>
                <w:b w:val="1"/>
                <w:bCs w:val="1"/>
                <w:color w:val="auto"/>
                <w:w w:val="91"/>
              </w:rPr>
              <w:t>20147-2358</w:t>
            </w:r>
          </w:p>
        </w:tc>
      </w:tr>
      <w:tr>
        <w:trPr>
          <w:trHeight w:val="230"/>
        </w:trPr>
        <w:tc>
          <w:tcPr>
            <w:tcW w:w="5360" w:type="dxa"/>
            <w:vAlign w:val="bottom"/>
          </w:tcPr>
          <w:p>
            <w:pPr>
              <w:jc w:val="center"/>
              <w:ind w:right="970"/>
              <w:spacing w:after="0"/>
              <w:rPr>
                <w:sz w:val="20"/>
                <w:szCs w:val="20"/>
                <w:color w:val="auto"/>
              </w:rPr>
            </w:pPr>
            <w:r>
              <w:rPr>
                <w:rFonts w:ascii="Arial" w:cs="Arial" w:eastAsia="Arial" w:hAnsi="Arial"/>
                <w:sz w:val="18"/>
                <w:szCs w:val="18"/>
                <w:color w:val="auto"/>
                <w:w w:val="92"/>
              </w:rPr>
              <w:t>(Address of principal executive offices)</w:t>
            </w:r>
          </w:p>
        </w:tc>
        <w:tc>
          <w:tcPr>
            <w:tcW w:w="3660" w:type="dxa"/>
            <w:vAlign w:val="bottom"/>
          </w:tcPr>
          <w:p>
            <w:pPr>
              <w:jc w:val="center"/>
              <w:ind w:left="970"/>
              <w:spacing w:after="0"/>
              <w:rPr>
                <w:sz w:val="20"/>
                <w:szCs w:val="20"/>
                <w:color w:val="auto"/>
              </w:rPr>
            </w:pPr>
            <w:r>
              <w:rPr>
                <w:rFonts w:ascii="Arial" w:cs="Arial" w:eastAsia="Arial" w:hAnsi="Arial"/>
                <w:sz w:val="18"/>
                <w:szCs w:val="18"/>
                <w:color w:val="auto"/>
                <w:w w:val="94"/>
              </w:rPr>
              <w:t>(Zip Code)</w:t>
            </w:r>
          </w:p>
        </w:tc>
      </w:tr>
    </w:tbl>
    <w:p>
      <w:pPr>
        <w:spacing w:after="0" w:line="23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(703) 724-3800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60"/>
          </w:cols>
          <w:pgMar w:left="320" w:top="238" w:right="419" w:bottom="1440" w:gutter="0" w:footer="0" w:header="0"/>
        </w:sectPr>
      </w:pPr>
    </w:p>
    <w:p>
      <w:pPr>
        <w:spacing w:after="0" w:line="144" w:lineRule="exact"/>
        <w:rPr>
          <w:sz w:val="24"/>
          <w:szCs w:val="24"/>
          <w:color w:val="auto"/>
        </w:rPr>
      </w:pPr>
    </w:p>
    <w:p>
      <w:pPr>
        <w:jc w:val="center"/>
        <w:ind w:left="2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ind w:left="20"/>
        <w:spacing w:after="0"/>
        <w:rPr>
          <w:sz w:val="20"/>
          <w:szCs w:val="20"/>
          <w:color w:val="auto"/>
        </w:rPr>
      </w:pPr>
      <w:r>
        <w:rPr>
          <w:rFonts w:ascii="Arial" w:cs="Arial" w:eastAsia="Arial" w:hAnsi="Arial"/>
          <w:sz w:val="16"/>
          <w:szCs w:val="16"/>
          <w:color w:val="auto"/>
        </w:rPr>
        <w:t>Common stock, $0.001 par value per share</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300"/>
        <w:spacing w:after="0"/>
        <w:rPr>
          <w:sz w:val="20"/>
          <w:szCs w:val="20"/>
          <w:color w:val="auto"/>
        </w:rPr>
      </w:pPr>
      <w:r>
        <w:rPr>
          <w:rFonts w:ascii="Arial" w:cs="Arial" w:eastAsia="Arial" w:hAnsi="Arial"/>
          <w:sz w:val="16"/>
          <w:szCs w:val="16"/>
          <w:color w:val="auto"/>
        </w:rPr>
        <w:t>Trading symbol</w:t>
      </w:r>
    </w:p>
    <w:p>
      <w:pPr>
        <w:spacing w:after="0" w:line="46" w:lineRule="exact"/>
        <w:rPr>
          <w:sz w:val="24"/>
          <w:szCs w:val="24"/>
          <w:color w:val="auto"/>
        </w:rPr>
      </w:pPr>
    </w:p>
    <w:p>
      <w:pPr>
        <w:jc w:val="center"/>
        <w:ind w:right="300"/>
        <w:spacing w:after="0"/>
        <w:rPr>
          <w:sz w:val="20"/>
          <w:szCs w:val="20"/>
          <w:color w:val="auto"/>
        </w:rPr>
      </w:pPr>
      <w:r>
        <w:rPr>
          <w:rFonts w:ascii="Arial" w:cs="Arial" w:eastAsia="Arial" w:hAnsi="Arial"/>
          <w:sz w:val="18"/>
          <w:szCs w:val="18"/>
          <w:color w:val="auto"/>
        </w:rPr>
        <w:t>TLS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1020"/>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jc w:val="center"/>
        <w:ind w:right="102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060" w:space="720"/>
            <w:col w:w="1440" w:space="720"/>
            <w:col w:w="4220"/>
          </w:cols>
          <w:pgMar w:left="320" w:top="238" w:right="419" w:bottom="1440" w:gutter="0" w:footer="0" w:header="0"/>
          <w:type w:val="continuous"/>
        </w:sectPr>
      </w:pPr>
    </w:p>
    <w:p>
      <w:pPr>
        <w:spacing w:after="0" w:line="24" w:lineRule="exact"/>
        <w:rPr>
          <w:sz w:val="24"/>
          <w:szCs w:val="24"/>
          <w:color w:val="auto"/>
        </w:rPr>
      </w:pPr>
    </w:p>
    <w:p>
      <w:pPr>
        <w:ind w:right="2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ind w:right="2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74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4420" w:type="dxa"/>
            <w:vAlign w:val="bottom"/>
          </w:tcPr>
          <w:p>
            <w:pPr>
              <w:ind w:left="198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274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4420" w:type="dxa"/>
            <w:vAlign w:val="bottom"/>
          </w:tcPr>
          <w:p>
            <w:pPr>
              <w:ind w:left="198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420" w:type="dxa"/>
            <w:vAlign w:val="bottom"/>
          </w:tcPr>
          <w:p>
            <w:pPr>
              <w:ind w:left="198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9" w:lineRule="exact"/>
        <w:rPr>
          <w:sz w:val="24"/>
          <w:szCs w:val="24"/>
          <w:color w:val="auto"/>
        </w:rPr>
      </w:pPr>
    </w:p>
    <w:p>
      <w:pPr>
        <w:ind w:right="1720"/>
        <w:spacing w:after="0" w:line="326"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November 4, 2022, the registrant had outstanding 67,210,624 shares of 1common stock</w:t>
      </w:r>
      <w:r>
        <w:rPr>
          <w:rFonts w:ascii="Arial" w:cs="Arial" w:eastAsia="Arial" w:hAnsi="Arial"/>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50165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38" w:right="4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u w:val="single" w:color="auto"/>
          <w:color w:val="0E32E1"/>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 to Third Quarter 2022 Form 10-Q</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0000FF"/>
            </w:tcBorders>
            <w:gridSpan w:val="12"/>
            <w:shd w:val="clear" w:color="auto" w:fill="CCEEFF"/>
          </w:tcPr>
          <w:p>
            <w:pPr>
              <w:spacing w:after="0"/>
              <w:rPr>
                <w:sz w:val="20"/>
                <w:szCs w:val="20"/>
                <w:color w:val="auto"/>
              </w:rPr>
            </w:pPr>
            <w:r>
              <w:rPr>
                <w:rFonts w:ascii="Arial" w:cs="Arial" w:eastAsia="Arial" w:hAnsi="Arial"/>
                <w:sz w:val="16"/>
                <w:szCs w:val="16"/>
                <w:color w:val="0000FF"/>
                <w:w w:val="94"/>
              </w:rPr>
              <w:t>Part I - Financial Information</w:t>
            </w:r>
          </w:p>
        </w:tc>
        <w:tc>
          <w:tcPr>
            <w:tcW w:w="6900" w:type="dxa"/>
            <w:vAlign w:val="bottom"/>
            <w:tcBorders>
              <w:bottom w:val="single" w:sz="8" w:color="CCEEFF"/>
            </w:tcBorders>
            <w:gridSpan w:val="40"/>
            <w:shd w:val="clear" w:color="auto" w:fill="CCEEFF"/>
          </w:tcPr>
          <w:p>
            <w:pPr>
              <w:spacing w:after="0"/>
              <w:rPr>
                <w:sz w:val="17"/>
                <w:szCs w:val="17"/>
                <w:color w:val="auto"/>
              </w:rPr>
            </w:pPr>
          </w:p>
        </w:tc>
        <w:tc>
          <w:tcPr>
            <w:tcW w:w="2080" w:type="dxa"/>
            <w:vAlign w:val="bottom"/>
            <w:tcBorders>
              <w:bottom w:val="single" w:sz="8" w:color="CCEEFF"/>
            </w:tcBorders>
            <w:gridSpan w:val="3"/>
            <w:shd w:val="clear" w:color="auto" w:fill="CCEEFF"/>
          </w:tcPr>
          <w:p>
            <w:pPr>
              <w:spacing w:after="0"/>
              <w:rPr>
                <w:sz w:val="17"/>
                <w:szCs w:val="17"/>
                <w:color w:val="auto"/>
              </w:rPr>
            </w:pPr>
          </w:p>
        </w:tc>
        <w:tc>
          <w:tcPr>
            <w:tcW w:w="80" w:type="dxa"/>
            <w:vAlign w:val="bottom"/>
            <w:tcBorders>
              <w:bottom w:val="single" w:sz="8" w:color="0000FF"/>
            </w:tcBorders>
            <w:shd w:val="clear" w:color="auto" w:fill="CCEEFF"/>
          </w:tcPr>
          <w:p>
            <w:pPr>
              <w:jc w:val="right"/>
              <w:spacing w:after="0"/>
              <w:rPr>
                <w:sz w:val="20"/>
                <w:szCs w:val="20"/>
                <w:color w:val="auto"/>
              </w:rPr>
            </w:pPr>
            <w:r>
              <w:rPr>
                <w:rFonts w:ascii="Arial" w:cs="Arial" w:eastAsia="Arial" w:hAnsi="Arial"/>
                <w:sz w:val="15"/>
                <w:szCs w:val="15"/>
                <w:color w:val="0000FF"/>
                <w:w w:val="71"/>
              </w:rPr>
              <w:t>3</w:t>
            </w:r>
          </w:p>
        </w:tc>
        <w:tc>
          <w:tcPr>
            <w:tcW w:w="240" w:type="dxa"/>
            <w:vAlign w:val="bottom"/>
            <w:tcBorders>
              <w:bottom w:val="single" w:sz="8" w:color="CCEEFF"/>
            </w:tcBorders>
            <w:shd w:val="clear" w:color="auto" w:fill="CCEEFF"/>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tcPr>
          <w:p>
            <w:pPr>
              <w:spacing w:after="0" w:line="175" w:lineRule="exact"/>
              <w:rPr>
                <w:sz w:val="20"/>
                <w:szCs w:val="20"/>
                <w:color w:val="auto"/>
              </w:rPr>
            </w:pPr>
            <w:r>
              <w:rPr>
                <w:rFonts w:ascii="Arial" w:cs="Arial" w:eastAsia="Arial" w:hAnsi="Arial"/>
                <w:sz w:val="16"/>
                <w:szCs w:val="16"/>
                <w:color w:val="0000FF"/>
              </w:rPr>
              <w:t>Item 1.</w:t>
            </w:r>
          </w:p>
        </w:tc>
        <w:tc>
          <w:tcPr>
            <w:tcW w:w="7820" w:type="dxa"/>
            <w:vAlign w:val="bottom"/>
            <w:gridSpan w:val="48"/>
          </w:tcPr>
          <w:p>
            <w:pPr>
              <w:spacing w:after="0" w:line="175" w:lineRule="exact"/>
              <w:rPr>
                <w:sz w:val="20"/>
                <w:szCs w:val="20"/>
                <w:color w:val="auto"/>
              </w:rPr>
            </w:pPr>
            <w:r>
              <w:rPr>
                <w:rFonts w:ascii="Arial" w:cs="Arial" w:eastAsia="Arial" w:hAnsi="Arial"/>
                <w:sz w:val="16"/>
                <w:szCs w:val="16"/>
                <w:color w:val="0000FF"/>
              </w:rPr>
              <w:t>Financial Statements</w:t>
            </w:r>
          </w:p>
        </w:tc>
        <w:tc>
          <w:tcPr>
            <w:tcW w:w="2160" w:type="dxa"/>
            <w:vAlign w:val="bottom"/>
            <w:gridSpan w:val="4"/>
          </w:tcPr>
          <w:p>
            <w:pPr>
              <w:jc w:val="right"/>
              <w:spacing w:after="0" w:line="175" w:lineRule="exact"/>
              <w:rPr>
                <w:sz w:val="20"/>
                <w:szCs w:val="20"/>
                <w:color w:val="auto"/>
              </w:rPr>
            </w:pPr>
            <w:r>
              <w:rPr>
                <w:rFonts w:ascii="Arial" w:cs="Arial" w:eastAsia="Arial" w:hAnsi="Arial"/>
                <w:sz w:val="16"/>
                <w:szCs w:val="16"/>
                <w:color w:val="0000FF"/>
              </w:rPr>
              <w:t>3</w:t>
            </w:r>
          </w:p>
        </w:tc>
        <w:tc>
          <w:tcPr>
            <w:tcW w:w="240" w:type="dxa"/>
            <w:vAlign w:val="bottom"/>
          </w:tcPr>
          <w:p>
            <w:pPr>
              <w:spacing w:after="0"/>
              <w:rPr>
                <w:sz w:val="15"/>
                <w:szCs w:val="15"/>
                <w:color w:val="auto"/>
              </w:rPr>
            </w:pPr>
          </w:p>
        </w:tc>
      </w:tr>
      <w:tr>
        <w:trPr>
          <w:trHeight w:val="21"/>
        </w:trPr>
        <w:tc>
          <w:tcPr>
            <w:tcW w:w="140" w:type="dxa"/>
            <w:vAlign w:val="bottom"/>
            <w:gridSpan w:val="2"/>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60" w:type="dxa"/>
            <w:vAlign w:val="bottom"/>
            <w:tcBorders>
              <w:top w:val="single" w:sz="8" w:color="0000FF"/>
            </w:tcBorders>
            <w:gridSpan w:val="15"/>
          </w:tcPr>
          <w:p>
            <w:pPr>
              <w:spacing w:after="0" w:line="20" w:lineRule="exact"/>
              <w:rPr>
                <w:sz w:val="1"/>
                <w:szCs w:val="1"/>
                <w:color w:val="auto"/>
              </w:rPr>
            </w:pPr>
          </w:p>
        </w:tc>
        <w:tc>
          <w:tcPr>
            <w:tcW w:w="8540" w:type="dxa"/>
            <w:vAlign w:val="bottom"/>
            <w:gridSpan w:val="36"/>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700" w:type="dxa"/>
            <w:vAlign w:val="bottom"/>
            <w:gridSpan w:val="47"/>
            <w:shd w:val="clear" w:color="auto" w:fill="CCEEFF"/>
          </w:tcPr>
          <w:p>
            <w:pPr>
              <w:spacing w:after="0" w:line="175" w:lineRule="exact"/>
              <w:rPr>
                <w:sz w:val="20"/>
                <w:szCs w:val="20"/>
                <w:color w:val="auto"/>
              </w:rPr>
            </w:pPr>
            <w:r>
              <w:rPr>
                <w:rFonts w:ascii="Arial" w:cs="Arial" w:eastAsia="Arial" w:hAnsi="Arial"/>
                <w:sz w:val="16"/>
                <w:szCs w:val="16"/>
                <w:color w:val="0000FF"/>
              </w:rPr>
              <w:t>Consolidated Statements of Operations</w:t>
            </w:r>
          </w:p>
        </w:tc>
        <w:tc>
          <w:tcPr>
            <w:tcW w:w="2160" w:type="dxa"/>
            <w:vAlign w:val="bottom"/>
            <w:gridSpan w:val="4"/>
            <w:shd w:val="clear" w:color="auto" w:fill="CCEEFF"/>
          </w:tcPr>
          <w:p>
            <w:pPr>
              <w:jc w:val="right"/>
              <w:spacing w:after="0" w:line="175" w:lineRule="exact"/>
              <w:rPr>
                <w:sz w:val="20"/>
                <w:szCs w:val="20"/>
                <w:color w:val="auto"/>
              </w:rPr>
            </w:pPr>
            <w:r>
              <w:rPr>
                <w:rFonts w:ascii="Arial" w:cs="Arial" w:eastAsia="Arial" w:hAnsi="Arial"/>
                <w:sz w:val="16"/>
                <w:szCs w:val="16"/>
                <w:color w:val="0000FF"/>
              </w:rPr>
              <w:t>3</w:t>
            </w:r>
          </w:p>
        </w:tc>
        <w:tc>
          <w:tcPr>
            <w:tcW w:w="240" w:type="dxa"/>
            <w:vAlign w:val="bottom"/>
            <w:shd w:val="clear" w:color="auto" w:fill="CCEEFF"/>
          </w:tcPr>
          <w:p>
            <w:pPr>
              <w:spacing w:after="0"/>
              <w:rPr>
                <w:sz w:val="15"/>
                <w:szCs w:val="15"/>
                <w:color w:val="auto"/>
              </w:rPr>
            </w:pPr>
          </w:p>
        </w:tc>
      </w:tr>
      <w:tr>
        <w:trPr>
          <w:trHeight w:val="21"/>
        </w:trPr>
        <w:tc>
          <w:tcPr>
            <w:tcW w:w="1140" w:type="dxa"/>
            <w:vAlign w:val="bottom"/>
            <w:tcBorders>
              <w:top w:val="single" w:sz="8" w:color="CCEEFF"/>
            </w:tcBorders>
            <w:gridSpan w:val="6"/>
            <w:shd w:val="clear" w:color="auto" w:fill="CCEEFF"/>
          </w:tcPr>
          <w:p>
            <w:pPr>
              <w:spacing w:after="0" w:line="20" w:lineRule="exact"/>
              <w:rPr>
                <w:sz w:val="1"/>
                <w:szCs w:val="1"/>
                <w:color w:val="auto"/>
              </w:rPr>
            </w:pPr>
          </w:p>
        </w:tc>
        <w:tc>
          <w:tcPr>
            <w:tcW w:w="2520" w:type="dxa"/>
            <w:vAlign w:val="bottom"/>
            <w:tcBorders>
              <w:top w:val="single" w:sz="8" w:color="0000FF"/>
            </w:tcBorders>
            <w:gridSpan w:val="33"/>
            <w:shd w:val="clear" w:color="auto" w:fill="CCEEFF"/>
          </w:tcPr>
          <w:p>
            <w:pPr>
              <w:spacing w:after="0" w:line="20" w:lineRule="exact"/>
              <w:rPr>
                <w:sz w:val="1"/>
                <w:szCs w:val="1"/>
                <w:color w:val="auto"/>
              </w:rPr>
            </w:pPr>
          </w:p>
        </w:tc>
        <w:tc>
          <w:tcPr>
            <w:tcW w:w="7260" w:type="dxa"/>
            <w:vAlign w:val="bottom"/>
            <w:tcBorders>
              <w:top w:val="single" w:sz="8" w:color="CCEEFF"/>
            </w:tcBorders>
            <w:gridSpan w:val="17"/>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700" w:type="dxa"/>
            <w:vAlign w:val="bottom"/>
            <w:gridSpan w:val="47"/>
          </w:tcPr>
          <w:p>
            <w:pPr>
              <w:spacing w:after="0" w:line="175" w:lineRule="exact"/>
              <w:rPr>
                <w:sz w:val="20"/>
                <w:szCs w:val="20"/>
                <w:color w:val="auto"/>
              </w:rPr>
            </w:pPr>
            <w:r>
              <w:rPr>
                <w:rFonts w:ascii="Arial" w:cs="Arial" w:eastAsia="Arial" w:hAnsi="Arial"/>
                <w:sz w:val="16"/>
                <w:szCs w:val="16"/>
                <w:color w:val="0000FF"/>
              </w:rPr>
              <w:t>Consolidated Statements of Comprehensive Loss</w:t>
            </w:r>
          </w:p>
        </w:tc>
        <w:tc>
          <w:tcPr>
            <w:tcW w:w="2160" w:type="dxa"/>
            <w:vAlign w:val="bottom"/>
            <w:gridSpan w:val="4"/>
          </w:tcPr>
          <w:p>
            <w:pPr>
              <w:jc w:val="right"/>
              <w:spacing w:after="0" w:line="175" w:lineRule="exact"/>
              <w:rPr>
                <w:sz w:val="20"/>
                <w:szCs w:val="20"/>
                <w:color w:val="auto"/>
              </w:rPr>
            </w:pPr>
            <w:r>
              <w:rPr>
                <w:rFonts w:ascii="Arial" w:cs="Arial" w:eastAsia="Arial" w:hAnsi="Arial"/>
                <w:sz w:val="16"/>
                <w:szCs w:val="16"/>
                <w:color w:val="0000FF"/>
              </w:rPr>
              <w:t>4</w:t>
            </w:r>
          </w:p>
        </w:tc>
        <w:tc>
          <w:tcPr>
            <w:tcW w:w="240" w:type="dxa"/>
            <w:vAlign w:val="bottom"/>
          </w:tcPr>
          <w:p>
            <w:pPr>
              <w:spacing w:after="0"/>
              <w:rPr>
                <w:sz w:val="15"/>
                <w:szCs w:val="15"/>
                <w:color w:val="auto"/>
              </w:rPr>
            </w:pPr>
          </w:p>
        </w:tc>
      </w:tr>
      <w:tr>
        <w:trPr>
          <w:trHeight w:val="20"/>
        </w:trPr>
        <w:tc>
          <w:tcPr>
            <w:tcW w:w="1140" w:type="dxa"/>
            <w:vAlign w:val="bottom"/>
            <w:gridSpan w:val="6"/>
          </w:tcPr>
          <w:p>
            <w:pPr>
              <w:spacing w:after="0" w:line="20" w:lineRule="exact"/>
              <w:rPr>
                <w:sz w:val="1"/>
                <w:szCs w:val="1"/>
                <w:color w:val="auto"/>
              </w:rPr>
            </w:pPr>
          </w:p>
        </w:tc>
        <w:tc>
          <w:tcPr>
            <w:tcW w:w="3180" w:type="dxa"/>
            <w:vAlign w:val="bottom"/>
            <w:tcBorders>
              <w:top w:val="single" w:sz="8" w:color="0000FF"/>
            </w:tcBorders>
            <w:gridSpan w:val="39"/>
          </w:tcPr>
          <w:p>
            <w:pPr>
              <w:spacing w:after="0" w:line="20" w:lineRule="exact"/>
              <w:rPr>
                <w:sz w:val="1"/>
                <w:szCs w:val="1"/>
                <w:color w:val="auto"/>
              </w:rPr>
            </w:pPr>
          </w:p>
        </w:tc>
        <w:tc>
          <w:tcPr>
            <w:tcW w:w="6600" w:type="dxa"/>
            <w:vAlign w:val="bottom"/>
            <w:gridSpan w:val="11"/>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0000FF"/>
            </w:tcBorders>
            <w:gridSpan w:val="24"/>
            <w:shd w:val="clear" w:color="auto" w:fill="CCEEFF"/>
          </w:tcPr>
          <w:p>
            <w:pPr>
              <w:spacing w:after="0" w:line="175" w:lineRule="exact"/>
              <w:rPr>
                <w:sz w:val="20"/>
                <w:szCs w:val="20"/>
                <w:color w:val="auto"/>
              </w:rPr>
            </w:pPr>
            <w:r>
              <w:rPr>
                <w:rFonts w:ascii="Arial" w:cs="Arial" w:eastAsia="Arial" w:hAnsi="Arial"/>
                <w:sz w:val="16"/>
                <w:szCs w:val="16"/>
                <w:color w:val="0000FF"/>
                <w:w w:val="88"/>
              </w:rPr>
              <w:t>Consolidated Balance Sheets</w:t>
            </w:r>
          </w:p>
        </w:tc>
        <w:tc>
          <w:tcPr>
            <w:tcW w:w="5820" w:type="dxa"/>
            <w:vAlign w:val="bottom"/>
            <w:tcBorders>
              <w:bottom w:val="single" w:sz="8" w:color="CCEEFF"/>
            </w:tcBorders>
            <w:gridSpan w:val="23"/>
            <w:shd w:val="clear" w:color="auto" w:fill="CCEEFF"/>
          </w:tcPr>
          <w:p>
            <w:pPr>
              <w:spacing w:after="0"/>
              <w:rPr>
                <w:sz w:val="17"/>
                <w:szCs w:val="17"/>
                <w:color w:val="auto"/>
              </w:rPr>
            </w:pPr>
          </w:p>
        </w:tc>
        <w:tc>
          <w:tcPr>
            <w:tcW w:w="2080" w:type="dxa"/>
            <w:vAlign w:val="bottom"/>
            <w:tcBorders>
              <w:bottom w:val="single" w:sz="8" w:color="CCEEFF"/>
            </w:tcBorders>
            <w:gridSpan w:val="3"/>
            <w:shd w:val="clear" w:color="auto" w:fill="CCEEFF"/>
          </w:tcPr>
          <w:p>
            <w:pPr>
              <w:spacing w:after="0"/>
              <w:rPr>
                <w:sz w:val="17"/>
                <w:szCs w:val="17"/>
                <w:color w:val="auto"/>
              </w:rPr>
            </w:pPr>
          </w:p>
        </w:tc>
        <w:tc>
          <w:tcPr>
            <w:tcW w:w="80" w:type="dxa"/>
            <w:vAlign w:val="bottom"/>
            <w:tcBorders>
              <w:bottom w:val="single" w:sz="8" w:color="0000FF"/>
            </w:tcBorders>
            <w:shd w:val="clear" w:color="auto" w:fill="CCEEFF"/>
          </w:tcPr>
          <w:p>
            <w:pPr>
              <w:jc w:val="right"/>
              <w:spacing w:after="0"/>
              <w:rPr>
                <w:sz w:val="20"/>
                <w:szCs w:val="20"/>
                <w:color w:val="auto"/>
              </w:rPr>
            </w:pPr>
            <w:r>
              <w:rPr>
                <w:rFonts w:ascii="Arial" w:cs="Arial" w:eastAsia="Arial" w:hAnsi="Arial"/>
                <w:sz w:val="15"/>
                <w:szCs w:val="15"/>
                <w:color w:val="0000FF"/>
                <w:w w:val="71"/>
              </w:rPr>
              <w:t>5</w:t>
            </w:r>
          </w:p>
        </w:tc>
        <w:tc>
          <w:tcPr>
            <w:tcW w:w="240" w:type="dxa"/>
            <w:vAlign w:val="bottom"/>
            <w:tcBorders>
              <w:bottom w:val="single" w:sz="8" w:color="CCEEFF"/>
            </w:tcBorders>
            <w:shd w:val="clear" w:color="auto" w:fill="CCEEFF"/>
          </w:tcPr>
          <w:p>
            <w:pPr>
              <w:spacing w:after="0"/>
              <w:rPr>
                <w:sz w:val="17"/>
                <w:szCs w:val="17"/>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700" w:type="dxa"/>
            <w:vAlign w:val="bottom"/>
            <w:gridSpan w:val="47"/>
          </w:tcPr>
          <w:p>
            <w:pPr>
              <w:spacing w:after="0" w:line="175" w:lineRule="exact"/>
              <w:rPr>
                <w:sz w:val="20"/>
                <w:szCs w:val="20"/>
                <w:color w:val="auto"/>
              </w:rPr>
            </w:pPr>
            <w:r>
              <w:rPr>
                <w:rFonts w:ascii="Arial" w:cs="Arial" w:eastAsia="Arial" w:hAnsi="Arial"/>
                <w:sz w:val="16"/>
                <w:szCs w:val="16"/>
                <w:color w:val="0000FF"/>
              </w:rPr>
              <w:t>Consolidated Statements of Cash Flows</w:t>
            </w:r>
          </w:p>
        </w:tc>
        <w:tc>
          <w:tcPr>
            <w:tcW w:w="2160" w:type="dxa"/>
            <w:vAlign w:val="bottom"/>
            <w:gridSpan w:val="4"/>
          </w:tcPr>
          <w:p>
            <w:pPr>
              <w:jc w:val="right"/>
              <w:spacing w:after="0" w:line="175" w:lineRule="exact"/>
              <w:rPr>
                <w:sz w:val="20"/>
                <w:szCs w:val="20"/>
                <w:color w:val="auto"/>
              </w:rPr>
            </w:pPr>
            <w:r>
              <w:rPr>
                <w:rFonts w:ascii="Arial" w:cs="Arial" w:eastAsia="Arial" w:hAnsi="Arial"/>
                <w:sz w:val="16"/>
                <w:szCs w:val="16"/>
                <w:color w:val="0000FF"/>
              </w:rPr>
              <w:t>6</w:t>
            </w:r>
          </w:p>
        </w:tc>
        <w:tc>
          <w:tcPr>
            <w:tcW w:w="240" w:type="dxa"/>
            <w:vAlign w:val="bottom"/>
          </w:tcPr>
          <w:p>
            <w:pPr>
              <w:spacing w:after="0"/>
              <w:rPr>
                <w:sz w:val="15"/>
                <w:szCs w:val="15"/>
                <w:color w:val="auto"/>
              </w:rPr>
            </w:pPr>
          </w:p>
        </w:tc>
      </w:tr>
      <w:tr>
        <w:trPr>
          <w:trHeight w:val="21"/>
        </w:trPr>
        <w:tc>
          <w:tcPr>
            <w:tcW w:w="1140" w:type="dxa"/>
            <w:vAlign w:val="bottom"/>
            <w:gridSpan w:val="6"/>
          </w:tcPr>
          <w:p>
            <w:pPr>
              <w:spacing w:after="0" w:line="20" w:lineRule="exact"/>
              <w:rPr>
                <w:sz w:val="1"/>
                <w:szCs w:val="1"/>
                <w:color w:val="auto"/>
              </w:rPr>
            </w:pPr>
          </w:p>
        </w:tc>
        <w:tc>
          <w:tcPr>
            <w:tcW w:w="2580" w:type="dxa"/>
            <w:vAlign w:val="bottom"/>
            <w:tcBorders>
              <w:top w:val="single" w:sz="8" w:color="0000FF"/>
            </w:tcBorders>
            <w:gridSpan w:val="34"/>
          </w:tcPr>
          <w:p>
            <w:pPr>
              <w:spacing w:after="0" w:line="20" w:lineRule="exact"/>
              <w:rPr>
                <w:sz w:val="1"/>
                <w:szCs w:val="1"/>
                <w:color w:val="auto"/>
              </w:rPr>
            </w:pPr>
          </w:p>
        </w:tc>
        <w:tc>
          <w:tcPr>
            <w:tcW w:w="7200" w:type="dxa"/>
            <w:vAlign w:val="bottom"/>
            <w:gridSpan w:val="16"/>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700" w:type="dxa"/>
            <w:vAlign w:val="bottom"/>
            <w:gridSpan w:val="47"/>
            <w:shd w:val="clear" w:color="auto" w:fill="CCEEFF"/>
          </w:tcPr>
          <w:p>
            <w:pPr>
              <w:spacing w:after="0" w:line="175" w:lineRule="exact"/>
              <w:rPr>
                <w:sz w:val="20"/>
                <w:szCs w:val="20"/>
                <w:color w:val="auto"/>
              </w:rPr>
            </w:pPr>
            <w:r>
              <w:rPr>
                <w:rFonts w:ascii="Arial" w:cs="Arial" w:eastAsia="Arial" w:hAnsi="Arial"/>
                <w:sz w:val="16"/>
                <w:szCs w:val="16"/>
                <w:color w:val="0000FF"/>
              </w:rPr>
              <w:t>Consolidated Statement of Changes in Stockholders' Equity</w:t>
            </w:r>
          </w:p>
        </w:tc>
        <w:tc>
          <w:tcPr>
            <w:tcW w:w="2160" w:type="dxa"/>
            <w:vAlign w:val="bottom"/>
            <w:gridSpan w:val="4"/>
            <w:shd w:val="clear" w:color="auto" w:fill="CCEEFF"/>
          </w:tcPr>
          <w:p>
            <w:pPr>
              <w:jc w:val="right"/>
              <w:spacing w:after="0" w:line="175" w:lineRule="exact"/>
              <w:rPr>
                <w:sz w:val="20"/>
                <w:szCs w:val="20"/>
                <w:color w:val="auto"/>
              </w:rPr>
            </w:pPr>
            <w:r>
              <w:rPr>
                <w:rFonts w:ascii="Arial" w:cs="Arial" w:eastAsia="Arial" w:hAnsi="Arial"/>
                <w:sz w:val="16"/>
                <w:szCs w:val="16"/>
                <w:color w:val="0000FF"/>
              </w:rPr>
              <w:t>7</w:t>
            </w:r>
          </w:p>
        </w:tc>
        <w:tc>
          <w:tcPr>
            <w:tcW w:w="240" w:type="dxa"/>
            <w:vAlign w:val="bottom"/>
            <w:shd w:val="clear" w:color="auto" w:fill="CCEEFF"/>
          </w:tcPr>
          <w:p>
            <w:pPr>
              <w:spacing w:after="0"/>
              <w:rPr>
                <w:sz w:val="17"/>
                <w:szCs w:val="17"/>
                <w:color w:val="auto"/>
              </w:rPr>
            </w:pPr>
          </w:p>
        </w:tc>
      </w:tr>
      <w:tr>
        <w:trPr>
          <w:trHeight w:val="175"/>
        </w:trPr>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860" w:type="dxa"/>
            <w:vAlign w:val="bottom"/>
            <w:tcBorders>
              <w:top w:val="single" w:sz="8" w:color="0000FF"/>
            </w:tcBorders>
            <w:gridSpan w:val="45"/>
          </w:tcPr>
          <w:p>
            <w:pPr>
              <w:spacing w:after="0" w:line="175" w:lineRule="exact"/>
              <w:rPr>
                <w:sz w:val="20"/>
                <w:szCs w:val="20"/>
                <w:color w:val="auto"/>
              </w:rPr>
            </w:pPr>
            <w:r>
              <w:rPr>
                <w:rFonts w:ascii="Arial" w:cs="Arial" w:eastAsia="Arial" w:hAnsi="Arial"/>
                <w:sz w:val="16"/>
                <w:szCs w:val="16"/>
                <w:color w:val="0000FF"/>
              </w:rPr>
              <w:t>Notes to the Consolidated Financial Statements</w:t>
            </w:r>
          </w:p>
        </w:tc>
        <w:tc>
          <w:tcPr>
            <w:tcW w:w="3840" w:type="dxa"/>
            <w:vAlign w:val="bottom"/>
            <w:tcBorders>
              <w:top w:val="single" w:sz="8" w:color="CCEEFF"/>
            </w:tcBorders>
            <w:gridSpan w:val="2"/>
          </w:tcPr>
          <w:p>
            <w:pPr>
              <w:spacing w:after="0"/>
              <w:rPr>
                <w:sz w:val="15"/>
                <w:szCs w:val="15"/>
                <w:color w:val="auto"/>
              </w:rPr>
            </w:pPr>
          </w:p>
        </w:tc>
        <w:tc>
          <w:tcPr>
            <w:tcW w:w="2080" w:type="dxa"/>
            <w:vAlign w:val="bottom"/>
            <w:tcBorders>
              <w:top w:val="single" w:sz="8" w:color="CCEEFF"/>
            </w:tcBorders>
            <w:gridSpan w:val="3"/>
          </w:tcPr>
          <w:p>
            <w:pPr>
              <w:spacing w:after="0"/>
              <w:rPr>
                <w:sz w:val="15"/>
                <w:szCs w:val="15"/>
                <w:color w:val="auto"/>
              </w:rPr>
            </w:pPr>
          </w:p>
        </w:tc>
        <w:tc>
          <w:tcPr>
            <w:tcW w:w="80" w:type="dxa"/>
            <w:vAlign w:val="bottom"/>
            <w:tcBorders>
              <w:top w:val="single" w:sz="8" w:color="0000FF"/>
            </w:tcBorders>
          </w:tcPr>
          <w:p>
            <w:pPr>
              <w:jc w:val="right"/>
              <w:spacing w:after="0"/>
              <w:rPr>
                <w:sz w:val="20"/>
                <w:szCs w:val="20"/>
                <w:color w:val="auto"/>
              </w:rPr>
            </w:pPr>
            <w:r>
              <w:rPr>
                <w:rFonts w:ascii="Arial" w:cs="Arial" w:eastAsia="Arial" w:hAnsi="Arial"/>
                <w:sz w:val="15"/>
                <w:szCs w:val="15"/>
                <w:color w:val="0000FF"/>
                <w:w w:val="71"/>
              </w:rPr>
              <w:t>8</w:t>
            </w:r>
          </w:p>
        </w:tc>
        <w:tc>
          <w:tcPr>
            <w:tcW w:w="240" w:type="dxa"/>
            <w:vAlign w:val="bottom"/>
            <w:tcBorders>
              <w:top w:val="single" w:sz="8" w:color="CCEEFF"/>
            </w:tcBorders>
          </w:tcPr>
          <w:p>
            <w:pPr>
              <w:spacing w:after="0"/>
              <w:rPr>
                <w:sz w:val="15"/>
                <w:szCs w:val="15"/>
                <w:color w:val="auto"/>
              </w:rPr>
            </w:pPr>
          </w:p>
        </w:tc>
      </w:tr>
      <w:tr>
        <w:trPr>
          <w:trHeight w:val="21"/>
        </w:trPr>
        <w:tc>
          <w:tcPr>
            <w:tcW w:w="1140" w:type="dxa"/>
            <w:vAlign w:val="bottom"/>
            <w:gridSpan w:val="6"/>
          </w:tcPr>
          <w:p>
            <w:pPr>
              <w:spacing w:after="0" w:line="20" w:lineRule="exact"/>
              <w:rPr>
                <w:sz w:val="1"/>
                <w:szCs w:val="1"/>
                <w:color w:val="auto"/>
              </w:rPr>
            </w:pPr>
          </w:p>
        </w:tc>
        <w:tc>
          <w:tcPr>
            <w:tcW w:w="3060" w:type="dxa"/>
            <w:vAlign w:val="bottom"/>
            <w:tcBorders>
              <w:top w:val="single" w:sz="8" w:color="0000FF"/>
            </w:tcBorders>
            <w:gridSpan w:val="38"/>
          </w:tcPr>
          <w:p>
            <w:pPr>
              <w:spacing w:after="0" w:line="20" w:lineRule="exact"/>
              <w:rPr>
                <w:sz w:val="1"/>
                <w:szCs w:val="1"/>
                <w:color w:val="auto"/>
              </w:rPr>
            </w:pPr>
          </w:p>
        </w:tc>
        <w:tc>
          <w:tcPr>
            <w:tcW w:w="6720" w:type="dxa"/>
            <w:vAlign w:val="bottom"/>
            <w:gridSpan w:val="12"/>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0" w:type="dxa"/>
            <w:vAlign w:val="bottom"/>
            <w:gridSpan w:val="46"/>
            <w:shd w:val="clear" w:color="auto" w:fill="CCEEFF"/>
          </w:tcPr>
          <w:p>
            <w:pPr>
              <w:spacing w:after="0" w:line="175" w:lineRule="exact"/>
              <w:rPr>
                <w:sz w:val="20"/>
                <w:szCs w:val="20"/>
                <w:color w:val="auto"/>
              </w:rPr>
            </w:pPr>
            <w:r>
              <w:rPr>
                <w:rFonts w:ascii="Arial" w:cs="Arial" w:eastAsia="Arial" w:hAnsi="Arial"/>
                <w:sz w:val="16"/>
                <w:szCs w:val="16"/>
                <w:color w:val="0000FF"/>
              </w:rPr>
              <w:t>1. Organization</w:t>
            </w:r>
          </w:p>
        </w:tc>
        <w:tc>
          <w:tcPr>
            <w:tcW w:w="2160" w:type="dxa"/>
            <w:vAlign w:val="bottom"/>
            <w:gridSpan w:val="4"/>
            <w:shd w:val="clear" w:color="auto" w:fill="CCEEFF"/>
          </w:tcPr>
          <w:p>
            <w:pPr>
              <w:jc w:val="right"/>
              <w:spacing w:after="0" w:line="175" w:lineRule="exact"/>
              <w:rPr>
                <w:sz w:val="20"/>
                <w:szCs w:val="20"/>
                <w:color w:val="auto"/>
              </w:rPr>
            </w:pPr>
            <w:r>
              <w:rPr>
                <w:rFonts w:ascii="Arial" w:cs="Arial" w:eastAsia="Arial" w:hAnsi="Arial"/>
                <w:sz w:val="16"/>
                <w:szCs w:val="16"/>
                <w:color w:val="0000FF"/>
              </w:rPr>
              <w:t>8</w:t>
            </w:r>
          </w:p>
        </w:tc>
        <w:tc>
          <w:tcPr>
            <w:tcW w:w="240" w:type="dxa"/>
            <w:vAlign w:val="bottom"/>
            <w:shd w:val="clear" w:color="auto" w:fill="CCEEFF"/>
          </w:tcPr>
          <w:p>
            <w:pPr>
              <w:spacing w:after="0"/>
              <w:rPr>
                <w:sz w:val="15"/>
                <w:szCs w:val="15"/>
                <w:color w:val="auto"/>
              </w:rPr>
            </w:pPr>
          </w:p>
        </w:tc>
      </w:tr>
      <w:tr>
        <w:trPr>
          <w:trHeight w:val="20"/>
        </w:trPr>
        <w:tc>
          <w:tcPr>
            <w:tcW w:w="1240" w:type="dxa"/>
            <w:vAlign w:val="bottom"/>
            <w:tcBorders>
              <w:top w:val="single" w:sz="8" w:color="CCEEFF"/>
            </w:tcBorders>
            <w:gridSpan w:val="7"/>
            <w:shd w:val="clear" w:color="auto" w:fill="CCEEFF"/>
          </w:tcPr>
          <w:p>
            <w:pPr>
              <w:spacing w:after="0" w:line="20" w:lineRule="exact"/>
              <w:rPr>
                <w:sz w:val="1"/>
                <w:szCs w:val="1"/>
                <w:color w:val="auto"/>
              </w:rPr>
            </w:pPr>
          </w:p>
        </w:tc>
        <w:tc>
          <w:tcPr>
            <w:tcW w:w="1000" w:type="dxa"/>
            <w:vAlign w:val="bottom"/>
            <w:tcBorders>
              <w:top w:val="single" w:sz="8" w:color="0000FF"/>
            </w:tcBorders>
            <w:gridSpan w:val="11"/>
            <w:shd w:val="clear" w:color="auto" w:fill="CCEEFF"/>
          </w:tcPr>
          <w:p>
            <w:pPr>
              <w:spacing w:after="0" w:line="20" w:lineRule="exact"/>
              <w:rPr>
                <w:sz w:val="1"/>
                <w:szCs w:val="1"/>
                <w:color w:val="auto"/>
              </w:rPr>
            </w:pPr>
          </w:p>
        </w:tc>
        <w:tc>
          <w:tcPr>
            <w:tcW w:w="8680" w:type="dxa"/>
            <w:vAlign w:val="bottom"/>
            <w:tcBorders>
              <w:top w:val="single" w:sz="8" w:color="CCEEFF"/>
            </w:tcBorders>
            <w:gridSpan w:val="38"/>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0" w:type="dxa"/>
            <w:vAlign w:val="bottom"/>
            <w:gridSpan w:val="46"/>
          </w:tcPr>
          <w:p>
            <w:pPr>
              <w:spacing w:after="0" w:line="175" w:lineRule="exact"/>
              <w:rPr>
                <w:sz w:val="20"/>
                <w:szCs w:val="20"/>
                <w:color w:val="auto"/>
              </w:rPr>
            </w:pPr>
            <w:r>
              <w:rPr>
                <w:rFonts w:ascii="Arial" w:cs="Arial" w:eastAsia="Arial" w:hAnsi="Arial"/>
                <w:sz w:val="16"/>
                <w:szCs w:val="16"/>
                <w:color w:val="0000FF"/>
              </w:rPr>
              <w:t>2. Significant Accounting Policies</w:t>
            </w:r>
          </w:p>
        </w:tc>
        <w:tc>
          <w:tcPr>
            <w:tcW w:w="2160" w:type="dxa"/>
            <w:vAlign w:val="bottom"/>
            <w:gridSpan w:val="4"/>
          </w:tcPr>
          <w:p>
            <w:pPr>
              <w:jc w:val="right"/>
              <w:spacing w:after="0" w:line="175" w:lineRule="exact"/>
              <w:rPr>
                <w:sz w:val="20"/>
                <w:szCs w:val="20"/>
                <w:color w:val="auto"/>
              </w:rPr>
            </w:pPr>
            <w:r>
              <w:rPr>
                <w:rFonts w:ascii="Arial" w:cs="Arial" w:eastAsia="Arial" w:hAnsi="Arial"/>
                <w:sz w:val="16"/>
                <w:szCs w:val="16"/>
                <w:color w:val="0000FF"/>
              </w:rPr>
              <w:t>8</w:t>
            </w:r>
          </w:p>
        </w:tc>
        <w:tc>
          <w:tcPr>
            <w:tcW w:w="240" w:type="dxa"/>
            <w:vAlign w:val="bottom"/>
          </w:tcPr>
          <w:p>
            <w:pPr>
              <w:spacing w:after="0"/>
              <w:rPr>
                <w:sz w:val="15"/>
                <w:szCs w:val="15"/>
                <w:color w:val="auto"/>
              </w:rPr>
            </w:pPr>
          </w:p>
        </w:tc>
      </w:tr>
      <w:tr>
        <w:trPr>
          <w:trHeight w:val="21"/>
        </w:trPr>
        <w:tc>
          <w:tcPr>
            <w:tcW w:w="1240" w:type="dxa"/>
            <w:vAlign w:val="bottom"/>
            <w:gridSpan w:val="7"/>
          </w:tcPr>
          <w:p>
            <w:pPr>
              <w:spacing w:after="0" w:line="20" w:lineRule="exact"/>
              <w:rPr>
                <w:sz w:val="1"/>
                <w:szCs w:val="1"/>
                <w:color w:val="auto"/>
              </w:rPr>
            </w:pPr>
          </w:p>
        </w:tc>
        <w:tc>
          <w:tcPr>
            <w:tcW w:w="2220" w:type="dxa"/>
            <w:vAlign w:val="bottom"/>
            <w:tcBorders>
              <w:top w:val="single" w:sz="8" w:color="0000FF"/>
            </w:tcBorders>
            <w:gridSpan w:val="30"/>
          </w:tcPr>
          <w:p>
            <w:pPr>
              <w:spacing w:after="0" w:line="20" w:lineRule="exact"/>
              <w:rPr>
                <w:sz w:val="1"/>
                <w:szCs w:val="1"/>
                <w:color w:val="auto"/>
              </w:rPr>
            </w:pPr>
          </w:p>
        </w:tc>
        <w:tc>
          <w:tcPr>
            <w:tcW w:w="7460" w:type="dxa"/>
            <w:vAlign w:val="bottom"/>
            <w:gridSpan w:val="19"/>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0" w:type="dxa"/>
            <w:vAlign w:val="bottom"/>
            <w:gridSpan w:val="46"/>
            <w:shd w:val="clear" w:color="auto" w:fill="CCEEFF"/>
          </w:tcPr>
          <w:p>
            <w:pPr>
              <w:spacing w:after="0" w:line="175" w:lineRule="exact"/>
              <w:rPr>
                <w:sz w:val="20"/>
                <w:szCs w:val="20"/>
                <w:color w:val="auto"/>
              </w:rPr>
            </w:pPr>
            <w:r>
              <w:rPr>
                <w:rFonts w:ascii="Arial" w:cs="Arial" w:eastAsia="Arial" w:hAnsi="Arial"/>
                <w:sz w:val="16"/>
                <w:szCs w:val="16"/>
                <w:color w:val="0000FF"/>
              </w:rPr>
              <w:t>3. Revenue Recognition</w:t>
            </w:r>
          </w:p>
        </w:tc>
        <w:tc>
          <w:tcPr>
            <w:tcW w:w="2160" w:type="dxa"/>
            <w:vAlign w:val="bottom"/>
            <w:gridSpan w:val="4"/>
            <w:shd w:val="clear" w:color="auto" w:fill="CCEEFF"/>
          </w:tcPr>
          <w:p>
            <w:pPr>
              <w:jc w:val="right"/>
              <w:spacing w:after="0" w:line="175" w:lineRule="exact"/>
              <w:rPr>
                <w:sz w:val="20"/>
                <w:szCs w:val="20"/>
                <w:color w:val="auto"/>
              </w:rPr>
            </w:pPr>
            <w:r>
              <w:rPr>
                <w:rFonts w:ascii="Arial" w:cs="Arial" w:eastAsia="Arial" w:hAnsi="Arial"/>
                <w:sz w:val="16"/>
                <w:szCs w:val="16"/>
                <w:color w:val="0000FF"/>
              </w:rPr>
              <w:t>10</w:t>
            </w:r>
          </w:p>
        </w:tc>
        <w:tc>
          <w:tcPr>
            <w:tcW w:w="240" w:type="dxa"/>
            <w:vAlign w:val="bottom"/>
            <w:shd w:val="clear" w:color="auto" w:fill="CCEEFF"/>
          </w:tcPr>
          <w:p>
            <w:pPr>
              <w:spacing w:after="0"/>
              <w:rPr>
                <w:sz w:val="15"/>
                <w:szCs w:val="15"/>
                <w:color w:val="auto"/>
              </w:rPr>
            </w:pPr>
          </w:p>
        </w:tc>
      </w:tr>
      <w:tr>
        <w:trPr>
          <w:trHeight w:val="20"/>
        </w:trPr>
        <w:tc>
          <w:tcPr>
            <w:tcW w:w="1240" w:type="dxa"/>
            <w:vAlign w:val="bottom"/>
            <w:tcBorders>
              <w:top w:val="single" w:sz="8" w:color="CCEEFF"/>
            </w:tcBorders>
            <w:gridSpan w:val="7"/>
            <w:shd w:val="clear" w:color="auto" w:fill="CCEEFF"/>
          </w:tcPr>
          <w:p>
            <w:pPr>
              <w:spacing w:after="0" w:line="20" w:lineRule="exact"/>
              <w:rPr>
                <w:sz w:val="1"/>
                <w:szCs w:val="1"/>
                <w:color w:val="auto"/>
              </w:rPr>
            </w:pPr>
          </w:p>
        </w:tc>
        <w:tc>
          <w:tcPr>
            <w:tcW w:w="1560" w:type="dxa"/>
            <w:vAlign w:val="bottom"/>
            <w:tcBorders>
              <w:top w:val="single" w:sz="8" w:color="0000FF"/>
            </w:tcBorders>
            <w:gridSpan w:val="19"/>
            <w:shd w:val="clear" w:color="auto" w:fill="CCEEFF"/>
          </w:tcPr>
          <w:p>
            <w:pPr>
              <w:spacing w:after="0" w:line="20" w:lineRule="exact"/>
              <w:rPr>
                <w:sz w:val="1"/>
                <w:szCs w:val="1"/>
                <w:color w:val="auto"/>
              </w:rPr>
            </w:pPr>
          </w:p>
        </w:tc>
        <w:tc>
          <w:tcPr>
            <w:tcW w:w="8040" w:type="dxa"/>
            <w:vAlign w:val="bottom"/>
            <w:tcBorders>
              <w:top w:val="single" w:sz="8" w:color="CCEEFF"/>
            </w:tcBorders>
            <w:gridSpan w:val="28"/>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0" w:type="dxa"/>
            <w:vAlign w:val="bottom"/>
            <w:gridSpan w:val="46"/>
          </w:tcPr>
          <w:p>
            <w:pPr>
              <w:spacing w:after="0" w:line="175" w:lineRule="exact"/>
              <w:rPr>
                <w:sz w:val="20"/>
                <w:szCs w:val="20"/>
                <w:color w:val="auto"/>
              </w:rPr>
            </w:pPr>
            <w:r>
              <w:rPr>
                <w:rFonts w:ascii="Arial" w:cs="Arial" w:eastAsia="Arial" w:hAnsi="Arial"/>
                <w:sz w:val="16"/>
                <w:szCs w:val="16"/>
                <w:color w:val="0000FF"/>
              </w:rPr>
              <w:t>4. Accounts Receivable, Net</w:t>
            </w:r>
          </w:p>
        </w:tc>
        <w:tc>
          <w:tcPr>
            <w:tcW w:w="2400" w:type="dxa"/>
            <w:vAlign w:val="bottom"/>
            <w:gridSpan w:val="5"/>
          </w:tcPr>
          <w:p>
            <w:pPr>
              <w:jc w:val="right"/>
              <w:ind w:right="240"/>
              <w:spacing w:after="0" w:line="175" w:lineRule="exact"/>
              <w:rPr>
                <w:sz w:val="20"/>
                <w:szCs w:val="20"/>
                <w:color w:val="auto"/>
              </w:rPr>
            </w:pPr>
            <w:r>
              <w:rPr>
                <w:rFonts w:ascii="Arial" w:cs="Arial" w:eastAsia="Arial" w:hAnsi="Arial"/>
                <w:sz w:val="16"/>
                <w:szCs w:val="16"/>
                <w:color w:val="0000FF"/>
              </w:rPr>
              <w:t>11</w:t>
            </w:r>
          </w:p>
        </w:tc>
      </w:tr>
      <w:tr>
        <w:trPr>
          <w:trHeight w:val="21"/>
        </w:trPr>
        <w:tc>
          <w:tcPr>
            <w:tcW w:w="1240" w:type="dxa"/>
            <w:vAlign w:val="bottom"/>
            <w:gridSpan w:val="7"/>
          </w:tcPr>
          <w:p>
            <w:pPr>
              <w:spacing w:after="0" w:line="20" w:lineRule="exact"/>
              <w:rPr>
                <w:sz w:val="1"/>
                <w:szCs w:val="1"/>
                <w:color w:val="auto"/>
              </w:rPr>
            </w:pPr>
          </w:p>
        </w:tc>
        <w:tc>
          <w:tcPr>
            <w:tcW w:w="1840" w:type="dxa"/>
            <w:vAlign w:val="bottom"/>
            <w:tcBorders>
              <w:top w:val="single" w:sz="8" w:color="0000FF"/>
            </w:tcBorders>
            <w:gridSpan w:val="24"/>
          </w:tcPr>
          <w:p>
            <w:pPr>
              <w:spacing w:after="0" w:line="20" w:lineRule="exact"/>
              <w:rPr>
                <w:sz w:val="1"/>
                <w:szCs w:val="1"/>
                <w:color w:val="auto"/>
              </w:rPr>
            </w:pPr>
          </w:p>
        </w:tc>
        <w:tc>
          <w:tcPr>
            <w:tcW w:w="7780" w:type="dxa"/>
            <w:vAlign w:val="bottom"/>
            <w:gridSpan w:val="24"/>
          </w:tcPr>
          <w:p>
            <w:pPr>
              <w:spacing w:after="0" w:line="20" w:lineRule="exact"/>
              <w:rPr>
                <w:sz w:val="1"/>
                <w:szCs w:val="1"/>
                <w:color w:val="auto"/>
              </w:rPr>
            </w:pPr>
          </w:p>
        </w:tc>
        <w:tc>
          <w:tcPr>
            <w:tcW w:w="140" w:type="dxa"/>
            <w:vAlign w:val="bottom"/>
            <w:tcBorders>
              <w:top w:val="single" w:sz="8" w:color="0000FF"/>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0" w:type="dxa"/>
            <w:vAlign w:val="bottom"/>
            <w:gridSpan w:val="46"/>
            <w:shd w:val="clear" w:color="auto" w:fill="CCEEFF"/>
          </w:tcPr>
          <w:p>
            <w:pPr>
              <w:spacing w:after="0" w:line="175" w:lineRule="exact"/>
              <w:rPr>
                <w:sz w:val="20"/>
                <w:szCs w:val="20"/>
                <w:color w:val="auto"/>
              </w:rPr>
            </w:pPr>
            <w:r>
              <w:rPr>
                <w:rFonts w:ascii="Arial" w:cs="Arial" w:eastAsia="Arial" w:hAnsi="Arial"/>
                <w:sz w:val="16"/>
                <w:szCs w:val="16"/>
                <w:color w:val="0000FF"/>
              </w:rPr>
              <w:t>5. Inventories, Net</w:t>
            </w:r>
          </w:p>
        </w:tc>
        <w:tc>
          <w:tcPr>
            <w:tcW w:w="2400" w:type="dxa"/>
            <w:vAlign w:val="bottom"/>
            <w:gridSpan w:val="5"/>
            <w:shd w:val="clear" w:color="auto" w:fill="CCEEFF"/>
          </w:tcPr>
          <w:p>
            <w:pPr>
              <w:jc w:val="right"/>
              <w:ind w:right="240"/>
              <w:spacing w:after="0" w:line="175" w:lineRule="exact"/>
              <w:rPr>
                <w:sz w:val="20"/>
                <w:szCs w:val="20"/>
                <w:color w:val="auto"/>
              </w:rPr>
            </w:pPr>
            <w:r>
              <w:rPr>
                <w:rFonts w:ascii="Arial" w:cs="Arial" w:eastAsia="Arial" w:hAnsi="Arial"/>
                <w:sz w:val="16"/>
                <w:szCs w:val="16"/>
                <w:color w:val="0000FF"/>
              </w:rPr>
              <w:t>11</w:t>
            </w:r>
          </w:p>
        </w:tc>
      </w:tr>
      <w:tr>
        <w:trPr>
          <w:trHeight w:val="21"/>
        </w:trPr>
        <w:tc>
          <w:tcPr>
            <w:tcW w:w="1240" w:type="dxa"/>
            <w:vAlign w:val="bottom"/>
            <w:tcBorders>
              <w:top w:val="single" w:sz="8" w:color="CCEEFF"/>
            </w:tcBorders>
            <w:gridSpan w:val="7"/>
            <w:shd w:val="clear" w:color="auto" w:fill="CCEEFF"/>
          </w:tcPr>
          <w:p>
            <w:pPr>
              <w:spacing w:after="0" w:line="20" w:lineRule="exact"/>
              <w:rPr>
                <w:sz w:val="1"/>
                <w:szCs w:val="1"/>
                <w:color w:val="auto"/>
              </w:rPr>
            </w:pPr>
          </w:p>
        </w:tc>
        <w:tc>
          <w:tcPr>
            <w:tcW w:w="1200" w:type="dxa"/>
            <w:vAlign w:val="bottom"/>
            <w:tcBorders>
              <w:top w:val="single" w:sz="8" w:color="0000FF"/>
            </w:tcBorders>
            <w:gridSpan w:val="15"/>
            <w:shd w:val="clear" w:color="auto" w:fill="CCEEFF"/>
          </w:tcPr>
          <w:p>
            <w:pPr>
              <w:spacing w:after="0" w:line="20" w:lineRule="exact"/>
              <w:rPr>
                <w:sz w:val="1"/>
                <w:szCs w:val="1"/>
                <w:color w:val="auto"/>
              </w:rPr>
            </w:pPr>
          </w:p>
        </w:tc>
        <w:tc>
          <w:tcPr>
            <w:tcW w:w="8420" w:type="dxa"/>
            <w:vAlign w:val="bottom"/>
            <w:tcBorders>
              <w:top w:val="single" w:sz="8" w:color="CCEEFF"/>
            </w:tcBorders>
            <w:gridSpan w:val="33"/>
            <w:shd w:val="clear" w:color="auto" w:fill="CCEEFF"/>
          </w:tcPr>
          <w:p>
            <w:pPr>
              <w:spacing w:after="0" w:line="20" w:lineRule="exact"/>
              <w:rPr>
                <w:sz w:val="1"/>
                <w:szCs w:val="1"/>
                <w:color w:val="auto"/>
              </w:rPr>
            </w:pPr>
          </w:p>
        </w:tc>
        <w:tc>
          <w:tcPr>
            <w:tcW w:w="140" w:type="dxa"/>
            <w:vAlign w:val="bottom"/>
            <w:tcBorders>
              <w:top w:val="single" w:sz="8" w:color="0000FF"/>
            </w:tcBorders>
            <w:gridSpan w:val="2"/>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0" w:type="dxa"/>
            <w:vAlign w:val="bottom"/>
            <w:gridSpan w:val="46"/>
          </w:tcPr>
          <w:p>
            <w:pPr>
              <w:spacing w:after="0" w:line="175" w:lineRule="exact"/>
              <w:rPr>
                <w:sz w:val="20"/>
                <w:szCs w:val="20"/>
                <w:color w:val="auto"/>
              </w:rPr>
            </w:pPr>
            <w:r>
              <w:rPr>
                <w:rFonts w:ascii="Arial" w:cs="Arial" w:eastAsia="Arial" w:hAnsi="Arial"/>
                <w:sz w:val="16"/>
                <w:szCs w:val="16"/>
                <w:color w:val="0000FF"/>
              </w:rPr>
              <w:t>6. Property and Equipment, Net</w:t>
            </w:r>
          </w:p>
        </w:tc>
        <w:tc>
          <w:tcPr>
            <w:tcW w:w="2400" w:type="dxa"/>
            <w:vAlign w:val="bottom"/>
            <w:gridSpan w:val="5"/>
          </w:tcPr>
          <w:p>
            <w:pPr>
              <w:jc w:val="right"/>
              <w:ind w:right="240"/>
              <w:spacing w:after="0" w:line="175" w:lineRule="exact"/>
              <w:rPr>
                <w:sz w:val="20"/>
                <w:szCs w:val="20"/>
                <w:color w:val="auto"/>
              </w:rPr>
            </w:pPr>
            <w:r>
              <w:rPr>
                <w:rFonts w:ascii="Arial" w:cs="Arial" w:eastAsia="Arial" w:hAnsi="Arial"/>
                <w:sz w:val="16"/>
                <w:szCs w:val="16"/>
                <w:color w:val="0000FF"/>
              </w:rPr>
              <w:t>11</w:t>
            </w:r>
          </w:p>
        </w:tc>
      </w:tr>
      <w:tr>
        <w:trPr>
          <w:trHeight w:val="21"/>
        </w:trPr>
        <w:tc>
          <w:tcPr>
            <w:tcW w:w="1240" w:type="dxa"/>
            <w:vAlign w:val="bottom"/>
            <w:gridSpan w:val="7"/>
          </w:tcPr>
          <w:p>
            <w:pPr>
              <w:spacing w:after="0" w:line="20" w:lineRule="exact"/>
              <w:rPr>
                <w:sz w:val="1"/>
                <w:szCs w:val="1"/>
                <w:color w:val="auto"/>
              </w:rPr>
            </w:pPr>
          </w:p>
        </w:tc>
        <w:tc>
          <w:tcPr>
            <w:tcW w:w="2060" w:type="dxa"/>
            <w:vAlign w:val="bottom"/>
            <w:tcBorders>
              <w:top w:val="single" w:sz="8" w:color="0000FF"/>
            </w:tcBorders>
            <w:gridSpan w:val="29"/>
          </w:tcPr>
          <w:p>
            <w:pPr>
              <w:spacing w:after="0" w:line="20" w:lineRule="exact"/>
              <w:rPr>
                <w:sz w:val="1"/>
                <w:szCs w:val="1"/>
                <w:color w:val="auto"/>
              </w:rPr>
            </w:pPr>
          </w:p>
        </w:tc>
        <w:tc>
          <w:tcPr>
            <w:tcW w:w="7560" w:type="dxa"/>
            <w:vAlign w:val="bottom"/>
            <w:gridSpan w:val="19"/>
          </w:tcPr>
          <w:p>
            <w:pPr>
              <w:spacing w:after="0" w:line="20" w:lineRule="exact"/>
              <w:rPr>
                <w:sz w:val="1"/>
                <w:szCs w:val="1"/>
                <w:color w:val="auto"/>
              </w:rPr>
            </w:pPr>
          </w:p>
        </w:tc>
        <w:tc>
          <w:tcPr>
            <w:tcW w:w="140" w:type="dxa"/>
            <w:vAlign w:val="bottom"/>
            <w:tcBorders>
              <w:top w:val="single" w:sz="8" w:color="0000FF"/>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0000FF"/>
            </w:tcBorders>
            <w:gridSpan w:val="7"/>
            <w:shd w:val="clear" w:color="auto" w:fill="CCEEFF"/>
          </w:tcPr>
          <w:p>
            <w:pPr>
              <w:spacing w:after="0" w:line="175" w:lineRule="exact"/>
              <w:rPr>
                <w:sz w:val="20"/>
                <w:szCs w:val="20"/>
                <w:color w:val="auto"/>
              </w:rPr>
            </w:pPr>
            <w:r>
              <w:rPr>
                <w:rFonts w:ascii="Arial" w:cs="Arial" w:eastAsia="Arial" w:hAnsi="Arial"/>
                <w:sz w:val="16"/>
                <w:szCs w:val="16"/>
                <w:color w:val="0000FF"/>
                <w:w w:val="95"/>
              </w:rPr>
              <w:t>7. Goodwill</w:t>
            </w:r>
          </w:p>
        </w:tc>
        <w:tc>
          <w:tcPr>
            <w:tcW w:w="6820" w:type="dxa"/>
            <w:vAlign w:val="bottom"/>
            <w:tcBorders>
              <w:bottom w:val="single" w:sz="8" w:color="CCEEFF"/>
            </w:tcBorders>
            <w:gridSpan w:val="39"/>
            <w:shd w:val="clear" w:color="auto" w:fill="CCEEFF"/>
          </w:tcPr>
          <w:p>
            <w:pPr>
              <w:spacing w:after="0"/>
              <w:rPr>
                <w:sz w:val="17"/>
                <w:szCs w:val="17"/>
                <w:color w:val="auto"/>
              </w:rPr>
            </w:pPr>
          </w:p>
        </w:tc>
        <w:tc>
          <w:tcPr>
            <w:tcW w:w="20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0000FF"/>
            </w:tcBorders>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w w:val="78"/>
              </w:rPr>
              <w:t>12</w:t>
            </w:r>
          </w:p>
        </w:tc>
        <w:tc>
          <w:tcPr>
            <w:tcW w:w="240" w:type="dxa"/>
            <w:vAlign w:val="bottom"/>
            <w:tcBorders>
              <w:bottom w:val="single" w:sz="8" w:color="CCEEFF"/>
            </w:tcBorders>
            <w:shd w:val="clear" w:color="auto" w:fill="CCEEFF"/>
          </w:tcPr>
          <w:p>
            <w:pPr>
              <w:spacing w:after="0"/>
              <w:rPr>
                <w:sz w:val="17"/>
                <w:szCs w:val="17"/>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0" w:type="dxa"/>
            <w:vAlign w:val="bottom"/>
            <w:gridSpan w:val="46"/>
          </w:tcPr>
          <w:p>
            <w:pPr>
              <w:spacing w:after="0" w:line="175" w:lineRule="exact"/>
              <w:rPr>
                <w:sz w:val="20"/>
                <w:szCs w:val="20"/>
                <w:color w:val="auto"/>
              </w:rPr>
            </w:pPr>
            <w:r>
              <w:rPr>
                <w:rFonts w:ascii="Arial" w:cs="Arial" w:eastAsia="Arial" w:hAnsi="Arial"/>
                <w:sz w:val="16"/>
                <w:szCs w:val="16"/>
                <w:color w:val="0000FF"/>
              </w:rPr>
              <w:t>8. Intangible Assets, Net</w:t>
            </w:r>
          </w:p>
        </w:tc>
        <w:tc>
          <w:tcPr>
            <w:tcW w:w="2160" w:type="dxa"/>
            <w:vAlign w:val="bottom"/>
            <w:gridSpan w:val="4"/>
          </w:tcPr>
          <w:p>
            <w:pPr>
              <w:jc w:val="right"/>
              <w:spacing w:after="0" w:line="175" w:lineRule="exact"/>
              <w:rPr>
                <w:sz w:val="20"/>
                <w:szCs w:val="20"/>
                <w:color w:val="auto"/>
              </w:rPr>
            </w:pPr>
            <w:r>
              <w:rPr>
                <w:rFonts w:ascii="Arial" w:cs="Arial" w:eastAsia="Arial" w:hAnsi="Arial"/>
                <w:sz w:val="16"/>
                <w:szCs w:val="16"/>
                <w:color w:val="0000FF"/>
              </w:rPr>
              <w:t>12</w:t>
            </w:r>
          </w:p>
        </w:tc>
        <w:tc>
          <w:tcPr>
            <w:tcW w:w="240" w:type="dxa"/>
            <w:vAlign w:val="bottom"/>
          </w:tcPr>
          <w:p>
            <w:pPr>
              <w:spacing w:after="0"/>
              <w:rPr>
                <w:sz w:val="15"/>
                <w:szCs w:val="15"/>
                <w:color w:val="auto"/>
              </w:rPr>
            </w:pPr>
          </w:p>
        </w:tc>
      </w:tr>
      <w:tr>
        <w:trPr>
          <w:trHeight w:val="20"/>
        </w:trPr>
        <w:tc>
          <w:tcPr>
            <w:tcW w:w="1240" w:type="dxa"/>
            <w:vAlign w:val="bottom"/>
            <w:gridSpan w:val="7"/>
          </w:tcPr>
          <w:p>
            <w:pPr>
              <w:spacing w:after="0" w:line="20" w:lineRule="exact"/>
              <w:rPr>
                <w:sz w:val="1"/>
                <w:szCs w:val="1"/>
                <w:color w:val="auto"/>
              </w:rPr>
            </w:pPr>
          </w:p>
        </w:tc>
        <w:tc>
          <w:tcPr>
            <w:tcW w:w="1600" w:type="dxa"/>
            <w:vAlign w:val="bottom"/>
            <w:tcBorders>
              <w:top w:val="single" w:sz="8" w:color="0000FF"/>
            </w:tcBorders>
            <w:gridSpan w:val="20"/>
          </w:tcPr>
          <w:p>
            <w:pPr>
              <w:spacing w:after="0" w:line="20" w:lineRule="exact"/>
              <w:rPr>
                <w:sz w:val="1"/>
                <w:szCs w:val="1"/>
                <w:color w:val="auto"/>
              </w:rPr>
            </w:pPr>
          </w:p>
        </w:tc>
        <w:tc>
          <w:tcPr>
            <w:tcW w:w="8000" w:type="dxa"/>
            <w:vAlign w:val="bottom"/>
            <w:gridSpan w:val="27"/>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0000FF"/>
            </w:tcBorders>
            <w:gridSpan w:val="8"/>
            <w:shd w:val="clear" w:color="auto" w:fill="CCEEFF"/>
          </w:tcPr>
          <w:p>
            <w:pPr>
              <w:spacing w:after="0" w:line="175" w:lineRule="exact"/>
              <w:rPr>
                <w:sz w:val="20"/>
                <w:szCs w:val="20"/>
                <w:color w:val="auto"/>
              </w:rPr>
            </w:pPr>
            <w:r>
              <w:rPr>
                <w:rFonts w:ascii="Arial" w:cs="Arial" w:eastAsia="Arial" w:hAnsi="Arial"/>
                <w:sz w:val="16"/>
                <w:szCs w:val="16"/>
                <w:color w:val="0000FF"/>
                <w:w w:val="94"/>
              </w:rPr>
              <w:t>9. Acquisition</w:t>
            </w:r>
          </w:p>
        </w:tc>
        <w:tc>
          <w:tcPr>
            <w:tcW w:w="6680" w:type="dxa"/>
            <w:vAlign w:val="bottom"/>
            <w:tcBorders>
              <w:bottom w:val="single" w:sz="8" w:color="CCEEFF"/>
            </w:tcBorders>
            <w:gridSpan w:val="38"/>
            <w:shd w:val="clear" w:color="auto" w:fill="CCEEFF"/>
          </w:tcPr>
          <w:p>
            <w:pPr>
              <w:spacing w:after="0"/>
              <w:rPr>
                <w:sz w:val="17"/>
                <w:szCs w:val="17"/>
                <w:color w:val="auto"/>
              </w:rPr>
            </w:pPr>
          </w:p>
        </w:tc>
        <w:tc>
          <w:tcPr>
            <w:tcW w:w="20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0000FF"/>
            </w:tcBorders>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w w:val="78"/>
              </w:rPr>
              <w:t>12</w:t>
            </w:r>
          </w:p>
        </w:tc>
        <w:tc>
          <w:tcPr>
            <w:tcW w:w="240" w:type="dxa"/>
            <w:vAlign w:val="bottom"/>
            <w:tcBorders>
              <w:bottom w:val="single" w:sz="8" w:color="CCEEFF"/>
            </w:tcBorders>
            <w:shd w:val="clear" w:color="auto" w:fill="CCEEFF"/>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gridSpan w:val="3"/>
          </w:tcPr>
          <w:p>
            <w:pPr>
              <w:ind w:left="220"/>
              <w:spacing w:after="0" w:line="175" w:lineRule="exact"/>
              <w:rPr>
                <w:sz w:val="20"/>
                <w:szCs w:val="20"/>
                <w:color w:val="auto"/>
              </w:rPr>
            </w:pPr>
            <w:r>
              <w:rPr>
                <w:rFonts w:ascii="Arial" w:cs="Arial" w:eastAsia="Arial" w:hAnsi="Arial"/>
                <w:sz w:val="16"/>
                <w:szCs w:val="16"/>
                <w:color w:val="0000FF"/>
                <w:w w:val="89"/>
              </w:rPr>
              <w:t>10.</w:t>
            </w:r>
          </w:p>
        </w:tc>
        <w:tc>
          <w:tcPr>
            <w:tcW w:w="7380" w:type="dxa"/>
            <w:vAlign w:val="bottom"/>
            <w:gridSpan w:val="45"/>
          </w:tcPr>
          <w:p>
            <w:pPr>
              <w:ind w:left="20"/>
              <w:spacing w:after="0" w:line="175" w:lineRule="exact"/>
              <w:rPr>
                <w:sz w:val="20"/>
                <w:szCs w:val="20"/>
                <w:color w:val="auto"/>
              </w:rPr>
            </w:pPr>
            <w:r>
              <w:rPr>
                <w:rFonts w:ascii="Arial" w:cs="Arial" w:eastAsia="Arial" w:hAnsi="Arial"/>
                <w:sz w:val="16"/>
                <w:szCs w:val="16"/>
                <w:color w:val="0000FF"/>
              </w:rPr>
              <w:t>Purchase of Telos ID Non-controlling Interests</w:t>
            </w:r>
          </w:p>
        </w:tc>
        <w:tc>
          <w:tcPr>
            <w:tcW w:w="2160" w:type="dxa"/>
            <w:vAlign w:val="bottom"/>
            <w:gridSpan w:val="4"/>
          </w:tcPr>
          <w:p>
            <w:pPr>
              <w:jc w:val="right"/>
              <w:spacing w:after="0" w:line="175" w:lineRule="exact"/>
              <w:rPr>
                <w:sz w:val="20"/>
                <w:szCs w:val="20"/>
                <w:color w:val="auto"/>
              </w:rPr>
            </w:pPr>
            <w:r>
              <w:rPr>
                <w:rFonts w:ascii="Arial" w:cs="Arial" w:eastAsia="Arial" w:hAnsi="Arial"/>
                <w:sz w:val="16"/>
                <w:szCs w:val="16"/>
                <w:color w:val="0000FF"/>
              </w:rPr>
              <w:t>12</w:t>
            </w:r>
          </w:p>
        </w:tc>
        <w:tc>
          <w:tcPr>
            <w:tcW w:w="240" w:type="dxa"/>
            <w:vAlign w:val="bottom"/>
          </w:tcPr>
          <w:p>
            <w:pPr>
              <w:spacing w:after="0"/>
              <w:rPr>
                <w:sz w:val="15"/>
                <w:szCs w:val="15"/>
                <w:color w:val="auto"/>
              </w:rPr>
            </w:pPr>
          </w:p>
        </w:tc>
      </w:tr>
      <w:tr>
        <w:trPr>
          <w:trHeight w:val="21"/>
        </w:trPr>
        <w:tc>
          <w:tcPr>
            <w:tcW w:w="1240" w:type="dxa"/>
            <w:vAlign w:val="bottom"/>
            <w:gridSpan w:val="7"/>
          </w:tcPr>
          <w:p>
            <w:pPr>
              <w:spacing w:after="0" w:line="20" w:lineRule="exact"/>
              <w:rPr>
                <w:sz w:val="1"/>
                <w:szCs w:val="1"/>
                <w:color w:val="auto"/>
              </w:rPr>
            </w:pPr>
          </w:p>
        </w:tc>
        <w:tc>
          <w:tcPr>
            <w:tcW w:w="3280" w:type="dxa"/>
            <w:vAlign w:val="bottom"/>
            <w:tcBorders>
              <w:top w:val="single" w:sz="8" w:color="0000FF"/>
            </w:tcBorders>
            <w:gridSpan w:val="39"/>
          </w:tcPr>
          <w:p>
            <w:pPr>
              <w:spacing w:after="0" w:line="20" w:lineRule="exact"/>
              <w:rPr>
                <w:sz w:val="1"/>
                <w:szCs w:val="1"/>
                <w:color w:val="auto"/>
              </w:rPr>
            </w:pPr>
          </w:p>
        </w:tc>
        <w:tc>
          <w:tcPr>
            <w:tcW w:w="6320" w:type="dxa"/>
            <w:vAlign w:val="bottom"/>
            <w:gridSpan w:val="8"/>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380" w:type="dxa"/>
            <w:vAlign w:val="bottom"/>
            <w:tcBorders>
              <w:bottom w:val="single" w:sz="8" w:color="0000FF"/>
            </w:tcBorders>
            <w:gridSpan w:val="40"/>
            <w:shd w:val="clear" w:color="auto" w:fill="CCEEFF"/>
          </w:tcPr>
          <w:p>
            <w:pPr>
              <w:spacing w:after="0" w:line="175" w:lineRule="exact"/>
              <w:rPr>
                <w:sz w:val="20"/>
                <w:szCs w:val="20"/>
                <w:color w:val="auto"/>
              </w:rPr>
            </w:pPr>
            <w:r>
              <w:rPr>
                <w:rFonts w:ascii="Arial" w:cs="Arial" w:eastAsia="Arial" w:hAnsi="Arial"/>
                <w:sz w:val="16"/>
                <w:szCs w:val="16"/>
                <w:color w:val="0000FF"/>
                <w:w w:val="92"/>
              </w:rPr>
              <w:t>11. Accounts Payable and Other Accrued Liabilities</w:t>
            </w:r>
          </w:p>
        </w:tc>
        <w:tc>
          <w:tcPr>
            <w:tcW w:w="4220" w:type="dxa"/>
            <w:vAlign w:val="bottom"/>
            <w:tcBorders>
              <w:bottom w:val="single" w:sz="8" w:color="CCEEFF"/>
            </w:tcBorders>
            <w:gridSpan w:val="6"/>
            <w:shd w:val="clear" w:color="auto" w:fill="CCEEFF"/>
          </w:tcPr>
          <w:p>
            <w:pPr>
              <w:spacing w:after="0"/>
              <w:rPr>
                <w:sz w:val="17"/>
                <w:szCs w:val="17"/>
                <w:color w:val="auto"/>
              </w:rPr>
            </w:pPr>
          </w:p>
        </w:tc>
        <w:tc>
          <w:tcPr>
            <w:tcW w:w="20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0000FF"/>
            </w:tcBorders>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w w:val="78"/>
              </w:rPr>
              <w:t>13</w:t>
            </w:r>
          </w:p>
        </w:tc>
        <w:tc>
          <w:tcPr>
            <w:tcW w:w="240" w:type="dxa"/>
            <w:vAlign w:val="bottom"/>
            <w:tcBorders>
              <w:bottom w:val="single" w:sz="8" w:color="CCEEFF"/>
            </w:tcBorders>
            <w:shd w:val="clear" w:color="auto" w:fill="CCEEFF"/>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gridSpan w:val="3"/>
          </w:tcPr>
          <w:p>
            <w:pPr>
              <w:ind w:left="220"/>
              <w:spacing w:after="0" w:line="175" w:lineRule="exact"/>
              <w:rPr>
                <w:sz w:val="20"/>
                <w:szCs w:val="20"/>
                <w:color w:val="auto"/>
              </w:rPr>
            </w:pPr>
            <w:r>
              <w:rPr>
                <w:rFonts w:ascii="Arial" w:cs="Arial" w:eastAsia="Arial" w:hAnsi="Arial"/>
                <w:sz w:val="16"/>
                <w:szCs w:val="16"/>
                <w:color w:val="0000FF"/>
                <w:w w:val="89"/>
              </w:rPr>
              <w:t>12.</w:t>
            </w:r>
          </w:p>
        </w:tc>
        <w:tc>
          <w:tcPr>
            <w:tcW w:w="7380" w:type="dxa"/>
            <w:vAlign w:val="bottom"/>
            <w:gridSpan w:val="45"/>
          </w:tcPr>
          <w:p>
            <w:pPr>
              <w:ind w:left="20"/>
              <w:spacing w:after="0" w:line="175" w:lineRule="exact"/>
              <w:rPr>
                <w:sz w:val="20"/>
                <w:szCs w:val="20"/>
                <w:color w:val="auto"/>
              </w:rPr>
            </w:pPr>
            <w:r>
              <w:rPr>
                <w:rFonts w:ascii="Arial" w:cs="Arial" w:eastAsia="Arial" w:hAnsi="Arial"/>
                <w:sz w:val="16"/>
                <w:szCs w:val="16"/>
                <w:color w:val="0000FF"/>
              </w:rPr>
              <w:t>Stock-Based Compensation</w:t>
            </w:r>
          </w:p>
        </w:tc>
        <w:tc>
          <w:tcPr>
            <w:tcW w:w="2160" w:type="dxa"/>
            <w:vAlign w:val="bottom"/>
            <w:gridSpan w:val="4"/>
          </w:tcPr>
          <w:p>
            <w:pPr>
              <w:jc w:val="right"/>
              <w:spacing w:after="0" w:line="175" w:lineRule="exact"/>
              <w:rPr>
                <w:sz w:val="20"/>
                <w:szCs w:val="20"/>
                <w:color w:val="auto"/>
              </w:rPr>
            </w:pPr>
            <w:r>
              <w:rPr>
                <w:rFonts w:ascii="Arial" w:cs="Arial" w:eastAsia="Arial" w:hAnsi="Arial"/>
                <w:sz w:val="16"/>
                <w:szCs w:val="16"/>
                <w:color w:val="0000FF"/>
              </w:rPr>
              <w:t>13</w:t>
            </w:r>
          </w:p>
        </w:tc>
        <w:tc>
          <w:tcPr>
            <w:tcW w:w="240" w:type="dxa"/>
            <w:vAlign w:val="bottom"/>
          </w:tcPr>
          <w:p>
            <w:pPr>
              <w:spacing w:after="0"/>
              <w:rPr>
                <w:sz w:val="15"/>
                <w:szCs w:val="15"/>
                <w:color w:val="auto"/>
              </w:rPr>
            </w:pPr>
          </w:p>
        </w:tc>
      </w:tr>
      <w:tr>
        <w:trPr>
          <w:trHeight w:val="21"/>
        </w:trPr>
        <w:tc>
          <w:tcPr>
            <w:tcW w:w="1240" w:type="dxa"/>
            <w:vAlign w:val="bottom"/>
            <w:gridSpan w:val="7"/>
          </w:tcPr>
          <w:p>
            <w:pPr>
              <w:spacing w:after="0" w:line="20" w:lineRule="exact"/>
              <w:rPr>
                <w:sz w:val="1"/>
                <w:szCs w:val="1"/>
                <w:color w:val="auto"/>
              </w:rPr>
            </w:pPr>
          </w:p>
        </w:tc>
        <w:tc>
          <w:tcPr>
            <w:tcW w:w="2040" w:type="dxa"/>
            <w:vAlign w:val="bottom"/>
            <w:tcBorders>
              <w:top w:val="single" w:sz="8" w:color="0000FF"/>
            </w:tcBorders>
            <w:gridSpan w:val="28"/>
          </w:tcPr>
          <w:p>
            <w:pPr>
              <w:spacing w:after="0" w:line="20" w:lineRule="exact"/>
              <w:rPr>
                <w:sz w:val="1"/>
                <w:szCs w:val="1"/>
                <w:color w:val="auto"/>
              </w:rPr>
            </w:pPr>
          </w:p>
        </w:tc>
        <w:tc>
          <w:tcPr>
            <w:tcW w:w="7560" w:type="dxa"/>
            <w:vAlign w:val="bottom"/>
            <w:gridSpan w:val="19"/>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gridSpan w:val="2"/>
            <w:shd w:val="clear" w:color="auto" w:fill="CCEEFF"/>
          </w:tcPr>
          <w:p>
            <w:pPr>
              <w:spacing w:after="0"/>
              <w:rPr>
                <w:sz w:val="17"/>
                <w:szCs w:val="17"/>
                <w:color w:val="auto"/>
              </w:rPr>
            </w:pPr>
          </w:p>
        </w:tc>
        <w:tc>
          <w:tcPr>
            <w:tcW w:w="220" w:type="dxa"/>
            <w:vAlign w:val="bottom"/>
            <w:tcBorders>
              <w:bottom w:val="single" w:sz="8" w:color="0000FF"/>
            </w:tcBorders>
            <w:shd w:val="clear" w:color="auto" w:fill="CCEEFF"/>
          </w:tcPr>
          <w:p>
            <w:pPr>
              <w:spacing w:after="0" w:line="175" w:lineRule="exact"/>
              <w:rPr>
                <w:sz w:val="20"/>
                <w:szCs w:val="20"/>
                <w:color w:val="auto"/>
              </w:rPr>
            </w:pPr>
            <w:r>
              <w:rPr>
                <w:rFonts w:ascii="Arial" w:cs="Arial" w:eastAsia="Arial" w:hAnsi="Arial"/>
                <w:sz w:val="16"/>
                <w:szCs w:val="16"/>
                <w:color w:val="0000FF"/>
                <w:w w:val="89"/>
              </w:rPr>
              <w:t>13.</w:t>
            </w:r>
          </w:p>
        </w:tc>
        <w:tc>
          <w:tcPr>
            <w:tcW w:w="1260" w:type="dxa"/>
            <w:vAlign w:val="bottom"/>
            <w:tcBorders>
              <w:bottom w:val="single" w:sz="8" w:color="0000FF"/>
            </w:tcBorders>
            <w:gridSpan w:val="17"/>
            <w:shd w:val="clear" w:color="auto" w:fill="CCEEFF"/>
          </w:tcPr>
          <w:p>
            <w:pPr>
              <w:ind w:left="20"/>
              <w:spacing w:after="0" w:line="175" w:lineRule="exact"/>
              <w:rPr>
                <w:sz w:val="20"/>
                <w:szCs w:val="20"/>
                <w:color w:val="auto"/>
              </w:rPr>
            </w:pPr>
            <w:r>
              <w:rPr>
                <w:rFonts w:ascii="Arial" w:cs="Arial" w:eastAsia="Arial" w:hAnsi="Arial"/>
                <w:sz w:val="16"/>
                <w:szCs w:val="16"/>
                <w:color w:val="0000FF"/>
                <w:w w:val="86"/>
              </w:rPr>
              <w:t>Share Repurchases</w:t>
            </w:r>
          </w:p>
        </w:tc>
        <w:tc>
          <w:tcPr>
            <w:tcW w:w="6120" w:type="dxa"/>
            <w:vAlign w:val="bottom"/>
            <w:tcBorders>
              <w:bottom w:val="single" w:sz="8" w:color="CCEEFF"/>
            </w:tcBorders>
            <w:gridSpan w:val="28"/>
            <w:shd w:val="clear" w:color="auto" w:fill="CCEEFF"/>
          </w:tcPr>
          <w:p>
            <w:pPr>
              <w:spacing w:after="0"/>
              <w:rPr>
                <w:sz w:val="17"/>
                <w:szCs w:val="17"/>
                <w:color w:val="auto"/>
              </w:rPr>
            </w:pPr>
          </w:p>
        </w:tc>
        <w:tc>
          <w:tcPr>
            <w:tcW w:w="20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0000FF"/>
            </w:tcBorders>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w w:val="78"/>
              </w:rPr>
              <w:t>14</w:t>
            </w:r>
          </w:p>
        </w:tc>
        <w:tc>
          <w:tcPr>
            <w:tcW w:w="240" w:type="dxa"/>
            <w:vAlign w:val="bottom"/>
            <w:tcBorders>
              <w:bottom w:val="single" w:sz="8" w:color="CCEEFF"/>
            </w:tcBorders>
            <w:shd w:val="clear" w:color="auto" w:fill="CCEEFF"/>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gridSpan w:val="3"/>
          </w:tcPr>
          <w:p>
            <w:pPr>
              <w:ind w:left="220"/>
              <w:spacing w:after="0" w:line="175" w:lineRule="exact"/>
              <w:rPr>
                <w:sz w:val="20"/>
                <w:szCs w:val="20"/>
                <w:color w:val="auto"/>
              </w:rPr>
            </w:pPr>
            <w:r>
              <w:rPr>
                <w:rFonts w:ascii="Arial" w:cs="Arial" w:eastAsia="Arial" w:hAnsi="Arial"/>
                <w:sz w:val="16"/>
                <w:szCs w:val="16"/>
                <w:color w:val="0000FF"/>
                <w:w w:val="89"/>
              </w:rPr>
              <w:t>14.</w:t>
            </w:r>
          </w:p>
        </w:tc>
        <w:tc>
          <w:tcPr>
            <w:tcW w:w="7380" w:type="dxa"/>
            <w:vAlign w:val="bottom"/>
            <w:gridSpan w:val="45"/>
          </w:tcPr>
          <w:p>
            <w:pPr>
              <w:ind w:left="20"/>
              <w:spacing w:after="0" w:line="175" w:lineRule="exact"/>
              <w:rPr>
                <w:sz w:val="20"/>
                <w:szCs w:val="20"/>
                <w:color w:val="auto"/>
              </w:rPr>
            </w:pPr>
            <w:r>
              <w:rPr>
                <w:rFonts w:ascii="Arial" w:cs="Arial" w:eastAsia="Arial" w:hAnsi="Arial"/>
                <w:sz w:val="16"/>
                <w:szCs w:val="16"/>
                <w:color w:val="0000FF"/>
              </w:rPr>
              <w:t>Accumulated Other Comprehensive Loss</w:t>
            </w:r>
          </w:p>
        </w:tc>
        <w:tc>
          <w:tcPr>
            <w:tcW w:w="2160" w:type="dxa"/>
            <w:vAlign w:val="bottom"/>
            <w:gridSpan w:val="4"/>
          </w:tcPr>
          <w:p>
            <w:pPr>
              <w:jc w:val="right"/>
              <w:spacing w:after="0" w:line="175" w:lineRule="exact"/>
              <w:rPr>
                <w:sz w:val="20"/>
                <w:szCs w:val="20"/>
                <w:color w:val="auto"/>
              </w:rPr>
            </w:pPr>
            <w:r>
              <w:rPr>
                <w:rFonts w:ascii="Arial" w:cs="Arial" w:eastAsia="Arial" w:hAnsi="Arial"/>
                <w:sz w:val="16"/>
                <w:szCs w:val="16"/>
                <w:color w:val="0000FF"/>
              </w:rPr>
              <w:t>14</w:t>
            </w:r>
          </w:p>
        </w:tc>
        <w:tc>
          <w:tcPr>
            <w:tcW w:w="240" w:type="dxa"/>
            <w:vAlign w:val="bottom"/>
          </w:tcPr>
          <w:p>
            <w:pPr>
              <w:spacing w:after="0"/>
              <w:rPr>
                <w:sz w:val="15"/>
                <w:szCs w:val="15"/>
                <w:color w:val="auto"/>
              </w:rPr>
            </w:pPr>
          </w:p>
        </w:tc>
      </w:tr>
      <w:tr>
        <w:trPr>
          <w:trHeight w:val="21"/>
        </w:trPr>
        <w:tc>
          <w:tcPr>
            <w:tcW w:w="1240" w:type="dxa"/>
            <w:vAlign w:val="bottom"/>
            <w:gridSpan w:val="7"/>
          </w:tcPr>
          <w:p>
            <w:pPr>
              <w:spacing w:after="0" w:line="20" w:lineRule="exact"/>
              <w:rPr>
                <w:sz w:val="1"/>
                <w:szCs w:val="1"/>
                <w:color w:val="auto"/>
              </w:rPr>
            </w:pPr>
          </w:p>
        </w:tc>
        <w:tc>
          <w:tcPr>
            <w:tcW w:w="2920" w:type="dxa"/>
            <w:vAlign w:val="bottom"/>
            <w:tcBorders>
              <w:top w:val="single" w:sz="8" w:color="0000FF"/>
            </w:tcBorders>
            <w:gridSpan w:val="36"/>
          </w:tcPr>
          <w:p>
            <w:pPr>
              <w:spacing w:after="0" w:line="20" w:lineRule="exact"/>
              <w:rPr>
                <w:sz w:val="1"/>
                <w:szCs w:val="1"/>
                <w:color w:val="auto"/>
              </w:rPr>
            </w:pPr>
          </w:p>
        </w:tc>
        <w:tc>
          <w:tcPr>
            <w:tcW w:w="6680" w:type="dxa"/>
            <w:vAlign w:val="bottom"/>
            <w:gridSpan w:val="11"/>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spacing w:after="0"/>
              <w:rPr>
                <w:sz w:val="15"/>
                <w:szCs w:val="15"/>
                <w:color w:val="auto"/>
              </w:rPr>
            </w:pPr>
          </w:p>
        </w:tc>
        <w:tc>
          <w:tcPr>
            <w:tcW w:w="220" w:type="dxa"/>
            <w:vAlign w:val="bottom"/>
            <w:shd w:val="clear" w:color="auto" w:fill="CCEEFF"/>
          </w:tcPr>
          <w:p>
            <w:pPr>
              <w:spacing w:after="0" w:line="175" w:lineRule="exact"/>
              <w:rPr>
                <w:sz w:val="20"/>
                <w:szCs w:val="20"/>
                <w:color w:val="auto"/>
              </w:rPr>
            </w:pPr>
            <w:r>
              <w:rPr>
                <w:rFonts w:ascii="Arial" w:cs="Arial" w:eastAsia="Arial" w:hAnsi="Arial"/>
                <w:sz w:val="16"/>
                <w:szCs w:val="16"/>
                <w:color w:val="0000FF"/>
                <w:w w:val="89"/>
              </w:rPr>
              <w:t>15.</w:t>
            </w:r>
          </w:p>
        </w:tc>
        <w:tc>
          <w:tcPr>
            <w:tcW w:w="7380" w:type="dxa"/>
            <w:vAlign w:val="bottom"/>
            <w:gridSpan w:val="45"/>
            <w:shd w:val="clear" w:color="auto" w:fill="CCEEFF"/>
          </w:tcPr>
          <w:p>
            <w:pPr>
              <w:ind w:left="20"/>
              <w:spacing w:after="0" w:line="175" w:lineRule="exact"/>
              <w:rPr>
                <w:sz w:val="20"/>
                <w:szCs w:val="20"/>
                <w:color w:val="auto"/>
              </w:rPr>
            </w:pPr>
            <w:r>
              <w:rPr>
                <w:rFonts w:ascii="Arial" w:cs="Arial" w:eastAsia="Arial" w:hAnsi="Arial"/>
                <w:sz w:val="16"/>
                <w:szCs w:val="16"/>
                <w:color w:val="0000FF"/>
              </w:rPr>
              <w:t>Loss per Share</w:t>
            </w:r>
          </w:p>
        </w:tc>
        <w:tc>
          <w:tcPr>
            <w:tcW w:w="2160" w:type="dxa"/>
            <w:vAlign w:val="bottom"/>
            <w:gridSpan w:val="4"/>
            <w:shd w:val="clear" w:color="auto" w:fill="CCEEFF"/>
          </w:tcPr>
          <w:p>
            <w:pPr>
              <w:jc w:val="right"/>
              <w:spacing w:after="0" w:line="175" w:lineRule="exact"/>
              <w:rPr>
                <w:sz w:val="20"/>
                <w:szCs w:val="20"/>
                <w:color w:val="auto"/>
              </w:rPr>
            </w:pPr>
            <w:r>
              <w:rPr>
                <w:rFonts w:ascii="Arial" w:cs="Arial" w:eastAsia="Arial" w:hAnsi="Arial"/>
                <w:sz w:val="16"/>
                <w:szCs w:val="16"/>
                <w:color w:val="0000FF"/>
              </w:rPr>
              <w:t>14</w:t>
            </w:r>
          </w:p>
        </w:tc>
        <w:tc>
          <w:tcPr>
            <w:tcW w:w="240" w:type="dxa"/>
            <w:vAlign w:val="bottom"/>
            <w:shd w:val="clear" w:color="auto" w:fill="CCEEFF"/>
          </w:tcPr>
          <w:p>
            <w:pPr>
              <w:spacing w:after="0"/>
              <w:rPr>
                <w:sz w:val="15"/>
                <w:szCs w:val="15"/>
                <w:color w:val="auto"/>
              </w:rPr>
            </w:pPr>
          </w:p>
        </w:tc>
      </w:tr>
      <w:tr>
        <w:trPr>
          <w:trHeight w:val="21"/>
        </w:trPr>
        <w:tc>
          <w:tcPr>
            <w:tcW w:w="1240" w:type="dxa"/>
            <w:vAlign w:val="bottom"/>
            <w:tcBorders>
              <w:top w:val="single" w:sz="8" w:color="CCEEFF"/>
            </w:tcBorders>
            <w:gridSpan w:val="7"/>
            <w:shd w:val="clear" w:color="auto" w:fill="CCEEFF"/>
          </w:tcPr>
          <w:p>
            <w:pPr>
              <w:spacing w:after="0" w:line="20" w:lineRule="exact"/>
              <w:rPr>
                <w:sz w:val="1"/>
                <w:szCs w:val="1"/>
                <w:color w:val="auto"/>
              </w:rPr>
            </w:pPr>
          </w:p>
        </w:tc>
        <w:tc>
          <w:tcPr>
            <w:tcW w:w="1200" w:type="dxa"/>
            <w:vAlign w:val="bottom"/>
            <w:tcBorders>
              <w:top w:val="single" w:sz="8" w:color="0000FF"/>
            </w:tcBorders>
            <w:gridSpan w:val="15"/>
            <w:shd w:val="clear" w:color="auto" w:fill="CCEEFF"/>
          </w:tcPr>
          <w:p>
            <w:pPr>
              <w:spacing w:after="0" w:line="20" w:lineRule="exact"/>
              <w:rPr>
                <w:sz w:val="1"/>
                <w:szCs w:val="1"/>
                <w:color w:val="auto"/>
              </w:rPr>
            </w:pPr>
          </w:p>
        </w:tc>
        <w:tc>
          <w:tcPr>
            <w:tcW w:w="8400" w:type="dxa"/>
            <w:vAlign w:val="bottom"/>
            <w:tcBorders>
              <w:top w:val="single" w:sz="8" w:color="CCEEFF"/>
            </w:tcBorders>
            <w:gridSpan w:val="32"/>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220" w:type="dxa"/>
            <w:vAlign w:val="bottom"/>
          </w:tcPr>
          <w:p>
            <w:pPr>
              <w:spacing w:after="0" w:line="175" w:lineRule="exact"/>
              <w:rPr>
                <w:sz w:val="20"/>
                <w:szCs w:val="20"/>
                <w:color w:val="auto"/>
              </w:rPr>
            </w:pPr>
            <w:r>
              <w:rPr>
                <w:rFonts w:ascii="Arial" w:cs="Arial" w:eastAsia="Arial" w:hAnsi="Arial"/>
                <w:sz w:val="16"/>
                <w:szCs w:val="16"/>
                <w:color w:val="0000FF"/>
                <w:w w:val="89"/>
              </w:rPr>
              <w:t>16.</w:t>
            </w:r>
          </w:p>
        </w:tc>
        <w:tc>
          <w:tcPr>
            <w:tcW w:w="7380" w:type="dxa"/>
            <w:vAlign w:val="bottom"/>
            <w:gridSpan w:val="45"/>
          </w:tcPr>
          <w:p>
            <w:pPr>
              <w:ind w:left="20"/>
              <w:spacing w:after="0" w:line="175" w:lineRule="exact"/>
              <w:rPr>
                <w:sz w:val="20"/>
                <w:szCs w:val="20"/>
                <w:color w:val="auto"/>
              </w:rPr>
            </w:pPr>
            <w:r>
              <w:rPr>
                <w:rFonts w:ascii="Arial" w:cs="Arial" w:eastAsia="Arial" w:hAnsi="Arial"/>
                <w:sz w:val="16"/>
                <w:szCs w:val="16"/>
                <w:color w:val="0000FF"/>
              </w:rPr>
              <w:t>Related Party Transactions</w:t>
            </w:r>
          </w:p>
        </w:tc>
        <w:tc>
          <w:tcPr>
            <w:tcW w:w="2160" w:type="dxa"/>
            <w:vAlign w:val="bottom"/>
            <w:gridSpan w:val="4"/>
          </w:tcPr>
          <w:p>
            <w:pPr>
              <w:jc w:val="right"/>
              <w:spacing w:after="0" w:line="175" w:lineRule="exact"/>
              <w:rPr>
                <w:sz w:val="20"/>
                <w:szCs w:val="20"/>
                <w:color w:val="auto"/>
              </w:rPr>
            </w:pPr>
            <w:r>
              <w:rPr>
                <w:rFonts w:ascii="Arial" w:cs="Arial" w:eastAsia="Arial" w:hAnsi="Arial"/>
                <w:sz w:val="16"/>
                <w:szCs w:val="16"/>
                <w:color w:val="0000FF"/>
              </w:rPr>
              <w:t>15</w:t>
            </w:r>
          </w:p>
        </w:tc>
        <w:tc>
          <w:tcPr>
            <w:tcW w:w="240" w:type="dxa"/>
            <w:vAlign w:val="bottom"/>
          </w:tcPr>
          <w:p>
            <w:pPr>
              <w:spacing w:after="0"/>
              <w:rPr>
                <w:sz w:val="15"/>
                <w:szCs w:val="15"/>
                <w:color w:val="auto"/>
              </w:rPr>
            </w:pPr>
          </w:p>
        </w:tc>
      </w:tr>
      <w:tr>
        <w:trPr>
          <w:trHeight w:val="21"/>
        </w:trPr>
        <w:tc>
          <w:tcPr>
            <w:tcW w:w="1240" w:type="dxa"/>
            <w:vAlign w:val="bottom"/>
            <w:gridSpan w:val="7"/>
          </w:tcPr>
          <w:p>
            <w:pPr>
              <w:spacing w:after="0" w:line="20" w:lineRule="exact"/>
              <w:rPr>
                <w:sz w:val="1"/>
                <w:szCs w:val="1"/>
                <w:color w:val="auto"/>
              </w:rPr>
            </w:pPr>
          </w:p>
        </w:tc>
        <w:tc>
          <w:tcPr>
            <w:tcW w:w="1980" w:type="dxa"/>
            <w:vAlign w:val="bottom"/>
            <w:tcBorders>
              <w:top w:val="single" w:sz="8" w:color="0000FF"/>
            </w:tcBorders>
            <w:gridSpan w:val="27"/>
          </w:tcPr>
          <w:p>
            <w:pPr>
              <w:spacing w:after="0" w:line="20" w:lineRule="exact"/>
              <w:rPr>
                <w:sz w:val="1"/>
                <w:szCs w:val="1"/>
                <w:color w:val="auto"/>
              </w:rPr>
            </w:pPr>
          </w:p>
        </w:tc>
        <w:tc>
          <w:tcPr>
            <w:tcW w:w="7620" w:type="dxa"/>
            <w:vAlign w:val="bottom"/>
            <w:gridSpan w:val="20"/>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spacing w:after="0"/>
              <w:rPr>
                <w:sz w:val="15"/>
                <w:szCs w:val="15"/>
                <w:color w:val="auto"/>
              </w:rPr>
            </w:pPr>
          </w:p>
        </w:tc>
        <w:tc>
          <w:tcPr>
            <w:tcW w:w="220" w:type="dxa"/>
            <w:vAlign w:val="bottom"/>
            <w:shd w:val="clear" w:color="auto" w:fill="CCEEFF"/>
          </w:tcPr>
          <w:p>
            <w:pPr>
              <w:spacing w:after="0" w:line="175" w:lineRule="exact"/>
              <w:rPr>
                <w:sz w:val="20"/>
                <w:szCs w:val="20"/>
                <w:color w:val="auto"/>
              </w:rPr>
            </w:pPr>
            <w:r>
              <w:rPr>
                <w:rFonts w:ascii="Arial" w:cs="Arial" w:eastAsia="Arial" w:hAnsi="Arial"/>
                <w:sz w:val="16"/>
                <w:szCs w:val="16"/>
                <w:color w:val="0000FF"/>
                <w:w w:val="89"/>
              </w:rPr>
              <w:t>17.</w:t>
            </w:r>
          </w:p>
        </w:tc>
        <w:tc>
          <w:tcPr>
            <w:tcW w:w="7380" w:type="dxa"/>
            <w:vAlign w:val="bottom"/>
            <w:gridSpan w:val="45"/>
            <w:shd w:val="clear" w:color="auto" w:fill="CCEEFF"/>
          </w:tcPr>
          <w:p>
            <w:pPr>
              <w:ind w:left="20"/>
              <w:spacing w:after="0" w:line="175" w:lineRule="exact"/>
              <w:rPr>
                <w:sz w:val="20"/>
                <w:szCs w:val="20"/>
                <w:color w:val="auto"/>
              </w:rPr>
            </w:pPr>
            <w:r>
              <w:rPr>
                <w:rFonts w:ascii="Arial" w:cs="Arial" w:eastAsia="Arial" w:hAnsi="Arial"/>
                <w:sz w:val="16"/>
                <w:szCs w:val="16"/>
                <w:color w:val="0000FF"/>
              </w:rPr>
              <w:t>Segment Information</w:t>
            </w:r>
          </w:p>
        </w:tc>
        <w:tc>
          <w:tcPr>
            <w:tcW w:w="2160" w:type="dxa"/>
            <w:vAlign w:val="bottom"/>
            <w:gridSpan w:val="4"/>
            <w:shd w:val="clear" w:color="auto" w:fill="CCEEFF"/>
          </w:tcPr>
          <w:p>
            <w:pPr>
              <w:jc w:val="right"/>
              <w:spacing w:after="0" w:line="175" w:lineRule="exact"/>
              <w:rPr>
                <w:sz w:val="20"/>
                <w:szCs w:val="20"/>
                <w:color w:val="auto"/>
              </w:rPr>
            </w:pPr>
            <w:r>
              <w:rPr>
                <w:rFonts w:ascii="Arial" w:cs="Arial" w:eastAsia="Arial" w:hAnsi="Arial"/>
                <w:sz w:val="16"/>
                <w:szCs w:val="16"/>
                <w:color w:val="0000FF"/>
              </w:rPr>
              <w:t>15</w:t>
            </w:r>
          </w:p>
        </w:tc>
        <w:tc>
          <w:tcPr>
            <w:tcW w:w="240" w:type="dxa"/>
            <w:vAlign w:val="bottom"/>
            <w:shd w:val="clear" w:color="auto" w:fill="CCEEFF"/>
          </w:tcPr>
          <w:p>
            <w:pPr>
              <w:spacing w:after="0"/>
              <w:rPr>
                <w:sz w:val="15"/>
                <w:szCs w:val="15"/>
                <w:color w:val="auto"/>
              </w:rPr>
            </w:pPr>
          </w:p>
        </w:tc>
      </w:tr>
      <w:tr>
        <w:trPr>
          <w:trHeight w:val="20"/>
        </w:trPr>
        <w:tc>
          <w:tcPr>
            <w:tcW w:w="1240" w:type="dxa"/>
            <w:vAlign w:val="bottom"/>
            <w:tcBorders>
              <w:top w:val="single" w:sz="8" w:color="CCEEFF"/>
            </w:tcBorders>
            <w:gridSpan w:val="7"/>
            <w:shd w:val="clear" w:color="auto" w:fill="CCEEFF"/>
          </w:tcPr>
          <w:p>
            <w:pPr>
              <w:spacing w:after="0" w:line="20" w:lineRule="exact"/>
              <w:rPr>
                <w:sz w:val="1"/>
                <w:szCs w:val="1"/>
                <w:color w:val="auto"/>
              </w:rPr>
            </w:pPr>
          </w:p>
        </w:tc>
        <w:tc>
          <w:tcPr>
            <w:tcW w:w="1620" w:type="dxa"/>
            <w:vAlign w:val="bottom"/>
            <w:tcBorders>
              <w:top w:val="single" w:sz="8" w:color="0000FF"/>
            </w:tcBorders>
            <w:gridSpan w:val="21"/>
            <w:shd w:val="clear" w:color="auto" w:fill="CCEEFF"/>
          </w:tcPr>
          <w:p>
            <w:pPr>
              <w:spacing w:after="0" w:line="20" w:lineRule="exact"/>
              <w:rPr>
                <w:sz w:val="1"/>
                <w:szCs w:val="1"/>
                <w:color w:val="auto"/>
              </w:rPr>
            </w:pPr>
          </w:p>
        </w:tc>
        <w:tc>
          <w:tcPr>
            <w:tcW w:w="7980" w:type="dxa"/>
            <w:vAlign w:val="bottom"/>
            <w:tcBorders>
              <w:top w:val="single" w:sz="8" w:color="CCEEFF"/>
            </w:tcBorders>
            <w:gridSpan w:val="26"/>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220" w:type="dxa"/>
            <w:vAlign w:val="bottom"/>
          </w:tcPr>
          <w:p>
            <w:pPr>
              <w:spacing w:after="0" w:line="175" w:lineRule="exact"/>
              <w:rPr>
                <w:sz w:val="20"/>
                <w:szCs w:val="20"/>
                <w:color w:val="auto"/>
              </w:rPr>
            </w:pPr>
            <w:r>
              <w:rPr>
                <w:rFonts w:ascii="Arial" w:cs="Arial" w:eastAsia="Arial" w:hAnsi="Arial"/>
                <w:sz w:val="16"/>
                <w:szCs w:val="16"/>
                <w:color w:val="0000FF"/>
                <w:w w:val="89"/>
              </w:rPr>
              <w:t>18.</w:t>
            </w:r>
          </w:p>
        </w:tc>
        <w:tc>
          <w:tcPr>
            <w:tcW w:w="7380" w:type="dxa"/>
            <w:vAlign w:val="bottom"/>
            <w:gridSpan w:val="45"/>
          </w:tcPr>
          <w:p>
            <w:pPr>
              <w:ind w:left="20"/>
              <w:spacing w:after="0" w:line="175" w:lineRule="exact"/>
              <w:rPr>
                <w:sz w:val="20"/>
                <w:szCs w:val="20"/>
                <w:color w:val="auto"/>
              </w:rPr>
            </w:pPr>
            <w:r>
              <w:rPr>
                <w:rFonts w:ascii="Arial" w:cs="Arial" w:eastAsia="Arial" w:hAnsi="Arial"/>
                <w:sz w:val="16"/>
                <w:szCs w:val="16"/>
                <w:color w:val="0000FF"/>
              </w:rPr>
              <w:t>Revision of Prior Year Interim Financial Statements</w:t>
            </w:r>
          </w:p>
        </w:tc>
        <w:tc>
          <w:tcPr>
            <w:tcW w:w="2160" w:type="dxa"/>
            <w:vAlign w:val="bottom"/>
            <w:gridSpan w:val="4"/>
          </w:tcPr>
          <w:p>
            <w:pPr>
              <w:jc w:val="right"/>
              <w:spacing w:after="0" w:line="175" w:lineRule="exact"/>
              <w:rPr>
                <w:sz w:val="20"/>
                <w:szCs w:val="20"/>
                <w:color w:val="auto"/>
              </w:rPr>
            </w:pPr>
            <w:r>
              <w:rPr>
                <w:rFonts w:ascii="Arial" w:cs="Arial" w:eastAsia="Arial" w:hAnsi="Arial"/>
                <w:sz w:val="16"/>
                <w:szCs w:val="16"/>
                <w:color w:val="0000FF"/>
              </w:rPr>
              <w:t>16</w:t>
            </w:r>
          </w:p>
        </w:tc>
        <w:tc>
          <w:tcPr>
            <w:tcW w:w="240" w:type="dxa"/>
            <w:vAlign w:val="bottom"/>
          </w:tcPr>
          <w:p>
            <w:pPr>
              <w:spacing w:after="0"/>
              <w:rPr>
                <w:sz w:val="15"/>
                <w:szCs w:val="15"/>
                <w:color w:val="auto"/>
              </w:rPr>
            </w:pPr>
          </w:p>
        </w:tc>
      </w:tr>
      <w:tr>
        <w:trPr>
          <w:trHeight w:val="20"/>
        </w:trPr>
        <w:tc>
          <w:tcPr>
            <w:tcW w:w="1240" w:type="dxa"/>
            <w:vAlign w:val="bottom"/>
            <w:gridSpan w:val="7"/>
          </w:tcPr>
          <w:p>
            <w:pPr>
              <w:spacing w:after="0" w:line="20" w:lineRule="exact"/>
              <w:rPr>
                <w:sz w:val="1"/>
                <w:szCs w:val="1"/>
                <w:color w:val="auto"/>
              </w:rPr>
            </w:pPr>
          </w:p>
        </w:tc>
        <w:tc>
          <w:tcPr>
            <w:tcW w:w="3620" w:type="dxa"/>
            <w:vAlign w:val="bottom"/>
            <w:tcBorders>
              <w:top w:val="single" w:sz="8" w:color="0000FF"/>
            </w:tcBorders>
            <w:gridSpan w:val="41"/>
          </w:tcPr>
          <w:p>
            <w:pPr>
              <w:spacing w:after="0" w:line="20" w:lineRule="exact"/>
              <w:rPr>
                <w:sz w:val="1"/>
                <w:szCs w:val="1"/>
                <w:color w:val="auto"/>
              </w:rPr>
            </w:pPr>
          </w:p>
        </w:tc>
        <w:tc>
          <w:tcPr>
            <w:tcW w:w="5980" w:type="dxa"/>
            <w:vAlign w:val="bottom"/>
            <w:gridSpan w:val="6"/>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spacing w:after="0"/>
              <w:rPr>
                <w:sz w:val="15"/>
                <w:szCs w:val="15"/>
                <w:color w:val="auto"/>
              </w:rPr>
            </w:pPr>
          </w:p>
        </w:tc>
        <w:tc>
          <w:tcPr>
            <w:tcW w:w="220" w:type="dxa"/>
            <w:vAlign w:val="bottom"/>
            <w:shd w:val="clear" w:color="auto" w:fill="CCEEFF"/>
          </w:tcPr>
          <w:p>
            <w:pPr>
              <w:spacing w:after="0" w:line="175" w:lineRule="exact"/>
              <w:rPr>
                <w:sz w:val="20"/>
                <w:szCs w:val="20"/>
                <w:color w:val="auto"/>
              </w:rPr>
            </w:pPr>
            <w:r>
              <w:rPr>
                <w:rFonts w:ascii="Arial" w:cs="Arial" w:eastAsia="Arial" w:hAnsi="Arial"/>
                <w:sz w:val="16"/>
                <w:szCs w:val="16"/>
                <w:color w:val="0000FF"/>
                <w:w w:val="89"/>
              </w:rPr>
              <w:t>19.</w:t>
            </w:r>
          </w:p>
        </w:tc>
        <w:tc>
          <w:tcPr>
            <w:tcW w:w="7380" w:type="dxa"/>
            <w:vAlign w:val="bottom"/>
            <w:gridSpan w:val="45"/>
            <w:shd w:val="clear" w:color="auto" w:fill="CCEEFF"/>
          </w:tcPr>
          <w:p>
            <w:pPr>
              <w:ind w:left="20"/>
              <w:spacing w:after="0" w:line="175" w:lineRule="exact"/>
              <w:rPr>
                <w:sz w:val="20"/>
                <w:szCs w:val="20"/>
                <w:color w:val="auto"/>
              </w:rPr>
            </w:pPr>
            <w:r>
              <w:rPr>
                <w:rFonts w:ascii="Arial" w:cs="Arial" w:eastAsia="Arial" w:hAnsi="Arial"/>
                <w:sz w:val="16"/>
                <w:szCs w:val="16"/>
                <w:color w:val="0000FF"/>
              </w:rPr>
              <w:t>Commitments and Contingencies</w:t>
            </w:r>
          </w:p>
        </w:tc>
        <w:tc>
          <w:tcPr>
            <w:tcW w:w="2160" w:type="dxa"/>
            <w:vAlign w:val="bottom"/>
            <w:gridSpan w:val="4"/>
            <w:shd w:val="clear" w:color="auto" w:fill="CCEEFF"/>
          </w:tcPr>
          <w:p>
            <w:pPr>
              <w:jc w:val="right"/>
              <w:spacing w:after="0" w:line="175" w:lineRule="exact"/>
              <w:rPr>
                <w:sz w:val="20"/>
                <w:szCs w:val="20"/>
                <w:color w:val="auto"/>
              </w:rPr>
            </w:pPr>
            <w:r>
              <w:rPr>
                <w:rFonts w:ascii="Arial" w:cs="Arial" w:eastAsia="Arial" w:hAnsi="Arial"/>
                <w:sz w:val="16"/>
                <w:szCs w:val="16"/>
                <w:color w:val="0000FF"/>
              </w:rPr>
              <w:t>18</w:t>
            </w:r>
          </w:p>
        </w:tc>
        <w:tc>
          <w:tcPr>
            <w:tcW w:w="240" w:type="dxa"/>
            <w:vAlign w:val="bottom"/>
            <w:shd w:val="clear" w:color="auto" w:fill="CCEEFF"/>
          </w:tcPr>
          <w:p>
            <w:pPr>
              <w:spacing w:after="0"/>
              <w:rPr>
                <w:sz w:val="15"/>
                <w:szCs w:val="15"/>
                <w:color w:val="auto"/>
              </w:rPr>
            </w:pPr>
          </w:p>
        </w:tc>
      </w:tr>
      <w:tr>
        <w:trPr>
          <w:trHeight w:val="21"/>
        </w:trPr>
        <w:tc>
          <w:tcPr>
            <w:tcW w:w="1240" w:type="dxa"/>
            <w:vAlign w:val="bottom"/>
            <w:tcBorders>
              <w:top w:val="single" w:sz="8" w:color="CCEEFF"/>
            </w:tcBorders>
            <w:gridSpan w:val="7"/>
            <w:shd w:val="clear" w:color="auto" w:fill="CCEEFF"/>
          </w:tcPr>
          <w:p>
            <w:pPr>
              <w:spacing w:after="0" w:line="20" w:lineRule="exact"/>
              <w:rPr>
                <w:sz w:val="1"/>
                <w:szCs w:val="1"/>
                <w:color w:val="auto"/>
              </w:rPr>
            </w:pPr>
          </w:p>
        </w:tc>
        <w:tc>
          <w:tcPr>
            <w:tcW w:w="2400" w:type="dxa"/>
            <w:vAlign w:val="bottom"/>
            <w:tcBorders>
              <w:top w:val="single" w:sz="8" w:color="0000FF"/>
            </w:tcBorders>
            <w:gridSpan w:val="31"/>
            <w:shd w:val="clear" w:color="auto" w:fill="CCEEFF"/>
          </w:tcPr>
          <w:p>
            <w:pPr>
              <w:spacing w:after="0" w:line="20" w:lineRule="exact"/>
              <w:rPr>
                <w:sz w:val="1"/>
                <w:szCs w:val="1"/>
                <w:color w:val="auto"/>
              </w:rPr>
            </w:pPr>
          </w:p>
        </w:tc>
        <w:tc>
          <w:tcPr>
            <w:tcW w:w="7200" w:type="dxa"/>
            <w:vAlign w:val="bottom"/>
            <w:tcBorders>
              <w:top w:val="single" w:sz="8" w:color="CCEEFF"/>
            </w:tcBorders>
            <w:gridSpan w:val="16"/>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220" w:type="dxa"/>
            <w:vAlign w:val="bottom"/>
          </w:tcPr>
          <w:p>
            <w:pPr>
              <w:spacing w:after="0" w:line="175" w:lineRule="exact"/>
              <w:rPr>
                <w:sz w:val="20"/>
                <w:szCs w:val="20"/>
                <w:color w:val="auto"/>
              </w:rPr>
            </w:pPr>
            <w:r>
              <w:rPr>
                <w:rFonts w:ascii="Arial" w:cs="Arial" w:eastAsia="Arial" w:hAnsi="Arial"/>
                <w:sz w:val="16"/>
                <w:szCs w:val="16"/>
                <w:color w:val="0000FF"/>
                <w:w w:val="89"/>
              </w:rPr>
              <w:t>20.</w:t>
            </w:r>
          </w:p>
        </w:tc>
        <w:tc>
          <w:tcPr>
            <w:tcW w:w="7380" w:type="dxa"/>
            <w:vAlign w:val="bottom"/>
            <w:gridSpan w:val="45"/>
          </w:tcPr>
          <w:p>
            <w:pPr>
              <w:ind w:left="20"/>
              <w:spacing w:after="0" w:line="175" w:lineRule="exact"/>
              <w:rPr>
                <w:sz w:val="20"/>
                <w:szCs w:val="20"/>
                <w:color w:val="auto"/>
              </w:rPr>
            </w:pPr>
            <w:r>
              <w:rPr>
                <w:rFonts w:ascii="Arial" w:cs="Arial" w:eastAsia="Arial" w:hAnsi="Arial"/>
                <w:sz w:val="16"/>
                <w:szCs w:val="16"/>
                <w:color w:val="0000FF"/>
              </w:rPr>
              <w:t>Supplemental Cash Flow Information</w:t>
            </w:r>
          </w:p>
        </w:tc>
        <w:tc>
          <w:tcPr>
            <w:tcW w:w="2160" w:type="dxa"/>
            <w:vAlign w:val="bottom"/>
            <w:gridSpan w:val="4"/>
          </w:tcPr>
          <w:p>
            <w:pPr>
              <w:jc w:val="right"/>
              <w:spacing w:after="0" w:line="175" w:lineRule="exact"/>
              <w:rPr>
                <w:sz w:val="20"/>
                <w:szCs w:val="20"/>
                <w:color w:val="auto"/>
              </w:rPr>
            </w:pPr>
            <w:r>
              <w:rPr>
                <w:rFonts w:ascii="Arial" w:cs="Arial" w:eastAsia="Arial" w:hAnsi="Arial"/>
                <w:sz w:val="16"/>
                <w:szCs w:val="16"/>
                <w:color w:val="0000FF"/>
              </w:rPr>
              <w:t>18</w:t>
            </w:r>
          </w:p>
        </w:tc>
        <w:tc>
          <w:tcPr>
            <w:tcW w:w="240" w:type="dxa"/>
            <w:vAlign w:val="bottom"/>
          </w:tcPr>
          <w:p>
            <w:pPr>
              <w:spacing w:after="0"/>
              <w:rPr>
                <w:sz w:val="15"/>
                <w:szCs w:val="15"/>
                <w:color w:val="auto"/>
              </w:rPr>
            </w:pPr>
          </w:p>
        </w:tc>
      </w:tr>
      <w:tr>
        <w:trPr>
          <w:trHeight w:val="20"/>
        </w:trPr>
        <w:tc>
          <w:tcPr>
            <w:tcW w:w="1240" w:type="dxa"/>
            <w:vAlign w:val="bottom"/>
            <w:gridSpan w:val="7"/>
          </w:tcPr>
          <w:p>
            <w:pPr>
              <w:spacing w:after="0" w:line="20" w:lineRule="exact"/>
              <w:rPr>
                <w:sz w:val="1"/>
                <w:szCs w:val="1"/>
                <w:color w:val="auto"/>
              </w:rPr>
            </w:pPr>
          </w:p>
        </w:tc>
        <w:tc>
          <w:tcPr>
            <w:tcW w:w="2680" w:type="dxa"/>
            <w:vAlign w:val="bottom"/>
            <w:tcBorders>
              <w:top w:val="single" w:sz="8" w:color="0000FF"/>
            </w:tcBorders>
            <w:gridSpan w:val="35"/>
          </w:tcPr>
          <w:p>
            <w:pPr>
              <w:spacing w:after="0" w:line="20" w:lineRule="exact"/>
              <w:rPr>
                <w:sz w:val="1"/>
                <w:szCs w:val="1"/>
                <w:color w:val="auto"/>
              </w:rPr>
            </w:pPr>
          </w:p>
        </w:tc>
        <w:tc>
          <w:tcPr>
            <w:tcW w:w="6920" w:type="dxa"/>
            <w:vAlign w:val="bottom"/>
            <w:gridSpan w:val="12"/>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line="175" w:lineRule="exact"/>
              <w:rPr>
                <w:sz w:val="20"/>
                <w:szCs w:val="20"/>
                <w:color w:val="auto"/>
              </w:rPr>
            </w:pPr>
            <w:r>
              <w:rPr>
                <w:rFonts w:ascii="Arial" w:cs="Arial" w:eastAsia="Arial" w:hAnsi="Arial"/>
                <w:sz w:val="16"/>
                <w:szCs w:val="16"/>
                <w:color w:val="0000FF"/>
                <w:w w:val="89"/>
              </w:rPr>
              <w:t>Item 2.</w:t>
            </w:r>
          </w:p>
        </w:tc>
        <w:tc>
          <w:tcPr>
            <w:tcW w:w="420" w:type="dxa"/>
            <w:vAlign w:val="bottom"/>
            <w:gridSpan w:val="2"/>
            <w:shd w:val="clear" w:color="auto" w:fill="CCEEFF"/>
          </w:tcPr>
          <w:p>
            <w:pPr>
              <w:spacing w:after="0"/>
              <w:rPr>
                <w:sz w:val="17"/>
                <w:szCs w:val="17"/>
                <w:color w:val="auto"/>
              </w:rPr>
            </w:pPr>
          </w:p>
        </w:tc>
        <w:tc>
          <w:tcPr>
            <w:tcW w:w="7820" w:type="dxa"/>
            <w:vAlign w:val="bottom"/>
            <w:gridSpan w:val="48"/>
            <w:shd w:val="clear" w:color="auto" w:fill="CCEEFF"/>
          </w:tcPr>
          <w:p>
            <w:pPr>
              <w:spacing w:after="0" w:line="175" w:lineRule="exact"/>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2160" w:type="dxa"/>
            <w:vAlign w:val="bottom"/>
            <w:gridSpan w:val="4"/>
            <w:shd w:val="clear" w:color="auto" w:fill="CCEEFF"/>
          </w:tcPr>
          <w:p>
            <w:pPr>
              <w:jc w:val="right"/>
              <w:spacing w:after="0" w:line="175" w:lineRule="exact"/>
              <w:rPr>
                <w:sz w:val="20"/>
                <w:szCs w:val="20"/>
                <w:color w:val="auto"/>
              </w:rPr>
            </w:pPr>
            <w:r>
              <w:rPr>
                <w:rFonts w:ascii="Arial" w:cs="Arial" w:eastAsia="Arial" w:hAnsi="Arial"/>
                <w:sz w:val="16"/>
                <w:szCs w:val="16"/>
                <w:color w:val="0000FF"/>
              </w:rPr>
              <w:t>20</w:t>
            </w:r>
          </w:p>
        </w:tc>
        <w:tc>
          <w:tcPr>
            <w:tcW w:w="240" w:type="dxa"/>
            <w:vAlign w:val="bottom"/>
            <w:shd w:val="clear" w:color="auto" w:fill="CCEEFF"/>
          </w:tcPr>
          <w:p>
            <w:pPr>
              <w:spacing w:after="0"/>
              <w:rPr>
                <w:sz w:val="17"/>
                <w:szCs w:val="17"/>
                <w:color w:val="auto"/>
              </w:rPr>
            </w:pPr>
          </w:p>
        </w:tc>
      </w:tr>
      <w:tr>
        <w:trPr>
          <w:trHeight w:val="176"/>
        </w:trPr>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5800" w:type="dxa"/>
            <w:vAlign w:val="bottom"/>
            <w:tcBorders>
              <w:top w:val="single" w:sz="8" w:color="0000FF"/>
            </w:tcBorders>
            <w:gridSpan w:val="47"/>
          </w:tcPr>
          <w:p>
            <w:pPr>
              <w:spacing w:after="0" w:line="175" w:lineRule="exact"/>
              <w:rPr>
                <w:sz w:val="20"/>
                <w:szCs w:val="20"/>
                <w:color w:val="auto"/>
              </w:rPr>
            </w:pPr>
            <w:r>
              <w:rPr>
                <w:rFonts w:ascii="Arial" w:cs="Arial" w:eastAsia="Arial" w:hAnsi="Arial"/>
                <w:sz w:val="16"/>
                <w:szCs w:val="16"/>
                <w:color w:val="0000FF"/>
              </w:rPr>
              <w:t>Forward-Looking Statements</w:t>
            </w:r>
          </w:p>
        </w:tc>
        <w:tc>
          <w:tcPr>
            <w:tcW w:w="2020" w:type="dxa"/>
            <w:vAlign w:val="bottom"/>
            <w:tcBorders>
              <w:top w:val="single" w:sz="8" w:color="CCEEFF"/>
            </w:tcBorders>
          </w:tcPr>
          <w:p>
            <w:pPr>
              <w:spacing w:after="0"/>
              <w:rPr>
                <w:sz w:val="15"/>
                <w:szCs w:val="15"/>
                <w:color w:val="auto"/>
              </w:rPr>
            </w:pPr>
          </w:p>
        </w:tc>
        <w:tc>
          <w:tcPr>
            <w:tcW w:w="2000" w:type="dxa"/>
            <w:vAlign w:val="bottom"/>
            <w:tcBorders>
              <w:top w:val="single" w:sz="8" w:color="CCEEFF"/>
            </w:tcBorders>
          </w:tcPr>
          <w:p>
            <w:pPr>
              <w:spacing w:after="0"/>
              <w:rPr>
                <w:sz w:val="15"/>
                <w:szCs w:val="15"/>
                <w:color w:val="auto"/>
              </w:rPr>
            </w:pPr>
          </w:p>
        </w:tc>
        <w:tc>
          <w:tcPr>
            <w:tcW w:w="160" w:type="dxa"/>
            <w:vAlign w:val="bottom"/>
            <w:tcBorders>
              <w:top w:val="single" w:sz="8" w:color="0000FF"/>
            </w:tcBorders>
            <w:gridSpan w:val="3"/>
          </w:tcPr>
          <w:p>
            <w:pPr>
              <w:jc w:val="right"/>
              <w:spacing w:after="0" w:line="175" w:lineRule="exact"/>
              <w:rPr>
                <w:sz w:val="20"/>
                <w:szCs w:val="20"/>
                <w:color w:val="auto"/>
              </w:rPr>
            </w:pPr>
            <w:r>
              <w:rPr>
                <w:rFonts w:ascii="Arial" w:cs="Arial" w:eastAsia="Arial" w:hAnsi="Arial"/>
                <w:sz w:val="16"/>
                <w:szCs w:val="16"/>
                <w:color w:val="0000FF"/>
                <w:w w:val="78"/>
              </w:rPr>
              <w:t>20</w:t>
            </w:r>
          </w:p>
        </w:tc>
        <w:tc>
          <w:tcPr>
            <w:tcW w:w="240" w:type="dxa"/>
            <w:vAlign w:val="bottom"/>
            <w:tcBorders>
              <w:top w:val="single" w:sz="8" w:color="CCEEFF"/>
            </w:tcBorders>
          </w:tcPr>
          <w:p>
            <w:pPr>
              <w:spacing w:after="0"/>
              <w:rPr>
                <w:sz w:val="15"/>
                <w:szCs w:val="15"/>
                <w:color w:val="auto"/>
              </w:rPr>
            </w:pPr>
          </w:p>
        </w:tc>
      </w:tr>
      <w:tr>
        <w:trPr>
          <w:trHeight w:val="20"/>
        </w:trPr>
        <w:tc>
          <w:tcPr>
            <w:tcW w:w="1020" w:type="dxa"/>
            <w:vAlign w:val="bottom"/>
            <w:gridSpan w:val="5"/>
          </w:tcPr>
          <w:p>
            <w:pPr>
              <w:spacing w:after="0" w:line="20" w:lineRule="exact"/>
              <w:rPr>
                <w:sz w:val="1"/>
                <w:szCs w:val="1"/>
                <w:color w:val="auto"/>
              </w:rPr>
            </w:pPr>
          </w:p>
        </w:tc>
        <w:tc>
          <w:tcPr>
            <w:tcW w:w="1900" w:type="dxa"/>
            <w:vAlign w:val="bottom"/>
            <w:tcBorders>
              <w:top w:val="single" w:sz="8" w:color="0000FF"/>
            </w:tcBorders>
            <w:gridSpan w:val="24"/>
          </w:tcPr>
          <w:p>
            <w:pPr>
              <w:spacing w:after="0" w:line="20" w:lineRule="exact"/>
              <w:rPr>
                <w:sz w:val="1"/>
                <w:szCs w:val="1"/>
                <w:color w:val="auto"/>
              </w:rPr>
            </w:pPr>
          </w:p>
        </w:tc>
        <w:tc>
          <w:tcPr>
            <w:tcW w:w="7920" w:type="dxa"/>
            <w:vAlign w:val="bottom"/>
            <w:gridSpan w:val="25"/>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20" w:type="dxa"/>
            <w:vAlign w:val="bottom"/>
            <w:gridSpan w:val="48"/>
            <w:shd w:val="clear" w:color="auto" w:fill="CCEEFF"/>
          </w:tcPr>
          <w:p>
            <w:pPr>
              <w:spacing w:after="0" w:line="175" w:lineRule="exact"/>
              <w:rPr>
                <w:sz w:val="20"/>
                <w:szCs w:val="20"/>
                <w:color w:val="auto"/>
              </w:rPr>
            </w:pPr>
            <w:r>
              <w:rPr>
                <w:rFonts w:ascii="Arial" w:cs="Arial" w:eastAsia="Arial" w:hAnsi="Arial"/>
                <w:sz w:val="16"/>
                <w:szCs w:val="16"/>
                <w:color w:val="0000FF"/>
              </w:rPr>
              <w:t>General and Business Overview</w:t>
            </w:r>
          </w:p>
        </w:tc>
        <w:tc>
          <w:tcPr>
            <w:tcW w:w="2160" w:type="dxa"/>
            <w:vAlign w:val="bottom"/>
            <w:gridSpan w:val="4"/>
            <w:shd w:val="clear" w:color="auto" w:fill="CCEEFF"/>
          </w:tcPr>
          <w:p>
            <w:pPr>
              <w:jc w:val="right"/>
              <w:spacing w:after="0" w:line="175" w:lineRule="exact"/>
              <w:rPr>
                <w:sz w:val="20"/>
                <w:szCs w:val="20"/>
                <w:color w:val="auto"/>
              </w:rPr>
            </w:pPr>
            <w:r>
              <w:rPr>
                <w:rFonts w:ascii="Arial" w:cs="Arial" w:eastAsia="Arial" w:hAnsi="Arial"/>
                <w:sz w:val="16"/>
                <w:szCs w:val="16"/>
                <w:color w:val="0000FF"/>
              </w:rPr>
              <w:t>20</w:t>
            </w:r>
          </w:p>
        </w:tc>
        <w:tc>
          <w:tcPr>
            <w:tcW w:w="240" w:type="dxa"/>
            <w:vAlign w:val="bottom"/>
            <w:shd w:val="clear" w:color="auto" w:fill="CCEEFF"/>
          </w:tcPr>
          <w:p>
            <w:pPr>
              <w:spacing w:after="0"/>
              <w:rPr>
                <w:sz w:val="17"/>
                <w:szCs w:val="17"/>
                <w:color w:val="auto"/>
              </w:rPr>
            </w:pPr>
          </w:p>
        </w:tc>
      </w:tr>
      <w:tr>
        <w:trPr>
          <w:trHeight w:val="175"/>
        </w:trPr>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2080" w:type="dxa"/>
            <w:vAlign w:val="bottom"/>
            <w:tcBorders>
              <w:top w:val="single" w:sz="8" w:color="0000FF"/>
            </w:tcBorders>
            <w:gridSpan w:val="27"/>
          </w:tcPr>
          <w:p>
            <w:pPr>
              <w:spacing w:after="0" w:line="175" w:lineRule="exact"/>
              <w:rPr>
                <w:sz w:val="20"/>
                <w:szCs w:val="20"/>
                <w:color w:val="auto"/>
              </w:rPr>
            </w:pPr>
            <w:r>
              <w:rPr>
                <w:rFonts w:ascii="Arial" w:cs="Arial" w:eastAsia="Arial" w:hAnsi="Arial"/>
                <w:sz w:val="16"/>
                <w:szCs w:val="16"/>
                <w:color w:val="0000FF"/>
              </w:rPr>
              <w:t>Business Environment</w:t>
            </w:r>
          </w:p>
        </w:tc>
        <w:tc>
          <w:tcPr>
            <w:tcW w:w="5740" w:type="dxa"/>
            <w:vAlign w:val="bottom"/>
            <w:tcBorders>
              <w:top w:val="single" w:sz="8" w:color="CCEEFF"/>
            </w:tcBorders>
            <w:gridSpan w:val="21"/>
          </w:tcPr>
          <w:p>
            <w:pPr>
              <w:spacing w:after="0"/>
              <w:rPr>
                <w:sz w:val="15"/>
                <w:szCs w:val="15"/>
                <w:color w:val="auto"/>
              </w:rPr>
            </w:pPr>
          </w:p>
        </w:tc>
        <w:tc>
          <w:tcPr>
            <w:tcW w:w="2000" w:type="dxa"/>
            <w:vAlign w:val="bottom"/>
            <w:tcBorders>
              <w:top w:val="single" w:sz="8" w:color="CCEEFF"/>
            </w:tcBorders>
          </w:tcPr>
          <w:p>
            <w:pPr>
              <w:spacing w:after="0"/>
              <w:rPr>
                <w:sz w:val="15"/>
                <w:szCs w:val="15"/>
                <w:color w:val="auto"/>
              </w:rPr>
            </w:pPr>
          </w:p>
        </w:tc>
        <w:tc>
          <w:tcPr>
            <w:tcW w:w="160" w:type="dxa"/>
            <w:vAlign w:val="bottom"/>
            <w:tcBorders>
              <w:top w:val="single" w:sz="8" w:color="0000FF"/>
            </w:tcBorders>
            <w:gridSpan w:val="3"/>
          </w:tcPr>
          <w:p>
            <w:pPr>
              <w:jc w:val="right"/>
              <w:spacing w:after="0" w:line="175" w:lineRule="exact"/>
              <w:rPr>
                <w:sz w:val="20"/>
                <w:szCs w:val="20"/>
                <w:color w:val="auto"/>
              </w:rPr>
            </w:pPr>
            <w:r>
              <w:rPr>
                <w:rFonts w:ascii="Arial" w:cs="Arial" w:eastAsia="Arial" w:hAnsi="Arial"/>
                <w:sz w:val="16"/>
                <w:szCs w:val="16"/>
                <w:color w:val="0000FF"/>
                <w:w w:val="78"/>
              </w:rPr>
              <w:t>21</w:t>
            </w:r>
          </w:p>
        </w:tc>
        <w:tc>
          <w:tcPr>
            <w:tcW w:w="240" w:type="dxa"/>
            <w:vAlign w:val="bottom"/>
            <w:tcBorders>
              <w:top w:val="single" w:sz="8" w:color="CCEEFF"/>
            </w:tcBorders>
          </w:tcPr>
          <w:p>
            <w:pPr>
              <w:spacing w:after="0"/>
              <w:rPr>
                <w:sz w:val="15"/>
                <w:szCs w:val="15"/>
                <w:color w:val="auto"/>
              </w:rPr>
            </w:pPr>
          </w:p>
        </w:tc>
      </w:tr>
      <w:tr>
        <w:trPr>
          <w:trHeight w:val="20"/>
        </w:trPr>
        <w:tc>
          <w:tcPr>
            <w:tcW w:w="1020" w:type="dxa"/>
            <w:vAlign w:val="bottom"/>
            <w:gridSpan w:val="5"/>
          </w:tcPr>
          <w:p>
            <w:pPr>
              <w:spacing w:after="0" w:line="20" w:lineRule="exact"/>
              <w:rPr>
                <w:sz w:val="1"/>
                <w:szCs w:val="1"/>
                <w:color w:val="auto"/>
              </w:rPr>
            </w:pPr>
          </w:p>
        </w:tc>
        <w:tc>
          <w:tcPr>
            <w:tcW w:w="1460" w:type="dxa"/>
            <w:vAlign w:val="bottom"/>
            <w:tcBorders>
              <w:top w:val="single" w:sz="8" w:color="0000FF"/>
            </w:tcBorders>
            <w:gridSpan w:val="18"/>
          </w:tcPr>
          <w:p>
            <w:pPr>
              <w:spacing w:after="0" w:line="20" w:lineRule="exact"/>
              <w:rPr>
                <w:sz w:val="1"/>
                <w:szCs w:val="1"/>
                <w:color w:val="auto"/>
              </w:rPr>
            </w:pPr>
          </w:p>
        </w:tc>
        <w:tc>
          <w:tcPr>
            <w:tcW w:w="8360" w:type="dxa"/>
            <w:vAlign w:val="bottom"/>
            <w:gridSpan w:val="31"/>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20" w:type="dxa"/>
            <w:vAlign w:val="bottom"/>
            <w:gridSpan w:val="48"/>
            <w:shd w:val="clear" w:color="auto" w:fill="CCEEFF"/>
          </w:tcPr>
          <w:p>
            <w:pPr>
              <w:spacing w:after="0" w:line="175" w:lineRule="exact"/>
              <w:rPr>
                <w:sz w:val="20"/>
                <w:szCs w:val="20"/>
                <w:color w:val="auto"/>
              </w:rPr>
            </w:pPr>
            <w:r>
              <w:rPr>
                <w:rFonts w:ascii="Arial" w:cs="Arial" w:eastAsia="Arial" w:hAnsi="Arial"/>
                <w:sz w:val="16"/>
                <w:szCs w:val="16"/>
                <w:color w:val="0000FF"/>
              </w:rPr>
              <w:t>Backlog</w:t>
            </w:r>
          </w:p>
        </w:tc>
        <w:tc>
          <w:tcPr>
            <w:tcW w:w="2160" w:type="dxa"/>
            <w:vAlign w:val="bottom"/>
            <w:gridSpan w:val="4"/>
            <w:shd w:val="clear" w:color="auto" w:fill="CCEEFF"/>
          </w:tcPr>
          <w:p>
            <w:pPr>
              <w:jc w:val="right"/>
              <w:spacing w:after="0" w:line="175" w:lineRule="exact"/>
              <w:rPr>
                <w:sz w:val="20"/>
                <w:szCs w:val="20"/>
                <w:color w:val="auto"/>
              </w:rPr>
            </w:pPr>
            <w:r>
              <w:rPr>
                <w:rFonts w:ascii="Arial" w:cs="Arial" w:eastAsia="Arial" w:hAnsi="Arial"/>
                <w:sz w:val="16"/>
                <w:szCs w:val="16"/>
                <w:color w:val="0000FF"/>
              </w:rPr>
              <w:t>23</w:t>
            </w:r>
          </w:p>
        </w:tc>
        <w:tc>
          <w:tcPr>
            <w:tcW w:w="240" w:type="dxa"/>
            <w:vAlign w:val="bottom"/>
            <w:shd w:val="clear" w:color="auto" w:fill="CCEEFF"/>
          </w:tcPr>
          <w:p>
            <w:pPr>
              <w:spacing w:after="0"/>
              <w:rPr>
                <w:sz w:val="15"/>
                <w:szCs w:val="15"/>
                <w:color w:val="auto"/>
              </w:rPr>
            </w:pPr>
          </w:p>
        </w:tc>
      </w:tr>
      <w:tr>
        <w:trPr>
          <w:trHeight w:val="20"/>
        </w:trPr>
        <w:tc>
          <w:tcPr>
            <w:tcW w:w="1020" w:type="dxa"/>
            <w:vAlign w:val="bottom"/>
            <w:tcBorders>
              <w:top w:val="single" w:sz="8" w:color="CCEEFF"/>
            </w:tcBorders>
            <w:gridSpan w:val="5"/>
            <w:shd w:val="clear" w:color="auto" w:fill="CCEEFF"/>
          </w:tcPr>
          <w:p>
            <w:pPr>
              <w:spacing w:after="0" w:line="20" w:lineRule="exact"/>
              <w:rPr>
                <w:sz w:val="1"/>
                <w:szCs w:val="1"/>
                <w:color w:val="auto"/>
              </w:rPr>
            </w:pPr>
          </w:p>
        </w:tc>
        <w:tc>
          <w:tcPr>
            <w:tcW w:w="540" w:type="dxa"/>
            <w:vAlign w:val="bottom"/>
            <w:tcBorders>
              <w:top w:val="single" w:sz="8" w:color="0000FF"/>
            </w:tcBorders>
            <w:gridSpan w:val="4"/>
            <w:shd w:val="clear" w:color="auto" w:fill="CCEEFF"/>
          </w:tcPr>
          <w:p>
            <w:pPr>
              <w:spacing w:after="0" w:line="20" w:lineRule="exact"/>
              <w:rPr>
                <w:sz w:val="1"/>
                <w:szCs w:val="1"/>
                <w:color w:val="auto"/>
              </w:rPr>
            </w:pPr>
          </w:p>
        </w:tc>
        <w:tc>
          <w:tcPr>
            <w:tcW w:w="9280" w:type="dxa"/>
            <w:vAlign w:val="bottom"/>
            <w:tcBorders>
              <w:top w:val="single" w:sz="8" w:color="CCEEFF"/>
            </w:tcBorders>
            <w:gridSpan w:val="45"/>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20" w:type="dxa"/>
            <w:vAlign w:val="bottom"/>
            <w:gridSpan w:val="48"/>
          </w:tcPr>
          <w:p>
            <w:pPr>
              <w:spacing w:after="0" w:line="175" w:lineRule="exact"/>
              <w:rPr>
                <w:sz w:val="20"/>
                <w:szCs w:val="20"/>
                <w:color w:val="auto"/>
              </w:rPr>
            </w:pPr>
            <w:r>
              <w:rPr>
                <w:rFonts w:ascii="Arial" w:cs="Arial" w:eastAsia="Arial" w:hAnsi="Arial"/>
                <w:sz w:val="16"/>
                <w:szCs w:val="16"/>
                <w:color w:val="0000FF"/>
              </w:rPr>
              <w:t>Financial Overview</w:t>
            </w:r>
          </w:p>
        </w:tc>
        <w:tc>
          <w:tcPr>
            <w:tcW w:w="2160" w:type="dxa"/>
            <w:vAlign w:val="bottom"/>
            <w:gridSpan w:val="4"/>
          </w:tcPr>
          <w:p>
            <w:pPr>
              <w:jc w:val="right"/>
              <w:spacing w:after="0" w:line="175" w:lineRule="exact"/>
              <w:rPr>
                <w:sz w:val="20"/>
                <w:szCs w:val="20"/>
                <w:color w:val="auto"/>
              </w:rPr>
            </w:pPr>
            <w:r>
              <w:rPr>
                <w:rFonts w:ascii="Arial" w:cs="Arial" w:eastAsia="Arial" w:hAnsi="Arial"/>
                <w:sz w:val="16"/>
                <w:szCs w:val="16"/>
                <w:color w:val="0000FF"/>
              </w:rPr>
              <w:t>23</w:t>
            </w:r>
          </w:p>
        </w:tc>
        <w:tc>
          <w:tcPr>
            <w:tcW w:w="240" w:type="dxa"/>
            <w:vAlign w:val="bottom"/>
          </w:tcPr>
          <w:p>
            <w:pPr>
              <w:spacing w:after="0"/>
              <w:rPr>
                <w:sz w:val="15"/>
                <w:szCs w:val="15"/>
                <w:color w:val="auto"/>
              </w:rPr>
            </w:pPr>
          </w:p>
        </w:tc>
      </w:tr>
      <w:tr>
        <w:trPr>
          <w:trHeight w:val="20"/>
        </w:trPr>
        <w:tc>
          <w:tcPr>
            <w:tcW w:w="1020" w:type="dxa"/>
            <w:vAlign w:val="bottom"/>
            <w:gridSpan w:val="5"/>
          </w:tcPr>
          <w:p>
            <w:pPr>
              <w:spacing w:after="0" w:line="20" w:lineRule="exact"/>
              <w:rPr>
                <w:sz w:val="1"/>
                <w:szCs w:val="1"/>
                <w:color w:val="auto"/>
              </w:rPr>
            </w:pPr>
          </w:p>
        </w:tc>
        <w:tc>
          <w:tcPr>
            <w:tcW w:w="1280" w:type="dxa"/>
            <w:vAlign w:val="bottom"/>
            <w:tcBorders>
              <w:top w:val="single" w:sz="8" w:color="0000FF"/>
            </w:tcBorders>
            <w:gridSpan w:val="14"/>
          </w:tcPr>
          <w:p>
            <w:pPr>
              <w:spacing w:after="0" w:line="20" w:lineRule="exact"/>
              <w:rPr>
                <w:sz w:val="1"/>
                <w:szCs w:val="1"/>
                <w:color w:val="auto"/>
              </w:rPr>
            </w:pPr>
          </w:p>
        </w:tc>
        <w:tc>
          <w:tcPr>
            <w:tcW w:w="8540" w:type="dxa"/>
            <w:vAlign w:val="bottom"/>
            <w:gridSpan w:val="35"/>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20" w:type="dxa"/>
            <w:vAlign w:val="bottom"/>
            <w:gridSpan w:val="48"/>
            <w:shd w:val="clear" w:color="auto" w:fill="CCEEFF"/>
          </w:tcPr>
          <w:p>
            <w:pPr>
              <w:spacing w:after="0" w:line="175" w:lineRule="exact"/>
              <w:rPr>
                <w:sz w:val="20"/>
                <w:szCs w:val="20"/>
                <w:color w:val="auto"/>
              </w:rPr>
            </w:pPr>
            <w:r>
              <w:rPr>
                <w:rFonts w:ascii="Arial" w:cs="Arial" w:eastAsia="Arial" w:hAnsi="Arial"/>
                <w:sz w:val="16"/>
                <w:szCs w:val="16"/>
                <w:color w:val="0000FF"/>
              </w:rPr>
              <w:t>Results of Operations</w:t>
            </w:r>
          </w:p>
        </w:tc>
        <w:tc>
          <w:tcPr>
            <w:tcW w:w="2160" w:type="dxa"/>
            <w:vAlign w:val="bottom"/>
            <w:gridSpan w:val="4"/>
            <w:shd w:val="clear" w:color="auto" w:fill="CCEEFF"/>
          </w:tcPr>
          <w:p>
            <w:pPr>
              <w:jc w:val="right"/>
              <w:spacing w:after="0" w:line="175" w:lineRule="exact"/>
              <w:rPr>
                <w:sz w:val="20"/>
                <w:szCs w:val="20"/>
                <w:color w:val="auto"/>
              </w:rPr>
            </w:pPr>
            <w:r>
              <w:rPr>
                <w:rFonts w:ascii="Arial" w:cs="Arial" w:eastAsia="Arial" w:hAnsi="Arial"/>
                <w:sz w:val="16"/>
                <w:szCs w:val="16"/>
                <w:color w:val="0000FF"/>
              </w:rPr>
              <w:t>24</w:t>
            </w:r>
          </w:p>
        </w:tc>
        <w:tc>
          <w:tcPr>
            <w:tcW w:w="240" w:type="dxa"/>
            <w:vAlign w:val="bottom"/>
            <w:shd w:val="clear" w:color="auto" w:fill="CCEEFF"/>
          </w:tcPr>
          <w:p>
            <w:pPr>
              <w:spacing w:after="0"/>
              <w:rPr>
                <w:sz w:val="15"/>
                <w:szCs w:val="15"/>
                <w:color w:val="auto"/>
              </w:rPr>
            </w:pPr>
          </w:p>
        </w:tc>
      </w:tr>
      <w:tr>
        <w:trPr>
          <w:trHeight w:val="21"/>
        </w:trPr>
        <w:tc>
          <w:tcPr>
            <w:tcW w:w="1020" w:type="dxa"/>
            <w:vAlign w:val="bottom"/>
            <w:tcBorders>
              <w:top w:val="single" w:sz="8" w:color="CCEEFF"/>
            </w:tcBorders>
            <w:gridSpan w:val="5"/>
            <w:shd w:val="clear" w:color="auto" w:fill="CCEEFF"/>
          </w:tcPr>
          <w:p>
            <w:pPr>
              <w:spacing w:after="0" w:line="20" w:lineRule="exact"/>
              <w:rPr>
                <w:sz w:val="1"/>
                <w:szCs w:val="1"/>
                <w:color w:val="auto"/>
              </w:rPr>
            </w:pPr>
          </w:p>
        </w:tc>
        <w:tc>
          <w:tcPr>
            <w:tcW w:w="1400" w:type="dxa"/>
            <w:vAlign w:val="bottom"/>
            <w:tcBorders>
              <w:top w:val="single" w:sz="8" w:color="0000FF"/>
            </w:tcBorders>
            <w:gridSpan w:val="16"/>
            <w:shd w:val="clear" w:color="auto" w:fill="CCEEFF"/>
          </w:tcPr>
          <w:p>
            <w:pPr>
              <w:spacing w:after="0" w:line="20" w:lineRule="exact"/>
              <w:rPr>
                <w:sz w:val="1"/>
                <w:szCs w:val="1"/>
                <w:color w:val="auto"/>
              </w:rPr>
            </w:pPr>
          </w:p>
        </w:tc>
        <w:tc>
          <w:tcPr>
            <w:tcW w:w="8420" w:type="dxa"/>
            <w:vAlign w:val="bottom"/>
            <w:tcBorders>
              <w:top w:val="single" w:sz="8" w:color="CCEEFF"/>
            </w:tcBorders>
            <w:gridSpan w:val="33"/>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20" w:type="dxa"/>
            <w:vAlign w:val="bottom"/>
            <w:gridSpan w:val="48"/>
          </w:tcPr>
          <w:p>
            <w:pPr>
              <w:spacing w:after="0" w:line="175" w:lineRule="exact"/>
              <w:rPr>
                <w:sz w:val="20"/>
                <w:szCs w:val="20"/>
                <w:color w:val="auto"/>
              </w:rPr>
            </w:pPr>
            <w:r>
              <w:rPr>
                <w:rFonts w:ascii="Arial" w:cs="Arial" w:eastAsia="Arial" w:hAnsi="Arial"/>
                <w:sz w:val="16"/>
                <w:szCs w:val="16"/>
                <w:color w:val="0000FF"/>
              </w:rPr>
              <w:t>Non-GAAP Financial Measures</w:t>
            </w:r>
          </w:p>
        </w:tc>
        <w:tc>
          <w:tcPr>
            <w:tcW w:w="2160" w:type="dxa"/>
            <w:vAlign w:val="bottom"/>
            <w:gridSpan w:val="4"/>
          </w:tcPr>
          <w:p>
            <w:pPr>
              <w:jc w:val="right"/>
              <w:spacing w:after="0" w:line="175" w:lineRule="exact"/>
              <w:rPr>
                <w:sz w:val="20"/>
                <w:szCs w:val="20"/>
                <w:color w:val="auto"/>
              </w:rPr>
            </w:pPr>
            <w:r>
              <w:rPr>
                <w:rFonts w:ascii="Arial" w:cs="Arial" w:eastAsia="Arial" w:hAnsi="Arial"/>
                <w:sz w:val="16"/>
                <w:szCs w:val="16"/>
                <w:color w:val="0000FF"/>
              </w:rPr>
              <w:t>26</w:t>
            </w:r>
          </w:p>
        </w:tc>
        <w:tc>
          <w:tcPr>
            <w:tcW w:w="240" w:type="dxa"/>
            <w:vAlign w:val="bottom"/>
          </w:tcPr>
          <w:p>
            <w:pPr>
              <w:spacing w:after="0"/>
              <w:rPr>
                <w:sz w:val="15"/>
                <w:szCs w:val="15"/>
                <w:color w:val="auto"/>
              </w:rPr>
            </w:pPr>
          </w:p>
        </w:tc>
      </w:tr>
      <w:tr>
        <w:trPr>
          <w:trHeight w:val="20"/>
        </w:trPr>
        <w:tc>
          <w:tcPr>
            <w:tcW w:w="1020" w:type="dxa"/>
            <w:vAlign w:val="bottom"/>
            <w:gridSpan w:val="5"/>
          </w:tcPr>
          <w:p>
            <w:pPr>
              <w:spacing w:after="0" w:line="20" w:lineRule="exact"/>
              <w:rPr>
                <w:sz w:val="1"/>
                <w:szCs w:val="1"/>
                <w:color w:val="auto"/>
              </w:rPr>
            </w:pPr>
          </w:p>
        </w:tc>
        <w:tc>
          <w:tcPr>
            <w:tcW w:w="2080" w:type="dxa"/>
            <w:vAlign w:val="bottom"/>
            <w:tcBorders>
              <w:top w:val="single" w:sz="8" w:color="0000FF"/>
            </w:tcBorders>
            <w:gridSpan w:val="27"/>
          </w:tcPr>
          <w:p>
            <w:pPr>
              <w:spacing w:after="0" w:line="20" w:lineRule="exact"/>
              <w:rPr>
                <w:sz w:val="1"/>
                <w:szCs w:val="1"/>
                <w:color w:val="auto"/>
              </w:rPr>
            </w:pPr>
          </w:p>
        </w:tc>
        <w:tc>
          <w:tcPr>
            <w:tcW w:w="7740" w:type="dxa"/>
            <w:vAlign w:val="bottom"/>
            <w:gridSpan w:val="22"/>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100" w:type="dxa"/>
            <w:vAlign w:val="bottom"/>
            <w:tcBorders>
              <w:bottom w:val="single" w:sz="8" w:color="0000FF"/>
            </w:tcBorders>
            <w:gridSpan w:val="28"/>
            <w:shd w:val="clear" w:color="auto" w:fill="CCEEFF"/>
          </w:tcPr>
          <w:p>
            <w:pPr>
              <w:spacing w:after="0" w:line="175" w:lineRule="exact"/>
              <w:rPr>
                <w:sz w:val="20"/>
                <w:szCs w:val="20"/>
                <w:color w:val="auto"/>
              </w:rPr>
            </w:pPr>
            <w:r>
              <w:rPr>
                <w:rFonts w:ascii="Arial" w:cs="Arial" w:eastAsia="Arial" w:hAnsi="Arial"/>
                <w:sz w:val="16"/>
                <w:szCs w:val="16"/>
                <w:color w:val="0000FF"/>
                <w:w w:val="92"/>
              </w:rPr>
              <w:t>Liquidity and Capital Resources</w:t>
            </w:r>
          </w:p>
        </w:tc>
        <w:tc>
          <w:tcPr>
            <w:tcW w:w="5720" w:type="dxa"/>
            <w:vAlign w:val="bottom"/>
            <w:tcBorders>
              <w:bottom w:val="single" w:sz="8" w:color="CCEEFF"/>
            </w:tcBorders>
            <w:gridSpan w:val="20"/>
            <w:shd w:val="clear" w:color="auto" w:fill="CCEEFF"/>
          </w:tcPr>
          <w:p>
            <w:pPr>
              <w:spacing w:after="0"/>
              <w:rPr>
                <w:sz w:val="17"/>
                <w:szCs w:val="17"/>
                <w:color w:val="auto"/>
              </w:rPr>
            </w:pPr>
          </w:p>
        </w:tc>
        <w:tc>
          <w:tcPr>
            <w:tcW w:w="20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0000FF"/>
            </w:tcBorders>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w w:val="78"/>
              </w:rPr>
              <w:t>28</w:t>
            </w:r>
          </w:p>
        </w:tc>
        <w:tc>
          <w:tcPr>
            <w:tcW w:w="240" w:type="dxa"/>
            <w:vAlign w:val="bottom"/>
            <w:tcBorders>
              <w:bottom w:val="single" w:sz="8" w:color="CCEEFF"/>
            </w:tcBorders>
            <w:shd w:val="clear" w:color="auto" w:fill="CCEEFF"/>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20" w:type="dxa"/>
            <w:vAlign w:val="bottom"/>
            <w:gridSpan w:val="48"/>
          </w:tcPr>
          <w:p>
            <w:pPr>
              <w:spacing w:after="0" w:line="175" w:lineRule="exact"/>
              <w:rPr>
                <w:sz w:val="20"/>
                <w:szCs w:val="20"/>
                <w:color w:val="auto"/>
              </w:rPr>
            </w:pPr>
            <w:r>
              <w:rPr>
                <w:rFonts w:ascii="Arial" w:cs="Arial" w:eastAsia="Arial" w:hAnsi="Arial"/>
                <w:sz w:val="16"/>
                <w:szCs w:val="16"/>
                <w:color w:val="0000FF"/>
              </w:rPr>
              <w:t>Critical Accounting Policies and Estimates</w:t>
            </w:r>
          </w:p>
        </w:tc>
        <w:tc>
          <w:tcPr>
            <w:tcW w:w="2160" w:type="dxa"/>
            <w:vAlign w:val="bottom"/>
            <w:gridSpan w:val="4"/>
          </w:tcPr>
          <w:p>
            <w:pPr>
              <w:jc w:val="right"/>
              <w:spacing w:after="0" w:line="175" w:lineRule="exact"/>
              <w:rPr>
                <w:sz w:val="20"/>
                <w:szCs w:val="20"/>
                <w:color w:val="auto"/>
              </w:rPr>
            </w:pPr>
            <w:r>
              <w:rPr>
                <w:rFonts w:ascii="Arial" w:cs="Arial" w:eastAsia="Arial" w:hAnsi="Arial"/>
                <w:sz w:val="16"/>
                <w:szCs w:val="16"/>
                <w:color w:val="0000FF"/>
              </w:rPr>
              <w:t>29</w:t>
            </w:r>
          </w:p>
        </w:tc>
        <w:tc>
          <w:tcPr>
            <w:tcW w:w="240" w:type="dxa"/>
            <w:vAlign w:val="bottom"/>
          </w:tcPr>
          <w:p>
            <w:pPr>
              <w:spacing w:after="0"/>
              <w:rPr>
                <w:sz w:val="15"/>
                <w:szCs w:val="15"/>
                <w:color w:val="auto"/>
              </w:rPr>
            </w:pPr>
          </w:p>
        </w:tc>
      </w:tr>
      <w:tr>
        <w:trPr>
          <w:trHeight w:val="21"/>
        </w:trPr>
        <w:tc>
          <w:tcPr>
            <w:tcW w:w="1020" w:type="dxa"/>
            <w:vAlign w:val="bottom"/>
            <w:gridSpan w:val="5"/>
          </w:tcPr>
          <w:p>
            <w:pPr>
              <w:spacing w:after="0" w:line="20" w:lineRule="exact"/>
              <w:rPr>
                <w:sz w:val="1"/>
                <w:szCs w:val="1"/>
                <w:color w:val="auto"/>
              </w:rPr>
            </w:pPr>
          </w:p>
        </w:tc>
        <w:tc>
          <w:tcPr>
            <w:tcW w:w="2780" w:type="dxa"/>
            <w:vAlign w:val="bottom"/>
            <w:tcBorders>
              <w:top w:val="single" w:sz="8" w:color="0000FF"/>
            </w:tcBorders>
            <w:gridSpan w:val="36"/>
          </w:tcPr>
          <w:p>
            <w:pPr>
              <w:spacing w:after="0" w:line="20" w:lineRule="exact"/>
              <w:rPr>
                <w:sz w:val="1"/>
                <w:szCs w:val="1"/>
                <w:color w:val="auto"/>
              </w:rPr>
            </w:pPr>
          </w:p>
        </w:tc>
        <w:tc>
          <w:tcPr>
            <w:tcW w:w="7040" w:type="dxa"/>
            <w:vAlign w:val="bottom"/>
            <w:gridSpan w:val="13"/>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line="175" w:lineRule="exact"/>
              <w:rPr>
                <w:sz w:val="20"/>
                <w:szCs w:val="20"/>
                <w:color w:val="auto"/>
              </w:rPr>
            </w:pPr>
            <w:r>
              <w:rPr>
                <w:rFonts w:ascii="Arial" w:cs="Arial" w:eastAsia="Arial" w:hAnsi="Arial"/>
                <w:sz w:val="16"/>
                <w:szCs w:val="16"/>
                <w:color w:val="0000FF"/>
                <w:w w:val="89"/>
              </w:rPr>
              <w:t>Item 3.</w:t>
            </w:r>
          </w:p>
        </w:tc>
        <w:tc>
          <w:tcPr>
            <w:tcW w:w="420" w:type="dxa"/>
            <w:vAlign w:val="bottom"/>
            <w:gridSpan w:val="2"/>
            <w:shd w:val="clear" w:color="auto" w:fill="CCEEFF"/>
          </w:tcPr>
          <w:p>
            <w:pPr>
              <w:spacing w:after="0"/>
              <w:rPr>
                <w:sz w:val="17"/>
                <w:szCs w:val="17"/>
                <w:color w:val="auto"/>
              </w:rPr>
            </w:pPr>
          </w:p>
        </w:tc>
        <w:tc>
          <w:tcPr>
            <w:tcW w:w="7820" w:type="dxa"/>
            <w:vAlign w:val="bottom"/>
            <w:gridSpan w:val="48"/>
            <w:shd w:val="clear" w:color="auto" w:fill="CCEEFF"/>
          </w:tcPr>
          <w:p>
            <w:pPr>
              <w:spacing w:after="0" w:line="175" w:lineRule="exact"/>
              <w:rPr>
                <w:sz w:val="20"/>
                <w:szCs w:val="20"/>
                <w:color w:val="auto"/>
              </w:rPr>
            </w:pPr>
            <w:r>
              <w:rPr>
                <w:rFonts w:ascii="Arial" w:cs="Arial" w:eastAsia="Arial" w:hAnsi="Arial"/>
                <w:sz w:val="16"/>
                <w:szCs w:val="16"/>
                <w:color w:val="0000FF"/>
              </w:rPr>
              <w:t>Quantitative and Qualitative Disclosures about Market Risk</w:t>
            </w:r>
          </w:p>
        </w:tc>
        <w:tc>
          <w:tcPr>
            <w:tcW w:w="2160" w:type="dxa"/>
            <w:vAlign w:val="bottom"/>
            <w:gridSpan w:val="4"/>
            <w:shd w:val="clear" w:color="auto" w:fill="CCEEFF"/>
          </w:tcPr>
          <w:p>
            <w:pPr>
              <w:jc w:val="right"/>
              <w:spacing w:after="0" w:line="175" w:lineRule="exact"/>
              <w:rPr>
                <w:sz w:val="20"/>
                <w:szCs w:val="20"/>
                <w:color w:val="auto"/>
              </w:rPr>
            </w:pPr>
            <w:r>
              <w:rPr>
                <w:rFonts w:ascii="Arial" w:cs="Arial" w:eastAsia="Arial" w:hAnsi="Arial"/>
                <w:sz w:val="16"/>
                <w:szCs w:val="16"/>
                <w:color w:val="0000FF"/>
              </w:rPr>
              <w:t>29</w:t>
            </w:r>
          </w:p>
        </w:tc>
        <w:tc>
          <w:tcPr>
            <w:tcW w:w="240" w:type="dxa"/>
            <w:vAlign w:val="bottom"/>
            <w:shd w:val="clear" w:color="auto" w:fill="CCEEFF"/>
          </w:tcPr>
          <w:p>
            <w:pPr>
              <w:spacing w:after="0"/>
              <w:rPr>
                <w:sz w:val="17"/>
                <w:szCs w:val="17"/>
                <w:color w:val="auto"/>
              </w:rPr>
            </w:pPr>
          </w:p>
        </w:tc>
      </w:tr>
      <w:tr>
        <w:trPr>
          <w:trHeight w:val="175"/>
        </w:trPr>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60" w:type="dxa"/>
            <w:vAlign w:val="bottom"/>
            <w:tcBorders>
              <w:top w:val="single" w:sz="8" w:color="0000FF"/>
            </w:tcBorders>
          </w:tcPr>
          <w:p>
            <w:pPr>
              <w:spacing w:after="0" w:line="175" w:lineRule="exact"/>
              <w:rPr>
                <w:sz w:val="20"/>
                <w:szCs w:val="20"/>
                <w:color w:val="auto"/>
              </w:rPr>
            </w:pPr>
            <w:r>
              <w:rPr>
                <w:rFonts w:ascii="Arial" w:cs="Arial" w:eastAsia="Arial" w:hAnsi="Arial"/>
                <w:sz w:val="16"/>
                <w:szCs w:val="16"/>
                <w:color w:val="0000FF"/>
                <w:w w:val="89"/>
              </w:rPr>
              <w:t>Item 4.</w:t>
            </w:r>
          </w:p>
        </w:tc>
        <w:tc>
          <w:tcPr>
            <w:tcW w:w="420" w:type="dxa"/>
            <w:vAlign w:val="bottom"/>
            <w:tcBorders>
              <w:top w:val="single" w:sz="8" w:color="CCEEFF"/>
            </w:tcBorders>
            <w:gridSpan w:val="2"/>
          </w:tcPr>
          <w:p>
            <w:pPr>
              <w:spacing w:after="0"/>
              <w:rPr>
                <w:sz w:val="15"/>
                <w:szCs w:val="15"/>
                <w:color w:val="auto"/>
              </w:rPr>
            </w:pPr>
          </w:p>
        </w:tc>
        <w:tc>
          <w:tcPr>
            <w:tcW w:w="3880" w:type="dxa"/>
            <w:vAlign w:val="bottom"/>
            <w:tcBorders>
              <w:top w:val="single" w:sz="8" w:color="0000FF"/>
            </w:tcBorders>
            <w:gridSpan w:val="44"/>
          </w:tcPr>
          <w:p>
            <w:pPr>
              <w:spacing w:after="0" w:line="175" w:lineRule="exact"/>
              <w:rPr>
                <w:sz w:val="20"/>
                <w:szCs w:val="20"/>
                <w:color w:val="auto"/>
              </w:rPr>
            </w:pPr>
            <w:r>
              <w:rPr>
                <w:rFonts w:ascii="Arial" w:cs="Arial" w:eastAsia="Arial" w:hAnsi="Arial"/>
                <w:sz w:val="16"/>
                <w:szCs w:val="16"/>
                <w:color w:val="0000FF"/>
              </w:rPr>
              <w:t>Controls and Procedures</w:t>
            </w:r>
          </w:p>
        </w:tc>
        <w:tc>
          <w:tcPr>
            <w:tcW w:w="3940" w:type="dxa"/>
            <w:vAlign w:val="bottom"/>
            <w:tcBorders>
              <w:top w:val="single" w:sz="8" w:color="CCEEFF"/>
            </w:tcBorders>
            <w:gridSpan w:val="4"/>
          </w:tcPr>
          <w:p>
            <w:pPr>
              <w:spacing w:after="0"/>
              <w:rPr>
                <w:sz w:val="15"/>
                <w:szCs w:val="15"/>
                <w:color w:val="auto"/>
              </w:rPr>
            </w:pPr>
          </w:p>
        </w:tc>
        <w:tc>
          <w:tcPr>
            <w:tcW w:w="2000" w:type="dxa"/>
            <w:vAlign w:val="bottom"/>
            <w:tcBorders>
              <w:top w:val="single" w:sz="8" w:color="CCEEFF"/>
            </w:tcBorders>
          </w:tcPr>
          <w:p>
            <w:pPr>
              <w:spacing w:after="0"/>
              <w:rPr>
                <w:sz w:val="15"/>
                <w:szCs w:val="15"/>
                <w:color w:val="auto"/>
              </w:rPr>
            </w:pPr>
          </w:p>
        </w:tc>
        <w:tc>
          <w:tcPr>
            <w:tcW w:w="160" w:type="dxa"/>
            <w:vAlign w:val="bottom"/>
            <w:tcBorders>
              <w:top w:val="single" w:sz="8" w:color="0000FF"/>
            </w:tcBorders>
            <w:gridSpan w:val="3"/>
          </w:tcPr>
          <w:p>
            <w:pPr>
              <w:jc w:val="right"/>
              <w:spacing w:after="0" w:line="175" w:lineRule="exact"/>
              <w:rPr>
                <w:sz w:val="20"/>
                <w:szCs w:val="20"/>
                <w:color w:val="auto"/>
              </w:rPr>
            </w:pPr>
            <w:r>
              <w:rPr>
                <w:rFonts w:ascii="Arial" w:cs="Arial" w:eastAsia="Arial" w:hAnsi="Arial"/>
                <w:sz w:val="16"/>
                <w:szCs w:val="16"/>
                <w:color w:val="0000FF"/>
                <w:w w:val="78"/>
              </w:rPr>
              <w:t>29</w:t>
            </w:r>
          </w:p>
        </w:tc>
        <w:tc>
          <w:tcPr>
            <w:tcW w:w="240" w:type="dxa"/>
            <w:vAlign w:val="bottom"/>
            <w:tcBorders>
              <w:top w:val="single" w:sz="8" w:color="CCEEFF"/>
            </w:tcBorders>
          </w:tcPr>
          <w:p>
            <w:pPr>
              <w:spacing w:after="0"/>
              <w:rPr>
                <w:sz w:val="15"/>
                <w:szCs w:val="15"/>
                <w:color w:val="auto"/>
              </w:rPr>
            </w:pPr>
          </w:p>
        </w:tc>
      </w:tr>
      <w:tr>
        <w:trPr>
          <w:trHeight w:val="20"/>
        </w:trPr>
        <w:tc>
          <w:tcPr>
            <w:tcW w:w="140" w:type="dxa"/>
            <w:vAlign w:val="bottom"/>
            <w:gridSpan w:val="2"/>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0" w:type="dxa"/>
            <w:vAlign w:val="bottom"/>
            <w:tcBorders>
              <w:top w:val="single" w:sz="8" w:color="0000FF"/>
            </w:tcBorders>
            <w:gridSpan w:val="19"/>
          </w:tcPr>
          <w:p>
            <w:pPr>
              <w:spacing w:after="0" w:line="20" w:lineRule="exact"/>
              <w:rPr>
                <w:sz w:val="1"/>
                <w:szCs w:val="1"/>
                <w:color w:val="auto"/>
              </w:rPr>
            </w:pPr>
          </w:p>
        </w:tc>
        <w:tc>
          <w:tcPr>
            <w:tcW w:w="8220" w:type="dxa"/>
            <w:vAlign w:val="bottom"/>
            <w:gridSpan w:val="30"/>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0000FF"/>
            </w:tcBorders>
            <w:gridSpan w:val="10"/>
            <w:shd w:val="clear" w:color="auto" w:fill="CCEEFF"/>
          </w:tcPr>
          <w:p>
            <w:pPr>
              <w:spacing w:after="0" w:line="175" w:lineRule="exact"/>
              <w:rPr>
                <w:sz w:val="20"/>
                <w:szCs w:val="20"/>
                <w:color w:val="auto"/>
              </w:rPr>
            </w:pPr>
            <w:r>
              <w:rPr>
                <w:rFonts w:ascii="Arial" w:cs="Arial" w:eastAsia="Arial" w:hAnsi="Arial"/>
                <w:sz w:val="16"/>
                <w:szCs w:val="16"/>
                <w:color w:val="0000FF"/>
                <w:w w:val="94"/>
              </w:rPr>
              <w:t>Part II - Other Information</w:t>
            </w:r>
          </w:p>
        </w:tc>
        <w:tc>
          <w:tcPr>
            <w:tcW w:w="7080" w:type="dxa"/>
            <w:vAlign w:val="bottom"/>
            <w:tcBorders>
              <w:bottom w:val="single" w:sz="8" w:color="CCEEFF"/>
            </w:tcBorders>
            <w:gridSpan w:val="42"/>
            <w:shd w:val="clear" w:color="auto" w:fill="CCEEFF"/>
          </w:tcPr>
          <w:p>
            <w:pPr>
              <w:spacing w:after="0"/>
              <w:rPr>
                <w:sz w:val="17"/>
                <w:szCs w:val="17"/>
                <w:color w:val="auto"/>
              </w:rPr>
            </w:pPr>
          </w:p>
        </w:tc>
        <w:tc>
          <w:tcPr>
            <w:tcW w:w="20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0000FF"/>
            </w:tcBorders>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w w:val="78"/>
              </w:rPr>
              <w:t>31</w:t>
            </w:r>
          </w:p>
        </w:tc>
        <w:tc>
          <w:tcPr>
            <w:tcW w:w="240" w:type="dxa"/>
            <w:vAlign w:val="bottom"/>
            <w:tcBorders>
              <w:bottom w:val="single" w:sz="8" w:color="CCEEFF"/>
            </w:tcBorders>
            <w:shd w:val="clear" w:color="auto" w:fill="CCEEFF"/>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tcPr>
          <w:p>
            <w:pPr>
              <w:spacing w:after="0" w:line="175" w:lineRule="exact"/>
              <w:rPr>
                <w:sz w:val="20"/>
                <w:szCs w:val="20"/>
                <w:color w:val="auto"/>
              </w:rPr>
            </w:pPr>
            <w:r>
              <w:rPr>
                <w:rFonts w:ascii="Arial" w:cs="Arial" w:eastAsia="Arial" w:hAnsi="Arial"/>
                <w:sz w:val="16"/>
                <w:szCs w:val="16"/>
                <w:color w:val="0000FF"/>
              </w:rPr>
              <w:t>Item 1.</w:t>
            </w:r>
          </w:p>
        </w:tc>
        <w:tc>
          <w:tcPr>
            <w:tcW w:w="7820" w:type="dxa"/>
            <w:vAlign w:val="bottom"/>
            <w:gridSpan w:val="48"/>
          </w:tcPr>
          <w:p>
            <w:pPr>
              <w:spacing w:after="0" w:line="175" w:lineRule="exact"/>
              <w:rPr>
                <w:sz w:val="20"/>
                <w:szCs w:val="20"/>
                <w:color w:val="auto"/>
              </w:rPr>
            </w:pPr>
            <w:r>
              <w:rPr>
                <w:rFonts w:ascii="Arial" w:cs="Arial" w:eastAsia="Arial" w:hAnsi="Arial"/>
                <w:sz w:val="16"/>
                <w:szCs w:val="16"/>
                <w:color w:val="0000FF"/>
              </w:rPr>
              <w:t>Legal Proceedings</w:t>
            </w:r>
          </w:p>
        </w:tc>
        <w:tc>
          <w:tcPr>
            <w:tcW w:w="2160" w:type="dxa"/>
            <w:vAlign w:val="bottom"/>
            <w:gridSpan w:val="4"/>
          </w:tcPr>
          <w:p>
            <w:pPr>
              <w:jc w:val="right"/>
              <w:spacing w:after="0" w:line="175" w:lineRule="exact"/>
              <w:rPr>
                <w:sz w:val="20"/>
                <w:szCs w:val="20"/>
                <w:color w:val="auto"/>
              </w:rPr>
            </w:pPr>
            <w:r>
              <w:rPr>
                <w:rFonts w:ascii="Arial" w:cs="Arial" w:eastAsia="Arial" w:hAnsi="Arial"/>
                <w:sz w:val="16"/>
                <w:szCs w:val="16"/>
                <w:color w:val="0000FF"/>
              </w:rPr>
              <w:t>31</w:t>
            </w:r>
          </w:p>
        </w:tc>
        <w:tc>
          <w:tcPr>
            <w:tcW w:w="240" w:type="dxa"/>
            <w:vAlign w:val="bottom"/>
          </w:tcPr>
          <w:p>
            <w:pPr>
              <w:spacing w:after="0"/>
              <w:rPr>
                <w:sz w:val="15"/>
                <w:szCs w:val="15"/>
                <w:color w:val="auto"/>
              </w:rPr>
            </w:pPr>
          </w:p>
        </w:tc>
      </w:tr>
      <w:tr>
        <w:trPr>
          <w:trHeight w:val="20"/>
        </w:trPr>
        <w:tc>
          <w:tcPr>
            <w:tcW w:w="140" w:type="dxa"/>
            <w:vAlign w:val="bottom"/>
            <w:gridSpan w:val="2"/>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0" w:type="dxa"/>
            <w:vAlign w:val="bottom"/>
            <w:tcBorders>
              <w:top w:val="single" w:sz="8" w:color="0000FF"/>
            </w:tcBorders>
            <w:gridSpan w:val="12"/>
          </w:tcPr>
          <w:p>
            <w:pPr>
              <w:spacing w:after="0" w:line="20" w:lineRule="exact"/>
              <w:rPr>
                <w:sz w:val="1"/>
                <w:szCs w:val="1"/>
                <w:color w:val="auto"/>
              </w:rPr>
            </w:pPr>
          </w:p>
        </w:tc>
        <w:tc>
          <w:tcPr>
            <w:tcW w:w="8620" w:type="dxa"/>
            <w:vAlign w:val="bottom"/>
            <w:gridSpan w:val="37"/>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color w:val="0000FF"/>
              </w:rPr>
              <w:t>Item 1A.</w:t>
            </w:r>
          </w:p>
        </w:tc>
        <w:tc>
          <w:tcPr>
            <w:tcW w:w="7820" w:type="dxa"/>
            <w:vAlign w:val="bottom"/>
            <w:gridSpan w:val="48"/>
            <w:shd w:val="clear" w:color="auto" w:fill="CCEEFF"/>
          </w:tcPr>
          <w:p>
            <w:pPr>
              <w:spacing w:after="0" w:line="175" w:lineRule="exact"/>
              <w:rPr>
                <w:sz w:val="20"/>
                <w:szCs w:val="20"/>
                <w:color w:val="auto"/>
              </w:rPr>
            </w:pPr>
            <w:r>
              <w:rPr>
                <w:rFonts w:ascii="Arial" w:cs="Arial" w:eastAsia="Arial" w:hAnsi="Arial"/>
                <w:sz w:val="16"/>
                <w:szCs w:val="16"/>
                <w:color w:val="0000FF"/>
              </w:rPr>
              <w:t>Risk Factors</w:t>
            </w:r>
          </w:p>
        </w:tc>
        <w:tc>
          <w:tcPr>
            <w:tcW w:w="2160" w:type="dxa"/>
            <w:vAlign w:val="bottom"/>
            <w:gridSpan w:val="4"/>
            <w:shd w:val="clear" w:color="auto" w:fill="CCEEFF"/>
          </w:tcPr>
          <w:p>
            <w:pPr>
              <w:jc w:val="right"/>
              <w:spacing w:after="0" w:line="175" w:lineRule="exact"/>
              <w:rPr>
                <w:sz w:val="20"/>
                <w:szCs w:val="20"/>
                <w:color w:val="auto"/>
              </w:rPr>
            </w:pPr>
            <w:r>
              <w:rPr>
                <w:rFonts w:ascii="Arial" w:cs="Arial" w:eastAsia="Arial" w:hAnsi="Arial"/>
                <w:sz w:val="16"/>
                <w:szCs w:val="16"/>
                <w:color w:val="0000FF"/>
              </w:rPr>
              <w:t>31</w:t>
            </w:r>
          </w:p>
        </w:tc>
        <w:tc>
          <w:tcPr>
            <w:tcW w:w="240" w:type="dxa"/>
            <w:vAlign w:val="bottom"/>
            <w:shd w:val="clear" w:color="auto" w:fill="CCEEFF"/>
          </w:tcPr>
          <w:p>
            <w:pPr>
              <w:spacing w:after="0"/>
              <w:rPr>
                <w:sz w:val="15"/>
                <w:szCs w:val="15"/>
                <w:color w:val="auto"/>
              </w:rPr>
            </w:pPr>
          </w:p>
        </w:tc>
      </w:tr>
      <w:tr>
        <w:trPr>
          <w:trHeight w:val="20"/>
        </w:trPr>
        <w:tc>
          <w:tcPr>
            <w:tcW w:w="140" w:type="dxa"/>
            <w:vAlign w:val="bottom"/>
            <w:tcBorders>
              <w:top w:val="single" w:sz="8" w:color="CCEEFF"/>
            </w:tcBorders>
            <w:gridSpan w:val="2"/>
            <w:shd w:val="clear" w:color="auto" w:fill="CCEEFF"/>
          </w:tcPr>
          <w:p>
            <w:pPr>
              <w:spacing w:after="0" w:line="20" w:lineRule="exact"/>
              <w:rPr>
                <w:sz w:val="1"/>
                <w:szCs w:val="1"/>
                <w:color w:val="auto"/>
              </w:rPr>
            </w:pPr>
          </w:p>
        </w:tc>
        <w:tc>
          <w:tcPr>
            <w:tcW w:w="560" w:type="dxa"/>
            <w:vAlign w:val="bottom"/>
            <w:tcBorders>
              <w:top w:val="single" w:sz="8" w:color="0000FF"/>
            </w:tcBorders>
            <w:gridSpan w:val="2"/>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FF"/>
            </w:tcBorders>
            <w:gridSpan w:val="7"/>
            <w:shd w:val="clear" w:color="auto" w:fill="CCEEFF"/>
          </w:tcPr>
          <w:p>
            <w:pPr>
              <w:spacing w:after="0" w:line="20" w:lineRule="exact"/>
              <w:rPr>
                <w:sz w:val="1"/>
                <w:szCs w:val="1"/>
                <w:color w:val="auto"/>
              </w:rPr>
            </w:pPr>
          </w:p>
        </w:tc>
        <w:tc>
          <w:tcPr>
            <w:tcW w:w="9000" w:type="dxa"/>
            <w:vAlign w:val="bottom"/>
            <w:tcBorders>
              <w:top w:val="single" w:sz="8" w:color="CCEEFF"/>
            </w:tcBorders>
            <w:gridSpan w:val="42"/>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spacing w:after="0" w:line="175" w:lineRule="exact"/>
              <w:rPr>
                <w:sz w:val="20"/>
                <w:szCs w:val="20"/>
                <w:color w:val="auto"/>
              </w:rPr>
            </w:pPr>
            <w:r>
              <w:rPr>
                <w:rFonts w:ascii="Arial" w:cs="Arial" w:eastAsia="Arial" w:hAnsi="Arial"/>
                <w:sz w:val="16"/>
                <w:szCs w:val="16"/>
                <w:color w:val="0000FF"/>
              </w:rPr>
              <w:t>Item 2.</w:t>
            </w:r>
          </w:p>
        </w:tc>
        <w:tc>
          <w:tcPr>
            <w:tcW w:w="320" w:type="dxa"/>
            <w:vAlign w:val="bottom"/>
          </w:tcPr>
          <w:p>
            <w:pPr>
              <w:spacing w:after="0"/>
              <w:rPr>
                <w:sz w:val="15"/>
                <w:szCs w:val="15"/>
                <w:color w:val="auto"/>
              </w:rPr>
            </w:pPr>
          </w:p>
        </w:tc>
        <w:tc>
          <w:tcPr>
            <w:tcW w:w="7820" w:type="dxa"/>
            <w:vAlign w:val="bottom"/>
            <w:gridSpan w:val="48"/>
          </w:tcPr>
          <w:p>
            <w:pPr>
              <w:spacing w:after="0" w:line="175" w:lineRule="exact"/>
              <w:rPr>
                <w:sz w:val="20"/>
                <w:szCs w:val="20"/>
                <w:color w:val="auto"/>
              </w:rPr>
            </w:pPr>
            <w:r>
              <w:rPr>
                <w:rFonts w:ascii="Arial" w:cs="Arial" w:eastAsia="Arial" w:hAnsi="Arial"/>
                <w:sz w:val="16"/>
                <w:szCs w:val="16"/>
                <w:color w:val="0000FF"/>
              </w:rPr>
              <w:t>Unregistered Sales of Equity Securities and Use of Proceeds</w:t>
            </w:r>
          </w:p>
        </w:tc>
        <w:tc>
          <w:tcPr>
            <w:tcW w:w="2160" w:type="dxa"/>
            <w:vAlign w:val="bottom"/>
            <w:gridSpan w:val="4"/>
          </w:tcPr>
          <w:p>
            <w:pPr>
              <w:jc w:val="right"/>
              <w:spacing w:after="0" w:line="175" w:lineRule="exact"/>
              <w:rPr>
                <w:sz w:val="20"/>
                <w:szCs w:val="20"/>
                <w:color w:val="auto"/>
              </w:rPr>
            </w:pPr>
            <w:r>
              <w:rPr>
                <w:rFonts w:ascii="Arial" w:cs="Arial" w:eastAsia="Arial" w:hAnsi="Arial"/>
                <w:sz w:val="16"/>
                <w:szCs w:val="16"/>
                <w:color w:val="0000FF"/>
              </w:rPr>
              <w:t>31</w:t>
            </w:r>
          </w:p>
        </w:tc>
        <w:tc>
          <w:tcPr>
            <w:tcW w:w="240" w:type="dxa"/>
            <w:vAlign w:val="bottom"/>
          </w:tcPr>
          <w:p>
            <w:pPr>
              <w:spacing w:after="0"/>
              <w:rPr>
                <w:sz w:val="15"/>
                <w:szCs w:val="15"/>
                <w:color w:val="auto"/>
              </w:rPr>
            </w:pPr>
          </w:p>
        </w:tc>
      </w:tr>
      <w:tr>
        <w:trPr>
          <w:trHeight w:val="20"/>
        </w:trPr>
        <w:tc>
          <w:tcPr>
            <w:tcW w:w="140" w:type="dxa"/>
            <w:vAlign w:val="bottom"/>
            <w:gridSpan w:val="2"/>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920" w:type="dxa"/>
            <w:vAlign w:val="bottom"/>
            <w:tcBorders>
              <w:top w:val="single" w:sz="8" w:color="0000FF"/>
            </w:tcBorders>
            <w:gridSpan w:val="45"/>
          </w:tcPr>
          <w:p>
            <w:pPr>
              <w:spacing w:after="0" w:line="20" w:lineRule="exact"/>
              <w:rPr>
                <w:sz w:val="1"/>
                <w:szCs w:val="1"/>
                <w:color w:val="auto"/>
              </w:rPr>
            </w:pPr>
          </w:p>
        </w:tc>
        <w:tc>
          <w:tcPr>
            <w:tcW w:w="5900" w:type="dxa"/>
            <w:vAlign w:val="bottom"/>
            <w:gridSpan w:val="4"/>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0000FF"/>
            </w:tcBorders>
            <w:shd w:val="clear" w:color="auto" w:fill="CCEEFF"/>
          </w:tcPr>
          <w:p>
            <w:pPr>
              <w:spacing w:after="0" w:line="175" w:lineRule="exact"/>
              <w:rPr>
                <w:sz w:val="20"/>
                <w:szCs w:val="20"/>
                <w:color w:val="auto"/>
              </w:rPr>
            </w:pPr>
            <w:r>
              <w:rPr>
                <w:rFonts w:ascii="Arial" w:cs="Arial" w:eastAsia="Arial" w:hAnsi="Arial"/>
                <w:sz w:val="16"/>
                <w:szCs w:val="16"/>
                <w:color w:val="0000FF"/>
                <w:w w:val="89"/>
              </w:rPr>
              <w:t>Item 3.</w:t>
            </w:r>
          </w:p>
        </w:tc>
        <w:tc>
          <w:tcPr>
            <w:tcW w:w="420" w:type="dxa"/>
            <w:vAlign w:val="bottom"/>
            <w:tcBorders>
              <w:bottom w:val="single" w:sz="8" w:color="CCEEFF"/>
            </w:tcBorders>
            <w:gridSpan w:val="2"/>
            <w:shd w:val="clear" w:color="auto" w:fill="CCEEFF"/>
          </w:tcPr>
          <w:p>
            <w:pPr>
              <w:spacing w:after="0"/>
              <w:rPr>
                <w:sz w:val="17"/>
                <w:szCs w:val="17"/>
                <w:color w:val="auto"/>
              </w:rPr>
            </w:pPr>
          </w:p>
        </w:tc>
        <w:tc>
          <w:tcPr>
            <w:tcW w:w="2100" w:type="dxa"/>
            <w:vAlign w:val="bottom"/>
            <w:tcBorders>
              <w:bottom w:val="single" w:sz="8" w:color="0000FF"/>
            </w:tcBorders>
            <w:gridSpan w:val="28"/>
            <w:shd w:val="clear" w:color="auto" w:fill="CCEEFF"/>
          </w:tcPr>
          <w:p>
            <w:pPr>
              <w:spacing w:after="0" w:line="175" w:lineRule="exact"/>
              <w:rPr>
                <w:sz w:val="20"/>
                <w:szCs w:val="20"/>
                <w:color w:val="auto"/>
              </w:rPr>
            </w:pPr>
            <w:r>
              <w:rPr>
                <w:rFonts w:ascii="Arial" w:cs="Arial" w:eastAsia="Arial" w:hAnsi="Arial"/>
                <w:sz w:val="16"/>
                <w:szCs w:val="16"/>
                <w:color w:val="0000FF"/>
                <w:w w:val="91"/>
              </w:rPr>
              <w:t>Defaults Upon Senior Securities</w:t>
            </w:r>
          </w:p>
        </w:tc>
        <w:tc>
          <w:tcPr>
            <w:tcW w:w="5720" w:type="dxa"/>
            <w:vAlign w:val="bottom"/>
            <w:tcBorders>
              <w:bottom w:val="single" w:sz="8" w:color="CCEEFF"/>
            </w:tcBorders>
            <w:gridSpan w:val="20"/>
            <w:shd w:val="clear" w:color="auto" w:fill="CCEEFF"/>
          </w:tcPr>
          <w:p>
            <w:pPr>
              <w:spacing w:after="0"/>
              <w:rPr>
                <w:sz w:val="17"/>
                <w:szCs w:val="17"/>
                <w:color w:val="auto"/>
              </w:rPr>
            </w:pPr>
          </w:p>
        </w:tc>
        <w:tc>
          <w:tcPr>
            <w:tcW w:w="20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0000FF"/>
            </w:tcBorders>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w w:val="78"/>
              </w:rPr>
              <w:t>31</w:t>
            </w:r>
          </w:p>
        </w:tc>
        <w:tc>
          <w:tcPr>
            <w:tcW w:w="240" w:type="dxa"/>
            <w:vAlign w:val="bottom"/>
            <w:tcBorders>
              <w:bottom w:val="single" w:sz="8" w:color="CCEEFF"/>
            </w:tcBorders>
            <w:shd w:val="clear" w:color="auto" w:fill="CCEEFF"/>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tcPr>
          <w:p>
            <w:pPr>
              <w:spacing w:after="0" w:line="175" w:lineRule="exact"/>
              <w:rPr>
                <w:sz w:val="20"/>
                <w:szCs w:val="20"/>
                <w:color w:val="auto"/>
              </w:rPr>
            </w:pPr>
            <w:r>
              <w:rPr>
                <w:rFonts w:ascii="Arial" w:cs="Arial" w:eastAsia="Arial" w:hAnsi="Arial"/>
                <w:sz w:val="16"/>
                <w:szCs w:val="16"/>
                <w:color w:val="0000FF"/>
              </w:rPr>
              <w:t>Item 4.</w:t>
            </w:r>
          </w:p>
        </w:tc>
        <w:tc>
          <w:tcPr>
            <w:tcW w:w="7820" w:type="dxa"/>
            <w:vAlign w:val="bottom"/>
            <w:gridSpan w:val="48"/>
          </w:tcPr>
          <w:p>
            <w:pPr>
              <w:spacing w:after="0" w:line="175" w:lineRule="exact"/>
              <w:rPr>
                <w:sz w:val="20"/>
                <w:szCs w:val="20"/>
                <w:color w:val="auto"/>
              </w:rPr>
            </w:pPr>
            <w:r>
              <w:rPr>
                <w:rFonts w:ascii="Arial" w:cs="Arial" w:eastAsia="Arial" w:hAnsi="Arial"/>
                <w:sz w:val="16"/>
                <w:szCs w:val="16"/>
                <w:color w:val="0000FF"/>
              </w:rPr>
              <w:t>Mine Safety Disclosures</w:t>
            </w:r>
          </w:p>
        </w:tc>
        <w:tc>
          <w:tcPr>
            <w:tcW w:w="2160" w:type="dxa"/>
            <w:vAlign w:val="bottom"/>
            <w:gridSpan w:val="4"/>
          </w:tcPr>
          <w:p>
            <w:pPr>
              <w:jc w:val="right"/>
              <w:spacing w:after="0" w:line="175" w:lineRule="exact"/>
              <w:rPr>
                <w:sz w:val="20"/>
                <w:szCs w:val="20"/>
                <w:color w:val="auto"/>
              </w:rPr>
            </w:pPr>
            <w:r>
              <w:rPr>
                <w:rFonts w:ascii="Arial" w:cs="Arial" w:eastAsia="Arial" w:hAnsi="Arial"/>
                <w:sz w:val="16"/>
                <w:szCs w:val="16"/>
                <w:color w:val="0000FF"/>
              </w:rPr>
              <w:t>31</w:t>
            </w:r>
          </w:p>
        </w:tc>
        <w:tc>
          <w:tcPr>
            <w:tcW w:w="240" w:type="dxa"/>
            <w:vAlign w:val="bottom"/>
          </w:tcPr>
          <w:p>
            <w:pPr>
              <w:spacing w:after="0"/>
              <w:rPr>
                <w:sz w:val="15"/>
                <w:szCs w:val="15"/>
                <w:color w:val="auto"/>
              </w:rPr>
            </w:pPr>
          </w:p>
        </w:tc>
      </w:tr>
      <w:tr>
        <w:trPr>
          <w:trHeight w:val="21"/>
        </w:trPr>
        <w:tc>
          <w:tcPr>
            <w:tcW w:w="140" w:type="dxa"/>
            <w:vAlign w:val="bottom"/>
            <w:gridSpan w:val="2"/>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0" w:type="dxa"/>
            <w:vAlign w:val="bottom"/>
            <w:tcBorders>
              <w:top w:val="single" w:sz="8" w:color="0000FF"/>
            </w:tcBorders>
            <w:gridSpan w:val="19"/>
          </w:tcPr>
          <w:p>
            <w:pPr>
              <w:spacing w:after="0" w:line="20" w:lineRule="exact"/>
              <w:rPr>
                <w:sz w:val="1"/>
                <w:szCs w:val="1"/>
                <w:color w:val="auto"/>
              </w:rPr>
            </w:pPr>
          </w:p>
        </w:tc>
        <w:tc>
          <w:tcPr>
            <w:tcW w:w="8220" w:type="dxa"/>
            <w:vAlign w:val="bottom"/>
            <w:gridSpan w:val="30"/>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line="175" w:lineRule="exact"/>
              <w:rPr>
                <w:sz w:val="20"/>
                <w:szCs w:val="20"/>
                <w:color w:val="auto"/>
              </w:rPr>
            </w:pPr>
            <w:r>
              <w:rPr>
                <w:rFonts w:ascii="Arial" w:cs="Arial" w:eastAsia="Arial" w:hAnsi="Arial"/>
                <w:sz w:val="16"/>
                <w:szCs w:val="16"/>
                <w:color w:val="0000FF"/>
                <w:w w:val="89"/>
              </w:rPr>
              <w:t>Item 5.</w:t>
            </w:r>
          </w:p>
        </w:tc>
        <w:tc>
          <w:tcPr>
            <w:tcW w:w="420" w:type="dxa"/>
            <w:vAlign w:val="bottom"/>
            <w:gridSpan w:val="2"/>
            <w:shd w:val="clear" w:color="auto" w:fill="CCEEFF"/>
          </w:tcPr>
          <w:p>
            <w:pPr>
              <w:spacing w:after="0"/>
              <w:rPr>
                <w:sz w:val="17"/>
                <w:szCs w:val="17"/>
                <w:color w:val="auto"/>
              </w:rPr>
            </w:pPr>
          </w:p>
        </w:tc>
        <w:tc>
          <w:tcPr>
            <w:tcW w:w="7820" w:type="dxa"/>
            <w:vAlign w:val="bottom"/>
            <w:gridSpan w:val="48"/>
            <w:shd w:val="clear" w:color="auto" w:fill="CCEEFF"/>
          </w:tcPr>
          <w:p>
            <w:pPr>
              <w:spacing w:after="0" w:line="175" w:lineRule="exact"/>
              <w:rPr>
                <w:sz w:val="20"/>
                <w:szCs w:val="20"/>
                <w:color w:val="auto"/>
              </w:rPr>
            </w:pPr>
            <w:r>
              <w:rPr>
                <w:rFonts w:ascii="Arial" w:cs="Arial" w:eastAsia="Arial" w:hAnsi="Arial"/>
                <w:sz w:val="16"/>
                <w:szCs w:val="16"/>
                <w:color w:val="0000FF"/>
              </w:rPr>
              <w:t>Other Information</w:t>
            </w:r>
          </w:p>
        </w:tc>
        <w:tc>
          <w:tcPr>
            <w:tcW w:w="2160" w:type="dxa"/>
            <w:vAlign w:val="bottom"/>
            <w:gridSpan w:val="4"/>
            <w:shd w:val="clear" w:color="auto" w:fill="CCEEFF"/>
          </w:tcPr>
          <w:p>
            <w:pPr>
              <w:jc w:val="right"/>
              <w:spacing w:after="0" w:line="175" w:lineRule="exact"/>
              <w:rPr>
                <w:sz w:val="20"/>
                <w:szCs w:val="20"/>
                <w:color w:val="auto"/>
              </w:rPr>
            </w:pPr>
            <w:r>
              <w:rPr>
                <w:rFonts w:ascii="Arial" w:cs="Arial" w:eastAsia="Arial" w:hAnsi="Arial"/>
                <w:sz w:val="16"/>
                <w:szCs w:val="16"/>
                <w:color w:val="0000FF"/>
              </w:rPr>
              <w:t>31</w:t>
            </w:r>
          </w:p>
        </w:tc>
        <w:tc>
          <w:tcPr>
            <w:tcW w:w="240" w:type="dxa"/>
            <w:vAlign w:val="bottom"/>
            <w:shd w:val="clear" w:color="auto" w:fill="CCEEFF"/>
          </w:tcPr>
          <w:p>
            <w:pPr>
              <w:spacing w:after="0"/>
              <w:rPr>
                <w:sz w:val="17"/>
                <w:szCs w:val="17"/>
                <w:color w:val="auto"/>
              </w:rPr>
            </w:pPr>
          </w:p>
        </w:tc>
      </w:tr>
      <w:tr>
        <w:trPr>
          <w:trHeight w:val="175"/>
        </w:trPr>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60" w:type="dxa"/>
            <w:vAlign w:val="bottom"/>
            <w:tcBorders>
              <w:top w:val="single" w:sz="8" w:color="0000FF"/>
            </w:tcBorders>
          </w:tcPr>
          <w:p>
            <w:pPr>
              <w:spacing w:after="0" w:line="175" w:lineRule="exact"/>
              <w:rPr>
                <w:sz w:val="20"/>
                <w:szCs w:val="20"/>
                <w:color w:val="auto"/>
              </w:rPr>
            </w:pPr>
            <w:r>
              <w:rPr>
                <w:rFonts w:ascii="Arial" w:cs="Arial" w:eastAsia="Arial" w:hAnsi="Arial"/>
                <w:sz w:val="16"/>
                <w:szCs w:val="16"/>
                <w:color w:val="0000FF"/>
                <w:w w:val="89"/>
              </w:rPr>
              <w:t>Item 6.</w:t>
            </w:r>
          </w:p>
        </w:tc>
        <w:tc>
          <w:tcPr>
            <w:tcW w:w="420" w:type="dxa"/>
            <w:vAlign w:val="bottom"/>
            <w:tcBorders>
              <w:top w:val="single" w:sz="8" w:color="CCEEFF"/>
            </w:tcBorders>
            <w:gridSpan w:val="2"/>
          </w:tcPr>
          <w:p>
            <w:pPr>
              <w:spacing w:after="0"/>
              <w:rPr>
                <w:sz w:val="15"/>
                <w:szCs w:val="15"/>
                <w:color w:val="auto"/>
              </w:rPr>
            </w:pPr>
          </w:p>
        </w:tc>
        <w:tc>
          <w:tcPr>
            <w:tcW w:w="1180" w:type="dxa"/>
            <w:vAlign w:val="bottom"/>
            <w:tcBorders>
              <w:top w:val="single" w:sz="8" w:color="0000FF"/>
            </w:tcBorders>
            <w:gridSpan w:val="11"/>
          </w:tcPr>
          <w:p>
            <w:pPr>
              <w:spacing w:after="0" w:line="175" w:lineRule="exact"/>
              <w:rPr>
                <w:sz w:val="20"/>
                <w:szCs w:val="20"/>
                <w:color w:val="auto"/>
              </w:rPr>
            </w:pPr>
            <w:r>
              <w:rPr>
                <w:rFonts w:ascii="Arial" w:cs="Arial" w:eastAsia="Arial" w:hAnsi="Arial"/>
                <w:sz w:val="16"/>
                <w:szCs w:val="16"/>
                <w:color w:val="0000FF"/>
              </w:rPr>
              <w:t>Exhibits</w:t>
            </w:r>
          </w:p>
        </w:tc>
        <w:tc>
          <w:tcPr>
            <w:tcW w:w="6640" w:type="dxa"/>
            <w:vAlign w:val="bottom"/>
            <w:tcBorders>
              <w:top w:val="single" w:sz="8" w:color="CCEEFF"/>
            </w:tcBorders>
            <w:gridSpan w:val="37"/>
          </w:tcPr>
          <w:p>
            <w:pPr>
              <w:spacing w:after="0"/>
              <w:rPr>
                <w:sz w:val="15"/>
                <w:szCs w:val="15"/>
                <w:color w:val="auto"/>
              </w:rPr>
            </w:pPr>
          </w:p>
        </w:tc>
        <w:tc>
          <w:tcPr>
            <w:tcW w:w="2000" w:type="dxa"/>
            <w:vAlign w:val="bottom"/>
            <w:tcBorders>
              <w:top w:val="single" w:sz="8" w:color="CCEEFF"/>
            </w:tcBorders>
          </w:tcPr>
          <w:p>
            <w:pPr>
              <w:spacing w:after="0"/>
              <w:rPr>
                <w:sz w:val="15"/>
                <w:szCs w:val="15"/>
                <w:color w:val="auto"/>
              </w:rPr>
            </w:pPr>
          </w:p>
        </w:tc>
        <w:tc>
          <w:tcPr>
            <w:tcW w:w="160" w:type="dxa"/>
            <w:vAlign w:val="bottom"/>
            <w:tcBorders>
              <w:top w:val="single" w:sz="8" w:color="0000FF"/>
            </w:tcBorders>
            <w:gridSpan w:val="3"/>
          </w:tcPr>
          <w:p>
            <w:pPr>
              <w:jc w:val="right"/>
              <w:spacing w:after="0" w:line="175" w:lineRule="exact"/>
              <w:rPr>
                <w:sz w:val="20"/>
                <w:szCs w:val="20"/>
                <w:color w:val="auto"/>
              </w:rPr>
            </w:pPr>
            <w:r>
              <w:rPr>
                <w:rFonts w:ascii="Arial" w:cs="Arial" w:eastAsia="Arial" w:hAnsi="Arial"/>
                <w:sz w:val="16"/>
                <w:szCs w:val="16"/>
                <w:color w:val="0000FF"/>
                <w:w w:val="78"/>
              </w:rPr>
              <w:t>32</w:t>
            </w:r>
          </w:p>
        </w:tc>
        <w:tc>
          <w:tcPr>
            <w:tcW w:w="240" w:type="dxa"/>
            <w:vAlign w:val="bottom"/>
            <w:tcBorders>
              <w:top w:val="single" w:sz="8" w:color="CCEEFF"/>
            </w:tcBorders>
          </w:tcPr>
          <w:p>
            <w:pPr>
              <w:spacing w:after="0"/>
              <w:rPr>
                <w:sz w:val="15"/>
                <w:szCs w:val="15"/>
                <w:color w:val="auto"/>
              </w:rPr>
            </w:pPr>
          </w:p>
        </w:tc>
      </w:tr>
      <w:tr>
        <w:trPr>
          <w:trHeight w:val="20"/>
        </w:trPr>
        <w:tc>
          <w:tcPr>
            <w:tcW w:w="140" w:type="dxa"/>
            <w:vAlign w:val="bottom"/>
            <w:gridSpan w:val="2"/>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 w:type="dxa"/>
            <w:vAlign w:val="bottom"/>
            <w:tcBorders>
              <w:top w:val="single" w:sz="8" w:color="0000FF"/>
            </w:tcBorders>
            <w:gridSpan w:val="4"/>
          </w:tcPr>
          <w:p>
            <w:pPr>
              <w:spacing w:after="0" w:line="20" w:lineRule="exact"/>
              <w:rPr>
                <w:sz w:val="1"/>
                <w:szCs w:val="1"/>
                <w:color w:val="auto"/>
              </w:rPr>
            </w:pPr>
          </w:p>
        </w:tc>
        <w:tc>
          <w:tcPr>
            <w:tcW w:w="9280" w:type="dxa"/>
            <w:vAlign w:val="bottom"/>
            <w:gridSpan w:val="45"/>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20" w:type="dxa"/>
            <w:vAlign w:val="bottom"/>
            <w:gridSpan w:val="48"/>
            <w:shd w:val="clear" w:color="auto" w:fill="CCEEFF"/>
          </w:tcPr>
          <w:p>
            <w:pPr>
              <w:spacing w:after="0" w:line="175" w:lineRule="exact"/>
              <w:rPr>
                <w:sz w:val="20"/>
                <w:szCs w:val="20"/>
                <w:color w:val="auto"/>
              </w:rPr>
            </w:pPr>
            <w:r>
              <w:rPr>
                <w:rFonts w:ascii="Arial" w:cs="Arial" w:eastAsia="Arial" w:hAnsi="Arial"/>
                <w:sz w:val="16"/>
                <w:szCs w:val="16"/>
                <w:color w:val="0000FF"/>
              </w:rPr>
              <w:t>Signatures</w:t>
            </w:r>
          </w:p>
        </w:tc>
        <w:tc>
          <w:tcPr>
            <w:tcW w:w="2160" w:type="dxa"/>
            <w:vAlign w:val="bottom"/>
            <w:gridSpan w:val="4"/>
            <w:shd w:val="clear" w:color="auto" w:fill="CCEEFF"/>
          </w:tcPr>
          <w:p>
            <w:pPr>
              <w:jc w:val="right"/>
              <w:spacing w:after="0" w:line="175" w:lineRule="exact"/>
              <w:rPr>
                <w:sz w:val="20"/>
                <w:szCs w:val="20"/>
                <w:color w:val="auto"/>
              </w:rPr>
            </w:pPr>
            <w:r>
              <w:rPr>
                <w:rFonts w:ascii="Arial" w:cs="Arial" w:eastAsia="Arial" w:hAnsi="Arial"/>
                <w:sz w:val="16"/>
                <w:szCs w:val="16"/>
                <w:color w:val="0000FF"/>
              </w:rPr>
              <w:t>33</w:t>
            </w:r>
          </w:p>
        </w:tc>
        <w:tc>
          <w:tcPr>
            <w:tcW w:w="240" w:type="dxa"/>
            <w:vAlign w:val="bottom"/>
            <w:shd w:val="clear" w:color="auto" w:fill="CCEEFF"/>
          </w:tcPr>
          <w:p>
            <w:pPr>
              <w:spacing w:after="0"/>
              <w:rPr>
                <w:sz w:val="15"/>
                <w:szCs w:val="15"/>
                <w:color w:val="auto"/>
              </w:rPr>
            </w:pPr>
          </w:p>
        </w:tc>
      </w:tr>
      <w:tr>
        <w:trPr>
          <w:trHeight w:val="20"/>
        </w:trPr>
        <w:tc>
          <w:tcPr>
            <w:tcW w:w="1020" w:type="dxa"/>
            <w:vAlign w:val="bottom"/>
            <w:tcBorders>
              <w:top w:val="single" w:sz="8" w:color="CCEEFF"/>
            </w:tcBorders>
            <w:gridSpan w:val="5"/>
            <w:shd w:val="clear" w:color="auto" w:fill="CCEEFF"/>
          </w:tcPr>
          <w:p>
            <w:pPr>
              <w:spacing w:after="0" w:line="20" w:lineRule="exact"/>
              <w:rPr>
                <w:sz w:val="1"/>
                <w:szCs w:val="1"/>
                <w:color w:val="auto"/>
              </w:rPr>
            </w:pPr>
          </w:p>
        </w:tc>
        <w:tc>
          <w:tcPr>
            <w:tcW w:w="680" w:type="dxa"/>
            <w:vAlign w:val="bottom"/>
            <w:tcBorders>
              <w:top w:val="single" w:sz="8" w:color="0000FF"/>
            </w:tcBorders>
            <w:gridSpan w:val="5"/>
            <w:shd w:val="clear" w:color="auto" w:fill="CCEEFF"/>
          </w:tcPr>
          <w:p>
            <w:pPr>
              <w:spacing w:after="0" w:line="20" w:lineRule="exact"/>
              <w:rPr>
                <w:sz w:val="1"/>
                <w:szCs w:val="1"/>
                <w:color w:val="auto"/>
              </w:rPr>
            </w:pPr>
          </w:p>
        </w:tc>
        <w:tc>
          <w:tcPr>
            <w:tcW w:w="9140" w:type="dxa"/>
            <w:vAlign w:val="bottom"/>
            <w:tcBorders>
              <w:top w:val="single" w:sz="8" w:color="CCEEFF"/>
            </w:tcBorders>
            <w:gridSpan w:val="44"/>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E32E1"/>
        </w:rPr>
        <w:t>Table of Contents</w:t>
      </w:r>
    </w:p>
    <w:p>
      <w:pPr>
        <w:spacing w:after="0" w:line="200" w:lineRule="exact"/>
        <w:rPr>
          <w:sz w:val="20"/>
          <w:szCs w:val="20"/>
          <w:color w:val="auto"/>
        </w:rPr>
      </w:pPr>
    </w:p>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Telos Corporation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6"/>
          <w:szCs w:val="16"/>
          <w:i w:val="1"/>
          <w:i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color w:val="auto"/>
              </w:rPr>
              <w:t>For the Three Months Ended</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color w:val="auto"/>
              </w:rPr>
              <w:t>For the Nine Months Ended</w:t>
            </w:r>
          </w:p>
        </w:tc>
      </w:tr>
      <w:tr>
        <w:trPr>
          <w:trHeight w:val="209"/>
        </w:trPr>
        <w:tc>
          <w:tcPr>
            <w:tcW w:w="4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September 30, 2022</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September 30, 2021</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September 30, 2022</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September 30, 2021</w:t>
            </w:r>
          </w:p>
        </w:tc>
      </w:tr>
      <w:tr>
        <w:trPr>
          <w:trHeight w:val="214"/>
        </w:trPr>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5"/>
          </w:tcPr>
          <w:p>
            <w:pPr>
              <w:ind w:left="300"/>
              <w:spacing w:after="0"/>
              <w:rPr>
                <w:sz w:val="20"/>
                <w:szCs w:val="20"/>
                <w:color w:val="auto"/>
              </w:rPr>
            </w:pPr>
            <w:r>
              <w:rPr>
                <w:rFonts w:ascii="Arial" w:cs="Arial" w:eastAsia="Arial" w:hAnsi="Arial"/>
                <w:sz w:val="14"/>
                <w:szCs w:val="14"/>
                <w:i w:val="1"/>
                <w:iCs w:val="1"/>
                <w:color w:val="auto"/>
              </w:rPr>
              <w:t>(in thousands, except per share amounts)</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6"/>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6"/>
        </w:trPr>
        <w:tc>
          <w:tcPr>
            <w:tcW w:w="4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Revenue – services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153,683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164,016</w:t>
            </w:r>
          </w:p>
        </w:tc>
      </w:tr>
      <w:tr>
        <w:trPr>
          <w:trHeight w:val="213"/>
        </w:trPr>
        <w:tc>
          <w:tcPr>
            <w:tcW w:w="46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Revenue – products</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8,288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6,026</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15,861</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14,367</w:t>
            </w:r>
          </w:p>
        </w:tc>
      </w:tr>
      <w:tr>
        <w:trPr>
          <w:trHeight w:val="213"/>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63,593</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68,981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169,544</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178,383</w:t>
            </w:r>
          </w:p>
        </w:tc>
      </w:tr>
      <w:tr>
        <w:trPr>
          <w:trHeight w:val="206"/>
        </w:trPr>
        <w:tc>
          <w:tcPr>
            <w:tcW w:w="4660" w:type="dxa"/>
            <w:vAlign w:val="bottom"/>
          </w:tcPr>
          <w:p>
            <w:pPr>
              <w:ind w:left="140"/>
              <w:spacing w:after="0"/>
              <w:rPr>
                <w:sz w:val="20"/>
                <w:szCs w:val="20"/>
                <w:color w:val="auto"/>
              </w:rPr>
            </w:pPr>
            <w:r>
              <w:rPr>
                <w:rFonts w:ascii="Arial" w:cs="Arial" w:eastAsia="Arial" w:hAnsi="Arial"/>
                <w:sz w:val="16"/>
                <w:szCs w:val="16"/>
                <w:color w:val="auto"/>
              </w:rPr>
              <w:t>Cost of sales – services</w:t>
            </w: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36,746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40,137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97,913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108,236</w:t>
            </w:r>
          </w:p>
        </w:tc>
      </w:tr>
      <w:tr>
        <w:trPr>
          <w:trHeight w:val="233"/>
        </w:trPr>
        <w:tc>
          <w:tcPr>
            <w:tcW w:w="4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Cost of sales – products</w:t>
            </w:r>
          </w:p>
        </w:tc>
        <w:tc>
          <w:tcPr>
            <w:tcW w:w="1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5,902</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3,967</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10,886</w:t>
            </w: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8,266</w:t>
            </w:r>
          </w:p>
        </w:tc>
      </w:tr>
      <w:tr>
        <w:trPr>
          <w:trHeight w:val="207"/>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cost of sales</w:t>
            </w: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42,648</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44,104</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108,799</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116,502</w:t>
            </w:r>
          </w:p>
        </w:tc>
      </w:tr>
      <w:tr>
        <w:trPr>
          <w:trHeight w:val="212"/>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61,881</w:t>
            </w:r>
          </w:p>
        </w:tc>
      </w:tr>
      <w:tr>
        <w:trPr>
          <w:trHeight w:val="213"/>
        </w:trPr>
        <w:tc>
          <w:tcPr>
            <w:tcW w:w="466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9"/>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Sales and marketing</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14,233</w:t>
            </w:r>
          </w:p>
        </w:tc>
      </w:tr>
      <w:tr>
        <w:trPr>
          <w:trHeight w:val="213"/>
        </w:trPr>
        <w:tc>
          <w:tcPr>
            <w:tcW w:w="4660" w:type="dxa"/>
            <w:vAlign w:val="bottom"/>
          </w:tcPr>
          <w:p>
            <w:pPr>
              <w:ind w:left="220"/>
              <w:spacing w:after="0"/>
              <w:rPr>
                <w:sz w:val="20"/>
                <w:szCs w:val="20"/>
                <w:color w:val="auto"/>
              </w:rPr>
            </w:pPr>
            <w:r>
              <w:rPr>
                <w:rFonts w:ascii="Arial" w:cs="Arial" w:eastAsia="Arial" w:hAnsi="Arial"/>
                <w:sz w:val="16"/>
                <w:szCs w:val="16"/>
                <w:color w:val="auto"/>
              </w:rPr>
              <w:t>Research and development</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3,981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4,863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13,900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14,250</w:t>
            </w:r>
          </w:p>
        </w:tc>
      </w:tr>
      <w:tr>
        <w:trPr>
          <w:trHeight w:val="219"/>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21,591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19,739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68,379</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69,452</w:t>
            </w:r>
          </w:p>
        </w:tc>
      </w:tr>
      <w:tr>
        <w:trPr>
          <w:trHeight w:val="207"/>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selling, general and administrative expenses</w:t>
            </w: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28,614</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29,965</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95,314</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97,935</w:t>
            </w:r>
          </w:p>
        </w:tc>
      </w:tr>
      <w:tr>
        <w:trPr>
          <w:trHeight w:val="213"/>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loss</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(36,054)</w:t>
            </w:r>
          </w:p>
        </w:tc>
      </w:tr>
      <w:tr>
        <w:trPr>
          <w:trHeight w:val="213"/>
        </w:trPr>
        <w:tc>
          <w:tcPr>
            <w:tcW w:w="4660" w:type="dxa"/>
            <w:vAlign w:val="bottom"/>
          </w:tcPr>
          <w:p>
            <w:pPr>
              <w:ind w:left="140"/>
              <w:spacing w:after="0"/>
              <w:rPr>
                <w:sz w:val="20"/>
                <w:szCs w:val="20"/>
                <w:color w:val="auto"/>
              </w:rPr>
            </w:pPr>
            <w:r>
              <w:rPr>
                <w:rFonts w:ascii="Arial" w:cs="Arial" w:eastAsia="Arial" w:hAnsi="Arial"/>
                <w:sz w:val="16"/>
                <w:szCs w:val="16"/>
                <w:color w:val="auto"/>
              </w:rPr>
              <w:t>Other income/(expense)</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(1,001)</w:t>
            </w:r>
          </w:p>
        </w:tc>
      </w:tr>
      <w:tr>
        <w:trPr>
          <w:trHeight w:val="219"/>
        </w:trPr>
        <w:tc>
          <w:tcPr>
            <w:tcW w:w="4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w:t>
            </w:r>
          </w:p>
        </w:tc>
      </w:tr>
      <w:tr>
        <w:trPr>
          <w:trHeight w:val="207"/>
        </w:trPr>
        <w:tc>
          <w:tcPr>
            <w:tcW w:w="466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(7,332)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(5,263)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(34,479)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(37,638)</w:t>
            </w:r>
          </w:p>
        </w:tc>
      </w:tr>
      <w:tr>
        <w:trPr>
          <w:trHeight w:val="219"/>
        </w:trPr>
        <w:tc>
          <w:tcPr>
            <w:tcW w:w="4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(Provision for)/benefit from income taxes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06"/>
        </w:trPr>
        <w:tc>
          <w:tcPr>
            <w:tcW w:w="46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(7,340)</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(5,222)</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(34,612)</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(37,644)</w:t>
            </w: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86"/>
        </w:trPr>
        <w:tc>
          <w:tcPr>
            <w:tcW w:w="4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213"/>
        </w:trPr>
        <w:tc>
          <w:tcPr>
            <w:tcW w:w="4660" w:type="dxa"/>
            <w:vAlign w:val="bottom"/>
          </w:tcPr>
          <w:p>
            <w:pPr>
              <w:ind w:left="20"/>
              <w:spacing w:after="0"/>
              <w:rPr>
                <w:sz w:val="20"/>
                <w:szCs w:val="20"/>
                <w:color w:val="auto"/>
              </w:rPr>
            </w:pPr>
            <w:r>
              <w:rPr>
                <w:rFonts w:ascii="Arial" w:cs="Arial" w:eastAsia="Arial" w:hAnsi="Arial"/>
                <w:sz w:val="16"/>
                <w:szCs w:val="16"/>
                <w:color w:val="auto"/>
              </w:rPr>
              <w:t>Net loss per share:</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9"/>
        </w:trPr>
        <w:tc>
          <w:tcPr>
            <w:tcW w:w="4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(0.57)</w:t>
            </w:r>
          </w:p>
        </w:tc>
      </w:tr>
      <w:tr>
        <w:trPr>
          <w:trHeight w:val="213"/>
        </w:trPr>
        <w:tc>
          <w:tcPr>
            <w:tcW w:w="4660" w:type="dxa"/>
            <w:vAlign w:val="bottom"/>
          </w:tcPr>
          <w:p>
            <w:pPr>
              <w:ind w:left="140"/>
              <w:spacing w:after="0"/>
              <w:rPr>
                <w:sz w:val="20"/>
                <w:szCs w:val="20"/>
                <w:color w:val="auto"/>
              </w:rPr>
            </w:pPr>
            <w:r>
              <w:rPr>
                <w:rFonts w:ascii="Arial" w:cs="Arial" w:eastAsia="Arial" w:hAnsi="Arial"/>
                <w:sz w:val="16"/>
                <w:szCs w:val="16"/>
                <w:color w:val="auto"/>
              </w:rPr>
              <w:t>Diluted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(0.11)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(0.08)</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(0.51)</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(0.57)</w:t>
            </w:r>
          </w:p>
        </w:tc>
      </w:tr>
      <w:tr>
        <w:trPr>
          <w:trHeight w:val="219"/>
        </w:trPr>
        <w:tc>
          <w:tcPr>
            <w:tcW w:w="4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3"/>
        </w:trPr>
        <w:tc>
          <w:tcPr>
            <w:tcW w:w="4660" w:type="dxa"/>
            <w:vAlign w:val="bottom"/>
          </w:tcPr>
          <w:p>
            <w:pPr>
              <w:ind w:left="20"/>
              <w:spacing w:after="0"/>
              <w:rPr>
                <w:sz w:val="20"/>
                <w:szCs w:val="20"/>
                <w:color w:val="auto"/>
              </w:rPr>
            </w:pPr>
            <w:r>
              <w:rPr>
                <w:rFonts w:ascii="Arial" w:cs="Arial" w:eastAsia="Arial" w:hAnsi="Arial"/>
                <w:sz w:val="16"/>
                <w:szCs w:val="16"/>
                <w:color w:val="auto"/>
              </w:rPr>
              <w:t>Weighted average shares outstanding:</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9"/>
        </w:trPr>
        <w:tc>
          <w:tcPr>
            <w:tcW w:w="4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67,493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66,755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67,641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65,999</w:t>
            </w:r>
          </w:p>
        </w:tc>
      </w:tr>
      <w:tr>
        <w:trPr>
          <w:trHeight w:val="210"/>
        </w:trPr>
        <w:tc>
          <w:tcPr>
            <w:tcW w:w="4660" w:type="dxa"/>
            <w:vAlign w:val="bottom"/>
          </w:tcPr>
          <w:p>
            <w:pPr>
              <w:ind w:left="140"/>
              <w:spacing w:after="0"/>
              <w:rPr>
                <w:sz w:val="20"/>
                <w:szCs w:val="20"/>
                <w:color w:val="auto"/>
              </w:rPr>
            </w:pPr>
            <w:r>
              <w:rPr>
                <w:rFonts w:ascii="Arial" w:cs="Arial" w:eastAsia="Arial" w:hAnsi="Arial"/>
                <w:sz w:val="16"/>
                <w:szCs w:val="16"/>
                <w:color w:val="auto"/>
              </w:rPr>
              <w:t>Diluted</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67,493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66,755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67,641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65,999</w:t>
            </w:r>
          </w:p>
        </w:tc>
      </w:tr>
    </w:tbl>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E32E1"/>
        </w:rPr>
        <w:t>Table of Contents</w:t>
      </w:r>
    </w:p>
    <w:p>
      <w:pPr>
        <w:spacing w:after="0" w:line="200" w:lineRule="exact"/>
        <w:rPr>
          <w:sz w:val="20"/>
          <w:szCs w:val="20"/>
          <w:color w:val="auto"/>
        </w:rPr>
      </w:pPr>
    </w:p>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Telos Corporation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6"/>
          <w:szCs w:val="16"/>
          <w:i w:val="1"/>
          <w:i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581"/>
              <w:spacing w:after="0"/>
              <w:rPr>
                <w:sz w:val="20"/>
                <w:szCs w:val="20"/>
                <w:color w:val="auto"/>
              </w:rPr>
            </w:pPr>
            <w:r>
              <w:rPr>
                <w:rFonts w:ascii="Arial" w:cs="Arial" w:eastAsia="Arial" w:hAnsi="Arial"/>
                <w:sz w:val="16"/>
                <w:szCs w:val="16"/>
                <w:color w:val="auto"/>
              </w:rPr>
              <w:t>For the Three Months Ended</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color w:val="auto"/>
              </w:rPr>
              <w:t>For the Nine Months Ended</w:t>
            </w:r>
          </w:p>
        </w:tc>
      </w:tr>
      <w:tr>
        <w:trPr>
          <w:trHeight w:val="209"/>
        </w:trPr>
        <w:tc>
          <w:tcPr>
            <w:tcW w:w="4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September 30, 2022</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September 30, 2021</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September 30, 2022</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September 30, 2021</w:t>
            </w:r>
          </w:p>
        </w:tc>
      </w:tr>
      <w:tr>
        <w:trPr>
          <w:trHeight w:val="214"/>
        </w:trPr>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5"/>
          </w:tcPr>
          <w:p>
            <w:pPr>
              <w:ind w:left="108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6"/>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(37,644)</w:t>
            </w:r>
          </w:p>
        </w:tc>
      </w:tr>
      <w:tr>
        <w:trPr>
          <w:trHeight w:val="213"/>
        </w:trPr>
        <w:tc>
          <w:tcPr>
            <w:tcW w:w="4660" w:type="dxa"/>
            <w:vAlign w:val="bottom"/>
          </w:tcPr>
          <w:p>
            <w:pPr>
              <w:ind w:left="20"/>
              <w:spacing w:after="0"/>
              <w:rPr>
                <w:sz w:val="20"/>
                <w:szCs w:val="20"/>
                <w:color w:val="auto"/>
              </w:rPr>
            </w:pPr>
            <w:r>
              <w:rPr>
                <w:rFonts w:ascii="Arial" w:cs="Arial" w:eastAsia="Arial" w:hAnsi="Arial"/>
                <w:sz w:val="16"/>
                <w:szCs w:val="16"/>
                <w:color w:val="auto"/>
              </w:rPr>
              <w:t>Other comprehensive loss, net of tax:</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9"/>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 adjustments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07"/>
        </w:trPr>
        <w:tc>
          <w:tcPr>
            <w:tcW w:w="4660" w:type="dxa"/>
            <w:vAlign w:val="bottom"/>
          </w:tcPr>
          <w:p>
            <w:pPr>
              <w:ind w:left="20"/>
              <w:spacing w:after="0"/>
              <w:rPr>
                <w:sz w:val="20"/>
                <w:szCs w:val="20"/>
                <w:color w:val="auto"/>
              </w:rPr>
            </w:pPr>
            <w:r>
              <w:rPr>
                <w:rFonts w:ascii="Arial" w:cs="Arial" w:eastAsia="Arial" w:hAnsi="Arial"/>
                <w:sz w:val="16"/>
                <w:szCs w:val="16"/>
                <w:color w:val="auto"/>
              </w:rPr>
              <w:t>Comprehensive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(7,361)</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(5,235)</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(34,615)</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(37,684)</w:t>
            </w:r>
          </w:p>
        </w:tc>
      </w:tr>
      <w:tr>
        <w:trPr>
          <w:trHeight w:val="23"/>
        </w:trPr>
        <w:tc>
          <w:tcPr>
            <w:tcW w:w="46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E32E1"/>
        </w:rPr>
        <w:t>Table of Contents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Telos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97"/>
              </w:rPr>
              <w:t>September 30, 2022</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99"/>
              </w:rPr>
              <w:t>December 31, 2021</w:t>
            </w:r>
          </w:p>
        </w:tc>
        <w:tc>
          <w:tcPr>
            <w:tcW w:w="0" w:type="dxa"/>
            <w:vAlign w:val="bottom"/>
          </w:tcPr>
          <w:p>
            <w:pPr>
              <w:spacing w:after="0"/>
              <w:rPr>
                <w:sz w:val="1"/>
                <w:szCs w:val="1"/>
                <w:color w:val="auto"/>
              </w:rPr>
            </w:pPr>
          </w:p>
        </w:tc>
      </w:tr>
      <w:tr>
        <w:trPr>
          <w:trHeight w:val="214"/>
        </w:trPr>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20" w:type="dxa"/>
            <w:vAlign w:val="bottom"/>
            <w:gridSpan w:val="4"/>
          </w:tcPr>
          <w:p>
            <w:pPr>
              <w:jc w:val="right"/>
              <w:ind w:right="679"/>
              <w:spacing w:after="0"/>
              <w:rPr>
                <w:sz w:val="20"/>
                <w:szCs w:val="20"/>
                <w:color w:val="auto"/>
              </w:rPr>
            </w:pPr>
            <w:r>
              <w:rPr>
                <w:rFonts w:ascii="Arial" w:cs="Arial" w:eastAsia="Arial" w:hAnsi="Arial"/>
                <w:sz w:val="14"/>
                <w:szCs w:val="14"/>
                <w:i w:val="1"/>
                <w:iCs w:val="1"/>
                <w:color w:val="auto"/>
              </w:rPr>
              <w:t>(in thousands, except per share and share data)</w:t>
            </w:r>
          </w:p>
        </w:tc>
        <w:tc>
          <w:tcPr>
            <w:tcW w:w="0" w:type="dxa"/>
            <w:vAlign w:val="bottom"/>
          </w:tcPr>
          <w:p>
            <w:pPr>
              <w:spacing w:after="0"/>
              <w:rPr>
                <w:sz w:val="1"/>
                <w:szCs w:val="1"/>
                <w:color w:val="auto"/>
              </w:rPr>
            </w:pPr>
          </w:p>
        </w:tc>
      </w:tr>
      <w:tr>
        <w:trPr>
          <w:trHeight w:val="26"/>
        </w:trPr>
        <w:tc>
          <w:tcPr>
            <w:tcW w:w="2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00" w:type="dxa"/>
            <w:vAlign w:val="bottom"/>
            <w:gridSpan w:val="3"/>
          </w:tcPr>
          <w:p>
            <w:pPr>
              <w:ind w:left="14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125,332</w:t>
            </w:r>
          </w:p>
        </w:tc>
        <w:tc>
          <w:tcPr>
            <w:tcW w:w="16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126,562</w:t>
            </w:r>
          </w:p>
        </w:tc>
        <w:tc>
          <w:tcPr>
            <w:tcW w:w="0" w:type="dxa"/>
            <w:vAlign w:val="bottom"/>
          </w:tcPr>
          <w:p>
            <w:pPr>
              <w:spacing w:after="0"/>
              <w:rPr>
                <w:sz w:val="1"/>
                <w:szCs w:val="1"/>
                <w:color w:val="auto"/>
              </w:rPr>
            </w:pPr>
          </w:p>
        </w:tc>
      </w:tr>
      <w:tr>
        <w:trPr>
          <w:trHeight w:val="219"/>
        </w:trPr>
        <w:tc>
          <w:tcPr>
            <w:tcW w:w="70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Accounts receivable, net</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50,983</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59,844</w:t>
            </w:r>
          </w:p>
        </w:tc>
        <w:tc>
          <w:tcPr>
            <w:tcW w:w="0" w:type="dxa"/>
            <w:vAlign w:val="bottom"/>
          </w:tcPr>
          <w:p>
            <w:pPr>
              <w:spacing w:after="0"/>
              <w:rPr>
                <w:sz w:val="1"/>
                <w:szCs w:val="1"/>
                <w:color w:val="auto"/>
              </w:rPr>
            </w:pPr>
          </w:p>
        </w:tc>
      </w:tr>
      <w:tr>
        <w:trPr>
          <w:trHeight w:val="213"/>
        </w:trPr>
        <w:tc>
          <w:tcPr>
            <w:tcW w:w="7000" w:type="dxa"/>
            <w:vAlign w:val="bottom"/>
            <w:gridSpan w:val="3"/>
          </w:tcPr>
          <w:p>
            <w:pPr>
              <w:ind w:left="140"/>
              <w:spacing w:after="0"/>
              <w:rPr>
                <w:sz w:val="20"/>
                <w:szCs w:val="20"/>
                <w:color w:val="auto"/>
              </w:rPr>
            </w:pPr>
            <w:r>
              <w:rPr>
                <w:rFonts w:ascii="Arial" w:cs="Arial" w:eastAsia="Arial" w:hAnsi="Arial"/>
                <w:sz w:val="16"/>
                <w:szCs w:val="16"/>
                <w:color w:val="auto"/>
              </w:rPr>
              <w:t>Inventories, net</w:t>
            </w: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4,676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1,247</w:t>
            </w:r>
          </w:p>
        </w:tc>
        <w:tc>
          <w:tcPr>
            <w:tcW w:w="0" w:type="dxa"/>
            <w:vAlign w:val="bottom"/>
          </w:tcPr>
          <w:p>
            <w:pPr>
              <w:spacing w:after="0"/>
              <w:rPr>
                <w:sz w:val="1"/>
                <w:szCs w:val="1"/>
                <w:color w:val="auto"/>
              </w:rPr>
            </w:pPr>
          </w:p>
        </w:tc>
      </w:tr>
      <w:tr>
        <w:trPr>
          <w:trHeight w:val="219"/>
        </w:trPr>
        <w:tc>
          <w:tcPr>
            <w:tcW w:w="70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Prepaid expenses</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6,069</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3,329</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gridSpan w:val="3"/>
          </w:tcPr>
          <w:p>
            <w:pPr>
              <w:ind w:left="14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930</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732</w:t>
            </w:r>
          </w:p>
        </w:tc>
        <w:tc>
          <w:tcPr>
            <w:tcW w:w="0" w:type="dxa"/>
            <w:vAlign w:val="bottom"/>
          </w:tcPr>
          <w:p>
            <w:pPr>
              <w:spacing w:after="0"/>
              <w:rPr>
                <w:sz w:val="1"/>
                <w:szCs w:val="1"/>
                <w:color w:val="auto"/>
              </w:rPr>
            </w:pPr>
          </w:p>
        </w:tc>
      </w:tr>
      <w:tr>
        <w:trPr>
          <w:trHeight w:val="212"/>
        </w:trPr>
        <w:tc>
          <w:tcPr>
            <w:tcW w:w="70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Total current assets</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187,990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191,714</w:t>
            </w:r>
          </w:p>
        </w:tc>
        <w:tc>
          <w:tcPr>
            <w:tcW w:w="0" w:type="dxa"/>
            <w:vAlign w:val="bottom"/>
          </w:tcPr>
          <w:p>
            <w:pPr>
              <w:spacing w:after="0"/>
              <w:rPr>
                <w:sz w:val="1"/>
                <w:szCs w:val="1"/>
                <w:color w:val="auto"/>
              </w:rPr>
            </w:pPr>
          </w:p>
        </w:tc>
      </w:tr>
      <w:tr>
        <w:trPr>
          <w:trHeight w:val="213"/>
        </w:trPr>
        <w:tc>
          <w:tcPr>
            <w:tcW w:w="7000" w:type="dxa"/>
            <w:vAlign w:val="bottom"/>
            <w:gridSpan w:val="3"/>
          </w:tcPr>
          <w:p>
            <w:pPr>
              <w:ind w:left="20"/>
              <w:spacing w:after="0"/>
              <w:rPr>
                <w:sz w:val="20"/>
                <w:szCs w:val="20"/>
                <w:color w:val="auto"/>
              </w:rPr>
            </w:pPr>
            <w:r>
              <w:rPr>
                <w:rFonts w:ascii="Arial" w:cs="Arial" w:eastAsia="Arial" w:hAnsi="Arial"/>
                <w:sz w:val="16"/>
                <w:szCs w:val="16"/>
                <w:color w:val="auto"/>
              </w:rPr>
              <w:t>Property and equipment, net</w:t>
            </w: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5,128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6,088</w:t>
            </w:r>
          </w:p>
        </w:tc>
        <w:tc>
          <w:tcPr>
            <w:tcW w:w="0" w:type="dxa"/>
            <w:vAlign w:val="bottom"/>
          </w:tcPr>
          <w:p>
            <w:pPr>
              <w:spacing w:after="0"/>
              <w:rPr>
                <w:sz w:val="1"/>
                <w:szCs w:val="1"/>
                <w:color w:val="auto"/>
              </w:rPr>
            </w:pPr>
          </w:p>
        </w:tc>
      </w:tr>
      <w:tr>
        <w:trPr>
          <w:trHeight w:val="219"/>
        </w:trPr>
        <w:tc>
          <w:tcPr>
            <w:tcW w:w="70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Finance lease right-of-use assets, net</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8,137</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9,053</w:t>
            </w:r>
          </w:p>
        </w:tc>
        <w:tc>
          <w:tcPr>
            <w:tcW w:w="0" w:type="dxa"/>
            <w:vAlign w:val="bottom"/>
          </w:tcPr>
          <w:p>
            <w:pPr>
              <w:spacing w:after="0"/>
              <w:rPr>
                <w:sz w:val="1"/>
                <w:szCs w:val="1"/>
                <w:color w:val="auto"/>
              </w:rPr>
            </w:pPr>
          </w:p>
        </w:tc>
      </w:tr>
      <w:tr>
        <w:trPr>
          <w:trHeight w:val="213"/>
        </w:trPr>
        <w:tc>
          <w:tcPr>
            <w:tcW w:w="7000" w:type="dxa"/>
            <w:vAlign w:val="bottom"/>
            <w:gridSpan w:val="3"/>
          </w:tcPr>
          <w:p>
            <w:pPr>
              <w:ind w:left="20"/>
              <w:spacing w:after="0"/>
              <w:rPr>
                <w:sz w:val="20"/>
                <w:szCs w:val="20"/>
                <w:color w:val="auto"/>
              </w:rPr>
            </w:pPr>
            <w:r>
              <w:rPr>
                <w:rFonts w:ascii="Arial" w:cs="Arial" w:eastAsia="Arial" w:hAnsi="Arial"/>
                <w:sz w:val="16"/>
                <w:szCs w:val="16"/>
                <w:color w:val="auto"/>
              </w:rPr>
              <w:t>Operating lease right-of-use assets</w:t>
            </w: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456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852</w:t>
            </w:r>
          </w:p>
        </w:tc>
        <w:tc>
          <w:tcPr>
            <w:tcW w:w="0" w:type="dxa"/>
            <w:vAlign w:val="bottom"/>
          </w:tcPr>
          <w:p>
            <w:pPr>
              <w:spacing w:after="0"/>
              <w:rPr>
                <w:sz w:val="1"/>
                <w:szCs w:val="1"/>
                <w:color w:val="auto"/>
              </w:rPr>
            </w:pPr>
          </w:p>
        </w:tc>
      </w:tr>
      <w:tr>
        <w:trPr>
          <w:trHeight w:val="219"/>
        </w:trPr>
        <w:tc>
          <w:tcPr>
            <w:tcW w:w="70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17,922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17,922</w:t>
            </w:r>
          </w:p>
        </w:tc>
        <w:tc>
          <w:tcPr>
            <w:tcW w:w="0" w:type="dxa"/>
            <w:vAlign w:val="bottom"/>
          </w:tcPr>
          <w:p>
            <w:pPr>
              <w:spacing w:after="0"/>
              <w:rPr>
                <w:sz w:val="1"/>
                <w:szCs w:val="1"/>
                <w:color w:val="auto"/>
              </w:rPr>
            </w:pPr>
          </w:p>
        </w:tc>
      </w:tr>
      <w:tr>
        <w:trPr>
          <w:trHeight w:val="213"/>
        </w:trPr>
        <w:tc>
          <w:tcPr>
            <w:tcW w:w="7000" w:type="dxa"/>
            <w:vAlign w:val="bottom"/>
            <w:gridSpan w:val="3"/>
          </w:tcPr>
          <w:p>
            <w:pPr>
              <w:ind w:left="20"/>
              <w:spacing w:after="0"/>
              <w:rPr>
                <w:sz w:val="20"/>
                <w:szCs w:val="20"/>
                <w:color w:val="auto"/>
              </w:rPr>
            </w:pPr>
            <w:r>
              <w:rPr>
                <w:rFonts w:ascii="Arial" w:cs="Arial" w:eastAsia="Arial" w:hAnsi="Arial"/>
                <w:sz w:val="16"/>
                <w:szCs w:val="16"/>
                <w:color w:val="auto"/>
              </w:rPr>
              <w:t>Intangible assets, net</w:t>
            </w: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26,858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19,199</w:t>
            </w:r>
          </w:p>
        </w:tc>
        <w:tc>
          <w:tcPr>
            <w:tcW w:w="0" w:type="dxa"/>
            <w:vAlign w:val="bottom"/>
          </w:tcPr>
          <w:p>
            <w:pPr>
              <w:spacing w:after="0"/>
              <w:rPr>
                <w:sz w:val="1"/>
                <w:szCs w:val="1"/>
                <w:color w:val="auto"/>
              </w:rPr>
            </w:pPr>
          </w:p>
        </w:tc>
      </w:tr>
      <w:tr>
        <w:trPr>
          <w:trHeight w:val="219"/>
        </w:trPr>
        <w:tc>
          <w:tcPr>
            <w:tcW w:w="70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1,253</w:t>
            </w:r>
          </w:p>
        </w:tc>
        <w:tc>
          <w:tcPr>
            <w:tcW w:w="0" w:type="dxa"/>
            <w:vAlign w:val="bottom"/>
          </w:tcPr>
          <w:p>
            <w:pPr>
              <w:spacing w:after="0"/>
              <w:rPr>
                <w:sz w:val="1"/>
                <w:szCs w:val="1"/>
                <w:color w:val="auto"/>
              </w:rPr>
            </w:pPr>
          </w:p>
        </w:tc>
      </w:tr>
      <w:tr>
        <w:trPr>
          <w:trHeight w:val="207"/>
        </w:trPr>
        <w:tc>
          <w:tcPr>
            <w:tcW w:w="7000" w:type="dxa"/>
            <w:vAlign w:val="bottom"/>
            <w:gridSpan w:val="3"/>
          </w:tcPr>
          <w:p>
            <w:pPr>
              <w:ind w:left="36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247,399</w:t>
            </w:r>
          </w:p>
        </w:tc>
        <w:tc>
          <w:tcPr>
            <w:tcW w:w="16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246,081</w:t>
            </w:r>
          </w:p>
        </w:tc>
        <w:tc>
          <w:tcPr>
            <w:tcW w:w="0" w:type="dxa"/>
            <w:vAlign w:val="bottom"/>
          </w:tcPr>
          <w:p>
            <w:pPr>
              <w:spacing w:after="0"/>
              <w:rPr>
                <w:sz w:val="1"/>
                <w:szCs w:val="1"/>
                <w:color w:val="auto"/>
              </w:rPr>
            </w:pPr>
          </w:p>
        </w:tc>
      </w:tr>
      <w:tr>
        <w:trPr>
          <w:trHeight w:val="20"/>
        </w:trPr>
        <w:tc>
          <w:tcPr>
            <w:tcW w:w="23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00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000" w:type="dxa"/>
            <w:vAlign w:val="bottom"/>
            <w:gridSpan w:val="3"/>
          </w:tcPr>
          <w:p>
            <w:pPr>
              <w:ind w:left="140"/>
              <w:spacing w:after="0"/>
              <w:rPr>
                <w:sz w:val="20"/>
                <w:szCs w:val="20"/>
                <w:color w:val="auto"/>
              </w:rPr>
            </w:pPr>
            <w:r>
              <w:rPr>
                <w:rFonts w:ascii="Arial" w:cs="Arial" w:eastAsia="Arial" w:hAnsi="Arial"/>
                <w:sz w:val="16"/>
                <w:szCs w:val="16"/>
                <w:color w:val="auto"/>
              </w:rPr>
              <w:t>Liabilities:</w:t>
            </w: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0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Accounts payable and other accrued liabilities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37,583</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34,548</w:t>
            </w:r>
          </w:p>
        </w:tc>
        <w:tc>
          <w:tcPr>
            <w:tcW w:w="0" w:type="dxa"/>
            <w:vAlign w:val="bottom"/>
          </w:tcPr>
          <w:p>
            <w:pPr>
              <w:spacing w:after="0"/>
              <w:rPr>
                <w:sz w:val="1"/>
                <w:szCs w:val="1"/>
                <w:color w:val="auto"/>
              </w:rPr>
            </w:pPr>
          </w:p>
        </w:tc>
      </w:tr>
      <w:tr>
        <w:trPr>
          <w:trHeight w:val="213"/>
        </w:trPr>
        <w:tc>
          <w:tcPr>
            <w:tcW w:w="7000" w:type="dxa"/>
            <w:vAlign w:val="bottom"/>
            <w:gridSpan w:val="3"/>
          </w:tcPr>
          <w:p>
            <w:pPr>
              <w:ind w:left="260"/>
              <w:spacing w:after="0"/>
              <w:rPr>
                <w:sz w:val="20"/>
                <w:szCs w:val="20"/>
                <w:color w:val="auto"/>
              </w:rPr>
            </w:pPr>
            <w:r>
              <w:rPr>
                <w:rFonts w:ascii="Arial" w:cs="Arial" w:eastAsia="Arial" w:hAnsi="Arial"/>
                <w:sz w:val="16"/>
                <w:szCs w:val="16"/>
                <w:color w:val="auto"/>
              </w:rPr>
              <w:t>Accrued compensation and benefits</w:t>
            </w: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8,941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6,557</w:t>
            </w:r>
          </w:p>
        </w:tc>
        <w:tc>
          <w:tcPr>
            <w:tcW w:w="0" w:type="dxa"/>
            <w:vAlign w:val="bottom"/>
          </w:tcPr>
          <w:p>
            <w:pPr>
              <w:spacing w:after="0"/>
              <w:rPr>
                <w:sz w:val="1"/>
                <w:szCs w:val="1"/>
                <w:color w:val="auto"/>
              </w:rPr>
            </w:pPr>
          </w:p>
        </w:tc>
      </w:tr>
      <w:tr>
        <w:trPr>
          <w:trHeight w:val="219"/>
        </w:trPr>
        <w:tc>
          <w:tcPr>
            <w:tcW w:w="700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Contract liabilities</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6,381</w:t>
            </w:r>
          </w:p>
        </w:tc>
        <w:tc>
          <w:tcPr>
            <w:tcW w:w="0" w:type="dxa"/>
            <w:vAlign w:val="bottom"/>
          </w:tcPr>
          <w:p>
            <w:pPr>
              <w:spacing w:after="0"/>
              <w:rPr>
                <w:sz w:val="1"/>
                <w:szCs w:val="1"/>
                <w:color w:val="auto"/>
              </w:rPr>
            </w:pPr>
          </w:p>
        </w:tc>
      </w:tr>
      <w:tr>
        <w:trPr>
          <w:trHeight w:val="213"/>
        </w:trPr>
        <w:tc>
          <w:tcPr>
            <w:tcW w:w="7000" w:type="dxa"/>
            <w:vAlign w:val="bottom"/>
            <w:gridSpan w:val="3"/>
          </w:tcPr>
          <w:p>
            <w:pPr>
              <w:ind w:left="260"/>
              <w:spacing w:after="0"/>
              <w:rPr>
                <w:sz w:val="20"/>
                <w:szCs w:val="20"/>
                <w:color w:val="auto"/>
              </w:rPr>
            </w:pPr>
            <w:r>
              <w:rPr>
                <w:rFonts w:ascii="Arial" w:cs="Arial" w:eastAsia="Arial" w:hAnsi="Arial"/>
                <w:sz w:val="16"/>
                <w:szCs w:val="16"/>
                <w:color w:val="auto"/>
              </w:rPr>
              <w:t>Finance lease obligations, current portion</w:t>
            </w: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1,558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1,461</w:t>
            </w:r>
          </w:p>
        </w:tc>
        <w:tc>
          <w:tcPr>
            <w:tcW w:w="0" w:type="dxa"/>
            <w:vAlign w:val="bottom"/>
          </w:tcPr>
          <w:p>
            <w:pPr>
              <w:spacing w:after="0"/>
              <w:rPr>
                <w:sz w:val="1"/>
                <w:szCs w:val="1"/>
                <w:color w:val="auto"/>
              </w:rPr>
            </w:pPr>
          </w:p>
        </w:tc>
      </w:tr>
      <w:tr>
        <w:trPr>
          <w:trHeight w:val="219"/>
        </w:trPr>
        <w:tc>
          <w:tcPr>
            <w:tcW w:w="700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Operating lease obligations, current portion</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gridSpan w:val="3"/>
          </w:tcPr>
          <w:p>
            <w:pPr>
              <w:ind w:left="260"/>
              <w:spacing w:after="0"/>
              <w:rPr>
                <w:sz w:val="20"/>
                <w:szCs w:val="20"/>
                <w:color w:val="auto"/>
              </w:rPr>
            </w:pPr>
            <w:r>
              <w:rPr>
                <w:rFonts w:ascii="Arial" w:cs="Arial" w:eastAsia="Arial" w:hAnsi="Arial"/>
                <w:sz w:val="16"/>
                <w:szCs w:val="16"/>
                <w:color w:val="auto"/>
              </w:rPr>
              <w:t>Other current liabilities</w:t>
            </w: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1,972</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1,430</w:t>
            </w:r>
          </w:p>
        </w:tc>
        <w:tc>
          <w:tcPr>
            <w:tcW w:w="0" w:type="dxa"/>
            <w:vAlign w:val="bottom"/>
          </w:tcPr>
          <w:p>
            <w:pPr>
              <w:spacing w:after="0"/>
              <w:rPr>
                <w:sz w:val="1"/>
                <w:szCs w:val="1"/>
                <w:color w:val="auto"/>
              </w:rPr>
            </w:pPr>
          </w:p>
        </w:tc>
      </w:tr>
      <w:tr>
        <w:trPr>
          <w:trHeight w:val="213"/>
        </w:trPr>
        <w:tc>
          <w:tcPr>
            <w:tcW w:w="700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Total current liabilities</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57,414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50,941</w:t>
            </w:r>
          </w:p>
        </w:tc>
        <w:tc>
          <w:tcPr>
            <w:tcW w:w="0" w:type="dxa"/>
            <w:vAlign w:val="bottom"/>
          </w:tcPr>
          <w:p>
            <w:pPr>
              <w:spacing w:after="0"/>
              <w:rPr>
                <w:sz w:val="1"/>
                <w:szCs w:val="1"/>
                <w:color w:val="auto"/>
              </w:rPr>
            </w:pPr>
          </w:p>
        </w:tc>
      </w:tr>
      <w:tr>
        <w:trPr>
          <w:trHeight w:val="213"/>
        </w:trPr>
        <w:tc>
          <w:tcPr>
            <w:tcW w:w="7000" w:type="dxa"/>
            <w:vAlign w:val="bottom"/>
            <w:gridSpan w:val="3"/>
          </w:tcPr>
          <w:p>
            <w:pPr>
              <w:ind w:left="240"/>
              <w:spacing w:after="0"/>
              <w:rPr>
                <w:sz w:val="20"/>
                <w:szCs w:val="20"/>
                <w:color w:val="auto"/>
              </w:rPr>
            </w:pPr>
            <w:r>
              <w:rPr>
                <w:rFonts w:ascii="Arial" w:cs="Arial" w:eastAsia="Arial" w:hAnsi="Arial"/>
                <w:sz w:val="16"/>
                <w:szCs w:val="16"/>
                <w:color w:val="auto"/>
              </w:rPr>
              <w:t>Finance lease obligations, non-current portion</w:t>
            </w: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11,660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12,840</w:t>
            </w:r>
          </w:p>
        </w:tc>
        <w:tc>
          <w:tcPr>
            <w:tcW w:w="0" w:type="dxa"/>
            <w:vAlign w:val="bottom"/>
          </w:tcPr>
          <w:p>
            <w:pPr>
              <w:spacing w:after="0"/>
              <w:rPr>
                <w:sz w:val="1"/>
                <w:szCs w:val="1"/>
                <w:color w:val="auto"/>
              </w:rPr>
            </w:pPr>
          </w:p>
        </w:tc>
      </w:tr>
      <w:tr>
        <w:trPr>
          <w:trHeight w:val="219"/>
        </w:trPr>
        <w:tc>
          <w:tcPr>
            <w:tcW w:w="70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Operating lease liabilities, non-current portion</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13"/>
        </w:trPr>
        <w:tc>
          <w:tcPr>
            <w:tcW w:w="7000" w:type="dxa"/>
            <w:vAlign w:val="bottom"/>
            <w:gridSpan w:val="3"/>
          </w:tcPr>
          <w:p>
            <w:pPr>
              <w:ind w:left="24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748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723</w:t>
            </w:r>
          </w:p>
        </w:tc>
        <w:tc>
          <w:tcPr>
            <w:tcW w:w="0" w:type="dxa"/>
            <w:vAlign w:val="bottom"/>
          </w:tcPr>
          <w:p>
            <w:pPr>
              <w:spacing w:after="0"/>
              <w:rPr>
                <w:sz w:val="1"/>
                <w:szCs w:val="1"/>
                <w:color w:val="auto"/>
              </w:rPr>
            </w:pPr>
          </w:p>
        </w:tc>
      </w:tr>
      <w:tr>
        <w:trPr>
          <w:trHeight w:val="219"/>
        </w:trPr>
        <w:tc>
          <w:tcPr>
            <w:tcW w:w="70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935</w:t>
            </w:r>
          </w:p>
        </w:tc>
        <w:tc>
          <w:tcPr>
            <w:tcW w:w="0" w:type="dxa"/>
            <w:vAlign w:val="bottom"/>
          </w:tcPr>
          <w:p>
            <w:pPr>
              <w:spacing w:after="0"/>
              <w:rPr>
                <w:sz w:val="1"/>
                <w:szCs w:val="1"/>
                <w:color w:val="auto"/>
              </w:rPr>
            </w:pPr>
          </w:p>
        </w:tc>
      </w:tr>
      <w:tr>
        <w:trPr>
          <w:trHeight w:val="206"/>
        </w:trPr>
        <w:tc>
          <w:tcPr>
            <w:tcW w:w="7000" w:type="dxa"/>
            <w:vAlign w:val="bottom"/>
            <w:tcBorders>
              <w:bottom w:val="single" w:sz="8" w:color="CCEEFF"/>
            </w:tcBorders>
            <w:gridSpan w:val="3"/>
          </w:tcPr>
          <w:p>
            <w:pPr>
              <w:ind w:left="36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70,366</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65,827</w:t>
            </w:r>
          </w:p>
        </w:tc>
        <w:tc>
          <w:tcPr>
            <w:tcW w:w="0" w:type="dxa"/>
            <w:vAlign w:val="bottom"/>
          </w:tcPr>
          <w:p>
            <w:pPr>
              <w:spacing w:after="0"/>
              <w:rPr>
                <w:sz w:val="1"/>
                <w:szCs w:val="1"/>
                <w:color w:val="auto"/>
              </w:rPr>
            </w:pPr>
          </w:p>
        </w:tc>
      </w:tr>
      <w:tr>
        <w:trPr>
          <w:trHeight w:val="179"/>
        </w:trPr>
        <w:tc>
          <w:tcPr>
            <w:tcW w:w="7000" w:type="dxa"/>
            <w:vAlign w:val="bottom"/>
            <w:gridSpan w:val="3"/>
            <w:shd w:val="clear" w:color="auto" w:fill="CCEEFF"/>
          </w:tcPr>
          <w:p>
            <w:pPr>
              <w:ind w:left="140"/>
              <w:spacing w:after="0" w:line="158" w:lineRule="exact"/>
              <w:rPr>
                <w:sz w:val="20"/>
                <w:szCs w:val="20"/>
                <w:color w:val="auto"/>
              </w:rPr>
            </w:pPr>
            <w:r>
              <w:rPr>
                <w:rFonts w:ascii="Arial" w:cs="Arial" w:eastAsia="Arial" w:hAnsi="Arial"/>
                <w:sz w:val="16"/>
                <w:szCs w:val="16"/>
                <w:color w:val="auto"/>
              </w:rPr>
              <w:t>Commitments and contingencies (</w:t>
            </w:r>
            <w:r>
              <w:rPr>
                <w:rFonts w:ascii="Arial" w:cs="Arial" w:eastAsia="Arial" w:hAnsi="Arial"/>
                <w:sz w:val="16"/>
                <w:szCs w:val="16"/>
                <w:color w:val="0000FF"/>
              </w:rPr>
              <w:t>Note 19</w:t>
            </w:r>
            <w:r>
              <w:rPr>
                <w:rFonts w:ascii="Arial" w:cs="Arial" w:eastAsia="Arial" w:hAnsi="Arial"/>
                <w:sz w:val="16"/>
                <w:szCs w:val="16"/>
                <w:color w:val="auto"/>
              </w:rPr>
              <w:t>)</w:t>
            </w:r>
          </w:p>
        </w:tc>
        <w:tc>
          <w:tcPr>
            <w:tcW w:w="22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360" w:type="dxa"/>
            <w:vAlign w:val="bottom"/>
            <w:tcBorders>
              <w:top w:val="single" w:sz="8" w:color="CCEEFF"/>
            </w:tcBorders>
          </w:tcPr>
          <w:p>
            <w:pPr>
              <w:ind w:left="140"/>
              <w:spacing w:after="0"/>
              <w:rPr>
                <w:sz w:val="20"/>
                <w:szCs w:val="20"/>
                <w:color w:val="auto"/>
              </w:rPr>
            </w:pPr>
            <w:r>
              <w:rPr>
                <w:rFonts w:ascii="Arial" w:cs="Arial" w:eastAsia="Arial" w:hAnsi="Arial"/>
                <w:sz w:val="16"/>
                <w:szCs w:val="16"/>
                <w:color w:val="auto"/>
              </w:rPr>
              <w:t>Stockholders’ equity</w:t>
            </w:r>
          </w:p>
        </w:tc>
        <w:tc>
          <w:tcPr>
            <w:tcW w:w="500" w:type="dxa"/>
            <w:vAlign w:val="bottom"/>
            <w:tcBorders>
              <w:top w:val="single" w:sz="8" w:color="0000FF"/>
            </w:tcBorders>
          </w:tcPr>
          <w:p>
            <w:pPr>
              <w:spacing w:after="0"/>
              <w:rPr>
                <w:sz w:val="18"/>
                <w:szCs w:val="18"/>
                <w:color w:val="auto"/>
              </w:rPr>
            </w:pPr>
          </w:p>
        </w:tc>
        <w:tc>
          <w:tcPr>
            <w:tcW w:w="4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000" w:type="dxa"/>
            <w:vAlign w:val="bottom"/>
            <w:gridSpan w:val="3"/>
            <w:shd w:val="clear" w:color="auto" w:fill="CCEEFF"/>
          </w:tcPr>
          <w:p>
            <w:pPr>
              <w:ind w:left="240"/>
              <w:spacing w:after="0" w:line="169" w:lineRule="exact"/>
              <w:rPr>
                <w:sz w:val="20"/>
                <w:szCs w:val="20"/>
                <w:color w:val="auto"/>
              </w:rPr>
            </w:pPr>
            <w:r>
              <w:rPr>
                <w:rFonts w:ascii="Arial" w:cs="Arial" w:eastAsia="Arial" w:hAnsi="Arial"/>
                <w:sz w:val="16"/>
                <w:szCs w:val="16"/>
                <w:color w:val="auto"/>
                <w:w w:val="93"/>
              </w:rPr>
              <w:t>Common stock, $0.001 par value, 250,000,000 shares authorized, 67,300,099 shares and 66,767,450</w:t>
            </w:r>
          </w:p>
        </w:tc>
        <w:tc>
          <w:tcPr>
            <w:tcW w:w="220" w:type="dxa"/>
            <w:vAlign w:val="bottom"/>
            <w:shd w:val="clear" w:color="auto" w:fill="CCEEFF"/>
          </w:tcPr>
          <w:p>
            <w:pPr>
              <w:spacing w:after="0"/>
              <w:rPr>
                <w:sz w:val="14"/>
                <w:szCs w:val="14"/>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2"/>
        </w:trPr>
        <w:tc>
          <w:tcPr>
            <w:tcW w:w="70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w w:val="99"/>
              </w:rPr>
              <w:t>shares issued and outstanding as of September 30, 2022 and December 31, 2021, respectively</w:t>
            </w:r>
          </w:p>
        </w:tc>
        <w:tc>
          <w:tcPr>
            <w:tcW w:w="220" w:type="dxa"/>
            <w:vAlign w:val="bottom"/>
            <w:shd w:val="clear" w:color="auto" w:fill="CCEEFF"/>
          </w:tcPr>
          <w:p>
            <w:pPr>
              <w:spacing w:after="0"/>
              <w:rPr>
                <w:sz w:val="18"/>
                <w:szCs w:val="18"/>
                <w:color w:val="auto"/>
              </w:rPr>
            </w:pPr>
          </w:p>
        </w:tc>
        <w:tc>
          <w:tcPr>
            <w:tcW w:w="17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00" w:type="dxa"/>
            <w:vAlign w:val="bottom"/>
            <w:gridSpan w:val="3"/>
          </w:tcPr>
          <w:p>
            <w:pPr>
              <w:ind w:left="24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398,546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367,153</w:t>
            </w:r>
          </w:p>
        </w:tc>
        <w:tc>
          <w:tcPr>
            <w:tcW w:w="0" w:type="dxa"/>
            <w:vAlign w:val="bottom"/>
          </w:tcPr>
          <w:p>
            <w:pPr>
              <w:spacing w:after="0"/>
              <w:rPr>
                <w:sz w:val="1"/>
                <w:szCs w:val="1"/>
                <w:color w:val="auto"/>
              </w:rPr>
            </w:pPr>
          </w:p>
        </w:tc>
      </w:tr>
      <w:tr>
        <w:trPr>
          <w:trHeight w:val="219"/>
        </w:trPr>
        <w:tc>
          <w:tcPr>
            <w:tcW w:w="70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gridSpan w:val="3"/>
          </w:tcPr>
          <w:p>
            <w:pPr>
              <w:ind w:left="240"/>
              <w:spacing w:after="0"/>
              <w:rPr>
                <w:sz w:val="20"/>
                <w:szCs w:val="20"/>
                <w:color w:val="auto"/>
              </w:rPr>
            </w:pPr>
            <w:r>
              <w:rPr>
                <w:rFonts w:ascii="Arial" w:cs="Arial" w:eastAsia="Arial" w:hAnsi="Arial"/>
                <w:sz w:val="16"/>
                <w:szCs w:val="16"/>
                <w:color w:val="auto"/>
              </w:rPr>
              <w:t>Accumulated deficit</w:t>
            </w: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(221,589)</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(186,977)</w:t>
            </w:r>
          </w:p>
        </w:tc>
        <w:tc>
          <w:tcPr>
            <w:tcW w:w="0" w:type="dxa"/>
            <w:vAlign w:val="bottom"/>
          </w:tcPr>
          <w:p>
            <w:pPr>
              <w:spacing w:after="0"/>
              <w:rPr>
                <w:sz w:val="1"/>
                <w:szCs w:val="1"/>
                <w:color w:val="auto"/>
              </w:rPr>
            </w:pPr>
          </w:p>
        </w:tc>
      </w:tr>
      <w:tr>
        <w:trPr>
          <w:trHeight w:val="213"/>
        </w:trPr>
        <w:tc>
          <w:tcPr>
            <w:tcW w:w="700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177,033</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180,254</w:t>
            </w:r>
          </w:p>
        </w:tc>
        <w:tc>
          <w:tcPr>
            <w:tcW w:w="0" w:type="dxa"/>
            <w:vAlign w:val="bottom"/>
          </w:tcPr>
          <w:p>
            <w:pPr>
              <w:spacing w:after="0"/>
              <w:rPr>
                <w:sz w:val="1"/>
                <w:szCs w:val="1"/>
                <w:color w:val="auto"/>
              </w:rPr>
            </w:pPr>
          </w:p>
        </w:tc>
      </w:tr>
      <w:tr>
        <w:trPr>
          <w:trHeight w:val="206"/>
        </w:trPr>
        <w:tc>
          <w:tcPr>
            <w:tcW w:w="7000" w:type="dxa"/>
            <w:vAlign w:val="bottom"/>
            <w:gridSpan w:val="3"/>
          </w:tcPr>
          <w:p>
            <w:pPr>
              <w:ind w:left="36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247,399</w:t>
            </w:r>
          </w:p>
        </w:tc>
        <w:tc>
          <w:tcPr>
            <w:tcW w:w="16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246,081</w:t>
            </w:r>
          </w:p>
        </w:tc>
        <w:tc>
          <w:tcPr>
            <w:tcW w:w="0" w:type="dxa"/>
            <w:vAlign w:val="bottom"/>
          </w:tcPr>
          <w:p>
            <w:pPr>
              <w:spacing w:after="0"/>
              <w:rPr>
                <w:sz w:val="1"/>
                <w:szCs w:val="1"/>
                <w:color w:val="auto"/>
              </w:rPr>
            </w:pPr>
          </w:p>
        </w:tc>
      </w:tr>
      <w:tr>
        <w:trPr>
          <w:trHeight w:val="24"/>
        </w:trPr>
        <w:tc>
          <w:tcPr>
            <w:tcW w:w="2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E32E1"/>
        </w:rPr>
        <w:t>Table of Contents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Telos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0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gridSpan w:val="4"/>
          </w:tcPr>
          <w:p>
            <w:pPr>
              <w:jc w:val="right"/>
              <w:ind w:right="1119"/>
              <w:spacing w:after="0"/>
              <w:rPr>
                <w:sz w:val="20"/>
                <w:szCs w:val="20"/>
                <w:color w:val="auto"/>
              </w:rPr>
            </w:pPr>
            <w:r>
              <w:rPr>
                <w:rFonts w:ascii="Arial" w:cs="Arial" w:eastAsia="Arial" w:hAnsi="Arial"/>
                <w:sz w:val="16"/>
                <w:szCs w:val="16"/>
                <w:color w:val="auto"/>
              </w:rPr>
              <w:t>For the Nine Months Ended</w:t>
            </w:r>
          </w:p>
        </w:tc>
      </w:tr>
      <w:tr>
        <w:trPr>
          <w:trHeight w:val="209"/>
        </w:trPr>
        <w:tc>
          <w:tcPr>
            <w:tcW w:w="70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97"/>
              </w:rPr>
              <w:t>September 30, 2022</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September 30, 2021</w:t>
            </w:r>
          </w:p>
        </w:tc>
      </w:tr>
      <w:tr>
        <w:trPr>
          <w:trHeight w:val="214"/>
        </w:trPr>
        <w:tc>
          <w:tcPr>
            <w:tcW w:w="7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700" w:type="dxa"/>
            <w:vAlign w:val="bottom"/>
          </w:tcPr>
          <w:p>
            <w:pPr>
              <w:spacing w:after="0"/>
              <w:rPr>
                <w:sz w:val="18"/>
                <w:szCs w:val="18"/>
                <w:color w:val="auto"/>
              </w:rPr>
            </w:pPr>
          </w:p>
        </w:tc>
      </w:tr>
      <w:tr>
        <w:trPr>
          <w:trHeight w:val="26"/>
        </w:trPr>
        <w:tc>
          <w:tcPr>
            <w:tcW w:w="7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3"/>
        </w:trPr>
        <w:tc>
          <w:tcPr>
            <w:tcW w:w="7020" w:type="dxa"/>
            <w:vAlign w:val="bottom"/>
          </w:tcPr>
          <w:p>
            <w:pPr>
              <w:ind w:left="140"/>
              <w:spacing w:after="0"/>
              <w:rPr>
                <w:sz w:val="20"/>
                <w:szCs w:val="20"/>
                <w:color w:val="auto"/>
              </w:rPr>
            </w:pPr>
            <w:r>
              <w:rPr>
                <w:rFonts w:ascii="Arial" w:cs="Arial" w:eastAsia="Arial" w:hAnsi="Arial"/>
                <w:sz w:val="16"/>
                <w:szCs w:val="16"/>
                <w:color w:val="auto"/>
              </w:rPr>
              <w:t>Net loss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(34,612)</w:t>
            </w: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(37,644)</w:t>
            </w:r>
          </w:p>
        </w:tc>
      </w:tr>
      <w:tr>
        <w:trPr>
          <w:trHeight w:val="219"/>
        </w:trPr>
        <w:tc>
          <w:tcPr>
            <w:tcW w:w="7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loss to cash flows provided by operating activities:</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13"/>
        </w:trPr>
        <w:tc>
          <w:tcPr>
            <w:tcW w:w="7020" w:type="dxa"/>
            <w:vAlign w:val="bottom"/>
          </w:tcPr>
          <w:p>
            <w:pPr>
              <w:ind w:left="240"/>
              <w:spacing w:after="0"/>
              <w:rPr>
                <w:sz w:val="20"/>
                <w:szCs w:val="20"/>
                <w:color w:val="auto"/>
              </w:rPr>
            </w:pPr>
            <w:r>
              <w:rPr>
                <w:rFonts w:ascii="Arial" w:cs="Arial" w:eastAsia="Arial" w:hAnsi="Arial"/>
                <w:sz w:val="16"/>
                <w:szCs w:val="16"/>
                <w:color w:val="auto"/>
              </w:rPr>
              <w:t>Stock-based compensation</w:t>
            </w: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44,225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47,378</w:t>
            </w:r>
          </w:p>
        </w:tc>
      </w:tr>
      <w:tr>
        <w:trPr>
          <w:trHeight w:val="219"/>
        </w:trPr>
        <w:tc>
          <w:tcPr>
            <w:tcW w:w="7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Depreciation and amortization</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4,223</w:t>
            </w:r>
          </w:p>
        </w:tc>
      </w:tr>
      <w:tr>
        <w:trPr>
          <w:trHeight w:val="213"/>
        </w:trPr>
        <w:tc>
          <w:tcPr>
            <w:tcW w:w="7020" w:type="dxa"/>
            <w:vAlign w:val="bottom"/>
          </w:tcPr>
          <w:p>
            <w:pPr>
              <w:ind w:left="240"/>
              <w:spacing w:after="0"/>
              <w:rPr>
                <w:sz w:val="20"/>
                <w:szCs w:val="20"/>
                <w:color w:val="auto"/>
              </w:rPr>
            </w:pPr>
            <w:r>
              <w:rPr>
                <w:rFonts w:ascii="Arial" w:cs="Arial" w:eastAsia="Arial" w:hAnsi="Arial"/>
                <w:sz w:val="16"/>
                <w:szCs w:val="16"/>
                <w:color w:val="auto"/>
              </w:rPr>
              <w:t>Deferred income tax provision</w:t>
            </w: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9"/>
        </w:trPr>
        <w:tc>
          <w:tcPr>
            <w:tcW w:w="7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Accretion of discount on acquisition holdback</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3"/>
        </w:trPr>
        <w:tc>
          <w:tcPr>
            <w:tcW w:w="7020" w:type="dxa"/>
            <w:vAlign w:val="bottom"/>
          </w:tcPr>
          <w:p>
            <w:pPr>
              <w:ind w:left="240"/>
              <w:spacing w:after="0"/>
              <w:rPr>
                <w:sz w:val="20"/>
                <w:szCs w:val="20"/>
                <w:color w:val="auto"/>
              </w:rPr>
            </w:pPr>
            <w:r>
              <w:rPr>
                <w:rFonts w:ascii="Arial" w:cs="Arial" w:eastAsia="Arial" w:hAnsi="Arial"/>
                <w:sz w:val="16"/>
                <w:szCs w:val="16"/>
                <w:color w:val="auto"/>
              </w:rPr>
              <w:t>Loss on disposal of fixed assets</w:t>
            </w: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9"/>
        </w:trPr>
        <w:tc>
          <w:tcPr>
            <w:tcW w:w="7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Provision for doubtful accounts</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3"/>
        </w:trPr>
        <w:tc>
          <w:tcPr>
            <w:tcW w:w="7020" w:type="dxa"/>
            <w:vAlign w:val="bottom"/>
          </w:tcPr>
          <w:p>
            <w:pPr>
              <w:ind w:left="240"/>
              <w:spacing w:after="0"/>
              <w:rPr>
                <w:sz w:val="20"/>
                <w:szCs w:val="20"/>
                <w:color w:val="auto"/>
              </w:rPr>
            </w:pPr>
            <w:r>
              <w:rPr>
                <w:rFonts w:ascii="Arial" w:cs="Arial" w:eastAsia="Arial" w:hAnsi="Arial"/>
                <w:sz w:val="16"/>
                <w:szCs w:val="16"/>
                <w:color w:val="auto"/>
              </w:rPr>
              <w:t>Recovery from inventory obsolescence</w:t>
            </w: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(108)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7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Changes in other operating assets and liabilities</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13"/>
        </w:trPr>
        <w:tc>
          <w:tcPr>
            <w:tcW w:w="7020" w:type="dxa"/>
            <w:vAlign w:val="bottom"/>
          </w:tcPr>
          <w:p>
            <w:pPr>
              <w:ind w:left="520"/>
              <w:spacing w:after="0"/>
              <w:rPr>
                <w:sz w:val="20"/>
                <w:szCs w:val="20"/>
                <w:color w:val="auto"/>
              </w:rPr>
            </w:pPr>
            <w:r>
              <w:rPr>
                <w:rFonts w:ascii="Arial" w:cs="Arial" w:eastAsia="Arial" w:hAnsi="Arial"/>
                <w:sz w:val="16"/>
                <w:szCs w:val="16"/>
                <w:color w:val="auto"/>
              </w:rPr>
              <w:t>Accounts receivable</w:t>
            </w: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8,763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(18,852)</w:t>
            </w:r>
          </w:p>
        </w:tc>
      </w:tr>
      <w:tr>
        <w:trPr>
          <w:trHeight w:val="219"/>
        </w:trPr>
        <w:tc>
          <w:tcPr>
            <w:tcW w:w="70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Inventories</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w:t>
            </w:r>
          </w:p>
        </w:tc>
      </w:tr>
      <w:tr>
        <w:trPr>
          <w:trHeight w:val="213"/>
        </w:trPr>
        <w:tc>
          <w:tcPr>
            <w:tcW w:w="7020" w:type="dxa"/>
            <w:vAlign w:val="bottom"/>
          </w:tcPr>
          <w:p>
            <w:pPr>
              <w:ind w:left="520"/>
              <w:spacing w:after="0"/>
              <w:rPr>
                <w:sz w:val="20"/>
                <w:szCs w:val="20"/>
                <w:color w:val="auto"/>
              </w:rPr>
            </w:pPr>
            <w:r>
              <w:rPr>
                <w:rFonts w:ascii="Arial" w:cs="Arial" w:eastAsia="Arial" w:hAnsi="Arial"/>
                <w:sz w:val="16"/>
                <w:szCs w:val="16"/>
                <w:color w:val="auto"/>
              </w:rPr>
              <w:t>Prepaid expenses, other current assets, and other assets</w:t>
            </w: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(2,486)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(3,259)</w:t>
            </w:r>
          </w:p>
        </w:tc>
      </w:tr>
      <w:tr>
        <w:trPr>
          <w:trHeight w:val="219"/>
        </w:trPr>
        <w:tc>
          <w:tcPr>
            <w:tcW w:w="70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Accounts payable and other accrued payables</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15,742</w:t>
            </w:r>
          </w:p>
        </w:tc>
      </w:tr>
      <w:tr>
        <w:trPr>
          <w:trHeight w:val="213"/>
        </w:trPr>
        <w:tc>
          <w:tcPr>
            <w:tcW w:w="7020" w:type="dxa"/>
            <w:vAlign w:val="bottom"/>
          </w:tcPr>
          <w:p>
            <w:pPr>
              <w:ind w:left="520"/>
              <w:spacing w:after="0"/>
              <w:rPr>
                <w:sz w:val="20"/>
                <w:szCs w:val="20"/>
                <w:color w:val="auto"/>
              </w:rPr>
            </w:pPr>
            <w:r>
              <w:rPr>
                <w:rFonts w:ascii="Arial" w:cs="Arial" w:eastAsia="Arial" w:hAnsi="Arial"/>
                <w:sz w:val="16"/>
                <w:szCs w:val="16"/>
                <w:color w:val="auto"/>
              </w:rPr>
              <w:t>Accrued compensation and benefits</w:t>
            </w: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371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(519)</w:t>
            </w:r>
          </w:p>
        </w:tc>
      </w:tr>
      <w:tr>
        <w:trPr>
          <w:trHeight w:val="219"/>
        </w:trPr>
        <w:tc>
          <w:tcPr>
            <w:tcW w:w="70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Contract liabilities</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1,579</w:t>
            </w:r>
          </w:p>
        </w:tc>
      </w:tr>
      <w:tr>
        <w:trPr>
          <w:trHeight w:val="213"/>
        </w:trPr>
        <w:tc>
          <w:tcPr>
            <w:tcW w:w="702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Other current liabilities and other liabilities</w:t>
            </w: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w:t>
            </w:r>
          </w:p>
        </w:tc>
      </w:tr>
      <w:tr>
        <w:trPr>
          <w:trHeight w:val="213"/>
        </w:trPr>
        <w:tc>
          <w:tcPr>
            <w:tcW w:w="7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20,118</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9,637</w:t>
            </w:r>
          </w:p>
        </w:tc>
      </w:tr>
      <w:tr>
        <w:trPr>
          <w:trHeight w:val="193"/>
        </w:trPr>
        <w:tc>
          <w:tcPr>
            <w:tcW w:w="702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19"/>
        </w:trPr>
        <w:tc>
          <w:tcPr>
            <w:tcW w:w="7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Capitalized software development costs</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(6,672)</w:t>
            </w:r>
          </w:p>
        </w:tc>
      </w:tr>
      <w:tr>
        <w:trPr>
          <w:trHeight w:val="213"/>
        </w:trPr>
        <w:tc>
          <w:tcPr>
            <w:tcW w:w="7020" w:type="dxa"/>
            <w:vAlign w:val="bottom"/>
          </w:tcPr>
          <w:p>
            <w:pPr>
              <w:ind w:left="140"/>
              <w:spacing w:after="0"/>
              <w:rPr>
                <w:sz w:val="20"/>
                <w:szCs w:val="20"/>
                <w:color w:val="auto"/>
              </w:rPr>
            </w:pPr>
            <w:r>
              <w:rPr>
                <w:rFonts w:ascii="Arial" w:cs="Arial" w:eastAsia="Arial" w:hAnsi="Arial"/>
                <w:sz w:val="16"/>
                <w:szCs w:val="16"/>
                <w:color w:val="auto"/>
              </w:rPr>
              <w:t>Purchases of property and equipment</w:t>
            </w: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(815)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(1,645)</w:t>
            </w:r>
          </w:p>
        </w:tc>
      </w:tr>
      <w:tr>
        <w:trPr>
          <w:trHeight w:val="233"/>
        </w:trPr>
        <w:tc>
          <w:tcPr>
            <w:tcW w:w="7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acquisition</w:t>
            </w:r>
          </w:p>
        </w:tc>
        <w:tc>
          <w:tcPr>
            <w:tcW w:w="24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(5,925)</w:t>
            </w:r>
          </w:p>
        </w:tc>
      </w:tr>
      <w:tr>
        <w:trPr>
          <w:trHeight w:val="206"/>
        </w:trPr>
        <w:tc>
          <w:tcPr>
            <w:tcW w:w="70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top w:val="single" w:sz="8" w:color="auto"/>
              <w:bottom w:val="single" w:sz="8" w:color="auto"/>
            </w:tcBorders>
          </w:tcPr>
          <w:p>
            <w:pPr>
              <w:spacing w:after="0"/>
              <w:rPr>
                <w:sz w:val="17"/>
                <w:szCs w:val="17"/>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(9,395)</w:t>
            </w:r>
          </w:p>
        </w:tc>
        <w:tc>
          <w:tcPr>
            <w:tcW w:w="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(14,242)</w:t>
            </w:r>
          </w:p>
        </w:tc>
      </w:tr>
      <w:tr>
        <w:trPr>
          <w:trHeight w:val="19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13"/>
        </w:trPr>
        <w:tc>
          <w:tcPr>
            <w:tcW w:w="7020" w:type="dxa"/>
            <w:vAlign w:val="bottom"/>
          </w:tcPr>
          <w:p>
            <w:pPr>
              <w:ind w:left="140"/>
              <w:spacing w:after="0"/>
              <w:rPr>
                <w:sz w:val="20"/>
                <w:szCs w:val="20"/>
                <w:color w:val="auto"/>
              </w:rPr>
            </w:pPr>
            <w:r>
              <w:rPr>
                <w:rFonts w:ascii="Arial" w:cs="Arial" w:eastAsia="Arial" w:hAnsi="Arial"/>
                <w:sz w:val="16"/>
                <w:szCs w:val="16"/>
                <w:color w:val="auto"/>
              </w:rPr>
              <w:t>Payments under finance lease obligations</w:t>
            </w: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(1,083)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(993)</w:t>
            </w:r>
          </w:p>
        </w:tc>
      </w:tr>
      <w:tr>
        <w:trPr>
          <w:trHeight w:val="219"/>
        </w:trPr>
        <w:tc>
          <w:tcPr>
            <w:tcW w:w="7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 of tax withholding related to net share settlement of equity awards</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020" w:type="dxa"/>
            <w:vAlign w:val="bottom"/>
          </w:tcPr>
          <w:p>
            <w:pPr>
              <w:ind w:left="140"/>
              <w:spacing w:after="0"/>
              <w:rPr>
                <w:sz w:val="20"/>
                <w:szCs w:val="20"/>
                <w:color w:val="auto"/>
              </w:rPr>
            </w:pPr>
            <w:r>
              <w:rPr>
                <w:rFonts w:ascii="Arial" w:cs="Arial" w:eastAsia="Arial" w:hAnsi="Arial"/>
                <w:sz w:val="16"/>
                <w:szCs w:val="16"/>
                <w:color w:val="auto"/>
              </w:rPr>
              <w:t>Repurchase of common stock</w:t>
            </w: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(7,603)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(1,251)</w:t>
            </w:r>
          </w:p>
        </w:tc>
      </w:tr>
      <w:tr>
        <w:trPr>
          <w:trHeight w:val="219"/>
        </w:trPr>
        <w:tc>
          <w:tcPr>
            <w:tcW w:w="7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issuance of common stock, net of issuance costs</w:t>
            </w:r>
          </w:p>
        </w:tc>
        <w:tc>
          <w:tcPr>
            <w:tcW w:w="2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64,269</w:t>
            </w:r>
          </w:p>
        </w:tc>
      </w:tr>
      <w:tr>
        <w:trPr>
          <w:trHeight w:val="213"/>
        </w:trPr>
        <w:tc>
          <w:tcPr>
            <w:tcW w:w="7020" w:type="dxa"/>
            <w:vAlign w:val="bottom"/>
          </w:tcPr>
          <w:p>
            <w:pPr>
              <w:ind w:left="140"/>
              <w:spacing w:after="0"/>
              <w:rPr>
                <w:sz w:val="20"/>
                <w:szCs w:val="20"/>
                <w:color w:val="auto"/>
              </w:rPr>
            </w:pPr>
            <w:r>
              <w:rPr>
                <w:rFonts w:ascii="Arial" w:cs="Arial" w:eastAsia="Arial" w:hAnsi="Arial"/>
                <w:sz w:val="16"/>
                <w:szCs w:val="16"/>
                <w:color w:val="auto"/>
              </w:rPr>
              <w:t>Repurchase of outstanding warrants</w:t>
            </w:r>
          </w:p>
        </w:tc>
        <w:tc>
          <w:tcPr>
            <w:tcW w:w="240" w:type="dxa"/>
            <w:vAlign w:val="bottom"/>
          </w:tcPr>
          <w:p>
            <w:pPr>
              <w:spacing w:after="0"/>
              <w:rPr>
                <w:sz w:val="18"/>
                <w:szCs w:val="18"/>
                <w:color w:val="auto"/>
              </w:rPr>
            </w:pPr>
          </w:p>
        </w:tc>
        <w:tc>
          <w:tcPr>
            <w:tcW w:w="1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(26,894)</w:t>
            </w:r>
          </w:p>
        </w:tc>
      </w:tr>
      <w:tr>
        <w:trPr>
          <w:trHeight w:val="219"/>
        </w:trPr>
        <w:tc>
          <w:tcPr>
            <w:tcW w:w="7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Distributions to Telos ID Class B member – non-controlling interest</w:t>
            </w:r>
          </w:p>
        </w:tc>
        <w:tc>
          <w:tcPr>
            <w:tcW w:w="2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(2,436)</w:t>
            </w:r>
          </w:p>
        </w:tc>
      </w:tr>
      <w:tr>
        <w:trPr>
          <w:trHeight w:val="207"/>
        </w:trPr>
        <w:tc>
          <w:tcPr>
            <w:tcW w:w="70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cash (used in)/provided by financing activities</w:t>
            </w:r>
          </w:p>
        </w:tc>
        <w:tc>
          <w:tcPr>
            <w:tcW w:w="240" w:type="dxa"/>
            <w:vAlign w:val="bottom"/>
            <w:tcBorders>
              <w:top w:val="single" w:sz="8" w:color="auto"/>
              <w:bottom w:val="single" w:sz="8" w:color="auto"/>
            </w:tcBorders>
          </w:tcPr>
          <w:p>
            <w:pPr>
              <w:spacing w:after="0"/>
              <w:rPr>
                <w:sz w:val="17"/>
                <w:szCs w:val="17"/>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(11,821)</w:t>
            </w:r>
          </w:p>
        </w:tc>
        <w:tc>
          <w:tcPr>
            <w:tcW w:w="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32,695</w:t>
            </w:r>
          </w:p>
        </w:tc>
      </w:tr>
      <w:tr>
        <w:trPr>
          <w:trHeight w:val="213"/>
        </w:trPr>
        <w:tc>
          <w:tcPr>
            <w:tcW w:w="70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change in cash, cash equivalents, and restricted cash</w:t>
            </w:r>
          </w:p>
        </w:tc>
        <w:tc>
          <w:tcPr>
            <w:tcW w:w="2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28,090</w:t>
            </w:r>
          </w:p>
        </w:tc>
      </w:tr>
      <w:tr>
        <w:trPr>
          <w:trHeight w:val="213"/>
        </w:trPr>
        <w:tc>
          <w:tcPr>
            <w:tcW w:w="70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Cash, cash equivalents and restricted cash, beginning of period</w:t>
            </w: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126,562</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106,045</w:t>
            </w:r>
          </w:p>
        </w:tc>
      </w:tr>
      <w:tr>
        <w:trPr>
          <w:trHeight w:val="235"/>
        </w:trPr>
        <w:tc>
          <w:tcPr>
            <w:tcW w:w="7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Cash, cash equivalents and restricted cash, end of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125,464</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134,135</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E32E1"/>
        </w:rPr>
        <w:t>Table of Contents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Telos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6"/>
                <w:szCs w:val="16"/>
                <w:color w:val="auto"/>
                <w:w w:val="92"/>
              </w:rPr>
              <w:t>Accumulated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20" w:type="dxa"/>
            <w:vAlign w:val="bottom"/>
            <w:gridSpan w:val="6"/>
            <w:vMerge w:val="restart"/>
          </w:tcPr>
          <w:p>
            <w:pPr>
              <w:jc w:val="right"/>
              <w:ind w:right="599"/>
              <w:spacing w:after="0"/>
              <w:rPr>
                <w:sz w:val="20"/>
                <w:szCs w:val="20"/>
                <w:color w:val="auto"/>
              </w:rPr>
            </w:pPr>
            <w:r>
              <w:rPr>
                <w:rFonts w:ascii="Arial" w:cs="Arial" w:eastAsia="Arial" w:hAnsi="Arial"/>
                <w:sz w:val="16"/>
                <w:szCs w:val="16"/>
                <w:color w:val="auto"/>
              </w:rPr>
              <w:t>Common Stock</w:t>
            </w:r>
          </w:p>
        </w:tc>
        <w:tc>
          <w:tcPr>
            <w:tcW w:w="80" w:type="dxa"/>
            <w:vAlign w:val="bottom"/>
            <w:gridSpan w:val="2"/>
            <w:vMerge w:val="restart"/>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center"/>
              <w:ind w:right="240"/>
              <w:spacing w:after="0" w:line="162" w:lineRule="exact"/>
              <w:rPr>
                <w:sz w:val="20"/>
                <w:szCs w:val="20"/>
                <w:color w:val="auto"/>
              </w:rPr>
            </w:pPr>
            <w:r>
              <w:rPr>
                <w:rFonts w:ascii="Arial" w:cs="Arial" w:eastAsia="Arial" w:hAnsi="Arial"/>
                <w:sz w:val="16"/>
                <w:szCs w:val="16"/>
                <w:color w:val="auto"/>
                <w:w w:val="94"/>
              </w:rPr>
              <w:t>Other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31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gridSpan w:val="6"/>
            <w:vMerge w:val="continue"/>
          </w:tcPr>
          <w:p>
            <w:pPr>
              <w:spacing w:after="0"/>
              <w:rPr>
                <w:sz w:val="12"/>
                <w:szCs w:val="12"/>
                <w:color w:val="auto"/>
              </w:rPr>
            </w:pPr>
          </w:p>
        </w:tc>
        <w:tc>
          <w:tcPr>
            <w:tcW w:w="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tcPr>
          <w:p>
            <w:pPr>
              <w:ind w:left="60"/>
              <w:spacing w:after="0" w:line="138" w:lineRule="exact"/>
              <w:rPr>
                <w:sz w:val="20"/>
                <w:szCs w:val="20"/>
                <w:color w:val="auto"/>
              </w:rPr>
            </w:pPr>
            <w:r>
              <w:rPr>
                <w:rFonts w:ascii="Arial" w:cs="Arial" w:eastAsia="Arial" w:hAnsi="Arial"/>
                <w:sz w:val="16"/>
                <w:szCs w:val="16"/>
                <w:color w:val="auto"/>
              </w:rPr>
              <w:t>Additional Paid-in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tcPr>
          <w:p>
            <w:pPr>
              <w:jc w:val="center"/>
              <w:ind w:right="240"/>
              <w:spacing w:after="0" w:line="138" w:lineRule="exact"/>
              <w:rPr>
                <w:sz w:val="20"/>
                <w:szCs w:val="20"/>
                <w:color w:val="auto"/>
              </w:rPr>
            </w:pPr>
            <w:r>
              <w:rPr>
                <w:rFonts w:ascii="Arial" w:cs="Arial" w:eastAsia="Arial" w:hAnsi="Arial"/>
                <w:sz w:val="16"/>
                <w:szCs w:val="16"/>
                <w:color w:val="auto"/>
                <w:w w:val="91"/>
              </w:rPr>
              <w:t>Comprehensive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80"/>
              <w:spacing w:after="0" w:line="138" w:lineRule="exact"/>
              <w:rPr>
                <w:sz w:val="20"/>
                <w:szCs w:val="20"/>
                <w:color w:val="auto"/>
              </w:rPr>
            </w:pPr>
            <w:r>
              <w:rPr>
                <w:rFonts w:ascii="Arial" w:cs="Arial" w:eastAsia="Arial" w:hAnsi="Arial"/>
                <w:sz w:val="16"/>
                <w:szCs w:val="16"/>
                <w:color w:val="auto"/>
                <w:w w:val="92"/>
              </w:rPr>
              <w:t>Accumulated</w:t>
            </w:r>
          </w:p>
        </w:tc>
        <w:tc>
          <w:tcPr>
            <w:tcW w:w="1360" w:type="dxa"/>
            <w:vAlign w:val="bottom"/>
            <w:gridSpan w:val="2"/>
          </w:tcPr>
          <w:p>
            <w:pPr>
              <w:jc w:val="center"/>
              <w:spacing w:after="0" w:line="138" w:lineRule="exact"/>
              <w:rPr>
                <w:sz w:val="20"/>
                <w:szCs w:val="20"/>
                <w:color w:val="auto"/>
              </w:rPr>
            </w:pPr>
            <w:r>
              <w:rPr>
                <w:rFonts w:ascii="Arial" w:cs="Arial" w:eastAsia="Arial" w:hAnsi="Arial"/>
                <w:sz w:val="16"/>
                <w:szCs w:val="16"/>
                <w:color w:val="auto"/>
                <w:w w:val="94"/>
              </w:rPr>
              <w:t>Total Stockholders’</w:t>
            </w:r>
          </w:p>
        </w:tc>
        <w:tc>
          <w:tcPr>
            <w:tcW w:w="0" w:type="dxa"/>
            <w:vAlign w:val="bottom"/>
          </w:tcPr>
          <w:p>
            <w:pPr>
              <w:spacing w:after="0"/>
              <w:rPr>
                <w:sz w:val="1"/>
                <w:szCs w:val="1"/>
                <w:color w:val="auto"/>
              </w:rPr>
            </w:pPr>
          </w:p>
        </w:tc>
      </w:tr>
      <w:tr>
        <w:trPr>
          <w:trHeight w:val="207"/>
        </w:trPr>
        <w:tc>
          <w:tcPr>
            <w:tcW w:w="31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Shares</w:t>
            </w:r>
          </w:p>
        </w:tc>
        <w:tc>
          <w:tcPr>
            <w:tcW w:w="8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Amount</w:t>
            </w:r>
          </w:p>
        </w:tc>
        <w:tc>
          <w:tcPr>
            <w:tcW w:w="8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Capital</w:t>
            </w:r>
          </w:p>
        </w:tc>
        <w:tc>
          <w:tcPr>
            <w:tcW w:w="80" w:type="dxa"/>
            <w:vAlign w:val="bottom"/>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2"/>
              </w:rPr>
              <w:t>Income/(Loss)</w:t>
            </w:r>
          </w:p>
        </w:tc>
        <w:tc>
          <w:tcPr>
            <w:tcW w:w="8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Deficit</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color w:val="auto"/>
                <w:w w:val="98"/>
              </w:rPr>
              <w:t>Equity</w:t>
            </w:r>
          </w:p>
        </w:tc>
        <w:tc>
          <w:tcPr>
            <w:tcW w:w="0" w:type="dxa"/>
            <w:vAlign w:val="bottom"/>
          </w:tcPr>
          <w:p>
            <w:pPr>
              <w:spacing w:after="0"/>
              <w:rPr>
                <w:sz w:val="1"/>
                <w:szCs w:val="1"/>
                <w:color w:val="auto"/>
              </w:rPr>
            </w:pPr>
          </w:p>
        </w:tc>
      </w:tr>
      <w:tr>
        <w:trPr>
          <w:trHeight w:val="214"/>
        </w:trPr>
        <w:tc>
          <w:tcPr>
            <w:tcW w:w="3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gridSpan w:val="8"/>
          </w:tcPr>
          <w:p>
            <w:pPr>
              <w:ind w:left="92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3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June 30, 2022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67,594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388,464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(214,249)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174,312</w:t>
            </w:r>
          </w:p>
        </w:tc>
        <w:tc>
          <w:tcPr>
            <w:tcW w:w="0" w:type="dxa"/>
            <w:vAlign w:val="bottom"/>
          </w:tcPr>
          <w:p>
            <w:pPr>
              <w:spacing w:after="0"/>
              <w:rPr>
                <w:sz w:val="1"/>
                <w:szCs w:val="1"/>
                <w:color w:val="auto"/>
              </w:rPr>
            </w:pPr>
          </w:p>
        </w:tc>
      </w:tr>
      <w:tr>
        <w:trPr>
          <w:trHeight w:val="213"/>
        </w:trPr>
        <w:tc>
          <w:tcPr>
            <w:tcW w:w="3120" w:type="dxa"/>
            <w:vAlign w:val="bottom"/>
          </w:tcPr>
          <w:p>
            <w:pPr>
              <w:ind w:left="140"/>
              <w:spacing w:after="0"/>
              <w:rPr>
                <w:sz w:val="20"/>
                <w:szCs w:val="20"/>
                <w:color w:val="auto"/>
              </w:rPr>
            </w:pPr>
            <w:r>
              <w:rPr>
                <w:rFonts w:ascii="Arial" w:cs="Arial" w:eastAsia="Arial" w:hAnsi="Arial"/>
                <w:sz w:val="16"/>
                <w:szCs w:val="16"/>
                <w:color w:val="auto"/>
              </w:rPr>
              <w:t>Net loss</w:t>
            </w:r>
          </w:p>
        </w:tc>
        <w:tc>
          <w:tcPr>
            <w:tcW w:w="4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(7,340)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(7,340)</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loss</w:t>
            </w:r>
          </w:p>
        </w:tc>
        <w:tc>
          <w:tcPr>
            <w:tcW w:w="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66"/>
        </w:trPr>
        <w:tc>
          <w:tcPr>
            <w:tcW w:w="3120" w:type="dxa"/>
            <w:vAlign w:val="bottom"/>
          </w:tcPr>
          <w:p>
            <w:pPr>
              <w:ind w:left="140"/>
              <w:spacing w:after="0" w:line="166" w:lineRule="exact"/>
              <w:rPr>
                <w:sz w:val="20"/>
                <w:szCs w:val="20"/>
                <w:color w:val="auto"/>
              </w:rPr>
            </w:pPr>
            <w:r>
              <w:rPr>
                <w:rFonts w:ascii="Arial" w:cs="Arial" w:eastAsia="Arial" w:hAnsi="Arial"/>
                <w:sz w:val="16"/>
                <w:szCs w:val="16"/>
                <w:color w:val="auto"/>
              </w:rPr>
              <w:t>Stock-based compensation expense,</w:t>
            </w:r>
          </w:p>
        </w:tc>
        <w:tc>
          <w:tcPr>
            <w:tcW w:w="40" w:type="dxa"/>
            <w:vAlign w:val="bottom"/>
          </w:tcPr>
          <w:p>
            <w:pPr>
              <w:spacing w:after="0"/>
              <w:rPr>
                <w:sz w:val="14"/>
                <w:szCs w:val="14"/>
                <w:color w:val="auto"/>
              </w:rPr>
            </w:pPr>
          </w:p>
        </w:tc>
        <w:tc>
          <w:tcPr>
            <w:tcW w:w="1180" w:type="dxa"/>
            <w:vAlign w:val="bottom"/>
            <w:gridSpan w:val="3"/>
            <w:vMerge w:val="restart"/>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vMerge w:val="restart"/>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15,012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vMerge w:val="restart"/>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15,012</w:t>
            </w:r>
          </w:p>
        </w:tc>
        <w:tc>
          <w:tcPr>
            <w:tcW w:w="0" w:type="dxa"/>
            <w:vAlign w:val="bottom"/>
          </w:tcPr>
          <w:p>
            <w:pPr>
              <w:spacing w:after="0"/>
              <w:rPr>
                <w:sz w:val="1"/>
                <w:szCs w:val="1"/>
                <w:color w:val="auto"/>
              </w:rPr>
            </w:pPr>
          </w:p>
        </w:tc>
      </w:tr>
      <w:tr>
        <w:trPr>
          <w:trHeight w:val="209"/>
        </w:trPr>
        <w:tc>
          <w:tcPr>
            <w:tcW w:w="3120" w:type="dxa"/>
            <w:vAlign w:val="bottom"/>
          </w:tcPr>
          <w:p>
            <w:pPr>
              <w:ind w:left="140"/>
              <w:spacing w:after="0"/>
              <w:rPr>
                <w:sz w:val="20"/>
                <w:szCs w:val="20"/>
                <w:color w:val="auto"/>
              </w:rPr>
            </w:pPr>
            <w:r>
              <w:rPr>
                <w:rFonts w:ascii="Arial" w:cs="Arial" w:eastAsia="Arial" w:hAnsi="Arial"/>
                <w:sz w:val="16"/>
                <w:szCs w:val="16"/>
                <w:color w:val="auto"/>
              </w:rPr>
              <w:t>excluding accrued compensation</w:t>
            </w:r>
          </w:p>
        </w:tc>
        <w:tc>
          <w:tcPr>
            <w:tcW w:w="40" w:type="dxa"/>
            <w:vAlign w:val="bottom"/>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 of common stock</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(4,681)</w:t>
            </w:r>
          </w:p>
        </w:tc>
        <w:tc>
          <w:tcPr>
            <w:tcW w:w="0" w:type="dxa"/>
            <w:vAlign w:val="bottom"/>
          </w:tcPr>
          <w:p>
            <w:pPr>
              <w:spacing w:after="0"/>
              <w:rPr>
                <w:sz w:val="1"/>
                <w:szCs w:val="1"/>
                <w:color w:val="auto"/>
              </w:rPr>
            </w:pPr>
          </w:p>
        </w:tc>
      </w:tr>
      <w:tr>
        <w:trPr>
          <w:trHeight w:val="166"/>
        </w:trPr>
        <w:tc>
          <w:tcPr>
            <w:tcW w:w="3120" w:type="dxa"/>
            <w:vAlign w:val="bottom"/>
          </w:tcPr>
          <w:p>
            <w:pPr>
              <w:ind w:left="140"/>
              <w:spacing w:after="0" w:line="166" w:lineRule="exact"/>
              <w:rPr>
                <w:sz w:val="20"/>
                <w:szCs w:val="20"/>
                <w:color w:val="auto"/>
              </w:rPr>
            </w:pPr>
            <w:r>
              <w:rPr>
                <w:rFonts w:ascii="Arial" w:cs="Arial" w:eastAsia="Arial" w:hAnsi="Arial"/>
                <w:sz w:val="16"/>
                <w:szCs w:val="16"/>
                <w:color w:val="auto"/>
                <w:w w:val="92"/>
              </w:rPr>
              <w:t>RSUs vested, net of shares withheld to cover</w:t>
            </w:r>
          </w:p>
        </w:tc>
        <w:tc>
          <w:tcPr>
            <w:tcW w:w="1140" w:type="dxa"/>
            <w:vAlign w:val="bottom"/>
            <w:gridSpan w:val="2"/>
            <w:vMerge w:val="restart"/>
          </w:tcPr>
          <w:p>
            <w:pPr>
              <w:jc w:val="right"/>
              <w:spacing w:after="0"/>
              <w:rPr>
                <w:sz w:val="20"/>
                <w:szCs w:val="20"/>
                <w:color w:val="auto"/>
              </w:rPr>
            </w:pPr>
            <w:r>
              <w:rPr>
                <w:rFonts w:ascii="Arial" w:cs="Arial" w:eastAsia="Arial" w:hAnsi="Arial"/>
                <w:sz w:val="16"/>
                <w:szCs w:val="16"/>
                <w:color w:val="auto"/>
              </w:rPr>
              <w:t>205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vMerge w:val="restart"/>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(249)</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vMerge w:val="restart"/>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09"/>
        </w:trPr>
        <w:tc>
          <w:tcPr>
            <w:tcW w:w="3120" w:type="dxa"/>
            <w:vAlign w:val="bottom"/>
          </w:tcPr>
          <w:p>
            <w:pPr>
              <w:ind w:left="140"/>
              <w:spacing w:after="0"/>
              <w:rPr>
                <w:sz w:val="20"/>
                <w:szCs w:val="20"/>
                <w:color w:val="auto"/>
              </w:rPr>
            </w:pPr>
            <w:r>
              <w:rPr>
                <w:rFonts w:ascii="Arial" w:cs="Arial" w:eastAsia="Arial" w:hAnsi="Arial"/>
                <w:sz w:val="16"/>
                <w:szCs w:val="16"/>
                <w:color w:val="auto"/>
              </w:rPr>
              <w:t>tax withholding</w:t>
            </w:r>
          </w:p>
        </w:tc>
        <w:tc>
          <w:tcPr>
            <w:tcW w:w="11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September 30, 2022</w:t>
            </w: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67,300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398,546</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(221,589)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177,033</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June 30, 2021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66,635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341,928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(176,265)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165,785</w:t>
            </w:r>
          </w:p>
        </w:tc>
        <w:tc>
          <w:tcPr>
            <w:tcW w:w="0" w:type="dxa"/>
            <w:vAlign w:val="bottom"/>
          </w:tcPr>
          <w:p>
            <w:pPr>
              <w:spacing w:after="0"/>
              <w:rPr>
                <w:sz w:val="1"/>
                <w:szCs w:val="1"/>
                <w:color w:val="auto"/>
              </w:rPr>
            </w:pPr>
          </w:p>
        </w:tc>
      </w:tr>
      <w:tr>
        <w:trPr>
          <w:trHeight w:val="213"/>
        </w:trPr>
        <w:tc>
          <w:tcPr>
            <w:tcW w:w="3120" w:type="dxa"/>
            <w:vAlign w:val="bottom"/>
          </w:tcPr>
          <w:p>
            <w:pPr>
              <w:ind w:left="140"/>
              <w:spacing w:after="0"/>
              <w:rPr>
                <w:sz w:val="20"/>
                <w:szCs w:val="20"/>
                <w:color w:val="auto"/>
              </w:rPr>
            </w:pPr>
            <w:r>
              <w:rPr>
                <w:rFonts w:ascii="Arial" w:cs="Arial" w:eastAsia="Arial" w:hAnsi="Arial"/>
                <w:sz w:val="16"/>
                <w:szCs w:val="16"/>
                <w:color w:val="auto"/>
              </w:rPr>
              <w:t>Net loss</w:t>
            </w:r>
          </w:p>
        </w:tc>
        <w:tc>
          <w:tcPr>
            <w:tcW w:w="4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(5,222)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(5,222)</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loss</w:t>
            </w:r>
          </w:p>
        </w:tc>
        <w:tc>
          <w:tcPr>
            <w:tcW w:w="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3120" w:type="dxa"/>
            <w:vAlign w:val="bottom"/>
          </w:tcPr>
          <w:p>
            <w:pPr>
              <w:ind w:left="140"/>
              <w:spacing w:after="0"/>
              <w:rPr>
                <w:sz w:val="20"/>
                <w:szCs w:val="20"/>
                <w:color w:val="auto"/>
              </w:rPr>
            </w:pPr>
            <w:r>
              <w:rPr>
                <w:rFonts w:ascii="Arial" w:cs="Arial" w:eastAsia="Arial" w:hAnsi="Arial"/>
                <w:sz w:val="16"/>
                <w:szCs w:val="16"/>
                <w:color w:val="auto"/>
              </w:rPr>
              <w:t>Stock-based compensation expense</w:t>
            </w:r>
          </w:p>
        </w:tc>
        <w:tc>
          <w:tcPr>
            <w:tcW w:w="4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12,372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12,372</w:t>
            </w:r>
          </w:p>
        </w:tc>
        <w:tc>
          <w:tcPr>
            <w:tcW w:w="0" w:type="dxa"/>
            <w:vAlign w:val="bottom"/>
          </w:tcPr>
          <w:p>
            <w:pPr>
              <w:spacing w:after="0"/>
              <w:rPr>
                <w:sz w:val="1"/>
                <w:szCs w:val="1"/>
                <w:color w:val="auto"/>
              </w:rPr>
            </w:pPr>
          </w:p>
        </w:tc>
      </w:tr>
      <w:tr>
        <w:trPr>
          <w:trHeight w:val="235"/>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September 30, 2021</w:t>
            </w: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66,635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354,300</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(181,487)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172,922</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6"/>
                <w:szCs w:val="16"/>
                <w:color w:val="auto"/>
                <w:w w:val="92"/>
              </w:rPr>
              <w:t>Accumulated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40" w:type="dxa"/>
            <w:vAlign w:val="bottom"/>
            <w:gridSpan w:val="7"/>
            <w:vMerge w:val="restart"/>
          </w:tcPr>
          <w:p>
            <w:pPr>
              <w:ind w:left="660"/>
              <w:spacing w:after="0"/>
              <w:rPr>
                <w:sz w:val="20"/>
                <w:szCs w:val="20"/>
                <w:color w:val="auto"/>
              </w:rPr>
            </w:pPr>
            <w:r>
              <w:rPr>
                <w:rFonts w:ascii="Arial" w:cs="Arial" w:eastAsia="Arial" w:hAnsi="Arial"/>
                <w:sz w:val="16"/>
                <w:szCs w:val="16"/>
                <w:color w:val="auto"/>
              </w:rPr>
              <w:t>Common Stock</w:t>
            </w:r>
          </w:p>
        </w:tc>
        <w:tc>
          <w:tcPr>
            <w:tcW w:w="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center"/>
              <w:ind w:right="180"/>
              <w:spacing w:after="0" w:line="162" w:lineRule="exact"/>
              <w:rPr>
                <w:sz w:val="20"/>
                <w:szCs w:val="20"/>
                <w:color w:val="auto"/>
              </w:rPr>
            </w:pPr>
            <w:r>
              <w:rPr>
                <w:rFonts w:ascii="Arial" w:cs="Arial" w:eastAsia="Arial" w:hAnsi="Arial"/>
                <w:sz w:val="16"/>
                <w:szCs w:val="16"/>
                <w:color w:val="auto"/>
                <w:w w:val="89"/>
              </w:rPr>
              <w:t>Other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40" w:type="dxa"/>
            <w:vAlign w:val="bottom"/>
            <w:tcBorders>
              <w:bottom w:val="single" w:sz="8" w:color="auto"/>
            </w:tcBorders>
            <w:gridSpan w:val="7"/>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tcPr>
          <w:p>
            <w:pPr>
              <w:ind w:left="80"/>
              <w:spacing w:after="0" w:line="138" w:lineRule="exact"/>
              <w:rPr>
                <w:sz w:val="20"/>
                <w:szCs w:val="20"/>
                <w:color w:val="auto"/>
              </w:rPr>
            </w:pPr>
            <w:r>
              <w:rPr>
                <w:rFonts w:ascii="Arial" w:cs="Arial" w:eastAsia="Arial" w:hAnsi="Arial"/>
                <w:sz w:val="16"/>
                <w:szCs w:val="16"/>
                <w:color w:val="auto"/>
              </w:rPr>
              <w:t>Additional Paid-in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tcPr>
          <w:p>
            <w:pPr>
              <w:jc w:val="center"/>
              <w:ind w:right="200"/>
              <w:spacing w:after="0" w:line="138" w:lineRule="exact"/>
              <w:rPr>
                <w:sz w:val="20"/>
                <w:szCs w:val="20"/>
                <w:color w:val="auto"/>
              </w:rPr>
            </w:pPr>
            <w:r>
              <w:rPr>
                <w:rFonts w:ascii="Arial" w:cs="Arial" w:eastAsia="Arial" w:hAnsi="Arial"/>
                <w:sz w:val="16"/>
                <w:szCs w:val="16"/>
                <w:color w:val="auto"/>
                <w:w w:val="91"/>
              </w:rPr>
              <w:t>Comprehensive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40"/>
              <w:spacing w:after="0" w:line="138" w:lineRule="exact"/>
              <w:rPr>
                <w:sz w:val="20"/>
                <w:szCs w:val="20"/>
                <w:color w:val="auto"/>
              </w:rPr>
            </w:pPr>
            <w:r>
              <w:rPr>
                <w:rFonts w:ascii="Arial" w:cs="Arial" w:eastAsia="Arial" w:hAnsi="Arial"/>
                <w:sz w:val="16"/>
                <w:szCs w:val="16"/>
                <w:color w:val="auto"/>
                <w:w w:val="92"/>
              </w:rPr>
              <w:t>Accumulated</w:t>
            </w:r>
          </w:p>
        </w:tc>
        <w:tc>
          <w:tcPr>
            <w:tcW w:w="1360" w:type="dxa"/>
            <w:vAlign w:val="bottom"/>
            <w:gridSpan w:val="2"/>
          </w:tcPr>
          <w:p>
            <w:pPr>
              <w:jc w:val="center"/>
              <w:spacing w:after="0" w:line="138" w:lineRule="exact"/>
              <w:rPr>
                <w:sz w:val="20"/>
                <w:szCs w:val="20"/>
                <w:color w:val="auto"/>
              </w:rPr>
            </w:pPr>
            <w:r>
              <w:rPr>
                <w:rFonts w:ascii="Arial" w:cs="Arial" w:eastAsia="Arial" w:hAnsi="Arial"/>
                <w:sz w:val="16"/>
                <w:szCs w:val="16"/>
                <w:color w:val="auto"/>
                <w:w w:val="94"/>
              </w:rPr>
              <w:t>Total Stockholders’</w:t>
            </w:r>
          </w:p>
        </w:tc>
        <w:tc>
          <w:tcPr>
            <w:tcW w:w="0" w:type="dxa"/>
            <w:vAlign w:val="bottom"/>
          </w:tcPr>
          <w:p>
            <w:pPr>
              <w:spacing w:after="0"/>
              <w:rPr>
                <w:sz w:val="1"/>
                <w:szCs w:val="1"/>
                <w:color w:val="auto"/>
              </w:rPr>
            </w:pPr>
          </w:p>
        </w:tc>
      </w:tr>
      <w:tr>
        <w:trPr>
          <w:trHeight w:val="207"/>
        </w:trPr>
        <w:tc>
          <w:tcPr>
            <w:tcW w:w="3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6"/>
                <w:szCs w:val="16"/>
                <w:color w:val="auto"/>
              </w:rPr>
              <w:t>Shares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color w:val="auto"/>
              </w:rPr>
              <w:t>Amount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6"/>
                <w:szCs w:val="16"/>
                <w:color w:val="auto"/>
              </w:rPr>
              <w:t>Capital</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color w:val="auto"/>
                <w:w w:val="92"/>
              </w:rPr>
              <w:t>Income/(Loss)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Deficit</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color w:val="auto"/>
                <w:w w:val="98"/>
              </w:rPr>
              <w:t>Equity</w:t>
            </w:r>
          </w:p>
        </w:tc>
        <w:tc>
          <w:tcPr>
            <w:tcW w:w="0" w:type="dxa"/>
            <w:vAlign w:val="bottom"/>
          </w:tcPr>
          <w:p>
            <w:pPr>
              <w:spacing w:after="0"/>
              <w:rPr>
                <w:sz w:val="1"/>
                <w:szCs w:val="1"/>
                <w:color w:val="auto"/>
              </w:rPr>
            </w:pPr>
          </w:p>
        </w:tc>
      </w:tr>
      <w:tr>
        <w:trPr>
          <w:trHeight w:val="214"/>
        </w:trPr>
        <w:tc>
          <w:tcPr>
            <w:tcW w:w="3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gridSpan w:val="8"/>
          </w:tcPr>
          <w:p>
            <w:pPr>
              <w:ind w:left="94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3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66,767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367,153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(186,977)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180,254</w:t>
            </w:r>
          </w:p>
        </w:tc>
        <w:tc>
          <w:tcPr>
            <w:tcW w:w="0" w:type="dxa"/>
            <w:vAlign w:val="bottom"/>
          </w:tcPr>
          <w:p>
            <w:pPr>
              <w:spacing w:after="0"/>
              <w:rPr>
                <w:sz w:val="1"/>
                <w:szCs w:val="1"/>
                <w:color w:val="auto"/>
              </w:rPr>
            </w:pPr>
          </w:p>
        </w:tc>
      </w:tr>
      <w:tr>
        <w:trPr>
          <w:trHeight w:val="213"/>
        </w:trPr>
        <w:tc>
          <w:tcPr>
            <w:tcW w:w="3120" w:type="dxa"/>
            <w:vAlign w:val="bottom"/>
          </w:tcPr>
          <w:p>
            <w:pPr>
              <w:ind w:left="140"/>
              <w:spacing w:after="0"/>
              <w:rPr>
                <w:sz w:val="20"/>
                <w:szCs w:val="20"/>
                <w:color w:val="auto"/>
              </w:rPr>
            </w:pPr>
            <w:r>
              <w:rPr>
                <w:rFonts w:ascii="Arial" w:cs="Arial" w:eastAsia="Arial" w:hAnsi="Arial"/>
                <w:sz w:val="16"/>
                <w:szCs w:val="16"/>
                <w:color w:val="auto"/>
              </w:rPr>
              <w:t>Net loss</w:t>
            </w:r>
          </w:p>
        </w:tc>
        <w:tc>
          <w:tcPr>
            <w:tcW w:w="4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(34,612)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(34,612)</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loss</w:t>
            </w:r>
          </w:p>
        </w:tc>
        <w:tc>
          <w:tcPr>
            <w:tcW w:w="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66"/>
        </w:trPr>
        <w:tc>
          <w:tcPr>
            <w:tcW w:w="3120" w:type="dxa"/>
            <w:vAlign w:val="bottom"/>
          </w:tcPr>
          <w:p>
            <w:pPr>
              <w:ind w:left="140"/>
              <w:spacing w:after="0" w:line="166" w:lineRule="exact"/>
              <w:rPr>
                <w:sz w:val="20"/>
                <w:szCs w:val="20"/>
                <w:color w:val="auto"/>
              </w:rPr>
            </w:pPr>
            <w:r>
              <w:rPr>
                <w:rFonts w:ascii="Arial" w:cs="Arial" w:eastAsia="Arial" w:hAnsi="Arial"/>
                <w:sz w:val="16"/>
                <w:szCs w:val="16"/>
                <w:color w:val="auto"/>
              </w:rPr>
              <w:t>Stock-based compensation expense,</w:t>
            </w:r>
          </w:p>
        </w:tc>
        <w:tc>
          <w:tcPr>
            <w:tcW w:w="40" w:type="dxa"/>
            <w:vAlign w:val="bottom"/>
          </w:tcPr>
          <w:p>
            <w:pPr>
              <w:spacing w:after="0"/>
              <w:rPr>
                <w:sz w:val="14"/>
                <w:szCs w:val="14"/>
                <w:color w:val="auto"/>
              </w:rPr>
            </w:pPr>
          </w:p>
        </w:tc>
        <w:tc>
          <w:tcPr>
            <w:tcW w:w="1180" w:type="dxa"/>
            <w:vAlign w:val="bottom"/>
            <w:gridSpan w:val="3"/>
            <w:vMerge w:val="restart"/>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vMerge w:val="restart"/>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42,212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vMerge w:val="restart"/>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restart"/>
          </w:tcPr>
          <w:p>
            <w:pPr>
              <w:ind w:left="9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42,212</w:t>
            </w:r>
          </w:p>
        </w:tc>
        <w:tc>
          <w:tcPr>
            <w:tcW w:w="0" w:type="dxa"/>
            <w:vAlign w:val="bottom"/>
          </w:tcPr>
          <w:p>
            <w:pPr>
              <w:spacing w:after="0"/>
              <w:rPr>
                <w:sz w:val="1"/>
                <w:szCs w:val="1"/>
                <w:color w:val="auto"/>
              </w:rPr>
            </w:pPr>
          </w:p>
        </w:tc>
      </w:tr>
      <w:tr>
        <w:trPr>
          <w:trHeight w:val="209"/>
        </w:trPr>
        <w:tc>
          <w:tcPr>
            <w:tcW w:w="3120" w:type="dxa"/>
            <w:vAlign w:val="bottom"/>
          </w:tcPr>
          <w:p>
            <w:pPr>
              <w:ind w:left="140"/>
              <w:spacing w:after="0"/>
              <w:rPr>
                <w:sz w:val="20"/>
                <w:szCs w:val="20"/>
                <w:color w:val="auto"/>
              </w:rPr>
            </w:pPr>
            <w:r>
              <w:rPr>
                <w:rFonts w:ascii="Arial" w:cs="Arial" w:eastAsia="Arial" w:hAnsi="Arial"/>
                <w:sz w:val="16"/>
                <w:szCs w:val="16"/>
                <w:color w:val="auto"/>
              </w:rPr>
              <w:t>excluding accrued compensation</w:t>
            </w:r>
          </w:p>
        </w:tc>
        <w:tc>
          <w:tcPr>
            <w:tcW w:w="40" w:type="dxa"/>
            <w:vAlign w:val="bottom"/>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 of common stock</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(859)</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(7,683)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(7,683)</w:t>
            </w:r>
          </w:p>
        </w:tc>
        <w:tc>
          <w:tcPr>
            <w:tcW w:w="0" w:type="dxa"/>
            <w:vAlign w:val="bottom"/>
          </w:tcPr>
          <w:p>
            <w:pPr>
              <w:spacing w:after="0"/>
              <w:rPr>
                <w:sz w:val="1"/>
                <w:szCs w:val="1"/>
                <w:color w:val="auto"/>
              </w:rPr>
            </w:pPr>
          </w:p>
        </w:tc>
      </w:tr>
      <w:tr>
        <w:trPr>
          <w:trHeight w:val="166"/>
        </w:trPr>
        <w:tc>
          <w:tcPr>
            <w:tcW w:w="3120" w:type="dxa"/>
            <w:vAlign w:val="bottom"/>
          </w:tcPr>
          <w:p>
            <w:pPr>
              <w:ind w:left="140"/>
              <w:spacing w:after="0" w:line="166" w:lineRule="exact"/>
              <w:rPr>
                <w:sz w:val="20"/>
                <w:szCs w:val="20"/>
                <w:color w:val="auto"/>
              </w:rPr>
            </w:pPr>
            <w:r>
              <w:rPr>
                <w:rFonts w:ascii="Arial" w:cs="Arial" w:eastAsia="Arial" w:hAnsi="Arial"/>
                <w:sz w:val="16"/>
                <w:szCs w:val="16"/>
                <w:color w:val="auto"/>
                <w:w w:val="92"/>
              </w:rPr>
              <w:t>RSUs vested, net of shares withheld to cover</w:t>
            </w:r>
          </w:p>
        </w:tc>
        <w:tc>
          <w:tcPr>
            <w:tcW w:w="40" w:type="dxa"/>
            <w:vAlign w:val="bottom"/>
            <w:vMerge w:val="restart"/>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1,392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(3,136)</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restart"/>
          </w:tcPr>
          <w:p>
            <w:pPr>
              <w:ind w:left="96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(3,135)</w:t>
            </w:r>
          </w:p>
        </w:tc>
        <w:tc>
          <w:tcPr>
            <w:tcW w:w="0" w:type="dxa"/>
            <w:vAlign w:val="bottom"/>
          </w:tcPr>
          <w:p>
            <w:pPr>
              <w:spacing w:after="0"/>
              <w:rPr>
                <w:sz w:val="1"/>
                <w:szCs w:val="1"/>
                <w:color w:val="auto"/>
              </w:rPr>
            </w:pPr>
          </w:p>
        </w:tc>
      </w:tr>
      <w:tr>
        <w:trPr>
          <w:trHeight w:val="209"/>
        </w:trPr>
        <w:tc>
          <w:tcPr>
            <w:tcW w:w="31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tax withholding</w:t>
            </w:r>
          </w:p>
        </w:tc>
        <w:tc>
          <w:tcPr>
            <w:tcW w:w="40" w:type="dxa"/>
            <w:vAlign w:val="bottom"/>
            <w:tcBorders>
              <w:bottom w:val="single" w:sz="8" w:color="CCEEFF"/>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vMerge w:val="continue"/>
          </w:tcPr>
          <w:p>
            <w:pPr>
              <w:spacing w:after="0"/>
              <w:rPr>
                <w:sz w:val="18"/>
                <w:szCs w:val="18"/>
                <w:color w:val="auto"/>
              </w:rPr>
            </w:pPr>
          </w:p>
        </w:tc>
        <w:tc>
          <w:tcPr>
            <w:tcW w:w="60" w:type="dxa"/>
            <w:vAlign w:val="bottom"/>
            <w:tcBorders>
              <w:bottom w:val="single" w:sz="8" w:color="CCEEFF"/>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September 30, 2022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67,300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398,546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c>
          <w:tcPr>
            <w:tcW w:w="6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(221,589)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177,033</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64,625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270,800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(143,843)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127,104</w:t>
            </w:r>
          </w:p>
        </w:tc>
        <w:tc>
          <w:tcPr>
            <w:tcW w:w="0" w:type="dxa"/>
            <w:vAlign w:val="bottom"/>
          </w:tcPr>
          <w:p>
            <w:pPr>
              <w:spacing w:after="0"/>
              <w:rPr>
                <w:sz w:val="1"/>
                <w:szCs w:val="1"/>
                <w:color w:val="auto"/>
              </w:rPr>
            </w:pPr>
          </w:p>
        </w:tc>
      </w:tr>
      <w:tr>
        <w:trPr>
          <w:trHeight w:val="213"/>
        </w:trPr>
        <w:tc>
          <w:tcPr>
            <w:tcW w:w="3120" w:type="dxa"/>
            <w:vAlign w:val="bottom"/>
          </w:tcPr>
          <w:p>
            <w:pPr>
              <w:ind w:left="140"/>
              <w:spacing w:after="0"/>
              <w:rPr>
                <w:sz w:val="20"/>
                <w:szCs w:val="20"/>
                <w:color w:val="auto"/>
              </w:rPr>
            </w:pPr>
            <w:r>
              <w:rPr>
                <w:rFonts w:ascii="Arial" w:cs="Arial" w:eastAsia="Arial" w:hAnsi="Arial"/>
                <w:sz w:val="16"/>
                <w:szCs w:val="16"/>
                <w:color w:val="auto"/>
              </w:rPr>
              <w:t>Net loss</w:t>
            </w:r>
          </w:p>
        </w:tc>
        <w:tc>
          <w:tcPr>
            <w:tcW w:w="4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(37,644)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(37,644)</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common stock</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2,050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64,267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64,269</w:t>
            </w:r>
          </w:p>
        </w:tc>
        <w:tc>
          <w:tcPr>
            <w:tcW w:w="0" w:type="dxa"/>
            <w:vAlign w:val="bottom"/>
          </w:tcPr>
          <w:p>
            <w:pPr>
              <w:spacing w:after="0"/>
              <w:rPr>
                <w:sz w:val="1"/>
                <w:szCs w:val="1"/>
                <w:color w:val="auto"/>
              </w:rPr>
            </w:pPr>
          </w:p>
        </w:tc>
      </w:tr>
      <w:tr>
        <w:trPr>
          <w:trHeight w:val="213"/>
        </w:trPr>
        <w:tc>
          <w:tcPr>
            <w:tcW w:w="3120" w:type="dxa"/>
            <w:vAlign w:val="bottom"/>
          </w:tcPr>
          <w:p>
            <w:pPr>
              <w:ind w:left="140"/>
              <w:spacing w:after="0"/>
              <w:rPr>
                <w:sz w:val="20"/>
                <w:szCs w:val="20"/>
                <w:color w:val="auto"/>
              </w:rPr>
            </w:pPr>
            <w:r>
              <w:rPr>
                <w:rFonts w:ascii="Arial" w:cs="Arial" w:eastAsia="Arial" w:hAnsi="Arial"/>
                <w:sz w:val="16"/>
                <w:szCs w:val="16"/>
                <w:color w:val="auto"/>
              </w:rPr>
              <w:t>Foreign currency translation loss</w:t>
            </w:r>
          </w:p>
        </w:tc>
        <w:tc>
          <w:tcPr>
            <w:tcW w:w="4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(40)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 expense</w:t>
            </w:r>
          </w:p>
        </w:tc>
        <w:tc>
          <w:tcPr>
            <w:tcW w:w="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47,378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47,378</w:t>
            </w:r>
          </w:p>
        </w:tc>
        <w:tc>
          <w:tcPr>
            <w:tcW w:w="0" w:type="dxa"/>
            <w:vAlign w:val="bottom"/>
          </w:tcPr>
          <w:p>
            <w:pPr>
              <w:spacing w:after="0"/>
              <w:rPr>
                <w:sz w:val="1"/>
                <w:szCs w:val="1"/>
                <w:color w:val="auto"/>
              </w:rPr>
            </w:pPr>
          </w:p>
        </w:tc>
      </w:tr>
      <w:tr>
        <w:trPr>
          <w:trHeight w:val="213"/>
        </w:trPr>
        <w:tc>
          <w:tcPr>
            <w:tcW w:w="3120" w:type="dxa"/>
            <w:vAlign w:val="bottom"/>
          </w:tcPr>
          <w:p>
            <w:pPr>
              <w:ind w:left="140"/>
              <w:spacing w:after="0"/>
              <w:rPr>
                <w:sz w:val="20"/>
                <w:szCs w:val="20"/>
                <w:color w:val="auto"/>
              </w:rPr>
            </w:pPr>
            <w:r>
              <w:rPr>
                <w:rFonts w:ascii="Arial" w:cs="Arial" w:eastAsia="Arial" w:hAnsi="Arial"/>
                <w:sz w:val="16"/>
                <w:szCs w:val="16"/>
                <w:color w:val="auto"/>
              </w:rPr>
              <w:t>Repurchase of outstanding warrants</w:t>
            </w:r>
          </w:p>
        </w:tc>
        <w:tc>
          <w:tcPr>
            <w:tcW w:w="4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(26,894)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(26,894)</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 of common stock</w:t>
            </w:r>
          </w:p>
        </w:tc>
        <w:tc>
          <w:tcPr>
            <w:tcW w:w="40" w:type="dxa"/>
            <w:vAlign w:val="bottom"/>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(1,251)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(1,251)</w:t>
            </w:r>
          </w:p>
        </w:tc>
        <w:tc>
          <w:tcPr>
            <w:tcW w:w="0" w:type="dxa"/>
            <w:vAlign w:val="bottom"/>
          </w:tcPr>
          <w:p>
            <w:pPr>
              <w:spacing w:after="0"/>
              <w:rPr>
                <w:sz w:val="1"/>
                <w:szCs w:val="1"/>
                <w:color w:val="auto"/>
              </w:rPr>
            </w:pPr>
          </w:p>
        </w:tc>
      </w:tr>
      <w:tr>
        <w:trPr>
          <w:trHeight w:val="207"/>
        </w:trPr>
        <w:tc>
          <w:tcPr>
            <w:tcW w:w="3120" w:type="dxa"/>
            <w:vAlign w:val="bottom"/>
          </w:tcPr>
          <w:p>
            <w:pPr>
              <w:ind w:left="20"/>
              <w:spacing w:after="0"/>
              <w:rPr>
                <w:sz w:val="20"/>
                <w:szCs w:val="20"/>
                <w:color w:val="auto"/>
              </w:rPr>
            </w:pPr>
            <w:r>
              <w:rPr>
                <w:rFonts w:ascii="Arial" w:cs="Arial" w:eastAsia="Arial" w:hAnsi="Arial"/>
                <w:sz w:val="16"/>
                <w:szCs w:val="16"/>
                <w:color w:val="auto"/>
              </w:rPr>
              <w:t>Balance at September 30, 2021</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66,635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354,300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(181,487)</w:t>
            </w:r>
          </w:p>
        </w:tc>
        <w:tc>
          <w:tcPr>
            <w:tcW w:w="8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172,922</w:t>
            </w:r>
          </w:p>
        </w:tc>
        <w:tc>
          <w:tcPr>
            <w:tcW w:w="0" w:type="dxa"/>
            <w:vAlign w:val="bottom"/>
          </w:tcPr>
          <w:p>
            <w:pPr>
              <w:spacing w:after="0"/>
              <w:rPr>
                <w:sz w:val="1"/>
                <w:szCs w:val="1"/>
                <w:color w:val="auto"/>
              </w:rPr>
            </w:pPr>
          </w:p>
        </w:tc>
      </w:tr>
      <w:tr>
        <w:trPr>
          <w:trHeight w:val="23"/>
        </w:trPr>
        <w:tc>
          <w:tcPr>
            <w:tcW w:w="3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E32E1"/>
        </w:rPr>
        <w:t>Table of Contents</w:t>
      </w:r>
    </w:p>
    <w:p>
      <w:pPr>
        <w:spacing w:after="0" w:line="200" w:lineRule="exact"/>
        <w:rPr>
          <w:sz w:val="20"/>
          <w:szCs w:val="20"/>
          <w:color w:val="auto"/>
        </w:rPr>
      </w:pPr>
    </w:p>
    <w:p>
      <w:pPr>
        <w:spacing w:after="0" w:line="364"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Telos Corporation</w:t>
      </w:r>
    </w:p>
    <w:p>
      <w:pPr>
        <w:spacing w:after="0" w:line="27"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1. ORGANIZATION</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Telos Corporation, together with its subsidiaries (collectively, the "Company," "we," "our" or "Telos"), a Maryland corporation, is a leading provider of cyber, cloud and enterprise security solutions for the world's most security-conscious organizations. We own all of the issued and outstanding shares of Xacta Corporation, a subsidiary that develops, markets and sell government-validated secure enterprise solutions to government and commercial customers. We own the issued and outstanding share capital of Ubiquity.com, Inc., a holding company for Xacta Corporation. We also have a 100% ownership interest in Telos Identity Management Solutions, LLC ("Telos ID"), Teloworks, Inc., and Telos APAC Pte. Ltd.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2. SIGNIFICANT ACCOUNTING POLICIES</w:t>
      </w:r>
    </w:p>
    <w:p>
      <w:pPr>
        <w:spacing w:after="0" w:line="171"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Basis of Presentation</w:t>
      </w:r>
    </w:p>
    <w:p>
      <w:pPr>
        <w:spacing w:after="0" w:line="17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 xml:space="preserve">The accompanying unaudited consolidated financial statements include the accounts of Telos Corporation and its subsidiaries (see </w:t>
      </w:r>
      <w:r>
        <w:rPr>
          <w:rFonts w:ascii="Arial" w:cs="Arial" w:eastAsia="Arial" w:hAnsi="Arial"/>
          <w:sz w:val="18"/>
          <w:szCs w:val="18"/>
          <w:u w:val="single" w:color="auto"/>
          <w:color w:val="0000FF"/>
        </w:rPr>
        <w:t>Note 1</w:t>
      </w:r>
      <w:r>
        <w:rPr>
          <w:rFonts w:ascii="Arial" w:cs="Arial" w:eastAsia="Arial" w:hAnsi="Arial"/>
          <w:sz w:val="18"/>
          <w:szCs w:val="18"/>
          <w:color w:val="auto"/>
        </w:rPr>
        <w:t xml:space="preserve"> </w:t>
      </w:r>
      <w:r>
        <w:rPr>
          <w:rFonts w:ascii="Arial" w:cs="Arial" w:eastAsia="Arial" w:hAnsi="Arial"/>
          <w:sz w:val="16"/>
          <w:szCs w:val="16"/>
          <w:u w:val="single" w:color="auto"/>
          <w:color w:val="0000FF"/>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Organization</w:t>
      </w:r>
      <w:r>
        <w:rPr>
          <w:rFonts w:ascii="Arial" w:cs="Arial" w:eastAsia="Arial" w:hAnsi="Arial"/>
          <w:sz w:val="18"/>
          <w:szCs w:val="18"/>
          <w:color w:val="auto"/>
        </w:rPr>
        <w:t>), all of whose issued and outstanding share capital is wholly-owned directly and indirectly by Telos Corporation. All intercompany transactions have been eliminated in consolidation.</w:t>
      </w:r>
    </w:p>
    <w:p>
      <w:pPr>
        <w:spacing w:after="0" w:line="130"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Basis of Presentation for Interim Periods</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Certain information and footnote disclosures normally included for the annual financial statements prepared in accordance with accounting principles generally accepted in the United States of America ("U.S. GAAP") have been condensed or omitted for the interim periods presented. We believe that the unaudited interim financial statements include all adjustments (which are normal and recurring) necessary to state fairly our financial position and the results of operations and cash flows for the periods presented.</w:t>
      </w:r>
    </w:p>
    <w:p>
      <w:pPr>
        <w:spacing w:after="0" w:line="13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results of operations for the interim periods presented are not necessarily indicative of results that may be expected for the year or future periods. The financial statements should be read in conjunction with our audited consolidated financial statements and the notes thereto for the year ended December 31, 2021, included in our Annual Report on Form 10-K for the fiscal year then ended. We have continued to follow the accounting policies set forth in those financial statements.</w:t>
      </w:r>
    </w:p>
    <w:p>
      <w:pPr>
        <w:spacing w:after="0" w:line="133"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Segment Reporting</w:t>
      </w:r>
    </w:p>
    <w:p>
      <w:pPr>
        <w:spacing w:after="0" w:line="17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Operating segments are defined as components of an enterprise for which separate discrete financial information is available and regularly evaluated by the chief operating decision maker (“CODM”), or decision-making group, in deciding how to allocate resources and assess performance.</w:t>
      </w:r>
    </w:p>
    <w:p>
      <w:pPr>
        <w:spacing w:after="0" w:line="9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During the fourth quarter of 2021, we reorganized our internal management reporting structure and the financial results evaluated by our CODM; therefore, we changed our operating segments to align with how our CODM currently oversees the business, allocates resources, and evaluates operating performance. As a result of the segment reorganization, we reported two reportable and operating segments: Security Solutions and Secure Networks. The segments enable the alignment of our strategies and objectives and provide a framework for the timely and rational allocation of resources within the lines of business. We eliminate any inter-segment revenues and expenses upon consolidation.</w:t>
      </w:r>
    </w:p>
    <w:p>
      <w:pPr>
        <w:spacing w:after="0" w:line="12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Prior period segment information has been recast to reflect the change. The segment reorganization had no impact on previously reported unaudited consolidated financial results.</w:t>
      </w:r>
    </w:p>
    <w:p>
      <w:pPr>
        <w:spacing w:after="0" w:line="103"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8"/>
          <w:szCs w:val="18"/>
          <w:color w:val="auto"/>
        </w:rPr>
        <w:t xml:space="preserve">Basis of Comparison </w:t>
      </w:r>
      <w:r>
        <w:rPr>
          <w:rFonts w:ascii="Arial" w:cs="Arial" w:eastAsia="Arial" w:hAnsi="Arial"/>
          <w:sz w:val="16"/>
          <w:szCs w:val="16"/>
          <w:color w:val="auto"/>
        </w:rPr>
        <w:t>–</w:t>
      </w:r>
      <w:r>
        <w:rPr>
          <w:rFonts w:ascii="Arial" w:cs="Arial" w:eastAsia="Arial" w:hAnsi="Arial"/>
          <w:sz w:val="18"/>
          <w:szCs w:val="18"/>
          <w:color w:val="auto"/>
        </w:rPr>
        <w:t xml:space="preserve"> Revision of Previously Issued Interim Financial Statements</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Company recorded certain revisions related to the previously issued unaudited condensed consolidated financial statements. The Company considered the errors identified in accordance with the SEC's Staff Accounting Bulletin No. 99 and determined the impact was immaterial to the previously issued condensed consolidated interim financial statements. Nonetheless, the Company corrected these errors when identified in 2021.</w:t>
      </w:r>
    </w:p>
    <w:p>
      <w:pPr>
        <w:spacing w:after="0" w:line="98"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 xml:space="preserve">During the third quarter of 2021, the Company identified out-of-period adjustments on certain revenue and expense classification. Further, we corrected the cash flow presentation to properly reflect the final payment to fully acquire all of the membership interest of Telos ID as financing activities. Further information regarding the misstatements and related revisions are included in </w:t>
      </w:r>
      <w:r>
        <w:rPr>
          <w:rFonts w:ascii="Arial" w:cs="Arial" w:eastAsia="Arial" w:hAnsi="Arial"/>
          <w:sz w:val="18"/>
          <w:szCs w:val="18"/>
          <w:u w:val="single" w:color="auto"/>
          <w:color w:val="0000FF"/>
        </w:rPr>
        <w:t>Note 18</w:t>
      </w:r>
      <w:r>
        <w:rPr>
          <w:rFonts w:ascii="Arial" w:cs="Arial" w:eastAsia="Arial" w:hAnsi="Arial"/>
          <w:sz w:val="18"/>
          <w:szCs w:val="18"/>
          <w:color w:val="auto"/>
        </w:rPr>
        <w:t xml:space="preserve"> </w:t>
      </w:r>
      <w:r>
        <w:rPr>
          <w:rFonts w:ascii="Arial" w:cs="Arial" w:eastAsia="Arial" w:hAnsi="Arial"/>
          <w:sz w:val="16"/>
          <w:szCs w:val="16"/>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Revision of Prior Year Interim Financial Statements</w:t>
      </w:r>
      <w:r>
        <w:rPr>
          <w:rFonts w:ascii="Arial" w:cs="Arial" w:eastAsia="Arial" w:hAnsi="Arial"/>
          <w:sz w:val="18"/>
          <w:szCs w:val="18"/>
          <w:color w:val="auto"/>
        </w:rPr>
        <w:t xml:space="preserve"> to the condensed consolidated financial statements.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E32E1"/>
        </w:rPr>
        <w:t>Table of Contents</w:t>
      </w:r>
    </w:p>
    <w:p>
      <w:pPr>
        <w:spacing w:after="0" w:line="200" w:lineRule="exact"/>
        <w:rPr>
          <w:sz w:val="20"/>
          <w:szCs w:val="20"/>
          <w:color w:val="auto"/>
        </w:rPr>
      </w:pPr>
    </w:p>
    <w:p>
      <w:pPr>
        <w:spacing w:after="0" w:line="368"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17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Preparing unaudited consolidated financial statements in conformity with U.S. GAAP requires management to make estimates and assumptions that affect the reported amounts of revenue, expenses, assets, and liabilities and disclosure of contingent assets and liabilities. The Company regularly assesses these estimates; however, actual results could differ from those estimates. We base our estimates on historical experience, currently available information, and various other assumptions that we believe are reasonable under the circumstances. The most significant items involving management estimates include estimates of revenue recognition, allowance for credit losses, allowance for inventory obsolescence, the valuation allowance for deferred tax assets, the provision for income taxes, share-based compensation, contingencies and litigation, and valuation of intangibles and goodwill. The impact of changes in estimates is recorded in the period in which they become known.</w:t>
      </w:r>
    </w:p>
    <w:p>
      <w:pPr>
        <w:spacing w:after="0" w:line="123" w:lineRule="exact"/>
        <w:rPr>
          <w:sz w:val="20"/>
          <w:szCs w:val="20"/>
          <w:color w:val="auto"/>
        </w:rPr>
      </w:pPr>
    </w:p>
    <w:p>
      <w:pPr>
        <w:ind w:left="640" w:hanging="63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Software Development Cost (Cloud-computing implementation costs)</w:t>
      </w:r>
    </w:p>
    <w:p>
      <w:pPr>
        <w:spacing w:after="0" w:line="17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ASC 350-40 requires hosting arrangements that are service contracts to follow the guidance for internal-use software to determine which implementation costs can be capitalized. As of September 30, 2022, the capitalized implementation costs related to hosting arrangements that were incurred during the application development stage aggregated to $0.3 million. These costs are related primarily to the implementation of a new enterprise resource planning system. The capitalized implementation costs will be amortized over the expected term of the arrangement on a straight-line basis. Amortization begins when the component of the hosting arrangement is ready for its intended use after all substantial testing is complete and classified in the same line item on our consolidated statement of operations as the expense for fees for the associated hosting arrangement.</w:t>
      </w:r>
    </w:p>
    <w:p>
      <w:pPr>
        <w:spacing w:after="0" w:line="110" w:lineRule="exact"/>
        <w:rPr>
          <w:sz w:val="20"/>
          <w:szCs w:val="20"/>
          <w:color w:val="auto"/>
        </w:rPr>
      </w:pPr>
    </w:p>
    <w:p>
      <w:pPr>
        <w:ind w:left="640" w:hanging="63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Reclassifications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Certain reclassifications have been made to prior years' consolidated financial statements to conform to the current year's presentation. The reclassification had no impact on our total assets or liabilities nor on our net loss or stockholders' equity.</w:t>
      </w:r>
    </w:p>
    <w:p>
      <w:pPr>
        <w:spacing w:after="0" w:line="116"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Changes to U.S. GAAP are established by the Financial Accounting Standards Board ("FASB") in the form of Accounting Standards Updates ("ASUs") to the FASB's Accounting Standards Codification ("ASC"). We consider the applicability and impact of all recent ASUs. ASUs not listed below were assessed and determined to be not applicable.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17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October 2021, the FASB issued ASU No. 2021-08, “Business Combination (Topic 805): Accounting for Contract Assets and Contract Liabilities from Contracts with Customers,” which requires entities to apply Topic 606 to recognize and measure contract assets and contract liabilities in a business combination. The ASU improves comparability after the business combination by providing consistent recognition and measurement guidance for revenue contracts with customers acquired in a business combination and revenue contracts with customers not acquired in a business combination. Entities should apply the amendments prospectively to business combinations that occur after the effective date. This standard will be effective for reporting periods beginning after December 15, 2022, with early adoption permitted. While we are currently assessing the impact of the adoption of this ASU, we do not believe the adoption of this ASU will have a material impact on our unaudited consolidated financial position, results of operations, and cash flows.</w:t>
      </w:r>
    </w:p>
    <w:p>
      <w:pPr>
        <w:spacing w:after="0" w:line="11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In June 2022, the FASB issued ASU No. 2022-03, "Fair Value Measurement (Topic 820): Fair Value Measurement of Equity Securities Subject to Contractual Sale Restrictions," which clarifies that a contractual restriction on the sale of an equity security is not considered part of the unit of account of the equity security and, therefore, is not considered in measuring fair value. This standard will be effective for reporting periods beginning December 15, 2023, with early adoption permitted. While we are currently assessing the impact of the adoption of this ASU, we do not believe the adoption of this ASU will have a material impact on our unaudited consolidated financial position, results of operations, and cash flows.</w:t>
      </w:r>
    </w:p>
    <w:p>
      <w:pPr>
        <w:spacing w:after="0" w:line="12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September 2022, the FASB issued ASU No. 2022-04, "Liabilities - Supplier Finance Programs (Subtopic 405-50): Disclosure of Supplier Finance Program Obligations," which requires a company that uses a supplier finance program in connection with the purchase of goods or services to disclose sufficient information about the program to allow a user of the financial statements to understand the program's nature, activity during the period, changes from period to period, and potential magnitude. This standard will be effective for reporting periods beginning December 15, 2022, with early adoption permitted. While we are currently assessing the impact of the adoption of this ASU, we do not believe the adoption of this ASU will have a material impact on our unaudited consolidated financial position, results of operations, and cash flows.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E32E1"/>
        </w:rPr>
        <w:t>Table of Contents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3. REVENUE RECOGNITION</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recognize revenue in accordance with ASC Topic 606, "Revenue from Contracts with Customers." The unit of account in ASC 606 is a performance obligation, which is a promise in a contract with a customer to transfer a good or service to the customer.</w:t>
      </w:r>
    </w:p>
    <w:p>
      <w:pPr>
        <w:spacing w:after="0" w:line="11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majority of our revenue is recognized over time, as control is transferred continuously to our customers who receive and consume benefits as we perform, and is classified as services revenue. Revenue transferred to customer over time accounted for 87% and 91% of our revenue for the three and nine months ended September 30, 2022, respectively, and 91% and 92% of our revenue for the three and nine months ended September 30, 2021, respectively. All of our business groups earn services revenue under a variety of contract types, including time and materials, firm-fixed-price, firm-fixed-price level of effort, and cost-plus fixed-fee contract types, which may include variable consideration.</w:t>
      </w:r>
    </w:p>
    <w:p>
      <w:pPr>
        <w:spacing w:after="0" w:line="12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also recognize revenue at a point in time on certain contracts, when our customer obtains control of the transferred product, generally upon delivery, and the revenue is classified as product revenue. Revenue transferred to customers at a point in time accounted for 13% and 9% of our revenue for the three and nine months ended September 30, 2022, respectively, and 9% and 8% of our revenue for the three and nine months ended September 30, 2021, respectively.</w:t>
      </w:r>
    </w:p>
    <w:p>
      <w:pPr>
        <w:spacing w:after="0" w:line="133"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For certain performance obligations where we are not primarily responsible for fulfilling the promise to provide the goods or services to the customer, do not have inventory risk, and have limited discretion in establishing the price for the goods or services, we recognize revenue on a net basis.</w:t>
      </w:r>
    </w:p>
    <w:p>
      <w:pPr>
        <w:spacing w:after="0" w:line="7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provide for anticipated losses on contracts during the period when the loss is determined by recording an expense for the total expected costs that exceed the total estimated revenue for a performance obligation. No contract losses were recorded during the three and nine months ended September 30, 2022, and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Revenues</w:t>
      </w:r>
    </w:p>
    <w:p>
      <w:pPr>
        <w:spacing w:after="0" w:line="17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 xml:space="preserve">In addition to our segment reporting, as further discussed in </w:t>
      </w:r>
      <w:r>
        <w:rPr>
          <w:rFonts w:ascii="Arial" w:cs="Arial" w:eastAsia="Arial" w:hAnsi="Arial"/>
          <w:sz w:val="18"/>
          <w:szCs w:val="18"/>
          <w:u w:val="single" w:color="auto"/>
          <w:color w:val="0000FF"/>
        </w:rPr>
        <w:t>Note 17</w:t>
      </w:r>
      <w:r>
        <w:rPr>
          <w:rFonts w:ascii="Arial" w:cs="Arial" w:eastAsia="Arial" w:hAnsi="Arial"/>
          <w:sz w:val="18"/>
          <w:szCs w:val="18"/>
          <w:color w:val="auto"/>
        </w:rPr>
        <w:t xml:space="preserve"> </w:t>
      </w:r>
      <w:r>
        <w:rPr>
          <w:rFonts w:ascii="Arial" w:cs="Arial" w:eastAsia="Arial" w:hAnsi="Arial"/>
          <w:sz w:val="16"/>
          <w:szCs w:val="16"/>
          <w:u w:val="single" w:color="auto"/>
          <w:color w:val="0000FF"/>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Segment Information</w:t>
      </w:r>
      <w:r>
        <w:rPr>
          <w:rFonts w:ascii="Arial" w:cs="Arial" w:eastAsia="Arial" w:hAnsi="Arial"/>
          <w:sz w:val="18"/>
          <w:szCs w:val="18"/>
          <w:color w:val="auto"/>
        </w:rPr>
        <w:t>, we disaggregate our revenue by customer and contract types. We treat sales to U.S. customers as sales within the United States, regardless of where the services are performed. Substantially all of our revenues are generated from U.S. customers.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Table 3.1: Revenue by Customer Type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700" w:type="dxa"/>
            <w:vAlign w:val="bottom"/>
            <w:tcBorders>
              <w:top w:val="single" w:sz="8" w:color="auto"/>
              <w:bottom w:val="single" w:sz="8" w:color="auto"/>
            </w:tcBorders>
            <w:gridSpan w:val="5"/>
          </w:tcPr>
          <w:p>
            <w:pPr>
              <w:jc w:val="right"/>
              <w:ind w:right="39"/>
              <w:spacing w:after="0"/>
              <w:rPr>
                <w:sz w:val="20"/>
                <w:szCs w:val="20"/>
                <w:color w:val="auto"/>
              </w:rPr>
            </w:pPr>
            <w:r>
              <w:rPr>
                <w:rFonts w:ascii="Arial" w:cs="Arial" w:eastAsia="Arial" w:hAnsi="Arial"/>
                <w:sz w:val="16"/>
                <w:szCs w:val="16"/>
                <w:color w:val="auto"/>
              </w:rPr>
              <w:t>For the Three Months Ended</w:t>
            </w:r>
          </w:p>
        </w:tc>
        <w:tc>
          <w:tcPr>
            <w:tcW w:w="7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720" w:type="dxa"/>
            <w:vAlign w:val="bottom"/>
            <w:tcBorders>
              <w:top w:val="single" w:sz="8" w:color="auto"/>
              <w:bottom w:val="single" w:sz="8" w:color="auto"/>
            </w:tcBorders>
            <w:gridSpan w:val="5"/>
          </w:tcPr>
          <w:p>
            <w:pPr>
              <w:jc w:val="right"/>
              <w:ind w:right="99"/>
              <w:spacing w:after="0"/>
              <w:rPr>
                <w:sz w:val="20"/>
                <w:szCs w:val="20"/>
                <w:color w:val="auto"/>
              </w:rPr>
            </w:pPr>
            <w:r>
              <w:rPr>
                <w:rFonts w:ascii="Arial" w:cs="Arial" w:eastAsia="Arial" w:hAnsi="Arial"/>
                <w:sz w:val="16"/>
                <w:szCs w:val="16"/>
                <w:color w:val="auto"/>
              </w:rPr>
              <w:t>For the Nine Months Ended</w:t>
            </w:r>
          </w:p>
        </w:tc>
        <w:tc>
          <w:tcPr>
            <w:tcW w:w="7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3"/>
          </w:tcPr>
          <w:p>
            <w:pPr>
              <w:ind w:left="80"/>
              <w:spacing w:after="0"/>
              <w:rPr>
                <w:sz w:val="20"/>
                <w:szCs w:val="20"/>
                <w:color w:val="auto"/>
              </w:rPr>
            </w:pPr>
            <w:r>
              <w:rPr>
                <w:rFonts w:ascii="Arial" w:cs="Arial" w:eastAsia="Arial" w:hAnsi="Arial"/>
                <w:sz w:val="16"/>
                <w:szCs w:val="16"/>
                <w:color w:val="auto"/>
              </w:rPr>
              <w:t>September 30, 2022</w:t>
            </w:r>
          </w:p>
        </w:tc>
        <w:tc>
          <w:tcPr>
            <w:tcW w:w="160" w:type="dxa"/>
            <w:vAlign w:val="bottom"/>
          </w:tcPr>
          <w:p>
            <w:pPr>
              <w:spacing w:after="0"/>
              <w:rPr>
                <w:sz w:val="18"/>
                <w:szCs w:val="18"/>
                <w:color w:val="auto"/>
              </w:rPr>
            </w:pPr>
          </w:p>
        </w:tc>
        <w:tc>
          <w:tcPr>
            <w:tcW w:w="1700" w:type="dxa"/>
            <w:vAlign w:val="bottom"/>
            <w:gridSpan w:val="4"/>
          </w:tcPr>
          <w:p>
            <w:pPr>
              <w:ind w:left="60"/>
              <w:spacing w:after="0"/>
              <w:rPr>
                <w:sz w:val="20"/>
                <w:szCs w:val="20"/>
                <w:color w:val="auto"/>
              </w:rPr>
            </w:pPr>
            <w:r>
              <w:rPr>
                <w:rFonts w:ascii="Arial" w:cs="Arial" w:eastAsia="Arial" w:hAnsi="Arial"/>
                <w:sz w:val="16"/>
                <w:szCs w:val="16"/>
                <w:color w:val="auto"/>
              </w:rPr>
              <w:t>September 30, 2021</w:t>
            </w:r>
          </w:p>
        </w:tc>
        <w:tc>
          <w:tcPr>
            <w:tcW w:w="140" w:type="dxa"/>
            <w:vAlign w:val="bottom"/>
          </w:tcPr>
          <w:p>
            <w:pPr>
              <w:spacing w:after="0"/>
              <w:rPr>
                <w:sz w:val="18"/>
                <w:szCs w:val="18"/>
                <w:color w:val="auto"/>
              </w:rPr>
            </w:pPr>
          </w:p>
        </w:tc>
        <w:tc>
          <w:tcPr>
            <w:tcW w:w="1680" w:type="dxa"/>
            <w:vAlign w:val="bottom"/>
            <w:gridSpan w:val="3"/>
          </w:tcPr>
          <w:p>
            <w:pPr>
              <w:ind w:left="60"/>
              <w:spacing w:after="0"/>
              <w:rPr>
                <w:sz w:val="20"/>
                <w:szCs w:val="20"/>
                <w:color w:val="auto"/>
              </w:rPr>
            </w:pPr>
            <w:r>
              <w:rPr>
                <w:rFonts w:ascii="Arial" w:cs="Arial" w:eastAsia="Arial" w:hAnsi="Arial"/>
                <w:sz w:val="16"/>
                <w:szCs w:val="16"/>
                <w:color w:val="auto"/>
              </w:rPr>
              <w:t>September 30, 2022</w:t>
            </w:r>
          </w:p>
        </w:tc>
        <w:tc>
          <w:tcPr>
            <w:tcW w:w="180" w:type="dxa"/>
            <w:vAlign w:val="bottom"/>
          </w:tcPr>
          <w:p>
            <w:pPr>
              <w:spacing w:after="0"/>
              <w:rPr>
                <w:sz w:val="18"/>
                <w:szCs w:val="18"/>
                <w:color w:val="auto"/>
              </w:rPr>
            </w:pPr>
          </w:p>
        </w:tc>
        <w:tc>
          <w:tcPr>
            <w:tcW w:w="1600" w:type="dxa"/>
            <w:vAlign w:val="bottom"/>
            <w:gridSpan w:val="2"/>
          </w:tcPr>
          <w:p>
            <w:pPr>
              <w:ind w:left="60"/>
              <w:spacing w:after="0"/>
              <w:rPr>
                <w:sz w:val="20"/>
                <w:szCs w:val="20"/>
                <w:color w:val="auto"/>
              </w:rPr>
            </w:pPr>
            <w:r>
              <w:rPr>
                <w:rFonts w:ascii="Arial" w:cs="Arial" w:eastAsia="Arial" w:hAnsi="Arial"/>
                <w:sz w:val="16"/>
                <w:szCs w:val="16"/>
                <w:color w:val="auto"/>
              </w:rPr>
              <w:t>September 30, 2021</w:t>
            </w:r>
          </w:p>
        </w:tc>
        <w:tc>
          <w:tcPr>
            <w:tcW w:w="0" w:type="dxa"/>
            <w:vAlign w:val="bottom"/>
          </w:tcPr>
          <w:p>
            <w:pPr>
              <w:spacing w:after="0"/>
              <w:rPr>
                <w:sz w:val="1"/>
                <w:szCs w:val="1"/>
                <w:color w:val="auto"/>
              </w:rPr>
            </w:pPr>
          </w:p>
        </w:tc>
      </w:tr>
      <w:tr>
        <w:trPr>
          <w:trHeight w:val="210"/>
        </w:trPr>
        <w:tc>
          <w:tcPr>
            <w:tcW w:w="39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color w:val="auto"/>
              </w:rPr>
              <w:t>Amount</w:t>
            </w:r>
          </w:p>
        </w:tc>
        <w:tc>
          <w:tcPr>
            <w:tcW w:w="7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color w:val="auto"/>
              </w:rPr>
              <w:t>Amount</w:t>
            </w:r>
          </w:p>
        </w:tc>
        <w:tc>
          <w:tcPr>
            <w:tcW w:w="74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color w:val="auto"/>
              </w:rPr>
              <w:t>Amount</w:t>
            </w:r>
          </w:p>
        </w:tc>
        <w:tc>
          <w:tcPr>
            <w:tcW w:w="7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color w:val="auto"/>
              </w:rPr>
              <w:t>Amount</w:t>
            </w:r>
          </w:p>
        </w:tc>
        <w:tc>
          <w:tcPr>
            <w:tcW w:w="7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3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4"/>
                <w:szCs w:val="14"/>
                <w:i w:val="1"/>
                <w:iCs w:val="1"/>
                <w:color w:val="auto"/>
                <w:w w:val="92"/>
              </w:rPr>
              <w:t>(in thousands)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3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Federal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60,294</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66,612</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97 %</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160,351</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171,091</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96 %</w:t>
            </w:r>
          </w:p>
        </w:tc>
        <w:tc>
          <w:tcPr>
            <w:tcW w:w="0" w:type="dxa"/>
            <w:vAlign w:val="bottom"/>
          </w:tcPr>
          <w:p>
            <w:pPr>
              <w:spacing w:after="0"/>
              <w:rPr>
                <w:sz w:val="1"/>
                <w:szCs w:val="1"/>
                <w:color w:val="auto"/>
              </w:rPr>
            </w:pPr>
          </w:p>
        </w:tc>
      </w:tr>
      <w:tr>
        <w:trPr>
          <w:trHeight w:val="213"/>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State &amp; local, and commercial</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3,299</w:t>
            </w: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5 %</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2,369</w:t>
            </w: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3 %</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9,193</w:t>
            </w: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5 %</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7,292</w:t>
            </w: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38"/>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63,593</w:t>
            </w: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68,981</w:t>
            </w: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169,544</w:t>
            </w: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178,383</w:t>
            </w: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Table 3.2: Revenue by Contract Type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392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5"/>
          </w:tcPr>
          <w:p>
            <w:pPr>
              <w:jc w:val="right"/>
              <w:ind w:right="39"/>
              <w:spacing w:after="0"/>
              <w:rPr>
                <w:sz w:val="20"/>
                <w:szCs w:val="20"/>
                <w:color w:val="auto"/>
              </w:rPr>
            </w:pPr>
            <w:r>
              <w:rPr>
                <w:rFonts w:ascii="Arial" w:cs="Arial" w:eastAsia="Arial" w:hAnsi="Arial"/>
                <w:sz w:val="16"/>
                <w:szCs w:val="16"/>
                <w:color w:val="auto"/>
              </w:rPr>
              <w:t>For the Three Months Ended</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jc w:val="right"/>
              <w:ind w:right="99"/>
              <w:spacing w:after="0"/>
              <w:rPr>
                <w:sz w:val="20"/>
                <w:szCs w:val="20"/>
                <w:color w:val="auto"/>
              </w:rPr>
            </w:pPr>
            <w:r>
              <w:rPr>
                <w:rFonts w:ascii="Arial" w:cs="Arial" w:eastAsia="Arial" w:hAnsi="Arial"/>
                <w:sz w:val="16"/>
                <w:szCs w:val="16"/>
                <w:color w:val="auto"/>
              </w:rPr>
              <w:t>For the Nine Months Ended</w:t>
            </w: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3"/>
          </w:tcPr>
          <w:p>
            <w:pPr>
              <w:ind w:left="80"/>
              <w:spacing w:after="0"/>
              <w:rPr>
                <w:sz w:val="20"/>
                <w:szCs w:val="20"/>
                <w:color w:val="auto"/>
              </w:rPr>
            </w:pPr>
            <w:r>
              <w:rPr>
                <w:rFonts w:ascii="Arial" w:cs="Arial" w:eastAsia="Arial" w:hAnsi="Arial"/>
                <w:sz w:val="16"/>
                <w:szCs w:val="16"/>
                <w:color w:val="auto"/>
              </w:rPr>
              <w:t>September 30, 2022</w:t>
            </w:r>
          </w:p>
        </w:tc>
        <w:tc>
          <w:tcPr>
            <w:tcW w:w="160" w:type="dxa"/>
            <w:vAlign w:val="bottom"/>
          </w:tcPr>
          <w:p>
            <w:pPr>
              <w:spacing w:after="0"/>
              <w:rPr>
                <w:sz w:val="18"/>
                <w:szCs w:val="18"/>
                <w:color w:val="auto"/>
              </w:rPr>
            </w:pPr>
          </w:p>
        </w:tc>
        <w:tc>
          <w:tcPr>
            <w:tcW w:w="1700" w:type="dxa"/>
            <w:vAlign w:val="bottom"/>
            <w:gridSpan w:val="4"/>
          </w:tcPr>
          <w:p>
            <w:pPr>
              <w:ind w:left="60"/>
              <w:spacing w:after="0"/>
              <w:rPr>
                <w:sz w:val="20"/>
                <w:szCs w:val="20"/>
                <w:color w:val="auto"/>
              </w:rPr>
            </w:pPr>
            <w:r>
              <w:rPr>
                <w:rFonts w:ascii="Arial" w:cs="Arial" w:eastAsia="Arial" w:hAnsi="Arial"/>
                <w:sz w:val="16"/>
                <w:szCs w:val="16"/>
                <w:color w:val="auto"/>
              </w:rPr>
              <w:t>September 30, 2021</w:t>
            </w:r>
          </w:p>
        </w:tc>
        <w:tc>
          <w:tcPr>
            <w:tcW w:w="140" w:type="dxa"/>
            <w:vAlign w:val="bottom"/>
          </w:tcPr>
          <w:p>
            <w:pPr>
              <w:spacing w:after="0"/>
              <w:rPr>
                <w:sz w:val="18"/>
                <w:szCs w:val="18"/>
                <w:color w:val="auto"/>
              </w:rPr>
            </w:pPr>
          </w:p>
        </w:tc>
        <w:tc>
          <w:tcPr>
            <w:tcW w:w="1680" w:type="dxa"/>
            <w:vAlign w:val="bottom"/>
            <w:gridSpan w:val="3"/>
          </w:tcPr>
          <w:p>
            <w:pPr>
              <w:ind w:left="60"/>
              <w:spacing w:after="0"/>
              <w:rPr>
                <w:sz w:val="20"/>
                <w:szCs w:val="20"/>
                <w:color w:val="auto"/>
              </w:rPr>
            </w:pPr>
            <w:r>
              <w:rPr>
                <w:rFonts w:ascii="Arial" w:cs="Arial" w:eastAsia="Arial" w:hAnsi="Arial"/>
                <w:sz w:val="16"/>
                <w:szCs w:val="16"/>
                <w:color w:val="auto"/>
              </w:rPr>
              <w:t>September 30, 2022</w:t>
            </w:r>
          </w:p>
        </w:tc>
        <w:tc>
          <w:tcPr>
            <w:tcW w:w="180" w:type="dxa"/>
            <w:vAlign w:val="bottom"/>
          </w:tcPr>
          <w:p>
            <w:pPr>
              <w:spacing w:after="0"/>
              <w:rPr>
                <w:sz w:val="18"/>
                <w:szCs w:val="18"/>
                <w:color w:val="auto"/>
              </w:rPr>
            </w:pPr>
          </w:p>
        </w:tc>
        <w:tc>
          <w:tcPr>
            <w:tcW w:w="1600" w:type="dxa"/>
            <w:vAlign w:val="bottom"/>
            <w:gridSpan w:val="2"/>
          </w:tcPr>
          <w:p>
            <w:pPr>
              <w:ind w:left="60"/>
              <w:spacing w:after="0"/>
              <w:rPr>
                <w:sz w:val="20"/>
                <w:szCs w:val="20"/>
                <w:color w:val="auto"/>
              </w:rPr>
            </w:pPr>
            <w:r>
              <w:rPr>
                <w:rFonts w:ascii="Arial" w:cs="Arial" w:eastAsia="Arial" w:hAnsi="Arial"/>
                <w:sz w:val="16"/>
                <w:szCs w:val="16"/>
                <w:color w:val="auto"/>
              </w:rPr>
              <w:t>September 30, 2021</w:t>
            </w:r>
          </w:p>
        </w:tc>
        <w:tc>
          <w:tcPr>
            <w:tcW w:w="0" w:type="dxa"/>
            <w:vAlign w:val="bottom"/>
          </w:tcPr>
          <w:p>
            <w:pPr>
              <w:spacing w:after="0"/>
              <w:rPr>
                <w:sz w:val="1"/>
                <w:szCs w:val="1"/>
                <w:color w:val="auto"/>
              </w:rPr>
            </w:pPr>
          </w:p>
        </w:tc>
      </w:tr>
      <w:tr>
        <w:trPr>
          <w:trHeight w:val="210"/>
        </w:trPr>
        <w:tc>
          <w:tcPr>
            <w:tcW w:w="39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color w:val="auto"/>
              </w:rPr>
              <w:t>Amount</w:t>
            </w:r>
          </w:p>
        </w:tc>
        <w:tc>
          <w:tcPr>
            <w:tcW w:w="7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color w:val="auto"/>
              </w:rPr>
              <w:t>Amount</w:t>
            </w:r>
          </w:p>
        </w:tc>
        <w:tc>
          <w:tcPr>
            <w:tcW w:w="74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color w:val="auto"/>
              </w:rPr>
              <w:t>Amount</w:t>
            </w:r>
          </w:p>
        </w:tc>
        <w:tc>
          <w:tcPr>
            <w:tcW w:w="7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color w:val="auto"/>
              </w:rPr>
              <w:t>Amount</w:t>
            </w:r>
          </w:p>
        </w:tc>
        <w:tc>
          <w:tcPr>
            <w:tcW w:w="7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3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4"/>
                <w:szCs w:val="14"/>
                <w:i w:val="1"/>
                <w:iCs w:val="1"/>
                <w:color w:val="auto"/>
                <w:w w:val="92"/>
              </w:rPr>
              <w:t>(in thousands)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3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Firm fixed-price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54,055</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60,349</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87 %</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140,636</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155,832</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87 %</w:t>
            </w:r>
          </w:p>
        </w:tc>
        <w:tc>
          <w:tcPr>
            <w:tcW w:w="0" w:type="dxa"/>
            <w:vAlign w:val="bottom"/>
          </w:tcPr>
          <w:p>
            <w:pPr>
              <w:spacing w:after="0"/>
              <w:rPr>
                <w:sz w:val="1"/>
                <w:szCs w:val="1"/>
                <w:color w:val="auto"/>
              </w:rPr>
            </w:pPr>
          </w:p>
        </w:tc>
      </w:tr>
      <w:tr>
        <w:trPr>
          <w:trHeight w:val="213"/>
        </w:trPr>
        <w:tc>
          <w:tcPr>
            <w:tcW w:w="3920" w:type="dxa"/>
            <w:vAlign w:val="bottom"/>
          </w:tcPr>
          <w:p>
            <w:pPr>
              <w:ind w:left="20"/>
              <w:spacing w:after="0"/>
              <w:rPr>
                <w:sz w:val="20"/>
                <w:szCs w:val="20"/>
                <w:color w:val="auto"/>
              </w:rPr>
            </w:pPr>
            <w:r>
              <w:rPr>
                <w:rFonts w:ascii="Arial" w:cs="Arial" w:eastAsia="Arial" w:hAnsi="Arial"/>
                <w:sz w:val="16"/>
                <w:szCs w:val="16"/>
                <w:color w:val="auto"/>
              </w:rPr>
              <w:t>Time-and-materials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3,457</w:t>
            </w:r>
          </w:p>
        </w:tc>
        <w:tc>
          <w:tcPr>
            <w:tcW w:w="740" w:type="dxa"/>
            <w:vAlign w:val="bottom"/>
          </w:tcPr>
          <w:p>
            <w:pPr>
              <w:jc w:val="right"/>
              <w:spacing w:after="0"/>
              <w:rPr>
                <w:sz w:val="20"/>
                <w:szCs w:val="20"/>
                <w:color w:val="auto"/>
              </w:rPr>
            </w:pPr>
            <w:r>
              <w:rPr>
                <w:rFonts w:ascii="Arial" w:cs="Arial" w:eastAsia="Arial" w:hAnsi="Arial"/>
                <w:sz w:val="16"/>
                <w:szCs w:val="16"/>
                <w:color w:val="auto"/>
              </w:rPr>
              <w:t>5 %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3,154</w:t>
            </w:r>
          </w:p>
        </w:tc>
        <w:tc>
          <w:tcPr>
            <w:tcW w:w="740" w:type="dxa"/>
            <w:vAlign w:val="bottom"/>
          </w:tcPr>
          <w:p>
            <w:pPr>
              <w:jc w:val="right"/>
              <w:spacing w:after="0"/>
              <w:rPr>
                <w:sz w:val="20"/>
                <w:szCs w:val="20"/>
                <w:color w:val="auto"/>
              </w:rPr>
            </w:pPr>
            <w:r>
              <w:rPr>
                <w:rFonts w:ascii="Arial" w:cs="Arial" w:eastAsia="Arial" w:hAnsi="Arial"/>
                <w:sz w:val="16"/>
                <w:szCs w:val="16"/>
                <w:color w:val="auto"/>
              </w:rPr>
              <w:t>5 %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9,104</w:t>
            </w:r>
          </w:p>
        </w:tc>
        <w:tc>
          <w:tcPr>
            <w:tcW w:w="740" w:type="dxa"/>
            <w:vAlign w:val="bottom"/>
          </w:tcPr>
          <w:p>
            <w:pPr>
              <w:jc w:val="right"/>
              <w:spacing w:after="0"/>
              <w:rPr>
                <w:sz w:val="20"/>
                <w:szCs w:val="20"/>
                <w:color w:val="auto"/>
              </w:rPr>
            </w:pPr>
            <w:r>
              <w:rPr>
                <w:rFonts w:ascii="Arial" w:cs="Arial" w:eastAsia="Arial" w:hAnsi="Arial"/>
                <w:sz w:val="16"/>
                <w:szCs w:val="16"/>
                <w:color w:val="auto"/>
              </w:rPr>
              <w:t>5 %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9,243</w:t>
            </w:r>
          </w:p>
        </w:tc>
        <w:tc>
          <w:tcPr>
            <w:tcW w:w="740" w:type="dxa"/>
            <w:vAlign w:val="bottom"/>
          </w:tcPr>
          <w:p>
            <w:pPr>
              <w:jc w:val="right"/>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plus fixed fee</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6,081</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5,478</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19,804</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13,308</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213"/>
        </w:trPr>
        <w:tc>
          <w:tcPr>
            <w:tcW w:w="3920" w:type="dxa"/>
            <w:vAlign w:val="bottom"/>
          </w:tcPr>
          <w:p>
            <w:pPr>
              <w:ind w:left="180"/>
              <w:spacing w:after="0"/>
              <w:rPr>
                <w:sz w:val="20"/>
                <w:szCs w:val="20"/>
                <w:color w:val="auto"/>
              </w:rPr>
            </w:pPr>
            <w:r>
              <w:rPr>
                <w:rFonts w:ascii="Arial" w:cs="Arial" w:eastAsia="Arial" w:hAnsi="Arial"/>
                <w:sz w:val="16"/>
                <w:szCs w:val="16"/>
                <w:color w:val="auto"/>
              </w:rPr>
              <w:t>Total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63,593</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68,981</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169,544</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178,383</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As our primary customer base includes agencies of the U.S. government, we have a concentration of credit risk associated with our accounts receivable, as 95% of our billed accounts receivable, as of September 30, 2022, were directly with U.S. government customers. We perform ongoing credit evaluations of all our customers and generally do not require collateral or other guarantees from our customers. We maintain allowances for potential losses.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Table 3.3: Revenue Concentrations Greater than 10% of Total Revenue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40" w:type="dxa"/>
            <w:vAlign w:val="bottom"/>
            <w:tcBorders>
              <w:top w:val="single" w:sz="8" w:color="auto"/>
            </w:tcBorders>
          </w:tcPr>
          <w:p>
            <w:pPr>
              <w:spacing w:after="0"/>
              <w:rPr>
                <w:sz w:val="18"/>
                <w:szCs w:val="18"/>
                <w:color w:val="auto"/>
              </w:rPr>
            </w:pPr>
          </w:p>
        </w:tc>
        <w:tc>
          <w:tcPr>
            <w:tcW w:w="3200" w:type="dxa"/>
            <w:vAlign w:val="bottom"/>
            <w:tcBorders>
              <w:top w:val="single" w:sz="8" w:color="auto"/>
              <w:bottom w:val="single" w:sz="8" w:color="auto"/>
            </w:tcBorders>
            <w:gridSpan w:val="3"/>
          </w:tcPr>
          <w:p>
            <w:pPr>
              <w:jc w:val="right"/>
              <w:ind w:right="579"/>
              <w:spacing w:after="0"/>
              <w:rPr>
                <w:sz w:val="20"/>
                <w:szCs w:val="20"/>
                <w:color w:val="auto"/>
              </w:rPr>
            </w:pPr>
            <w:r>
              <w:rPr>
                <w:rFonts w:ascii="Arial" w:cs="Arial" w:eastAsia="Arial" w:hAnsi="Arial"/>
                <w:sz w:val="16"/>
                <w:szCs w:val="16"/>
                <w:color w:val="auto"/>
              </w:rPr>
              <w:t>For the Three Months Ended</w:t>
            </w:r>
          </w:p>
        </w:tc>
        <w:tc>
          <w:tcPr>
            <w:tcW w:w="80" w:type="dxa"/>
            <w:vAlign w:val="bottom"/>
            <w:tcBorders>
              <w:top w:val="single" w:sz="8" w:color="auto"/>
            </w:tcBorders>
          </w:tcPr>
          <w:p>
            <w:pPr>
              <w:spacing w:after="0"/>
              <w:rPr>
                <w:sz w:val="18"/>
                <w:szCs w:val="18"/>
                <w:color w:val="auto"/>
              </w:rPr>
            </w:pPr>
          </w:p>
        </w:tc>
        <w:tc>
          <w:tcPr>
            <w:tcW w:w="3220" w:type="dxa"/>
            <w:vAlign w:val="bottom"/>
            <w:tcBorders>
              <w:top w:val="single" w:sz="8" w:color="auto"/>
              <w:bottom w:val="single" w:sz="8" w:color="auto"/>
            </w:tcBorders>
            <w:gridSpan w:val="3"/>
          </w:tcPr>
          <w:p>
            <w:pPr>
              <w:jc w:val="right"/>
              <w:ind w:right="619"/>
              <w:spacing w:after="0"/>
              <w:rPr>
                <w:sz w:val="20"/>
                <w:szCs w:val="20"/>
                <w:color w:val="auto"/>
              </w:rPr>
            </w:pPr>
            <w:r>
              <w:rPr>
                <w:rFonts w:ascii="Arial" w:cs="Arial" w:eastAsia="Arial" w:hAnsi="Arial"/>
                <w:sz w:val="16"/>
                <w:szCs w:val="16"/>
                <w:color w:val="auto"/>
              </w:rPr>
              <w:t>For the Nine Months Ended</w:t>
            </w:r>
          </w:p>
        </w:tc>
      </w:tr>
      <w:tr>
        <w:trPr>
          <w:trHeight w:val="209"/>
        </w:trPr>
        <w:tc>
          <w:tcPr>
            <w:tcW w:w="4740" w:type="dxa"/>
            <w:vAlign w:val="bottom"/>
          </w:tcPr>
          <w:p>
            <w:pPr>
              <w:spacing w:after="0"/>
              <w:rPr>
                <w:sz w:val="18"/>
                <w:szCs w:val="18"/>
                <w:color w:val="auto"/>
              </w:rPr>
            </w:pPr>
          </w:p>
        </w:tc>
        <w:tc>
          <w:tcPr>
            <w:tcW w:w="1640" w:type="dxa"/>
            <w:vAlign w:val="bottom"/>
            <w:gridSpan w:val="2"/>
          </w:tcPr>
          <w:p>
            <w:pPr>
              <w:ind w:left="120"/>
              <w:spacing w:after="0"/>
              <w:rPr>
                <w:sz w:val="20"/>
                <w:szCs w:val="20"/>
                <w:color w:val="auto"/>
              </w:rPr>
            </w:pPr>
            <w:r>
              <w:rPr>
                <w:rFonts w:ascii="Arial" w:cs="Arial" w:eastAsia="Arial" w:hAnsi="Arial"/>
                <w:sz w:val="16"/>
                <w:szCs w:val="16"/>
                <w:color w:val="auto"/>
              </w:rPr>
              <w:t>September 30, 2022</w:t>
            </w:r>
          </w:p>
        </w:tc>
        <w:tc>
          <w:tcPr>
            <w:tcW w:w="1640" w:type="dxa"/>
            <w:vAlign w:val="bottom"/>
            <w:gridSpan w:val="2"/>
          </w:tcPr>
          <w:p>
            <w:pPr>
              <w:ind w:left="140"/>
              <w:spacing w:after="0"/>
              <w:rPr>
                <w:sz w:val="20"/>
                <w:szCs w:val="20"/>
                <w:color w:val="auto"/>
              </w:rPr>
            </w:pPr>
            <w:r>
              <w:rPr>
                <w:rFonts w:ascii="Arial" w:cs="Arial" w:eastAsia="Arial" w:hAnsi="Arial"/>
                <w:sz w:val="16"/>
                <w:szCs w:val="16"/>
                <w:color w:val="auto"/>
              </w:rPr>
              <w:t>September 30, 2021</w:t>
            </w:r>
          </w:p>
        </w:tc>
        <w:tc>
          <w:tcPr>
            <w:tcW w:w="1660" w:type="dxa"/>
            <w:vAlign w:val="bottom"/>
            <w:gridSpan w:val="2"/>
          </w:tcPr>
          <w:p>
            <w:pPr>
              <w:ind w:left="140"/>
              <w:spacing w:after="0"/>
              <w:rPr>
                <w:sz w:val="20"/>
                <w:szCs w:val="20"/>
                <w:color w:val="auto"/>
              </w:rPr>
            </w:pPr>
            <w:r>
              <w:rPr>
                <w:rFonts w:ascii="Arial" w:cs="Arial" w:eastAsia="Arial" w:hAnsi="Arial"/>
                <w:sz w:val="16"/>
                <w:szCs w:val="16"/>
                <w:color w:val="auto"/>
              </w:rPr>
              <w:t>September 30, 2022</w:t>
            </w:r>
          </w:p>
        </w:tc>
        <w:tc>
          <w:tcPr>
            <w:tcW w:w="1560" w:type="dxa"/>
            <w:vAlign w:val="bottom"/>
          </w:tcPr>
          <w:p>
            <w:pPr>
              <w:jc w:val="right"/>
              <w:ind w:right="59"/>
              <w:spacing w:after="0"/>
              <w:rPr>
                <w:sz w:val="20"/>
                <w:szCs w:val="20"/>
                <w:color w:val="auto"/>
              </w:rPr>
            </w:pPr>
            <w:r>
              <w:rPr>
                <w:rFonts w:ascii="Arial" w:cs="Arial" w:eastAsia="Arial" w:hAnsi="Arial"/>
                <w:sz w:val="16"/>
                <w:szCs w:val="16"/>
                <w:color w:val="auto"/>
                <w:w w:val="96"/>
              </w:rPr>
              <w:t>September 30, 2021</w:t>
            </w:r>
          </w:p>
        </w:tc>
      </w:tr>
      <w:tr>
        <w:trPr>
          <w:trHeight w:val="213"/>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 Department of Defense ("DoD")</w:t>
            </w:r>
          </w:p>
        </w:tc>
        <w:tc>
          <w:tcPr>
            <w:tcW w:w="156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77%</w:t>
            </w: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74%</w:t>
            </w:r>
          </w:p>
        </w:tc>
        <w:tc>
          <w:tcPr>
            <w:tcW w:w="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74%</w:t>
            </w: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75%</w:t>
            </w:r>
          </w:p>
        </w:tc>
      </w:tr>
      <w:tr>
        <w:trPr>
          <w:trHeight w:val="210"/>
        </w:trPr>
        <w:tc>
          <w:tcPr>
            <w:tcW w:w="4740" w:type="dxa"/>
            <w:vAlign w:val="bottom"/>
          </w:tcPr>
          <w:p>
            <w:pPr>
              <w:ind w:left="20"/>
              <w:spacing w:after="0"/>
              <w:rPr>
                <w:sz w:val="20"/>
                <w:szCs w:val="20"/>
                <w:color w:val="auto"/>
              </w:rPr>
            </w:pPr>
            <w:r>
              <w:rPr>
                <w:rFonts w:ascii="Arial" w:cs="Arial" w:eastAsia="Arial" w:hAnsi="Arial"/>
                <w:sz w:val="16"/>
                <w:szCs w:val="16"/>
                <w:color w:val="auto"/>
              </w:rPr>
              <w:t>Civilian federal agencies</w:t>
            </w:r>
          </w:p>
        </w:tc>
        <w:tc>
          <w:tcPr>
            <w:tcW w:w="1560" w:type="dxa"/>
            <w:vAlign w:val="bottom"/>
          </w:tcPr>
          <w:p>
            <w:pPr>
              <w:jc w:val="right"/>
              <w:ind w:right="379"/>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8"/>
                <w:szCs w:val="18"/>
                <w:color w:val="auto"/>
              </w:rPr>
            </w:pPr>
          </w:p>
        </w:tc>
        <w:tc>
          <w:tcPr>
            <w:tcW w:w="1560" w:type="dxa"/>
            <w:vAlign w:val="bottom"/>
          </w:tcPr>
          <w:p>
            <w:pPr>
              <w:jc w:val="right"/>
              <w:ind w:right="359"/>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8"/>
                <w:szCs w:val="18"/>
                <w:color w:val="auto"/>
              </w:rPr>
            </w:pPr>
          </w:p>
        </w:tc>
        <w:tc>
          <w:tcPr>
            <w:tcW w:w="1580" w:type="dxa"/>
            <w:vAlign w:val="bottom"/>
          </w:tcPr>
          <w:p>
            <w:pPr>
              <w:jc w:val="right"/>
              <w:ind w:right="379"/>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8"/>
                <w:szCs w:val="18"/>
                <w:color w:val="auto"/>
              </w:rPr>
            </w:pPr>
          </w:p>
        </w:tc>
        <w:tc>
          <w:tcPr>
            <w:tcW w:w="1560" w:type="dxa"/>
            <w:vAlign w:val="bottom"/>
          </w:tcPr>
          <w:p>
            <w:pPr>
              <w:jc w:val="right"/>
              <w:ind w:right="359"/>
              <w:spacing w:after="0"/>
              <w:rPr>
                <w:sz w:val="20"/>
                <w:szCs w:val="20"/>
                <w:color w:val="auto"/>
              </w:rPr>
            </w:pPr>
            <w:r>
              <w:rPr>
                <w:rFonts w:ascii="Arial" w:cs="Arial" w:eastAsia="Arial" w:hAnsi="Arial"/>
                <w:sz w:val="16"/>
                <w:szCs w:val="16"/>
                <w:color w:val="auto"/>
              </w:rPr>
              <w:t>21%</w:t>
            </w: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Table 3.4: Contract Balances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99"/>
              </w:rPr>
              <w:t>September 30, 2022</w:t>
            </w: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8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99"/>
              </w:rPr>
              <w:t>December 31, 2021</w:t>
            </w:r>
          </w:p>
        </w:tc>
      </w:tr>
      <w:tr>
        <w:trPr>
          <w:trHeight w:val="250"/>
        </w:trPr>
        <w:tc>
          <w:tcPr>
            <w:tcW w:w="7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0" w:type="dxa"/>
            <w:vAlign w:val="bottom"/>
            <w:gridSpan w:val="4"/>
          </w:tcPr>
          <w:p>
            <w:pPr>
              <w:jc w:val="right"/>
              <w:ind w:right="1579"/>
              <w:spacing w:after="0"/>
              <w:rPr>
                <w:sz w:val="20"/>
                <w:szCs w:val="20"/>
                <w:color w:val="auto"/>
              </w:rPr>
            </w:pPr>
            <w:r>
              <w:rPr>
                <w:rFonts w:ascii="Arial" w:cs="Arial" w:eastAsia="Arial" w:hAnsi="Arial"/>
                <w:sz w:val="16"/>
                <w:szCs w:val="16"/>
                <w:i w:val="1"/>
                <w:iCs w:val="1"/>
                <w:color w:val="auto"/>
              </w:rPr>
              <w:t>(in thousands)</w:t>
            </w:r>
          </w:p>
        </w:tc>
      </w:tr>
      <w:tr>
        <w:trPr>
          <w:trHeight w:val="219"/>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assets (unbilled receivables)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28,290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41,374</w:t>
            </w:r>
          </w:p>
        </w:tc>
      </w:tr>
      <w:tr>
        <w:trPr>
          <w:trHeight w:val="210"/>
        </w:trPr>
        <w:tc>
          <w:tcPr>
            <w:tcW w:w="7000" w:type="dxa"/>
            <w:vAlign w:val="bottom"/>
          </w:tcPr>
          <w:p>
            <w:pPr>
              <w:ind w:left="20"/>
              <w:spacing w:after="0"/>
              <w:rPr>
                <w:sz w:val="20"/>
                <w:szCs w:val="20"/>
                <w:color w:val="auto"/>
              </w:rPr>
            </w:pPr>
            <w:r>
              <w:rPr>
                <w:rFonts w:ascii="Arial" w:cs="Arial" w:eastAsia="Arial" w:hAnsi="Arial"/>
                <w:sz w:val="16"/>
                <w:szCs w:val="16"/>
                <w:color w:val="auto"/>
              </w:rPr>
              <w:t>Contract liabilities</w:t>
            </w: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6,952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6,381</w:t>
            </w:r>
          </w:p>
        </w:tc>
      </w:tr>
    </w:tbl>
    <w:p>
      <w:pPr>
        <w:spacing w:after="0" w:line="23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change in the Company's contract assets and contract liabilities during the period was primarily the result of the timing differences between the Company's performance, invoicing and customer payments. Revenue recognized for the three and nine months ended September 30, 2022, that was included in the contract liabilities balance at the beginning of each reporting period, was $0.9 million and $5.0 million, respectively. Revenue recognized for the three and nine months ended September 30, 2021, that was included in the contract liabilities balance at the beginning of each reporting period, was $0.8 million and $4.1 million, respectively.</w:t>
      </w:r>
    </w:p>
    <w:p>
      <w:pPr>
        <w:spacing w:after="0" w:line="13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September 30, 2022, we had $111.4 million of remaining performance obligations, which we also refer to as funded backlog. We expect to recognize approximately 85% of our remaining performance obligations over the next 12 months and the balance thereafter.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4. ACCOUNTS RECEIVABLE, NET</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Table 4: Details of Accounts Receivable, Net</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84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6"/>
                <w:szCs w:val="16"/>
                <w:color w:val="auto"/>
                <w:w w:val="99"/>
              </w:rPr>
              <w:t>September 30, 2022</w:t>
            </w: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91"/>
              </w:rPr>
              <w:t>December 31, 2021</w:t>
            </w:r>
          </w:p>
        </w:tc>
      </w:tr>
      <w:tr>
        <w:trPr>
          <w:trHeight w:val="214"/>
        </w:trPr>
        <w:tc>
          <w:tcPr>
            <w:tcW w:w="7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3"/>
          </w:tcPr>
          <w:p>
            <w:pPr>
              <w:ind w:left="1460"/>
              <w:spacing w:after="0"/>
              <w:rPr>
                <w:sz w:val="20"/>
                <w:szCs w:val="20"/>
                <w:color w:val="auto"/>
              </w:rPr>
            </w:pPr>
            <w:r>
              <w:rPr>
                <w:rFonts w:ascii="Arial" w:cs="Arial" w:eastAsia="Arial" w:hAnsi="Arial"/>
                <w:sz w:val="14"/>
                <w:szCs w:val="14"/>
                <w:i w:val="1"/>
                <w:iCs w:val="1"/>
                <w:color w:val="auto"/>
                <w:w w:val="92"/>
              </w:rPr>
              <w:t>(in thousands)</w:t>
            </w:r>
          </w:p>
        </w:tc>
        <w:tc>
          <w:tcPr>
            <w:tcW w:w="1700" w:type="dxa"/>
            <w:vAlign w:val="bottom"/>
          </w:tcPr>
          <w:p>
            <w:pPr>
              <w:spacing w:after="0"/>
              <w:rPr>
                <w:sz w:val="18"/>
                <w:szCs w:val="18"/>
                <w:color w:val="auto"/>
              </w:rPr>
            </w:pPr>
          </w:p>
        </w:tc>
      </w:tr>
      <w:tr>
        <w:trPr>
          <w:trHeight w:val="25"/>
        </w:trPr>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Billed accounts receivable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22,903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18,586</w:t>
            </w:r>
          </w:p>
        </w:tc>
      </w:tr>
      <w:tr>
        <w:trPr>
          <w:trHeight w:val="213"/>
        </w:trPr>
        <w:tc>
          <w:tcPr>
            <w:tcW w:w="7000" w:type="dxa"/>
            <w:vAlign w:val="bottom"/>
          </w:tcPr>
          <w:p>
            <w:pPr>
              <w:ind w:left="20"/>
              <w:spacing w:after="0"/>
              <w:rPr>
                <w:sz w:val="20"/>
                <w:szCs w:val="20"/>
                <w:color w:val="auto"/>
              </w:rPr>
            </w:pPr>
            <w:r>
              <w:rPr>
                <w:rFonts w:ascii="Arial" w:cs="Arial" w:eastAsia="Arial" w:hAnsi="Arial"/>
                <w:sz w:val="16"/>
                <w:szCs w:val="16"/>
                <w:color w:val="auto"/>
              </w:rPr>
              <w:t>Unbilled receivables</w:t>
            </w: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28,290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41,374</w:t>
            </w:r>
          </w:p>
        </w:tc>
      </w:tr>
      <w:tr>
        <w:trPr>
          <w:trHeight w:val="219"/>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Allowance for credit losses</w:t>
            </w:r>
          </w:p>
        </w:tc>
        <w:tc>
          <w:tcPr>
            <w:tcW w:w="2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ind w:left="1460"/>
              <w:spacing w:after="0"/>
              <w:rPr>
                <w:sz w:val="20"/>
                <w:szCs w:val="20"/>
                <w:color w:val="auto"/>
              </w:rPr>
            </w:pPr>
            <w:r>
              <w:rPr>
                <w:rFonts w:ascii="Arial" w:cs="Arial" w:eastAsia="Arial" w:hAnsi="Arial"/>
                <w:sz w:val="16"/>
                <w:szCs w:val="16"/>
                <w:color w:val="auto"/>
                <w:w w:val="96"/>
              </w:rPr>
              <w:t>(210)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06"/>
        </w:trPr>
        <w:tc>
          <w:tcPr>
            <w:tcW w:w="7000" w:type="dxa"/>
            <w:vAlign w:val="bottom"/>
          </w:tcPr>
          <w:p>
            <w:pPr>
              <w:ind w:left="140"/>
              <w:spacing w:after="0"/>
              <w:rPr>
                <w:sz w:val="20"/>
                <w:szCs w:val="20"/>
                <w:color w:val="auto"/>
              </w:rPr>
            </w:pPr>
            <w:r>
              <w:rPr>
                <w:rFonts w:ascii="Arial" w:cs="Arial" w:eastAsia="Arial" w:hAnsi="Arial"/>
                <w:sz w:val="16"/>
                <w:szCs w:val="16"/>
                <w:color w:val="auto"/>
              </w:rPr>
              <w:t>Accounts receivable, net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50,983</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59,844</w:t>
            </w:r>
          </w:p>
        </w:tc>
      </w:tr>
      <w:tr>
        <w:trPr>
          <w:trHeight w:val="24"/>
        </w:trPr>
        <w:tc>
          <w:tcPr>
            <w:tcW w:w="7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5. INVENTORIES, NET</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Table 5: Details of Inventories, Net</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8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6"/>
                <w:szCs w:val="16"/>
                <w:color w:val="auto"/>
              </w:rPr>
              <w:t>September 30, 2022</w:t>
            </w: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91"/>
              </w:rPr>
              <w:t>December 31, 2021</w:t>
            </w:r>
          </w:p>
        </w:tc>
      </w:tr>
      <w:tr>
        <w:trPr>
          <w:trHeight w:val="214"/>
        </w:trPr>
        <w:tc>
          <w:tcPr>
            <w:tcW w:w="7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3"/>
          </w:tcPr>
          <w:p>
            <w:pPr>
              <w:ind w:left="1460"/>
              <w:spacing w:after="0"/>
              <w:rPr>
                <w:sz w:val="20"/>
                <w:szCs w:val="20"/>
                <w:color w:val="auto"/>
              </w:rPr>
            </w:pPr>
            <w:r>
              <w:rPr>
                <w:rFonts w:ascii="Arial" w:cs="Arial" w:eastAsia="Arial" w:hAnsi="Arial"/>
                <w:sz w:val="14"/>
                <w:szCs w:val="14"/>
                <w:i w:val="1"/>
                <w:iCs w:val="1"/>
                <w:color w:val="auto"/>
                <w:w w:val="92"/>
              </w:rPr>
              <w:t>(in thousands)</w:t>
            </w:r>
          </w:p>
        </w:tc>
        <w:tc>
          <w:tcPr>
            <w:tcW w:w="1700" w:type="dxa"/>
            <w:vAlign w:val="bottom"/>
          </w:tcPr>
          <w:p>
            <w:pPr>
              <w:spacing w:after="0"/>
              <w:rPr>
                <w:sz w:val="18"/>
                <w:szCs w:val="18"/>
                <w:color w:val="auto"/>
              </w:rPr>
            </w:pPr>
          </w:p>
        </w:tc>
      </w:tr>
      <w:tr>
        <w:trPr>
          <w:trHeight w:val="25"/>
        </w:trPr>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inventory</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2,108</w:t>
            </w:r>
          </w:p>
        </w:tc>
      </w:tr>
      <w:tr>
        <w:trPr>
          <w:trHeight w:val="213"/>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Allowance for inventory obsolescence</w:t>
            </w: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ind w:left="1460"/>
              <w:spacing w:after="0"/>
              <w:rPr>
                <w:sz w:val="20"/>
                <w:szCs w:val="20"/>
                <w:color w:val="auto"/>
              </w:rPr>
            </w:pPr>
            <w:r>
              <w:rPr>
                <w:rFonts w:ascii="Arial" w:cs="Arial" w:eastAsia="Arial" w:hAnsi="Arial"/>
                <w:sz w:val="16"/>
                <w:szCs w:val="16"/>
                <w:color w:val="auto"/>
                <w:w w:val="96"/>
              </w:rPr>
              <w:t>(753)</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(861)</w:t>
            </w:r>
          </w:p>
        </w:tc>
      </w:tr>
      <w:tr>
        <w:trPr>
          <w:trHeight w:val="235"/>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Inventories, net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4,676</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1,247</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6. PROPERTY AND EQUIPMENT, NET</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Table 6: Details of Property and Equipment, Net</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84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6"/>
                <w:szCs w:val="16"/>
                <w:color w:val="auto"/>
                <w:w w:val="99"/>
              </w:rPr>
              <w:t>September 30, 2022</w:t>
            </w: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91"/>
              </w:rPr>
              <w:t>December 31, 2021</w:t>
            </w:r>
          </w:p>
        </w:tc>
      </w:tr>
      <w:tr>
        <w:trPr>
          <w:trHeight w:val="214"/>
        </w:trPr>
        <w:tc>
          <w:tcPr>
            <w:tcW w:w="7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700" w:type="dxa"/>
            <w:vAlign w:val="bottom"/>
          </w:tcPr>
          <w:p>
            <w:pPr>
              <w:spacing w:after="0"/>
              <w:rPr>
                <w:sz w:val="18"/>
                <w:szCs w:val="18"/>
                <w:color w:val="auto"/>
              </w:rPr>
            </w:pPr>
          </w:p>
        </w:tc>
      </w:tr>
      <w:tr>
        <w:trPr>
          <w:trHeight w:val="25"/>
        </w:trPr>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equipment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15,765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15,420</w:t>
            </w:r>
          </w:p>
        </w:tc>
      </w:tr>
      <w:tr>
        <w:trPr>
          <w:trHeight w:val="213"/>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Leasehold improvement</w:t>
            </w: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3,073</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2,994</w:t>
            </w:r>
          </w:p>
        </w:tc>
      </w:tr>
      <w:tr>
        <w:trPr>
          <w:trHeight w:val="213"/>
        </w:trPr>
        <w:tc>
          <w:tcPr>
            <w:tcW w:w="7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and equipment, at cost</w:t>
            </w:r>
          </w:p>
        </w:tc>
        <w:tc>
          <w:tcPr>
            <w:tcW w:w="2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18,838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18,414</w:t>
            </w:r>
          </w:p>
        </w:tc>
      </w:tr>
      <w:tr>
        <w:trPr>
          <w:trHeight w:val="213"/>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depreciation</w:t>
            </w: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(13,710)</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(12,326)</w:t>
            </w:r>
          </w:p>
        </w:tc>
      </w:tr>
      <w:tr>
        <w:trPr>
          <w:trHeight w:val="235"/>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Property and equipment, net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5,128</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6,088</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Depreciation expense was $0.6 million and $1.8 million for the three and nine months ended September 30, 2022, respectively, compared to $0.6 million and $1.5 million for the three and nine months ended September 30, 2021, respectively.</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u w:val="single" w:color="auto"/>
          <w:color w:val="0E32E1"/>
        </w:rPr>
        <w:t>Table of Contents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7. GOODWILL</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goodwill balance was $17.9 million as of September 30, 2022, and December 31, 2021, of which $3.0 million is allocated to the Security Solutions segment and $14.9 million is allocated to the Secure Networks segment. Goodwill is subject to annual impairment tests and if triggering events are present in the interim before the annual tests, we will assess impairment. No impairment charges were taken for the three and nine months ended that September 30, 2022, and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8. INTANGIBLE ASSETS, NET</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Table 8.1: Details of Intangible Assets, Net</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gridSpan w:val="3"/>
          </w:tcPr>
          <w:p>
            <w:pPr>
              <w:ind w:left="40"/>
              <w:spacing w:after="0"/>
              <w:rPr>
                <w:sz w:val="20"/>
                <w:szCs w:val="20"/>
                <w:color w:val="auto"/>
              </w:rPr>
            </w:pPr>
            <w:r>
              <w:rPr>
                <w:rFonts w:ascii="Arial" w:cs="Arial" w:eastAsia="Arial" w:hAnsi="Arial"/>
                <w:sz w:val="16"/>
                <w:szCs w:val="16"/>
                <w:color w:val="auto"/>
                <w:w w:val="95"/>
              </w:rPr>
              <w:t>September 30, 2022</w:t>
            </w: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gridSpan w:val="3"/>
          </w:tcPr>
          <w:p>
            <w:pPr>
              <w:jc w:val="center"/>
              <w:ind w:right="60"/>
              <w:spacing w:after="0"/>
              <w:rPr>
                <w:sz w:val="20"/>
                <w:szCs w:val="20"/>
                <w:color w:val="auto"/>
              </w:rPr>
            </w:pPr>
            <w:r>
              <w:rPr>
                <w:rFonts w:ascii="Arial" w:cs="Arial" w:eastAsia="Arial" w:hAnsi="Arial"/>
                <w:sz w:val="16"/>
                <w:szCs w:val="16"/>
                <w:color w:val="auto"/>
                <w:w w:val="91"/>
              </w:rPr>
              <w:t>December 31, 2021</w:t>
            </w: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vMerge w:val="restart"/>
          </w:tcPr>
          <w:p>
            <w:pPr>
              <w:jc w:val="right"/>
              <w:ind w:right="399"/>
              <w:spacing w:after="0"/>
              <w:rPr>
                <w:sz w:val="20"/>
                <w:szCs w:val="20"/>
                <w:color w:val="auto"/>
              </w:rPr>
            </w:pPr>
            <w:r>
              <w:rPr>
                <w:rFonts w:ascii="Arial" w:cs="Arial" w:eastAsia="Arial" w:hAnsi="Arial"/>
                <w:sz w:val="16"/>
                <w:szCs w:val="16"/>
                <w:color w:val="auto"/>
              </w:rPr>
              <w:t>Gross</w:t>
            </w:r>
          </w:p>
        </w:tc>
        <w:tc>
          <w:tcPr>
            <w:tcW w:w="8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ind w:left="60"/>
              <w:spacing w:after="0" w:line="162" w:lineRule="exact"/>
              <w:rPr>
                <w:sz w:val="20"/>
                <w:szCs w:val="20"/>
                <w:color w:val="auto"/>
              </w:rPr>
            </w:pPr>
            <w:r>
              <w:rPr>
                <w:rFonts w:ascii="Arial" w:cs="Arial" w:eastAsia="Arial" w:hAnsi="Arial"/>
                <w:sz w:val="16"/>
                <w:szCs w:val="16"/>
                <w:color w:val="auto"/>
              </w:rPr>
              <w:t>Accumulated</w:t>
            </w:r>
          </w:p>
        </w:tc>
        <w:tc>
          <w:tcPr>
            <w:tcW w:w="320" w:type="dxa"/>
            <w:vAlign w:val="bottom"/>
          </w:tcPr>
          <w:p>
            <w:pPr>
              <w:spacing w:after="0"/>
              <w:rPr>
                <w:sz w:val="14"/>
                <w:szCs w:val="14"/>
                <w:color w:val="auto"/>
              </w:rPr>
            </w:pPr>
          </w:p>
        </w:tc>
        <w:tc>
          <w:tcPr>
            <w:tcW w:w="1020" w:type="dxa"/>
            <w:vAlign w:val="bottom"/>
            <w:vMerge w:val="restart"/>
          </w:tcPr>
          <w:p>
            <w:pPr>
              <w:jc w:val="right"/>
              <w:ind w:right="481"/>
              <w:spacing w:after="0"/>
              <w:rPr>
                <w:sz w:val="20"/>
                <w:szCs w:val="20"/>
                <w:color w:val="auto"/>
              </w:rPr>
            </w:pPr>
            <w:r>
              <w:rPr>
                <w:rFonts w:ascii="Arial" w:cs="Arial" w:eastAsia="Arial" w:hAnsi="Arial"/>
                <w:sz w:val="16"/>
                <w:szCs w:val="16"/>
                <w:color w:val="auto"/>
              </w:rPr>
              <w:t>Net</w:t>
            </w:r>
          </w:p>
        </w:tc>
        <w:tc>
          <w:tcPr>
            <w:tcW w:w="80" w:type="dxa"/>
            <w:vAlign w:val="bottom"/>
            <w:vMerge w:val="restart"/>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vMerge w:val="restart"/>
          </w:tcPr>
          <w:p>
            <w:pPr>
              <w:jc w:val="right"/>
              <w:ind w:right="399"/>
              <w:spacing w:after="0"/>
              <w:rPr>
                <w:sz w:val="20"/>
                <w:szCs w:val="20"/>
                <w:color w:val="auto"/>
              </w:rPr>
            </w:pPr>
            <w:r>
              <w:rPr>
                <w:rFonts w:ascii="Arial" w:cs="Arial" w:eastAsia="Arial" w:hAnsi="Arial"/>
                <w:sz w:val="16"/>
                <w:szCs w:val="16"/>
                <w:color w:val="auto"/>
                <w:w w:val="98"/>
              </w:rPr>
              <w:t>Gross</w:t>
            </w:r>
          </w:p>
        </w:tc>
        <w:tc>
          <w:tcPr>
            <w:tcW w:w="8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5"/>
              </w:rPr>
              <w:t>Accumulated</w:t>
            </w:r>
          </w:p>
        </w:tc>
        <w:tc>
          <w:tcPr>
            <w:tcW w:w="340" w:type="dxa"/>
            <w:vAlign w:val="bottom"/>
          </w:tcPr>
          <w:p>
            <w:pPr>
              <w:spacing w:after="0"/>
              <w:rPr>
                <w:sz w:val="14"/>
                <w:szCs w:val="14"/>
                <w:color w:val="auto"/>
              </w:rPr>
            </w:pPr>
          </w:p>
        </w:tc>
        <w:tc>
          <w:tcPr>
            <w:tcW w:w="1020" w:type="dxa"/>
            <w:vAlign w:val="bottom"/>
            <w:vMerge w:val="restart"/>
          </w:tcPr>
          <w:p>
            <w:pPr>
              <w:jc w:val="right"/>
              <w:ind w:right="479"/>
              <w:spacing w:after="0"/>
              <w:rPr>
                <w:sz w:val="20"/>
                <w:szCs w:val="20"/>
                <w:color w:val="auto"/>
              </w:rPr>
            </w:pPr>
            <w:r>
              <w:rPr>
                <w:rFonts w:ascii="Arial" w:cs="Arial" w:eastAsia="Arial" w:hAnsi="Arial"/>
                <w:sz w:val="16"/>
                <w:szCs w:val="16"/>
                <w:color w:val="auto"/>
              </w:rPr>
              <w:t>Net</w:t>
            </w:r>
          </w:p>
        </w:tc>
        <w:tc>
          <w:tcPr>
            <w:tcW w:w="0" w:type="dxa"/>
            <w:vAlign w:val="bottom"/>
          </w:tcPr>
          <w:p>
            <w:pPr>
              <w:spacing w:after="0"/>
              <w:rPr>
                <w:sz w:val="1"/>
                <w:szCs w:val="1"/>
                <w:color w:val="auto"/>
              </w:rPr>
            </w:pPr>
          </w:p>
        </w:tc>
      </w:tr>
      <w:tr>
        <w:trPr>
          <w:trHeight w:val="209"/>
        </w:trPr>
        <w:tc>
          <w:tcPr>
            <w:tcW w:w="27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Amortization</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98"/>
              </w:rPr>
              <w:t>Amortization</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Acquired technology</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3,374</w:t>
            </w:r>
          </w:p>
        </w:tc>
        <w:tc>
          <w:tcPr>
            <w:tcW w:w="0" w:type="dxa"/>
            <w:vAlign w:val="bottom"/>
          </w:tcPr>
          <w:p>
            <w:pPr>
              <w:spacing w:after="0"/>
              <w:rPr>
                <w:sz w:val="1"/>
                <w:szCs w:val="1"/>
                <w:color w:val="auto"/>
              </w:rPr>
            </w:pPr>
          </w:p>
        </w:tc>
      </w:tr>
      <w:tr>
        <w:trPr>
          <w:trHeight w:val="213"/>
        </w:trPr>
        <w:tc>
          <w:tcPr>
            <w:tcW w:w="270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 development costs</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31,199</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(7,466)</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23,733</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22,222</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15,790</w:t>
            </w:r>
          </w:p>
        </w:tc>
        <w:tc>
          <w:tcPr>
            <w:tcW w:w="0" w:type="dxa"/>
            <w:vAlign w:val="bottom"/>
          </w:tcPr>
          <w:p>
            <w:pPr>
              <w:spacing w:after="0"/>
              <w:rPr>
                <w:sz w:val="1"/>
                <w:szCs w:val="1"/>
                <w:color w:val="auto"/>
              </w:rPr>
            </w:pPr>
          </w:p>
        </w:tc>
      </w:tr>
      <w:tr>
        <w:trPr>
          <w:trHeight w:val="209"/>
        </w:trPr>
        <w:tc>
          <w:tcPr>
            <w:tcW w:w="27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34,869</w:t>
            </w:r>
          </w:p>
        </w:tc>
        <w:tc>
          <w:tcPr>
            <w:tcW w:w="80" w:type="dxa"/>
            <w:vAlign w:val="bottom"/>
          </w:tcPr>
          <w:p>
            <w:pPr>
              <w:spacing w:after="0"/>
              <w:rPr>
                <w:sz w:val="18"/>
                <w:szCs w:val="18"/>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(8,011)</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26,858</w:t>
            </w:r>
          </w:p>
        </w:tc>
        <w:tc>
          <w:tcPr>
            <w:tcW w:w="8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25,892</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19,199</w:t>
            </w:r>
          </w:p>
        </w:tc>
        <w:tc>
          <w:tcPr>
            <w:tcW w:w="0" w:type="dxa"/>
            <w:vAlign w:val="bottom"/>
          </w:tcPr>
          <w:p>
            <w:pPr>
              <w:spacing w:after="0"/>
              <w:rPr>
                <w:sz w:val="1"/>
                <w:szCs w:val="1"/>
                <w:color w:val="auto"/>
              </w:rPr>
            </w:pPr>
          </w:p>
        </w:tc>
      </w:tr>
      <w:tr>
        <w:trPr>
          <w:trHeight w:val="24"/>
        </w:trPr>
        <w:tc>
          <w:tcPr>
            <w:tcW w:w="2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Amortization expense was $0.5 million and $1.3 million for the three and nine months ended September 30, 2022, respectively, and $0.4 million and $1.3 million for the three and nine months ended September 30, 2021,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9. ACQUISITION</w:t>
      </w:r>
    </w:p>
    <w:p>
      <w:pPr>
        <w:spacing w:after="0" w:line="17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On July 30, 2021, the Company acquired the assets of Diamond Fortress Technologies ("DFT") and wholly-owned subsidiaries for a total purchase consideration of $6.7 million, inclusive of $0.3 million related to a pre-existing contractual arrangement with DFT. Upon closing, $5.9 million of cash was paid with an additional $0.6 million payable to DFT 18 months after the close date (the "holdback"). The holdback amount has been discounted to its present value of $0.5 million using a discount rate relevant to the acquisition. The acquisition adds several new patents to the Company’s library of biometric and digital identity intellectual property. The addition of contactless biometrics technology will enable the Company to better serve the needs of organizations in existing and new markets. The acquisition of the assets of DFT has been accounted for under U.S. GAAP using the acquisition method of accounting. The total purchase consideration of $6.7 million has been allocated among the assets acquired at their fair value at the acquisition date.</w:t>
      </w:r>
    </w:p>
    <w:p>
      <w:pPr>
        <w:spacing w:after="0" w:line="11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recognized $3.7 million of intangible assets and $3.0 million of goodwill, which is housed in the Telos ID reporting unit, part of the Security Solutions operating segment. Goodwill is primarily attributable to an excess of the purchase price over the acquired identifiable net tangible and intangible assets. The acquired intangible assets will be amortized on a straight-line basis over three to eight years. The acquisition was considered an asset purchase for tax purposes, and the recognized goodwill is deductible for tax purposes.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10. PURCHASE OF TELOS ID NON-CONTROLLING INTERESTS</w:t>
      </w:r>
    </w:p>
    <w:p>
      <w:pPr>
        <w:spacing w:after="0" w:line="17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Telos ID was formed as a limited liability company under the Delaware Limited Liability Company Act in 2007. Prior to the IPO, the Company owned a 50% interest in Telos ID, with the remaining interest owned by Hoya ID Fund A, LLC ("Hoya") as the non-controlling interest. Distributions were made to the members only when and to the extent determined by Telos ID’s Board of Directors, in accordance with its Operating Agreement.</w:t>
      </w:r>
    </w:p>
    <w:p>
      <w:pPr>
        <w:spacing w:after="0" w:line="11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On October 5, 2020, we entered into a Membership Interest Purchase Agreement between the Company and Hoya to purchase all of the Class B Units of Telos ID owned by Hoya (the “Telos ID Purchase”). Upon the closing of the Telos ID Purchase, Telos ID became our wholly-owned subsidiary. On November 23, 2020, the Telos ID Purchase was consummated with the Company transferring $30.0 million in cash and issuing 7.3 million shares of our common stock at $20.39 per share (which totals approximately $148.4 million); the total consideration transferred to Hoya was $178.4 million. As part of the common stock issuance, the Company recognized an increase to additional paid-in capital (“APIC”) of $148.4 million. The Company further recognized a reduction to APIC of $173.9 million as part of eliminating Hoya’s non-controlling interest in Telos ID. The net impact to APIC associated with acquiring the additional 50% interest in Telos ID was a reduction of $25.5 million. Hoya received a final distribution of $2.4 million in January 2021.</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E32E1"/>
        </w:rPr>
        <w:t>Table of Contents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11. ACCOUNTS PAYABLE AND OTHER ACCRUED LIABILITIES</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Table 11: Details of Accounts Payable and Other Accrued Liabilities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84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6"/>
                <w:szCs w:val="16"/>
                <w:color w:val="auto"/>
                <w:w w:val="99"/>
              </w:rPr>
              <w:t>September 30, 2022</w:t>
            </w: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91"/>
              </w:rPr>
              <w:t>December 31, 2021</w:t>
            </w:r>
          </w:p>
        </w:tc>
      </w:tr>
      <w:tr>
        <w:trPr>
          <w:trHeight w:val="214"/>
        </w:trPr>
        <w:tc>
          <w:tcPr>
            <w:tcW w:w="7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700" w:type="dxa"/>
            <w:vAlign w:val="bottom"/>
          </w:tcPr>
          <w:p>
            <w:pPr>
              <w:spacing w:after="0"/>
              <w:rPr>
                <w:sz w:val="18"/>
                <w:szCs w:val="18"/>
                <w:color w:val="auto"/>
              </w:rPr>
            </w:pPr>
          </w:p>
        </w:tc>
      </w:tr>
      <w:tr>
        <w:trPr>
          <w:trHeight w:val="26"/>
        </w:trPr>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 - trade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16,339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7,869</w:t>
            </w:r>
          </w:p>
        </w:tc>
      </w:tr>
      <w:tr>
        <w:trPr>
          <w:trHeight w:val="213"/>
        </w:trPr>
        <w:tc>
          <w:tcPr>
            <w:tcW w:w="7000" w:type="dxa"/>
            <w:vAlign w:val="bottom"/>
          </w:tcPr>
          <w:p>
            <w:pPr>
              <w:ind w:left="20"/>
              <w:spacing w:after="0"/>
              <w:rPr>
                <w:sz w:val="20"/>
                <w:szCs w:val="20"/>
                <w:color w:val="auto"/>
              </w:rPr>
            </w:pPr>
            <w:r>
              <w:rPr>
                <w:rFonts w:ascii="Arial" w:cs="Arial" w:eastAsia="Arial" w:hAnsi="Arial"/>
                <w:sz w:val="16"/>
                <w:szCs w:val="16"/>
                <w:color w:val="auto"/>
              </w:rPr>
              <w:t>Accrued liabilities</w:t>
            </w: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19,870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25,300</w:t>
            </w:r>
          </w:p>
        </w:tc>
      </w:tr>
      <w:tr>
        <w:trPr>
          <w:trHeight w:val="219"/>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Others</w:t>
            </w:r>
          </w:p>
        </w:tc>
        <w:tc>
          <w:tcPr>
            <w:tcW w:w="2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1,379</w:t>
            </w:r>
          </w:p>
        </w:tc>
      </w:tr>
      <w:tr>
        <w:trPr>
          <w:trHeight w:val="207"/>
        </w:trPr>
        <w:tc>
          <w:tcPr>
            <w:tcW w:w="7000" w:type="dxa"/>
            <w:vAlign w:val="bottom"/>
          </w:tcPr>
          <w:p>
            <w:pPr>
              <w:ind w:left="140"/>
              <w:spacing w:after="0"/>
              <w:rPr>
                <w:sz w:val="20"/>
                <w:szCs w:val="20"/>
                <w:color w:val="auto"/>
              </w:rPr>
            </w:pPr>
            <w:r>
              <w:rPr>
                <w:rFonts w:ascii="Arial" w:cs="Arial" w:eastAsia="Arial" w:hAnsi="Arial"/>
                <w:sz w:val="16"/>
                <w:szCs w:val="16"/>
                <w:color w:val="auto"/>
              </w:rPr>
              <w:t>Accounts payable and other accrued liabilities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37,583</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34,548</w:t>
            </w:r>
          </w:p>
        </w:tc>
      </w:tr>
      <w:tr>
        <w:trPr>
          <w:trHeight w:val="23"/>
        </w:trPr>
        <w:tc>
          <w:tcPr>
            <w:tcW w:w="7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12. STOCK-BASED COMPENSATION</w:t>
      </w:r>
    </w:p>
    <w:p>
      <w:pPr>
        <w:spacing w:after="0" w:line="17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Our 2016 Omnibus Long-Term Incentive Plan (the "2016 LTIP") provides for the grant of restricted stock units with time-based vesting ("Service-Based RSU" or "RSU") and restricted stock units with performance-based vesting ("Performance-Based RSU" or "PRSU") to our senior executives, directors, employees, and other service providers. Awards granted under the 2016 LTIP vest over the periods determined by the Board of Directors or the Compensation Committee of the Board of Directors, generally one to three years. The Company records stock-based compensation related to accrued compensation in which it intends to settle in shares of the Company’s common stock. However, it is the Company’s discretion whether this compensation will ultimately be paid in stock or cash, as it has the right to dictate the form of these payments up until the date they are paid.</w:t>
      </w:r>
    </w:p>
    <w:p>
      <w:pPr>
        <w:spacing w:after="0" w:line="124"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stock-based compensation expense includes an immaterial adjustment of $1.3 million for the nine months ended September 30, 2022, related to the prior year. There were no income tax benefits recognized on the share-based compensation expense for both periods.</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Table 12.1: Details of Stock Compensation Expense by Department</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4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840" w:type="dxa"/>
            <w:vAlign w:val="bottom"/>
            <w:tcBorders>
              <w:top w:val="single" w:sz="8" w:color="auto"/>
              <w:bottom w:val="single" w:sz="8" w:color="auto"/>
            </w:tcBorders>
            <w:gridSpan w:val="5"/>
          </w:tcPr>
          <w:p>
            <w:pPr>
              <w:jc w:val="right"/>
              <w:ind w:right="580"/>
              <w:spacing w:after="0"/>
              <w:rPr>
                <w:sz w:val="20"/>
                <w:szCs w:val="20"/>
                <w:color w:val="auto"/>
              </w:rPr>
            </w:pPr>
            <w:r>
              <w:rPr>
                <w:rFonts w:ascii="Arial" w:cs="Arial" w:eastAsia="Arial" w:hAnsi="Arial"/>
                <w:sz w:val="16"/>
                <w:szCs w:val="16"/>
                <w:color w:val="auto"/>
              </w:rPr>
              <w:t>For the Three Months Ended</w:t>
            </w: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020" w:type="dxa"/>
            <w:vAlign w:val="bottom"/>
            <w:tcBorders>
              <w:top w:val="single" w:sz="8" w:color="auto"/>
              <w:bottom w:val="single" w:sz="8" w:color="auto"/>
            </w:tcBorders>
            <w:gridSpan w:val="5"/>
          </w:tcPr>
          <w:p>
            <w:pPr>
              <w:jc w:val="right"/>
              <w:ind w:right="619"/>
              <w:spacing w:after="0"/>
              <w:rPr>
                <w:sz w:val="20"/>
                <w:szCs w:val="20"/>
                <w:color w:val="auto"/>
              </w:rPr>
            </w:pPr>
            <w:r>
              <w:rPr>
                <w:rFonts w:ascii="Arial" w:cs="Arial" w:eastAsia="Arial" w:hAnsi="Arial"/>
                <w:sz w:val="16"/>
                <w:szCs w:val="16"/>
                <w:color w:val="auto"/>
              </w:rPr>
              <w:t>For the Nine Months Ended</w:t>
            </w:r>
          </w:p>
        </w:tc>
        <w:tc>
          <w:tcPr>
            <w:tcW w:w="0" w:type="dxa"/>
            <w:vAlign w:val="bottom"/>
          </w:tcPr>
          <w:p>
            <w:pPr>
              <w:spacing w:after="0"/>
              <w:rPr>
                <w:sz w:val="1"/>
                <w:szCs w:val="1"/>
                <w:color w:val="auto"/>
              </w:rPr>
            </w:pPr>
          </w:p>
        </w:tc>
      </w:tr>
      <w:tr>
        <w:trPr>
          <w:trHeight w:val="209"/>
        </w:trPr>
        <w:tc>
          <w:tcPr>
            <w:tcW w:w="4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w w:val="89"/>
              </w:rPr>
              <w:t>September 30, 2022</w:t>
            </w:r>
          </w:p>
        </w:tc>
        <w:tc>
          <w:tcPr>
            <w:tcW w:w="80" w:type="dxa"/>
            <w:vAlign w:val="bottom"/>
          </w:tcPr>
          <w:p>
            <w:pPr>
              <w:spacing w:after="0"/>
              <w:rPr>
                <w:sz w:val="18"/>
                <w:szCs w:val="18"/>
                <w:color w:val="auto"/>
              </w:rPr>
            </w:pPr>
          </w:p>
        </w:tc>
        <w:tc>
          <w:tcPr>
            <w:tcW w:w="15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color w:val="auto"/>
                <w:w w:val="97"/>
              </w:rPr>
              <w:t>September 30, 2021</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color w:val="auto"/>
                <w:w w:val="89"/>
              </w:rPr>
              <w:t>September 30, 2022</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w w:val="97"/>
              </w:rPr>
              <w:t>September 30, 2021</w:t>
            </w:r>
          </w:p>
        </w:tc>
        <w:tc>
          <w:tcPr>
            <w:tcW w:w="0" w:type="dxa"/>
            <w:vAlign w:val="bottom"/>
          </w:tcPr>
          <w:p>
            <w:pPr>
              <w:spacing w:after="0"/>
              <w:rPr>
                <w:sz w:val="1"/>
                <w:szCs w:val="1"/>
                <w:color w:val="auto"/>
              </w:rPr>
            </w:pPr>
          </w:p>
        </w:tc>
      </w:tr>
      <w:tr>
        <w:trPr>
          <w:trHeight w:val="214"/>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gridSpan w:val="8"/>
          </w:tcPr>
          <w:p>
            <w:pPr>
              <w:jc w:val="right"/>
              <w:ind w:right="128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sales – services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2,798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1,974</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1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611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1,536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3,699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5,316</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2,884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2,079</w:t>
            </w:r>
          </w:p>
        </w:tc>
        <w:tc>
          <w:tcPr>
            <w:tcW w:w="0" w:type="dxa"/>
            <w:vAlign w:val="bottom"/>
          </w:tcPr>
          <w:p>
            <w:pPr>
              <w:spacing w:after="0"/>
              <w:rPr>
                <w:sz w:val="1"/>
                <w:szCs w:val="1"/>
                <w:color w:val="auto"/>
              </w:rPr>
            </w:pPr>
          </w:p>
        </w:tc>
      </w:tr>
      <w:tr>
        <w:trPr>
          <w:trHeight w:val="213"/>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12,284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9,148</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34,844</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38,009</w:t>
            </w:r>
          </w:p>
        </w:tc>
        <w:tc>
          <w:tcPr>
            <w:tcW w:w="0" w:type="dxa"/>
            <w:vAlign w:val="bottom"/>
          </w:tcPr>
          <w:p>
            <w:pPr>
              <w:spacing w:after="0"/>
              <w:rPr>
                <w:sz w:val="1"/>
                <w:szCs w:val="1"/>
                <w:color w:val="auto"/>
              </w:rPr>
            </w:pPr>
          </w:p>
        </w:tc>
      </w:tr>
      <w:tr>
        <w:trPr>
          <w:trHeight w:val="238"/>
        </w:trPr>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stock-based compensation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14,721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12,372</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44,225</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47,378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gridSpan w:val="2"/>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638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Table 12.2: Service-Based RSU and Performance-Based RSU Award Activity</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w w:val="95"/>
              </w:rPr>
              <w:t>Performance-Based</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39"/>
              <w:spacing w:after="0" w:line="162" w:lineRule="exact"/>
              <w:rPr>
                <w:sz w:val="20"/>
                <w:szCs w:val="20"/>
                <w:color w:val="auto"/>
              </w:rPr>
            </w:pPr>
            <w:r>
              <w:rPr>
                <w:rFonts w:ascii="Arial" w:cs="Arial" w:eastAsia="Arial" w:hAnsi="Arial"/>
                <w:sz w:val="16"/>
                <w:szCs w:val="16"/>
                <w:color w:val="auto"/>
                <w:w w:val="92"/>
              </w:rPr>
              <w:t>Weighted-Average</w:t>
            </w: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3"/>
            <w:vMerge w:val="restart"/>
          </w:tcPr>
          <w:p>
            <w:pPr>
              <w:jc w:val="right"/>
              <w:spacing w:after="0"/>
              <w:rPr>
                <w:sz w:val="20"/>
                <w:szCs w:val="20"/>
                <w:color w:val="auto"/>
              </w:rPr>
            </w:pPr>
            <w:r>
              <w:rPr>
                <w:rFonts w:ascii="Arial" w:cs="Arial" w:eastAsia="Arial" w:hAnsi="Arial"/>
                <w:sz w:val="16"/>
                <w:szCs w:val="16"/>
                <w:color w:val="auto"/>
                <w:w w:val="94"/>
              </w:rPr>
              <w:t>Service-Based RSU</w:t>
            </w:r>
          </w:p>
        </w:tc>
        <w:tc>
          <w:tcPr>
            <w:tcW w:w="100" w:type="dxa"/>
            <w:vAlign w:val="bottom"/>
            <w:vMerge w:val="restart"/>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vMerge w:val="restart"/>
          </w:tcPr>
          <w:p>
            <w:pPr>
              <w:jc w:val="right"/>
              <w:ind w:right="560"/>
              <w:spacing w:after="0"/>
              <w:rPr>
                <w:sz w:val="20"/>
                <w:szCs w:val="20"/>
                <w:color w:val="auto"/>
              </w:rPr>
            </w:pPr>
            <w:r>
              <w:rPr>
                <w:rFonts w:ascii="Arial" w:cs="Arial" w:eastAsia="Arial" w:hAnsi="Arial"/>
                <w:sz w:val="16"/>
                <w:szCs w:val="16"/>
                <w:color w:val="auto"/>
              </w:rPr>
              <w:t>Total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39"/>
              <w:spacing w:after="0" w:line="162" w:lineRule="exact"/>
              <w:rPr>
                <w:sz w:val="20"/>
                <w:szCs w:val="20"/>
                <w:color w:val="auto"/>
              </w:rPr>
            </w:pPr>
            <w:r>
              <w:rPr>
                <w:rFonts w:ascii="Arial" w:cs="Arial" w:eastAsia="Arial" w:hAnsi="Arial"/>
                <w:sz w:val="16"/>
                <w:szCs w:val="16"/>
                <w:color w:val="auto"/>
                <w:w w:val="92"/>
              </w:rPr>
              <w:t>Grant Date Fair</w:t>
            </w:r>
          </w:p>
        </w:tc>
        <w:tc>
          <w:tcPr>
            <w:tcW w:w="0" w:type="dxa"/>
            <w:vAlign w:val="bottom"/>
          </w:tcPr>
          <w:p>
            <w:pPr>
              <w:spacing w:after="0"/>
              <w:rPr>
                <w:sz w:val="1"/>
                <w:szCs w:val="1"/>
                <w:color w:val="auto"/>
              </w:rPr>
            </w:pPr>
          </w:p>
        </w:tc>
      </w:tr>
      <w:tr>
        <w:trPr>
          <w:trHeight w:val="209"/>
        </w:trPr>
        <w:tc>
          <w:tcPr>
            <w:tcW w:w="47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gridSpan w:val="3"/>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0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6"/>
                <w:szCs w:val="16"/>
                <w:color w:val="auto"/>
              </w:rPr>
              <w:t>RSU</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w w:val="92"/>
              </w:rPr>
              <w:t>Value</w:t>
            </w:r>
          </w:p>
        </w:tc>
        <w:tc>
          <w:tcPr>
            <w:tcW w:w="0" w:type="dxa"/>
            <w:vAlign w:val="bottom"/>
          </w:tcPr>
          <w:p>
            <w:pPr>
              <w:spacing w:after="0"/>
              <w:rPr>
                <w:sz w:val="1"/>
                <w:szCs w:val="1"/>
                <w:color w:val="auto"/>
              </w:rPr>
            </w:pPr>
          </w:p>
        </w:tc>
      </w:tr>
      <w:tr>
        <w:trPr>
          <w:trHeight w:val="213"/>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outstanding units as of December 31, 2021</w:t>
            </w:r>
          </w:p>
        </w:tc>
        <w:tc>
          <w:tcPr>
            <w:tcW w:w="12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3,030,608</w:t>
            </w: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492,727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3,523,335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34.24</w:t>
            </w:r>
          </w:p>
        </w:tc>
        <w:tc>
          <w:tcPr>
            <w:tcW w:w="0" w:type="dxa"/>
            <w:vAlign w:val="bottom"/>
          </w:tcPr>
          <w:p>
            <w:pPr>
              <w:spacing w:after="0"/>
              <w:rPr>
                <w:sz w:val="1"/>
                <w:szCs w:val="1"/>
                <w:color w:val="auto"/>
              </w:rPr>
            </w:pPr>
          </w:p>
        </w:tc>
      </w:tr>
      <w:tr>
        <w:trPr>
          <w:trHeight w:val="213"/>
        </w:trPr>
        <w:tc>
          <w:tcPr>
            <w:tcW w:w="4740" w:type="dxa"/>
            <w:vAlign w:val="bottom"/>
          </w:tcPr>
          <w:p>
            <w:pPr>
              <w:ind w:left="140"/>
              <w:spacing w:after="0"/>
              <w:rPr>
                <w:sz w:val="20"/>
                <w:szCs w:val="20"/>
                <w:color w:val="auto"/>
              </w:rPr>
            </w:pPr>
            <w:r>
              <w:rPr>
                <w:rFonts w:ascii="Arial" w:cs="Arial" w:eastAsia="Arial" w:hAnsi="Arial"/>
                <w:sz w:val="16"/>
                <w:szCs w:val="16"/>
                <w:color w:val="auto"/>
              </w:rPr>
              <w:t>Granted</w:t>
            </w:r>
          </w:p>
        </w:tc>
        <w:tc>
          <w:tcPr>
            <w:tcW w:w="120" w:type="dxa"/>
            <w:vAlign w:val="bottom"/>
          </w:tcPr>
          <w:p>
            <w:pPr>
              <w:spacing w:after="0"/>
              <w:rPr>
                <w:sz w:val="18"/>
                <w:szCs w:val="18"/>
                <w:color w:val="auto"/>
              </w:rPr>
            </w:pPr>
          </w:p>
        </w:tc>
        <w:tc>
          <w:tcPr>
            <w:tcW w:w="1680" w:type="dxa"/>
            <w:vAlign w:val="bottom"/>
            <w:gridSpan w:val="4"/>
          </w:tcPr>
          <w:p>
            <w:pPr>
              <w:jc w:val="right"/>
              <w:spacing w:after="0"/>
              <w:rPr>
                <w:sz w:val="20"/>
                <w:szCs w:val="20"/>
                <w:color w:val="auto"/>
              </w:rPr>
            </w:pPr>
            <w:r>
              <w:rPr>
                <w:rFonts w:ascii="Arial" w:cs="Arial" w:eastAsia="Arial" w:hAnsi="Arial"/>
                <w:sz w:val="16"/>
                <w:szCs w:val="16"/>
                <w:color w:val="auto"/>
              </w:rPr>
              <w:t>3,897,786</w:t>
            </w:r>
          </w:p>
        </w:tc>
        <w:tc>
          <w:tcPr>
            <w:tcW w:w="10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40" w:type="dxa"/>
            <w:vAlign w:val="bottom"/>
            <w:gridSpan w:val="3"/>
          </w:tcPr>
          <w:p>
            <w:pPr>
              <w:jc w:val="right"/>
              <w:ind w:right="80"/>
              <w:spacing w:after="0"/>
              <w:rPr>
                <w:sz w:val="20"/>
                <w:szCs w:val="20"/>
                <w:color w:val="auto"/>
              </w:rPr>
            </w:pPr>
            <w:r>
              <w:rPr>
                <w:rFonts w:ascii="Arial" w:cs="Arial" w:eastAsia="Arial" w:hAnsi="Arial"/>
                <w:sz w:val="16"/>
                <w:szCs w:val="16"/>
                <w:color w:val="auto"/>
              </w:rPr>
              <w:t>3,897,786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w:t>
            </w:r>
          </w:p>
        </w:tc>
        <w:tc>
          <w:tcPr>
            <w:tcW w:w="120" w:type="dxa"/>
            <w:vAlign w:val="bottom"/>
            <w:shd w:val="clear" w:color="auto" w:fill="CCEEFF"/>
          </w:tcPr>
          <w:p>
            <w:pPr>
              <w:spacing w:after="0"/>
              <w:rPr>
                <w:sz w:val="19"/>
                <w:szCs w:val="19"/>
                <w:color w:val="auto"/>
              </w:rPr>
            </w:pPr>
          </w:p>
        </w:tc>
        <w:tc>
          <w:tcPr>
            <w:tcW w:w="16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(1,653,308)</w:t>
            </w:r>
          </w:p>
        </w:tc>
        <w:tc>
          <w:tcPr>
            <w:tcW w:w="10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(1,653,308)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31.21</w:t>
            </w:r>
          </w:p>
        </w:tc>
        <w:tc>
          <w:tcPr>
            <w:tcW w:w="0" w:type="dxa"/>
            <w:vAlign w:val="bottom"/>
          </w:tcPr>
          <w:p>
            <w:pPr>
              <w:spacing w:after="0"/>
              <w:rPr>
                <w:sz w:val="1"/>
                <w:szCs w:val="1"/>
                <w:color w:val="auto"/>
              </w:rPr>
            </w:pPr>
          </w:p>
        </w:tc>
      </w:tr>
      <w:tr>
        <w:trPr>
          <w:trHeight w:val="213"/>
        </w:trPr>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(360,762)</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(155,942)</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(516,704)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33.22</w:t>
            </w:r>
          </w:p>
        </w:tc>
        <w:tc>
          <w:tcPr>
            <w:tcW w:w="0" w:type="dxa"/>
            <w:vAlign w:val="bottom"/>
          </w:tcPr>
          <w:p>
            <w:pPr>
              <w:spacing w:after="0"/>
              <w:rPr>
                <w:sz w:val="1"/>
                <w:szCs w:val="1"/>
                <w:color w:val="auto"/>
              </w:rPr>
            </w:pPr>
          </w:p>
        </w:tc>
      </w:tr>
      <w:tr>
        <w:trPr>
          <w:trHeight w:val="233"/>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outstanding units as of September 30, 2022</w:t>
            </w:r>
          </w:p>
        </w:tc>
        <w:tc>
          <w:tcPr>
            <w:tcW w:w="120" w:type="dxa"/>
            <w:vAlign w:val="bottom"/>
            <w:shd w:val="clear" w:color="auto" w:fill="CCEEFF"/>
          </w:tcPr>
          <w:p>
            <w:pPr>
              <w:spacing w:after="0"/>
              <w:rPr>
                <w:sz w:val="20"/>
                <w:szCs w:val="20"/>
                <w:color w:val="auto"/>
              </w:rPr>
            </w:pPr>
          </w:p>
        </w:tc>
        <w:tc>
          <w:tcPr>
            <w:tcW w:w="16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4,914,324</w:t>
            </w:r>
          </w:p>
        </w:tc>
        <w:tc>
          <w:tcPr>
            <w:tcW w:w="10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336,785</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5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5,251,109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17.23</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As of September 30, 2022, the intrinsic value of the RSUs and PRSUs outstanding, exercisable, and vested or expected to vest was $46.5 million. There was $42.7 million of total compensation costs related to stock-based awards not yet recognized as of September 30, 2022, which is expected to be recognized on a straight-line basis over a weighted-average remaining vesting period of approximately one year.</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E32E1"/>
        </w:rPr>
        <w:t>Table of Contents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13. SHARE REPURCHASES</w:t>
      </w:r>
    </w:p>
    <w:p>
      <w:pPr>
        <w:spacing w:after="0" w:line="17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On May 24, 2022, the Company announced that the Board of Directors approved a new share repurchase program ("SRP") authorizing the Company to repurchase up to $50.0 million of its common stock. Pursuant to this authorization, the Company may repurchase shares of its common stock on a discretionary basis from time to time through open market purchases. The repurchase program has no expiration date and may be modified, suspended, or terminated at any time. As of September 30, 2022, there was $42.3 million of the remaining authorization for future common stock repurchases under the SRP.</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Table 13: Shares Repurchase Activity</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4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100" w:type="dxa"/>
            <w:vAlign w:val="bottom"/>
            <w:tcBorders>
              <w:top w:val="single" w:sz="8" w:color="auto"/>
              <w:bottom w:val="single" w:sz="8" w:color="auto"/>
            </w:tcBorders>
            <w:gridSpan w:val="4"/>
          </w:tcPr>
          <w:p>
            <w:pPr>
              <w:ind w:left="560"/>
              <w:spacing w:after="0"/>
              <w:rPr>
                <w:sz w:val="20"/>
                <w:szCs w:val="20"/>
                <w:color w:val="auto"/>
              </w:rPr>
            </w:pPr>
            <w:r>
              <w:rPr>
                <w:rFonts w:ascii="Arial" w:cs="Arial" w:eastAsia="Arial" w:hAnsi="Arial"/>
                <w:sz w:val="16"/>
                <w:szCs w:val="16"/>
                <w:color w:val="auto"/>
              </w:rPr>
              <w:t>For the Three Months Ended</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100" w:type="dxa"/>
            <w:vAlign w:val="bottom"/>
            <w:tcBorders>
              <w:top w:val="single" w:sz="8" w:color="auto"/>
              <w:bottom w:val="single" w:sz="8" w:color="auto"/>
            </w:tcBorders>
            <w:gridSpan w:val="4"/>
          </w:tcPr>
          <w:p>
            <w:pPr>
              <w:ind w:left="580"/>
              <w:spacing w:after="0"/>
              <w:rPr>
                <w:sz w:val="20"/>
                <w:szCs w:val="20"/>
                <w:color w:val="auto"/>
              </w:rPr>
            </w:pPr>
            <w:r>
              <w:rPr>
                <w:rFonts w:ascii="Arial" w:cs="Arial" w:eastAsia="Arial" w:hAnsi="Arial"/>
                <w:sz w:val="16"/>
                <w:szCs w:val="16"/>
                <w:color w:val="auto"/>
              </w:rPr>
              <w:t>For the Nine Months Ended</w:t>
            </w:r>
          </w:p>
        </w:tc>
      </w:tr>
      <w:tr>
        <w:trPr>
          <w:trHeight w:val="210"/>
        </w:trPr>
        <w:tc>
          <w:tcPr>
            <w:tcW w:w="4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September 30, 2022</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96"/>
              </w:rPr>
              <w:t>September 30, 2021</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September 30, 2022</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97"/>
              </w:rPr>
              <w:t>September 30, 2021</w:t>
            </w:r>
          </w:p>
        </w:tc>
      </w:tr>
      <w:tr>
        <w:trPr>
          <w:trHeight w:val="214"/>
        </w:trPr>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5"/>
          </w:tcPr>
          <w:p>
            <w:pPr>
              <w:ind w:left="120"/>
              <w:spacing w:after="0"/>
              <w:rPr>
                <w:sz w:val="20"/>
                <w:szCs w:val="20"/>
                <w:color w:val="auto"/>
              </w:rPr>
            </w:pPr>
            <w:r>
              <w:rPr>
                <w:rFonts w:ascii="Arial" w:cs="Arial" w:eastAsia="Arial" w:hAnsi="Arial"/>
                <w:sz w:val="14"/>
                <w:szCs w:val="14"/>
                <w:i w:val="1"/>
                <w:iCs w:val="1"/>
                <w:color w:val="auto"/>
              </w:rPr>
              <w:t>(in thousands, except per share and share data)</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6"/>
        </w:trPr>
        <w:tc>
          <w:tcPr>
            <w:tcW w:w="4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6"/>
        </w:trPr>
        <w:tc>
          <w:tcPr>
            <w:tcW w:w="47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Amount paid for shares repurchased </w:t>
            </w:r>
            <w:r>
              <w:rPr>
                <w:rFonts w:ascii="Arial" w:cs="Arial" w:eastAsia="Arial" w:hAnsi="Arial"/>
                <w:sz w:val="21"/>
                <w:szCs w:val="21"/>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ind w:left="1240"/>
              <w:spacing w:after="0"/>
              <w:rPr>
                <w:sz w:val="20"/>
                <w:szCs w:val="20"/>
                <w:color w:val="auto"/>
              </w:rPr>
            </w:pPr>
            <w:r>
              <w:rPr>
                <w:rFonts w:ascii="Arial" w:cs="Arial" w:eastAsia="Arial" w:hAnsi="Arial"/>
                <w:sz w:val="16"/>
                <w:szCs w:val="16"/>
                <w:color w:val="auto"/>
              </w:rPr>
              <w:t>—</w:t>
            </w: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Number of shares repurchased</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498,731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1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859,170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ind w:left="1240"/>
              <w:spacing w:after="0"/>
              <w:rPr>
                <w:sz w:val="20"/>
                <w:szCs w:val="20"/>
                <w:color w:val="auto"/>
              </w:rPr>
            </w:pPr>
            <w:r>
              <w:rPr>
                <w:rFonts w:ascii="Arial" w:cs="Arial" w:eastAsia="Arial" w:hAnsi="Arial"/>
                <w:sz w:val="16"/>
                <w:szCs w:val="16"/>
                <w:color w:val="auto"/>
              </w:rPr>
              <w:t>—</w:t>
            </w:r>
          </w:p>
        </w:tc>
      </w:tr>
      <w:tr>
        <w:trPr>
          <w:trHeight w:val="219"/>
        </w:trPr>
        <w:tc>
          <w:tcPr>
            <w:tcW w:w="47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Average per share price paid </w:t>
            </w:r>
            <w:r>
              <w:rPr>
                <w:rFonts w:ascii="Arial" w:cs="Arial" w:eastAsia="Arial" w:hAnsi="Arial"/>
                <w:sz w:val="21"/>
                <w:szCs w:val="21"/>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ind w:left="1240"/>
              <w:spacing w:after="0"/>
              <w:rPr>
                <w:sz w:val="20"/>
                <w:szCs w:val="20"/>
                <w:color w:val="auto"/>
              </w:rPr>
            </w:pPr>
            <w:r>
              <w:rPr>
                <w:rFonts w:ascii="Arial" w:cs="Arial" w:eastAsia="Arial" w:hAnsi="Arial"/>
                <w:sz w:val="16"/>
                <w:szCs w:val="16"/>
                <w:color w:val="auto"/>
              </w:rPr>
              <w:t>—</w:t>
            </w:r>
          </w:p>
        </w:tc>
      </w:tr>
    </w:tbl>
    <w:p>
      <w:pPr>
        <w:spacing w:after="0" w:line="184"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commissions paid for repurchases on the open market.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As of November 4, 2022, the Company has repurchased an additional 106,623 shares of its common stock for $1.0 million since September 30, 2022.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14. ACCUMULATED OTHER COMPREHENSIVE LOSS</w:t>
      </w:r>
    </w:p>
    <w:p>
      <w:pPr>
        <w:spacing w:after="0" w:line="17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functional currency is the U.S. Dollar. For one of our wholly-owned subsidiaries, the functional currency is the local currency. For this subsidiary, the translation of its foreign currency into U.S. Dollars is performed for assets and liabilities using current foreign currency exchange rates in effect at the balance sheet date and for revenue and expense accounts using average foreign currency exchange rates during the periods presented. Translation gains and losses are included in stockholders’ equity as a component of accumulated other comprehensive loss.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Table 14: Details of Accumulated Other Comprehensive Loss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80" w:type="dxa"/>
            <w:vAlign w:val="bottom"/>
            <w:tcBorders>
              <w:top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September 30, 2022</w:t>
            </w:r>
          </w:p>
        </w:tc>
        <w:tc>
          <w:tcPr>
            <w:tcW w:w="4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91"/>
              </w:rPr>
              <w:t>December 31, 2021</w:t>
            </w:r>
          </w:p>
        </w:tc>
      </w:tr>
      <w:tr>
        <w:trPr>
          <w:trHeight w:val="214"/>
        </w:trPr>
        <w:tc>
          <w:tcPr>
            <w:tcW w:w="6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i w:val="1"/>
                <w:iCs w:val="1"/>
                <w:color w:val="auto"/>
                <w:w w:val="94"/>
              </w:rPr>
              <w:t>(in thousands)</w:t>
            </w:r>
          </w:p>
        </w:tc>
        <w:tc>
          <w:tcPr>
            <w:tcW w:w="1700" w:type="dxa"/>
            <w:vAlign w:val="bottom"/>
          </w:tcPr>
          <w:p>
            <w:pPr>
              <w:spacing w:after="0"/>
              <w:rPr>
                <w:sz w:val="18"/>
                <w:szCs w:val="18"/>
                <w:color w:val="auto"/>
              </w:rPr>
            </w:pPr>
          </w:p>
        </w:tc>
      </w:tr>
      <w:tr>
        <w:trPr>
          <w:trHeight w:val="25"/>
        </w:trPr>
        <w:tc>
          <w:tcPr>
            <w:tcW w:w="6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Cumulative foreign currency translation loss</w:t>
            </w:r>
          </w:p>
        </w:tc>
        <w:tc>
          <w:tcPr>
            <w:tcW w:w="1680" w:type="dxa"/>
            <w:vAlign w:val="bottom"/>
            <w:shd w:val="clear" w:color="auto" w:fill="CCEEFF"/>
          </w:tcPr>
          <w:p>
            <w:pPr>
              <w:jc w:val="right"/>
              <w:ind w:right="149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(137)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r>
      <w:tr>
        <w:trPr>
          <w:trHeight w:val="213"/>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Cumulative actuarial gain on pension liability adjustment</w:t>
            </w:r>
          </w:p>
        </w:tc>
        <w:tc>
          <w:tcPr>
            <w:tcW w:w="16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r>
      <w:tr>
        <w:trPr>
          <w:trHeight w:val="235"/>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loss</w:t>
            </w:r>
          </w:p>
        </w:tc>
        <w:tc>
          <w:tcPr>
            <w:tcW w:w="1680" w:type="dxa"/>
            <w:vAlign w:val="bottom"/>
            <w:tcBorders>
              <w:bottom w:val="single" w:sz="8" w:color="auto"/>
            </w:tcBorders>
            <w:shd w:val="clear" w:color="auto" w:fill="CCEEFF"/>
          </w:tcPr>
          <w:p>
            <w:pPr>
              <w:jc w:val="right"/>
              <w:ind w:right="149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15. LOSS PER SHARE</w:t>
      </w:r>
    </w:p>
    <w:p>
      <w:pPr>
        <w:spacing w:after="0" w:line="171"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Basic net earnings (loss) per share is computed by dividing the net earnings (loss) by the weighted-average number of common shares outstanding for the period, without consideration for potentially dilutive securities. Diluted net earnings (loss) per share is computed by dividing the net earnings (loss) by the weighted-average number of shares of common stock and dilutive common stock equivalents outstanding for the period determined using the treasury-stock and if-converted methods. Dilutive common stock equivalents are comprised of unvested restricted common stock and warrants.</w:t>
      </w:r>
    </w:p>
    <w:p>
      <w:pPr>
        <w:spacing w:after="0" w:line="10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the period of net loss, potentially dilutive securities are not included in the calculation of diluted net earnings (loss) per share, because to do so would be anti-dilutive.</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Table 15: Potentially Dilutive Securities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40" w:type="dxa"/>
            <w:vAlign w:val="bottom"/>
            <w:tcBorders>
              <w:top w:val="single" w:sz="8" w:color="auto"/>
            </w:tcBorders>
          </w:tcPr>
          <w:p>
            <w:pPr>
              <w:spacing w:after="0"/>
              <w:rPr>
                <w:sz w:val="18"/>
                <w:szCs w:val="18"/>
                <w:color w:val="auto"/>
              </w:rPr>
            </w:pPr>
          </w:p>
        </w:tc>
        <w:tc>
          <w:tcPr>
            <w:tcW w:w="3200" w:type="dxa"/>
            <w:vAlign w:val="bottom"/>
            <w:tcBorders>
              <w:top w:val="single" w:sz="8" w:color="auto"/>
              <w:bottom w:val="single" w:sz="8" w:color="auto"/>
            </w:tcBorders>
            <w:gridSpan w:val="3"/>
          </w:tcPr>
          <w:p>
            <w:pPr>
              <w:jc w:val="right"/>
              <w:ind w:right="581"/>
              <w:spacing w:after="0"/>
              <w:rPr>
                <w:sz w:val="20"/>
                <w:szCs w:val="20"/>
                <w:color w:val="auto"/>
              </w:rPr>
            </w:pPr>
            <w:r>
              <w:rPr>
                <w:rFonts w:ascii="Arial" w:cs="Arial" w:eastAsia="Arial" w:hAnsi="Arial"/>
                <w:sz w:val="16"/>
                <w:szCs w:val="16"/>
                <w:color w:val="auto"/>
              </w:rPr>
              <w:t>For the Three Months Ended</w:t>
            </w:r>
          </w:p>
        </w:tc>
        <w:tc>
          <w:tcPr>
            <w:tcW w:w="80" w:type="dxa"/>
            <w:vAlign w:val="bottom"/>
            <w:tcBorders>
              <w:top w:val="single" w:sz="8" w:color="auto"/>
            </w:tcBorders>
          </w:tcPr>
          <w:p>
            <w:pPr>
              <w:spacing w:after="0"/>
              <w:rPr>
                <w:sz w:val="18"/>
                <w:szCs w:val="18"/>
                <w:color w:val="auto"/>
              </w:rPr>
            </w:pPr>
          </w:p>
        </w:tc>
        <w:tc>
          <w:tcPr>
            <w:tcW w:w="3220" w:type="dxa"/>
            <w:vAlign w:val="bottom"/>
            <w:tcBorders>
              <w:top w:val="single" w:sz="8" w:color="auto"/>
              <w:bottom w:val="single" w:sz="8" w:color="auto"/>
            </w:tcBorders>
            <w:gridSpan w:val="3"/>
          </w:tcPr>
          <w:p>
            <w:pPr>
              <w:jc w:val="right"/>
              <w:ind w:right="619"/>
              <w:spacing w:after="0"/>
              <w:rPr>
                <w:sz w:val="20"/>
                <w:szCs w:val="20"/>
                <w:color w:val="auto"/>
              </w:rPr>
            </w:pPr>
            <w:r>
              <w:rPr>
                <w:rFonts w:ascii="Arial" w:cs="Arial" w:eastAsia="Arial" w:hAnsi="Arial"/>
                <w:sz w:val="16"/>
                <w:szCs w:val="16"/>
                <w:color w:val="auto"/>
              </w:rPr>
              <w:t>For the Nine Months Ended</w:t>
            </w:r>
          </w:p>
        </w:tc>
        <w:tc>
          <w:tcPr>
            <w:tcW w:w="0" w:type="dxa"/>
            <w:vAlign w:val="bottom"/>
          </w:tcPr>
          <w:p>
            <w:pPr>
              <w:spacing w:after="0"/>
              <w:rPr>
                <w:sz w:val="1"/>
                <w:szCs w:val="1"/>
                <w:color w:val="auto"/>
              </w:rPr>
            </w:pPr>
          </w:p>
        </w:tc>
      </w:tr>
      <w:tr>
        <w:trPr>
          <w:trHeight w:val="209"/>
        </w:trPr>
        <w:tc>
          <w:tcPr>
            <w:tcW w:w="4740" w:type="dxa"/>
            <w:vAlign w:val="bottom"/>
          </w:tcPr>
          <w:p>
            <w:pPr>
              <w:spacing w:after="0"/>
              <w:rPr>
                <w:sz w:val="18"/>
                <w:szCs w:val="18"/>
                <w:color w:val="auto"/>
              </w:rPr>
            </w:pPr>
          </w:p>
        </w:tc>
        <w:tc>
          <w:tcPr>
            <w:tcW w:w="1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6"/>
              </w:rPr>
              <w:t>September 30, 2022</w:t>
            </w:r>
          </w:p>
        </w:tc>
        <w:tc>
          <w:tcPr>
            <w:tcW w:w="80" w:type="dxa"/>
            <w:vAlign w:val="bottom"/>
          </w:tcPr>
          <w:p>
            <w:pPr>
              <w:spacing w:after="0"/>
              <w:rPr>
                <w:sz w:val="18"/>
                <w:szCs w:val="18"/>
                <w:color w:val="auto"/>
              </w:rPr>
            </w:pPr>
          </w:p>
        </w:tc>
        <w:tc>
          <w:tcPr>
            <w:tcW w:w="15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97"/>
              </w:rPr>
              <w:t>September 30, 2021</w:t>
            </w:r>
          </w:p>
        </w:tc>
        <w:tc>
          <w:tcPr>
            <w:tcW w:w="80" w:type="dxa"/>
            <w:vAlign w:val="bottom"/>
          </w:tcPr>
          <w:p>
            <w:pPr>
              <w:spacing w:after="0"/>
              <w:rPr>
                <w:sz w:val="18"/>
                <w:szCs w:val="18"/>
                <w:color w:val="auto"/>
              </w:rPr>
            </w:pPr>
          </w:p>
        </w:tc>
        <w:tc>
          <w:tcPr>
            <w:tcW w:w="15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7"/>
              </w:rPr>
              <w:t>September 30, 2022</w:t>
            </w:r>
          </w:p>
        </w:tc>
        <w:tc>
          <w:tcPr>
            <w:tcW w:w="80" w:type="dxa"/>
            <w:vAlign w:val="bottom"/>
          </w:tcPr>
          <w:p>
            <w:pPr>
              <w:spacing w:after="0"/>
              <w:rPr>
                <w:sz w:val="18"/>
                <w:szCs w:val="18"/>
                <w:color w:val="auto"/>
              </w:rPr>
            </w:pPr>
          </w:p>
        </w:tc>
        <w:tc>
          <w:tcPr>
            <w:tcW w:w="1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6"/>
              </w:rPr>
              <w:t>September 30, 2021</w:t>
            </w:r>
          </w:p>
        </w:tc>
        <w:tc>
          <w:tcPr>
            <w:tcW w:w="0" w:type="dxa"/>
            <w:vAlign w:val="bottom"/>
          </w:tcPr>
          <w:p>
            <w:pPr>
              <w:spacing w:after="0"/>
              <w:rPr>
                <w:sz w:val="1"/>
                <w:szCs w:val="1"/>
                <w:color w:val="auto"/>
              </w:rPr>
            </w:pPr>
          </w:p>
        </w:tc>
      </w:tr>
      <w:tr>
        <w:trPr>
          <w:trHeight w:val="214"/>
        </w:trPr>
        <w:tc>
          <w:tcPr>
            <w:tcW w:w="4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00" w:type="dxa"/>
            <w:vAlign w:val="bottom"/>
            <w:gridSpan w:val="4"/>
          </w:tcPr>
          <w:p>
            <w:pPr>
              <w:ind w:left="1200"/>
              <w:spacing w:after="0"/>
              <w:rPr>
                <w:sz w:val="20"/>
                <w:szCs w:val="20"/>
                <w:color w:val="auto"/>
              </w:rPr>
            </w:pPr>
            <w:r>
              <w:rPr>
                <w:rFonts w:ascii="Arial" w:cs="Arial" w:eastAsia="Arial" w:hAnsi="Arial"/>
                <w:sz w:val="14"/>
                <w:szCs w:val="14"/>
                <w:i w:val="1"/>
                <w:iCs w:val="1"/>
                <w:color w:val="auto"/>
              </w:rPr>
              <w:t>(in thousands)</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7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restricted stock and restricted stock units</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Common stock warrants, exercisable at $1.665 per share</w:t>
            </w:r>
          </w:p>
        </w:tc>
        <w:tc>
          <w:tcPr>
            <w:tcW w:w="1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38"/>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799</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line="153" w:lineRule="exact"/>
              <w:rPr>
                <w:sz w:val="20"/>
                <w:szCs w:val="20"/>
                <w:color w:val="auto"/>
              </w:rPr>
            </w:pPr>
            <w:r>
              <w:rPr>
                <w:rFonts w:ascii="Arial" w:cs="Arial" w:eastAsia="Arial" w:hAnsi="Arial"/>
                <w:sz w:val="16"/>
                <w:szCs w:val="16"/>
                <w:color w:val="auto"/>
              </w:rPr>
              <w:t>Unvested antidilutive stock units excluded from the dilutive effect</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4740" w:type="dxa"/>
            <w:vAlign w:val="bottom"/>
            <w:vMerge w:val="continue"/>
          </w:tcPr>
          <w:p>
            <w:pPr>
              <w:spacing w:after="0"/>
              <w:rPr>
                <w:sz w:val="9"/>
                <w:szCs w:val="9"/>
                <w:color w:val="auto"/>
              </w:rPr>
            </w:pPr>
          </w:p>
        </w:tc>
        <w:tc>
          <w:tcPr>
            <w:tcW w:w="1560" w:type="dxa"/>
            <w:vAlign w:val="bottom"/>
            <w:vMerge w:val="restart"/>
          </w:tcPr>
          <w:p>
            <w:pPr>
              <w:jc w:val="right"/>
              <w:ind w:right="39"/>
              <w:spacing w:after="0"/>
              <w:rPr>
                <w:sz w:val="20"/>
                <w:szCs w:val="20"/>
                <w:color w:val="auto"/>
              </w:rPr>
            </w:pPr>
            <w:r>
              <w:rPr>
                <w:rFonts w:ascii="Arial" w:cs="Arial" w:eastAsia="Arial" w:hAnsi="Arial"/>
                <w:sz w:val="16"/>
                <w:szCs w:val="16"/>
                <w:color w:val="auto"/>
              </w:rPr>
              <w:t>1,218</w:t>
            </w:r>
          </w:p>
        </w:tc>
        <w:tc>
          <w:tcPr>
            <w:tcW w:w="80" w:type="dxa"/>
            <w:vAlign w:val="bottom"/>
          </w:tcPr>
          <w:p>
            <w:pPr>
              <w:spacing w:after="0"/>
              <w:rPr>
                <w:sz w:val="9"/>
                <w:szCs w:val="9"/>
                <w:color w:val="auto"/>
              </w:rPr>
            </w:pPr>
          </w:p>
        </w:tc>
        <w:tc>
          <w:tcPr>
            <w:tcW w:w="16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580" w:type="dxa"/>
            <w:vAlign w:val="bottom"/>
            <w:vMerge w:val="restart"/>
          </w:tcPr>
          <w:p>
            <w:pPr>
              <w:jc w:val="right"/>
              <w:ind w:right="59"/>
              <w:spacing w:after="0"/>
              <w:rPr>
                <w:sz w:val="20"/>
                <w:szCs w:val="20"/>
                <w:color w:val="auto"/>
              </w:rPr>
            </w:pPr>
            <w:r>
              <w:rPr>
                <w:rFonts w:ascii="Arial" w:cs="Arial" w:eastAsia="Arial" w:hAnsi="Arial"/>
                <w:sz w:val="16"/>
                <w:szCs w:val="16"/>
                <w:color w:val="auto"/>
              </w:rPr>
              <w:t>965</w:t>
            </w:r>
          </w:p>
        </w:tc>
        <w:tc>
          <w:tcPr>
            <w:tcW w:w="80" w:type="dxa"/>
            <w:vAlign w:val="bottom"/>
          </w:tcPr>
          <w:p>
            <w:pPr>
              <w:spacing w:after="0"/>
              <w:rPr>
                <w:sz w:val="9"/>
                <w:szCs w:val="9"/>
                <w:color w:val="auto"/>
              </w:rPr>
            </w:pP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740" w:type="dxa"/>
            <w:vAlign w:val="bottom"/>
          </w:tcPr>
          <w:p>
            <w:pPr>
              <w:ind w:left="20"/>
              <w:spacing w:after="0"/>
              <w:rPr>
                <w:sz w:val="20"/>
                <w:szCs w:val="20"/>
                <w:color w:val="auto"/>
              </w:rPr>
            </w:pPr>
            <w:r>
              <w:rPr>
                <w:rFonts w:ascii="Arial" w:cs="Arial" w:eastAsia="Arial" w:hAnsi="Arial"/>
                <w:sz w:val="16"/>
                <w:szCs w:val="16"/>
                <w:color w:val="auto"/>
              </w:rPr>
              <w:t>(stock units)</w:t>
            </w:r>
          </w:p>
        </w:tc>
        <w:tc>
          <w:tcPr>
            <w:tcW w:w="15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E32E1"/>
        </w:rPr>
        <w:t>Table of Contents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16. RELATED PARTY TRANSACTIONS</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Emmett J. Wood, the brother of our Chairman and CEO, has been an employee of the Company since 1996. The amounts paid to this individual as compensation were $91,000 and $696,000 for the three and nine months ended September 30, 2022, respectively, and $88,000 and $389,000 for the three and nine months ended September 30, 2021, respectively. Additionally, Mr. Emmett Wood owned 94,547 and 73,562 shares of the Company’s common stock as of September 30, 2022, and December 31, 2021.</w:t>
      </w:r>
    </w:p>
    <w:p>
      <w:pPr>
        <w:spacing w:after="0" w:line="13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One of the Company’s directors serves as a consultant to the Company. In February 2022, the director and the Company amended the consulting agreement to provide that the Company would pay the remainder of the director’s consulting fees for 2022 in a fixed price amount in the form of restricted stock units. The Company granted the director 26,091 restricted stock units on February 1, 2022, which vest quarterly in four equal amounts through the end of the year, subject to the director’s continued performance under the consulting agreement. No cash payments were made for the three months ended September 30, 2022. The amounts paid for his consulting services were $25,000 for the nine months ended September 30, 2022, and $71,000 and $212,000 for the three and nine months ended September 30, 2021,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17. SEGMENT INFORMATION</w:t>
      </w:r>
    </w:p>
    <w:p>
      <w:pPr>
        <w:spacing w:after="0" w:line="17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 xml:space="preserve">As noted in </w:t>
      </w:r>
      <w:r>
        <w:rPr>
          <w:rFonts w:ascii="Arial" w:cs="Arial" w:eastAsia="Arial" w:hAnsi="Arial"/>
          <w:sz w:val="17"/>
          <w:szCs w:val="17"/>
          <w:u w:val="single" w:color="auto"/>
          <w:color w:val="0000FF"/>
        </w:rPr>
        <w:t>Note 2 - Significant Accounting Policies</w:t>
      </w:r>
      <w:r>
        <w:rPr>
          <w:rFonts w:ascii="Arial" w:cs="Arial" w:eastAsia="Arial" w:hAnsi="Arial"/>
          <w:sz w:val="17"/>
          <w:szCs w:val="17"/>
          <w:color w:val="auto"/>
        </w:rPr>
        <w:t>, during the fourth quarter of 2021, as a result of the segment reorganization, our CODM began evaluating, overseeing, and managing the financial performance of our operations through two operating segments: Security Solutions and Secure Networks. The segments enable the alignment of our strategies and objectives and provide a framework for the timely and rational allocation of resources within the lines of business. We eliminate any inter-segment revenues and expenses upon consolidation.</w:t>
      </w:r>
    </w:p>
    <w:p>
      <w:pPr>
        <w:spacing w:after="0" w:line="98"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The Security Solutions segment is primarily focused on cybersecurity, cloud and identity solutions, and secure messaging through Xacta</w:t>
      </w:r>
      <w:r>
        <w:rPr>
          <w:rFonts w:ascii="Arial" w:cs="Arial" w:eastAsia="Arial" w:hAnsi="Arial"/>
          <w:sz w:val="20"/>
          <w:szCs w:val="20"/>
          <w:color w:val="auto"/>
          <w:vertAlign w:val="superscript"/>
        </w:rPr>
        <w:t>®</w:t>
      </w:r>
      <w:r>
        <w:rPr>
          <w:rFonts w:ascii="Arial" w:cs="Arial" w:eastAsia="Arial" w:hAnsi="Arial"/>
          <w:sz w:val="16"/>
          <w:szCs w:val="16"/>
          <w:color w:val="auto"/>
        </w:rPr>
        <w:t>, Telos Ghost</w:t>
      </w:r>
      <w:r>
        <w:rPr>
          <w:rFonts w:ascii="Arial" w:cs="Arial" w:eastAsia="Arial" w:hAnsi="Arial"/>
          <w:sz w:val="20"/>
          <w:szCs w:val="20"/>
          <w:color w:val="auto"/>
          <w:vertAlign w:val="superscript"/>
        </w:rPr>
        <w:t>®</w:t>
      </w:r>
      <w:r>
        <w:rPr>
          <w:rFonts w:ascii="Arial" w:cs="Arial" w:eastAsia="Arial" w:hAnsi="Arial"/>
          <w:sz w:val="16"/>
          <w:szCs w:val="16"/>
          <w:color w:val="auto"/>
        </w:rPr>
        <w:t>, Telos Advanced Cyber Analytics, Telos AMHS and Telos ID offerings. We recognize revenue on contracts from providing various system platforms in the cloud, on-premises, and in hybrid cloud environments, as well as software sales or software-as-a-service. Revenue associated with the segment's custom solutions is recognized as work progresses or upon delivery of services and products. Fluctuation in revenue from period to period is the result of the volume of software sales, and the progress or completion of cloud and/or cybersecurity solutions during the period. The majority of the operating costs relate to labor, material, and overhead costs. Software sales have immaterial operation costs associated with them, thus yielding higher margins. Gross profit and margin are a function of operational efficiency on security solutions and changes in the volume of software sales.</w:t>
      </w:r>
    </w:p>
    <w:p>
      <w:pPr>
        <w:spacing w:after="0" w:line="64"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Secure Networks segment provides secure networking architectures and solutions to our customers through secure mobility solutions, and network management and defense services. Revenue is recognized over time as the work progresses on contracts related to managing network services and information delivery. Contract costs include labor, material, and overhead costs. Variances in costs recognized from period to period primarily reflect increases and decreases in activity levels on individual contracts.</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Table 17: Results of Operations by Business Segment</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4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080" w:type="dxa"/>
            <w:vAlign w:val="bottom"/>
            <w:tcBorders>
              <w:top w:val="single" w:sz="8" w:color="auto"/>
              <w:bottom w:val="single" w:sz="8" w:color="auto"/>
            </w:tcBorders>
            <w:gridSpan w:val="4"/>
          </w:tcPr>
          <w:p>
            <w:pPr>
              <w:jc w:val="right"/>
              <w:ind w:right="580"/>
              <w:spacing w:after="0"/>
              <w:rPr>
                <w:sz w:val="20"/>
                <w:szCs w:val="20"/>
                <w:color w:val="auto"/>
              </w:rPr>
            </w:pPr>
            <w:r>
              <w:rPr>
                <w:rFonts w:ascii="Arial" w:cs="Arial" w:eastAsia="Arial" w:hAnsi="Arial"/>
                <w:sz w:val="16"/>
                <w:szCs w:val="16"/>
                <w:color w:val="auto"/>
              </w:rPr>
              <w:t>For the Three Months Ended</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100" w:type="dxa"/>
            <w:vAlign w:val="bottom"/>
            <w:tcBorders>
              <w:top w:val="single" w:sz="8" w:color="auto"/>
              <w:bottom w:val="single" w:sz="8" w:color="auto"/>
            </w:tcBorders>
            <w:gridSpan w:val="4"/>
          </w:tcPr>
          <w:p>
            <w:pPr>
              <w:jc w:val="right"/>
              <w:ind w:right="619"/>
              <w:spacing w:after="0"/>
              <w:rPr>
                <w:sz w:val="20"/>
                <w:szCs w:val="20"/>
                <w:color w:val="auto"/>
              </w:rPr>
            </w:pPr>
            <w:r>
              <w:rPr>
                <w:rFonts w:ascii="Arial" w:cs="Arial" w:eastAsia="Arial" w:hAnsi="Arial"/>
                <w:sz w:val="16"/>
                <w:szCs w:val="16"/>
                <w:color w:val="auto"/>
              </w:rPr>
              <w:t>For the Nine Months Ended</w:t>
            </w:r>
          </w:p>
        </w:tc>
      </w:tr>
      <w:tr>
        <w:trPr>
          <w:trHeight w:val="210"/>
        </w:trPr>
        <w:tc>
          <w:tcPr>
            <w:tcW w:w="4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September 30, 2022</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September 30, 2021</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September 30, 2022</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September 30, 2021</w:t>
            </w:r>
          </w:p>
        </w:tc>
      </w:tr>
      <w:tr>
        <w:trPr>
          <w:trHeight w:val="214"/>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5"/>
          </w:tcPr>
          <w:p>
            <w:pPr>
              <w:ind w:left="108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5"/>
        </w:trPr>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3"/>
        </w:trPr>
        <w:tc>
          <w:tcPr>
            <w:tcW w:w="4740" w:type="dxa"/>
            <w:vAlign w:val="bottom"/>
          </w:tcPr>
          <w:p>
            <w:pPr>
              <w:ind w:left="140"/>
              <w:spacing w:after="0"/>
              <w:rPr>
                <w:sz w:val="20"/>
                <w:szCs w:val="20"/>
                <w:color w:val="auto"/>
              </w:rPr>
            </w:pPr>
            <w:r>
              <w:rPr>
                <w:rFonts w:ascii="Arial" w:cs="Arial" w:eastAsia="Arial" w:hAnsi="Arial"/>
                <w:sz w:val="16"/>
                <w:szCs w:val="16"/>
                <w:color w:val="auto"/>
              </w:rPr>
              <w:t>Security Solutions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32,440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34,558</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90,178</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89,624</w:t>
            </w:r>
          </w:p>
        </w:tc>
      </w:tr>
      <w:tr>
        <w:trPr>
          <w:trHeight w:val="219"/>
        </w:trPr>
        <w:tc>
          <w:tcPr>
            <w:tcW w:w="4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Secure Networks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31,153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34,423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79,366</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88,759</w:t>
            </w:r>
          </w:p>
        </w:tc>
      </w:tr>
      <w:tr>
        <w:trPr>
          <w:trHeight w:val="206"/>
        </w:trPr>
        <w:tc>
          <w:tcPr>
            <w:tcW w:w="47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revenue</w:t>
            </w: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63,593</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68,981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169,544</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178,383</w:t>
            </w:r>
          </w:p>
        </w:tc>
      </w:tr>
      <w:tr>
        <w:trPr>
          <w:trHeight w:val="19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3"/>
        </w:trPr>
        <w:tc>
          <w:tcPr>
            <w:tcW w:w="4740" w:type="dxa"/>
            <w:vAlign w:val="bottom"/>
          </w:tcPr>
          <w:p>
            <w:pPr>
              <w:ind w:left="140"/>
              <w:spacing w:after="0"/>
              <w:rPr>
                <w:sz w:val="20"/>
                <w:szCs w:val="20"/>
                <w:color w:val="auto"/>
              </w:rPr>
            </w:pPr>
            <w:r>
              <w:rPr>
                <w:rFonts w:ascii="Arial" w:cs="Arial" w:eastAsia="Arial" w:hAnsi="Arial"/>
                <w:sz w:val="16"/>
                <w:szCs w:val="16"/>
                <w:color w:val="auto"/>
              </w:rPr>
              <w:t>Security Solutions</w:t>
            </w:r>
          </w:p>
        </w:tc>
        <w:tc>
          <w:tcPr>
            <w:tcW w:w="12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15,577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19,517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47,062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46,032</w:t>
            </w:r>
          </w:p>
        </w:tc>
      </w:tr>
      <w:tr>
        <w:trPr>
          <w:trHeight w:val="219"/>
        </w:trPr>
        <w:tc>
          <w:tcPr>
            <w:tcW w:w="4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Secure Networks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5,368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5,360</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13,683</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15,849</w:t>
            </w:r>
          </w:p>
        </w:tc>
      </w:tr>
      <w:tr>
        <w:trPr>
          <w:trHeight w:val="206"/>
        </w:trPr>
        <w:tc>
          <w:tcPr>
            <w:tcW w:w="4740" w:type="dxa"/>
            <w:vAlign w:val="bottom"/>
          </w:tcPr>
          <w:p>
            <w:pPr>
              <w:ind w:left="240"/>
              <w:spacing w:after="0"/>
              <w:rPr>
                <w:sz w:val="20"/>
                <w:szCs w:val="20"/>
                <w:color w:val="auto"/>
              </w:rPr>
            </w:pPr>
            <w:r>
              <w:rPr>
                <w:rFonts w:ascii="Arial" w:cs="Arial" w:eastAsia="Arial" w:hAnsi="Arial"/>
                <w:sz w:val="16"/>
                <w:szCs w:val="16"/>
                <w:color w:val="auto"/>
              </w:rPr>
              <w:t>Total gross profit</w:t>
            </w: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20,945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24,877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60,745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61,881</w:t>
            </w: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28,614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29,965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95,314</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97,935</w:t>
            </w:r>
          </w:p>
        </w:tc>
      </w:tr>
      <w:tr>
        <w:trPr>
          <w:trHeight w:val="207"/>
        </w:trPr>
        <w:tc>
          <w:tcPr>
            <w:tcW w:w="4740" w:type="dxa"/>
            <w:vAlign w:val="bottom"/>
          </w:tcPr>
          <w:p>
            <w:pPr>
              <w:ind w:left="20"/>
              <w:spacing w:after="0"/>
              <w:rPr>
                <w:sz w:val="20"/>
                <w:szCs w:val="20"/>
                <w:color w:val="auto"/>
              </w:rPr>
            </w:pPr>
            <w:r>
              <w:rPr>
                <w:rFonts w:ascii="Arial" w:cs="Arial" w:eastAsia="Arial" w:hAnsi="Arial"/>
                <w:sz w:val="16"/>
                <w:szCs w:val="16"/>
                <w:color w:val="auto"/>
              </w:rPr>
              <w:t>Operating loss</w:t>
            </w: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(7,669)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(5,088)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(34,569)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(36,054)</w:t>
            </w:r>
          </w:p>
        </w:tc>
      </w:tr>
      <w:tr>
        <w:trPr>
          <w:trHeight w:val="219"/>
        </w:trPr>
        <w:tc>
          <w:tcPr>
            <w:tcW w:w="4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income/(expense)</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w:t>
            </w:r>
          </w:p>
        </w:tc>
      </w:tr>
      <w:tr>
        <w:trPr>
          <w:trHeight w:val="213"/>
        </w:trPr>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Interest expense</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w:t>
            </w:r>
          </w:p>
        </w:tc>
      </w:tr>
      <w:tr>
        <w:trPr>
          <w:trHeight w:val="213"/>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(37,638)</w:t>
            </w:r>
          </w:p>
        </w:tc>
      </w:tr>
      <w:tr>
        <w:trPr>
          <w:trHeight w:val="213"/>
        </w:trPr>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(Provision for)/benefit from income taxes</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35"/>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(7,340)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(34,612)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(37,644)</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E32E1"/>
        </w:rPr>
        <w:t>Table of Contents</w:t>
      </w:r>
    </w:p>
    <w:p>
      <w:pPr>
        <w:spacing w:after="0" w:line="200" w:lineRule="exact"/>
        <w:rPr>
          <w:sz w:val="20"/>
          <w:szCs w:val="20"/>
          <w:color w:val="auto"/>
        </w:rPr>
      </w:pPr>
    </w:p>
    <w:p>
      <w:pPr>
        <w:spacing w:after="0" w:line="368"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We measure each segment's profitability based on gross profit. We account for inter-segment sales and transfers as if the sales or transfers were to third parties, that is, at current market prices. Interest income, interest expense, other income and expense items, and income taxes, as reported in the consolidated financial statements, are not part of the segment profitability measure and are primarily recorded at the corporate level.</w:t>
      </w:r>
    </w:p>
    <w:p>
      <w:pPr>
        <w:spacing w:after="0" w:line="9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Management does not utilize total assets by segment to evaluate segment performance or allocate resources. As a result, assets are not tracked by segment, and therefore, total assets by segment are not disclosed.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18. REVISION OF PRIOR YEAR INTERIM FINANCIAL STATEMENTS</w:t>
      </w:r>
    </w:p>
    <w:p>
      <w:pPr>
        <w:spacing w:after="0" w:line="171"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Expense Classification</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third quarter of 2021, the Company identified that stock compensation for a single individual was incorrectly charged to "cost of sales - services" instead of "general and administrative expense." The total amount of stock compensation incorrectly charged to the cost of sales was $0.3 million, of which $0.1 million was related to the first quarter of 2021, and $0.2 million related to the second quarter of 2021. The Company corrected the error during the third quarter of 2021.</w:t>
      </w:r>
    </w:p>
    <w:p>
      <w:pPr>
        <w:spacing w:after="0" w:line="133"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In addition, the Company identified that the allocation of stock compensation for two of the Company's overhead cost pools was incorrectly charged to "cost of sales" instead of "general and administrative expense" during the second quarter of 2021. The total amount of the allocated stock compensation incorrectly charged to the cost of sales was $0.7 million, which the Company corrected during the third quarter of 2021.</w:t>
      </w:r>
    </w:p>
    <w:p>
      <w:pPr>
        <w:spacing w:after="0" w:line="111"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7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the third quarter of 2021, the Company identified $1.1 million in revenue related to the stub period of a newly awarded contract that should have been recognized as income during the second quarter of 2021. The Company initially corrected the error during the third quarter of 2021. Additionally, and related to this contract, in the fourth quarter of 2021, the Company identified $0.3 million of products revenue for the second quarter of 2021 and $0.4 million of products revenue for the third quarter of 2021 that should be classified in the condensed consolidated statements of operations as services revenue.</w:t>
      </w:r>
    </w:p>
    <w:p>
      <w:pPr>
        <w:spacing w:after="0" w:line="134"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Software Capitalization</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the third quarter of 2021, the Company erroneously recorded a $0.5 million expense related to a software project whose development milestones were achieved, and therefore, costs associated with the software should have been capitalized.</w:t>
      </w:r>
    </w:p>
    <w:p>
      <w:pPr>
        <w:spacing w:after="0" w:line="116"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Recording of Expense</w:t>
      </w:r>
    </w:p>
    <w:p>
      <w:pPr>
        <w:spacing w:after="0" w:line="17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 the third quarter of 2021, the Company erroneously recorded a $0.9 million expense related to a contract that had not yet begun. In the fourth quarter of 2021, the Company reversed the expense previously recorded and does not plan to record the expense until the start of the period of performance.</w:t>
      </w:r>
    </w:p>
    <w:p>
      <w:pPr>
        <w:spacing w:after="0" w:line="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the fourth quarter of 2021, the Company identified that a third-quarter RSU was awarded to an individual, but that award was erroneously excluded from its calculation of compensation expense, causing compensation expense to be understated by $0.2 million in the third quarter of 2021.</w:t>
      </w:r>
    </w:p>
    <w:p>
      <w:pPr>
        <w:spacing w:after="0" w:line="92"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Cash Flow</w:t>
      </w:r>
    </w:p>
    <w:p>
      <w:pPr>
        <w:spacing w:after="0" w:line="17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erroneously presented the $2.4 million final payment to fully acquire all membership interest of Telos ID as an operating activity on the condensed consolidated statements of cash flows. The Company corrected the presentation to properly reflect the final payment within financing activities on the consolidated statements of cash flows in the fourth quarter of 2021.</w:t>
      </w:r>
    </w:p>
    <w:p>
      <w:pPr>
        <w:spacing w:after="0" w:line="13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(f)</w:t>
      </w:r>
      <w:r>
        <w:rPr>
          <w:sz w:val="20"/>
          <w:szCs w:val="20"/>
          <w:color w:val="auto"/>
        </w:rPr>
        <w:tab/>
      </w:r>
      <w:r>
        <w:rPr>
          <w:rFonts w:ascii="Arial" w:cs="Arial" w:eastAsia="Arial" w:hAnsi="Arial"/>
          <w:sz w:val="16"/>
          <w:szCs w:val="16"/>
          <w:color w:val="auto"/>
        </w:rPr>
        <w:t>Valuation of Acquired Assets</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the fourth quarter of fiscal year 2021, the Company identified a necessary update to a previously established assumption related to the valuation of its 2021 acquisition. The change in assumption resulted in additional goodwill of $1.3 million and a reduction of the intangible asset for the same amount that should have been reported during the third quarter of 2021.</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Table 18.1: Impact of the Correction to the Condensed Consolidated Statement of Operations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4000" w:type="dxa"/>
            <w:vAlign w:val="bottom"/>
            <w:tcBorders>
              <w:top w:val="single" w:sz="8" w:color="auto"/>
              <w:bottom w:val="single" w:sz="8" w:color="auto"/>
            </w:tcBorders>
            <w:gridSpan w:val="13"/>
          </w:tcPr>
          <w:p>
            <w:pPr>
              <w:jc w:val="right"/>
              <w:ind w:right="480"/>
              <w:spacing w:after="0"/>
              <w:rPr>
                <w:sz w:val="20"/>
                <w:szCs w:val="20"/>
                <w:color w:val="auto"/>
              </w:rPr>
            </w:pPr>
            <w:r>
              <w:rPr>
                <w:rFonts w:ascii="Arial" w:cs="Arial" w:eastAsia="Arial" w:hAnsi="Arial"/>
                <w:sz w:val="16"/>
                <w:szCs w:val="16"/>
                <w:color w:val="auto"/>
                <w:w w:val="98"/>
              </w:rPr>
              <w:t>For the Three Months Ended September 30, 2021</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4000" w:type="dxa"/>
            <w:vAlign w:val="bottom"/>
            <w:tcBorders>
              <w:top w:val="single" w:sz="8" w:color="auto"/>
              <w:bottom w:val="single" w:sz="8" w:color="auto"/>
            </w:tcBorders>
            <w:gridSpan w:val="9"/>
          </w:tcPr>
          <w:p>
            <w:pPr>
              <w:jc w:val="center"/>
              <w:ind w:right="139"/>
              <w:spacing w:after="0"/>
              <w:rPr>
                <w:sz w:val="20"/>
                <w:szCs w:val="20"/>
                <w:color w:val="auto"/>
              </w:rPr>
            </w:pPr>
            <w:r>
              <w:rPr>
                <w:rFonts w:ascii="Arial" w:cs="Arial" w:eastAsia="Arial" w:hAnsi="Arial"/>
                <w:sz w:val="16"/>
                <w:szCs w:val="16"/>
                <w:color w:val="auto"/>
                <w:w w:val="90"/>
              </w:rPr>
              <w:t>For the Nine Months Ended September 30, 2021</w:t>
            </w: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320"/>
              <w:spacing w:after="0" w:line="162" w:lineRule="exact"/>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vMerge w:val="restart"/>
          </w:tcPr>
          <w:p>
            <w:pPr>
              <w:jc w:val="right"/>
              <w:ind w:right="140"/>
              <w:spacing w:after="0"/>
              <w:rPr>
                <w:sz w:val="20"/>
                <w:szCs w:val="20"/>
                <w:color w:val="auto"/>
              </w:rPr>
            </w:pPr>
            <w:r>
              <w:rPr>
                <w:rFonts w:ascii="Arial" w:cs="Arial" w:eastAsia="Arial" w:hAnsi="Arial"/>
                <w:sz w:val="16"/>
                <w:szCs w:val="16"/>
                <w:color w:val="auto"/>
                <w:w w:val="94"/>
              </w:rPr>
              <w:t>Error Correction</w:t>
            </w:r>
          </w:p>
        </w:tc>
        <w:tc>
          <w:tcPr>
            <w:tcW w:w="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vMerge w:val="restart"/>
          </w:tcPr>
          <w:p>
            <w:pPr>
              <w:jc w:val="right"/>
              <w:ind w:right="240"/>
              <w:spacing w:after="0"/>
              <w:rPr>
                <w:sz w:val="20"/>
                <w:szCs w:val="20"/>
                <w:color w:val="auto"/>
              </w:rPr>
            </w:pPr>
            <w:r>
              <w:rPr>
                <w:rFonts w:ascii="Arial" w:cs="Arial" w:eastAsia="Arial" w:hAnsi="Arial"/>
                <w:sz w:val="16"/>
                <w:szCs w:val="16"/>
                <w:color w:val="auto"/>
              </w:rPr>
              <w:t>As Adjusted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2"/>
              </w:rPr>
              <w:t>Previously</w:t>
            </w:r>
          </w:p>
        </w:tc>
        <w:tc>
          <w:tcPr>
            <w:tcW w:w="120" w:type="dxa"/>
            <w:vAlign w:val="bottom"/>
          </w:tcPr>
          <w:p>
            <w:pPr>
              <w:spacing w:after="0"/>
              <w:rPr>
                <w:sz w:val="14"/>
                <w:szCs w:val="14"/>
                <w:color w:val="auto"/>
              </w:rPr>
            </w:pPr>
          </w:p>
        </w:tc>
        <w:tc>
          <w:tcPr>
            <w:tcW w:w="1220" w:type="dxa"/>
            <w:vAlign w:val="bottom"/>
            <w:gridSpan w:val="3"/>
            <w:vMerge w:val="restart"/>
          </w:tcPr>
          <w:p>
            <w:pPr>
              <w:jc w:val="center"/>
              <w:ind w:right="19"/>
              <w:spacing w:after="0"/>
              <w:rPr>
                <w:sz w:val="20"/>
                <w:szCs w:val="20"/>
                <w:color w:val="auto"/>
              </w:rPr>
            </w:pPr>
            <w:r>
              <w:rPr>
                <w:rFonts w:ascii="Arial" w:cs="Arial" w:eastAsia="Arial" w:hAnsi="Arial"/>
                <w:sz w:val="16"/>
                <w:szCs w:val="16"/>
                <w:color w:val="auto"/>
                <w:w w:val="94"/>
              </w:rPr>
              <w:t>Error Correction</w:t>
            </w:r>
          </w:p>
        </w:tc>
        <w:tc>
          <w:tcPr>
            <w:tcW w:w="8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vMerge w:val="restart"/>
          </w:tcPr>
          <w:p>
            <w:pPr>
              <w:jc w:val="right"/>
              <w:ind w:right="199"/>
              <w:spacing w:after="0"/>
              <w:rPr>
                <w:sz w:val="20"/>
                <w:szCs w:val="20"/>
                <w:color w:val="auto"/>
              </w:rPr>
            </w:pPr>
            <w:r>
              <w:rPr>
                <w:rFonts w:ascii="Arial" w:cs="Arial" w:eastAsia="Arial" w:hAnsi="Arial"/>
                <w:sz w:val="16"/>
                <w:szCs w:val="16"/>
                <w:color w:val="auto"/>
              </w:rPr>
              <w:t>As Adjusted</w:t>
            </w:r>
          </w:p>
        </w:tc>
        <w:tc>
          <w:tcPr>
            <w:tcW w:w="0" w:type="dxa"/>
            <w:vAlign w:val="bottom"/>
          </w:tcPr>
          <w:p>
            <w:pPr>
              <w:spacing w:after="0"/>
              <w:rPr>
                <w:sz w:val="1"/>
                <w:szCs w:val="1"/>
                <w:color w:val="auto"/>
              </w:rPr>
            </w:pPr>
          </w:p>
        </w:tc>
      </w:tr>
      <w:tr>
        <w:trPr>
          <w:trHeight w:val="209"/>
        </w:trPr>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6"/>
                <w:szCs w:val="16"/>
                <w:color w:val="auto"/>
              </w:rPr>
              <w:t>Reported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w w:val="91"/>
              </w:rPr>
              <w:t>Reported</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8"/>
          </w:tcPr>
          <w:p>
            <w:pPr>
              <w:ind w:left="60"/>
              <w:spacing w:after="0"/>
              <w:rPr>
                <w:sz w:val="20"/>
                <w:szCs w:val="20"/>
                <w:color w:val="auto"/>
              </w:rPr>
            </w:pPr>
            <w:r>
              <w:rPr>
                <w:rFonts w:ascii="Arial" w:cs="Arial" w:eastAsia="Arial" w:hAnsi="Arial"/>
                <w:sz w:val="14"/>
                <w:szCs w:val="14"/>
                <w:i w:val="1"/>
                <w:iCs w:val="1"/>
                <w:color w:val="auto"/>
              </w:rPr>
              <w:t>(in thousands, except per share amounts)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 services</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63,690</w:t>
            </w:r>
          </w:p>
        </w:tc>
        <w:tc>
          <w:tcPr>
            <w:tcW w:w="6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(735)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62,955</w:t>
            </w: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163,366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164,016</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Revenue - products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6,376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6"/>
                <w:szCs w:val="16"/>
                <w:color w:val="auto"/>
              </w:rPr>
              <w:t>(350)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6,026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15,017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(650)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14,367</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Revenue</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70,066</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(1,085)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68,981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178,383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178,383</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Cost of sales - services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40,031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106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40,137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109,134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(898)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108,236</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and expenses</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43,998</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44,104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116,502</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5,396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6"/>
                <w:szCs w:val="16"/>
                <w:color w:val="auto"/>
              </w:rPr>
              <w:t>(533)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4,863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14,783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(533)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14,250</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20,562</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(823)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19,739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69,271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69,452</w:t>
            </w:r>
          </w:p>
        </w:tc>
        <w:tc>
          <w:tcPr>
            <w:tcW w:w="0" w:type="dxa"/>
            <w:vAlign w:val="bottom"/>
          </w:tcPr>
          <w:p>
            <w:pPr>
              <w:spacing w:after="0"/>
              <w:rPr>
                <w:sz w:val="1"/>
                <w:szCs w:val="1"/>
                <w:color w:val="auto"/>
              </w:rPr>
            </w:pPr>
          </w:p>
        </w:tc>
      </w:tr>
      <w:tr>
        <w:trPr>
          <w:trHeight w:val="166"/>
        </w:trPr>
        <w:tc>
          <w:tcPr>
            <w:tcW w:w="2660" w:type="dxa"/>
            <w:vAlign w:val="bottom"/>
          </w:tcPr>
          <w:p>
            <w:pPr>
              <w:ind w:left="20"/>
              <w:spacing w:after="0" w:line="166" w:lineRule="exact"/>
              <w:rPr>
                <w:sz w:val="20"/>
                <w:szCs w:val="20"/>
                <w:color w:val="auto"/>
              </w:rPr>
            </w:pPr>
            <w:r>
              <w:rPr>
                <w:rFonts w:ascii="Arial" w:cs="Arial" w:eastAsia="Arial" w:hAnsi="Arial"/>
                <w:sz w:val="16"/>
                <w:szCs w:val="16"/>
                <w:color w:val="auto"/>
              </w:rPr>
              <w:t>Selling, general and administrative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31,321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vMerge w:val="restart"/>
          </w:tcPr>
          <w:p>
            <w:pPr>
              <w:jc w:val="right"/>
              <w:ind w:right="40"/>
              <w:spacing w:after="0"/>
              <w:rPr>
                <w:sz w:val="20"/>
                <w:szCs w:val="20"/>
                <w:color w:val="auto"/>
              </w:rPr>
            </w:pPr>
            <w:r>
              <w:rPr>
                <w:rFonts w:ascii="Arial" w:cs="Arial" w:eastAsia="Arial" w:hAnsi="Arial"/>
                <w:sz w:val="16"/>
                <w:szCs w:val="16"/>
                <w:color w:val="auto"/>
              </w:rPr>
              <w:t>(1,356)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29,965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98,287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vMerge w:val="restart"/>
          </w:tcPr>
          <w:p>
            <w:pPr>
              <w:jc w:val="right"/>
              <w:spacing w:after="0"/>
              <w:rPr>
                <w:sz w:val="20"/>
                <w:szCs w:val="20"/>
                <w:color w:val="auto"/>
              </w:rPr>
            </w:pPr>
            <w:r>
              <w:rPr>
                <w:rFonts w:ascii="Arial" w:cs="Arial" w:eastAsia="Arial" w:hAnsi="Arial"/>
                <w:sz w:val="16"/>
                <w:szCs w:val="16"/>
                <w:color w:val="auto"/>
              </w:rPr>
              <w:t>(352)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97,935</w:t>
            </w:r>
          </w:p>
        </w:tc>
        <w:tc>
          <w:tcPr>
            <w:tcW w:w="0" w:type="dxa"/>
            <w:vAlign w:val="bottom"/>
          </w:tcPr>
          <w:p>
            <w:pPr>
              <w:spacing w:after="0"/>
              <w:rPr>
                <w:sz w:val="1"/>
                <w:szCs w:val="1"/>
                <w:color w:val="auto"/>
              </w:rPr>
            </w:pPr>
          </w:p>
        </w:tc>
      </w:tr>
      <w:tr>
        <w:trPr>
          <w:trHeight w:val="209"/>
        </w:trPr>
        <w:tc>
          <w:tcPr>
            <w:tcW w:w="2660" w:type="dxa"/>
            <w:vAlign w:val="bottom"/>
          </w:tcPr>
          <w:p>
            <w:pPr>
              <w:ind w:left="20"/>
              <w:spacing w:after="0"/>
              <w:rPr>
                <w:sz w:val="20"/>
                <w:szCs w:val="20"/>
                <w:color w:val="auto"/>
              </w:rPr>
            </w:pPr>
            <w:r>
              <w:rPr>
                <w:rFonts w:ascii="Arial" w:cs="Arial" w:eastAsia="Arial" w:hAnsi="Arial"/>
                <w:sz w:val="16"/>
                <w:szCs w:val="16"/>
                <w:color w:val="auto"/>
              </w:rPr>
              <w:t>expenses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loss</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(5,253)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(5,088)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(37,304)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(36,054)</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(5,428)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165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6"/>
                <w:szCs w:val="16"/>
                <w:color w:val="auto"/>
              </w:rPr>
              <w:t>(5,263)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(38,888)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1,250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(37,638)</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(5,387)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(5,222)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(38,894)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(37,644)</w:t>
            </w:r>
          </w:p>
        </w:tc>
        <w:tc>
          <w:tcPr>
            <w:tcW w:w="0" w:type="dxa"/>
            <w:vAlign w:val="bottom"/>
          </w:tcPr>
          <w:p>
            <w:pPr>
              <w:spacing w:after="0"/>
              <w:rPr>
                <w:sz w:val="1"/>
                <w:szCs w:val="1"/>
                <w:color w:val="auto"/>
              </w:rPr>
            </w:pPr>
          </w:p>
        </w:tc>
      </w:tr>
      <w:tr>
        <w:trPr>
          <w:trHeight w:val="213"/>
        </w:trPr>
        <w:tc>
          <w:tcPr>
            <w:tcW w:w="2920" w:type="dxa"/>
            <w:vAlign w:val="bottom"/>
            <w:gridSpan w:val="3"/>
          </w:tcPr>
          <w:p>
            <w:pPr>
              <w:ind w:left="20"/>
              <w:spacing w:after="0"/>
              <w:rPr>
                <w:sz w:val="20"/>
                <w:szCs w:val="20"/>
                <w:color w:val="auto"/>
              </w:rPr>
            </w:pPr>
            <w:r>
              <w:rPr>
                <w:rFonts w:ascii="Arial" w:cs="Arial" w:eastAsia="Arial" w:hAnsi="Arial"/>
                <w:sz w:val="16"/>
                <w:szCs w:val="16"/>
                <w:color w:val="auto"/>
                <w:w w:val="99"/>
              </w:rPr>
              <w:t>Net loss attributable to Telos Corporation</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(5,387)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165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6"/>
                <w:szCs w:val="16"/>
                <w:color w:val="auto"/>
              </w:rPr>
              <w:t>(5,222)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(38,894)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1,250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(37,644)</w:t>
            </w:r>
          </w:p>
        </w:tc>
        <w:tc>
          <w:tcPr>
            <w:tcW w:w="0" w:type="dxa"/>
            <w:vAlign w:val="bottom"/>
          </w:tcPr>
          <w:p>
            <w:pPr>
              <w:spacing w:after="0"/>
              <w:rPr>
                <w:sz w:val="1"/>
                <w:szCs w:val="1"/>
                <w:color w:val="auto"/>
              </w:rPr>
            </w:pPr>
          </w:p>
        </w:tc>
      </w:tr>
      <w:tr>
        <w:trPr>
          <w:trHeight w:val="169"/>
        </w:trPr>
        <w:tc>
          <w:tcPr>
            <w:tcW w:w="26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5"/>
              </w:rPr>
              <w:t>Net loss per share attributable to Telos</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Corporation</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60" w:type="dxa"/>
            <w:vAlign w:val="bottom"/>
          </w:tcPr>
          <w:p>
            <w:pPr>
              <w:ind w:left="360"/>
              <w:spacing w:after="0"/>
              <w:rPr>
                <w:sz w:val="20"/>
                <w:szCs w:val="20"/>
                <w:color w:val="auto"/>
              </w:rPr>
            </w:pPr>
            <w:r>
              <w:rPr>
                <w:rFonts w:ascii="Arial" w:cs="Arial" w:eastAsia="Arial" w:hAnsi="Arial"/>
                <w:sz w:val="16"/>
                <w:szCs w:val="16"/>
                <w:color w:val="auto"/>
              </w:rPr>
              <w:t>Basic</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(0.08)</w:t>
            </w:r>
          </w:p>
        </w:tc>
        <w:tc>
          <w:tcPr>
            <w:tcW w:w="2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880" w:type="dxa"/>
            <w:vAlign w:val="bottom"/>
            <w:gridSpan w:val="3"/>
          </w:tcPr>
          <w:p>
            <w:pPr>
              <w:ind w:left="5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3"/>
          </w:tcPr>
          <w:p>
            <w:pPr>
              <w:jc w:val="right"/>
              <w:spacing w:after="0"/>
              <w:rPr>
                <w:sz w:val="20"/>
                <w:szCs w:val="20"/>
                <w:color w:val="auto"/>
              </w:rPr>
            </w:pPr>
            <w:r>
              <w:rPr>
                <w:rFonts w:ascii="Arial" w:cs="Arial" w:eastAsia="Arial" w:hAnsi="Arial"/>
                <w:sz w:val="16"/>
                <w:szCs w:val="16"/>
                <w:color w:val="auto"/>
              </w:rPr>
              <w:t>(0.08)</w:t>
            </w:r>
          </w:p>
        </w:tc>
        <w:tc>
          <w:tcPr>
            <w:tcW w:w="3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(0.59)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0.02</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(0.57)</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(0.08)</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(0.57)</w:t>
            </w:r>
          </w:p>
        </w:tc>
        <w:tc>
          <w:tcPr>
            <w:tcW w:w="0" w:type="dxa"/>
            <w:vAlign w:val="bottom"/>
          </w:tcPr>
          <w:p>
            <w:pPr>
              <w:spacing w:after="0"/>
              <w:rPr>
                <w:sz w:val="1"/>
                <w:szCs w:val="1"/>
                <w:color w:val="auto"/>
              </w:rPr>
            </w:pPr>
          </w:p>
        </w:tc>
      </w:tr>
      <w:tr>
        <w:trPr>
          <w:trHeight w:val="496"/>
        </w:trPr>
        <w:tc>
          <w:tcPr>
            <w:tcW w:w="7240" w:type="dxa"/>
            <w:vAlign w:val="bottom"/>
            <w:tcBorders>
              <w:bottom w:val="single" w:sz="8" w:color="auto"/>
            </w:tcBorders>
            <w:gridSpan w:val="19"/>
          </w:tcPr>
          <w:p>
            <w:pPr>
              <w:ind w:left="20"/>
              <w:spacing w:after="0"/>
              <w:rPr>
                <w:sz w:val="20"/>
                <w:szCs w:val="20"/>
                <w:color w:val="auto"/>
              </w:rPr>
            </w:pPr>
            <w:r>
              <w:rPr>
                <w:rFonts w:ascii="Arial" w:cs="Arial" w:eastAsia="Arial" w:hAnsi="Arial"/>
                <w:sz w:val="16"/>
                <w:szCs w:val="16"/>
                <w:b w:val="1"/>
                <w:bCs w:val="1"/>
                <w:color w:val="auto"/>
                <w:w w:val="91"/>
              </w:rPr>
              <w:t>Table 18.2: Impact of the Correction to the Condensed Consolidated Statement of Comprehensive Loss</w:t>
            </w: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6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gridSpan w:val="13"/>
          </w:tcPr>
          <w:p>
            <w:pPr>
              <w:jc w:val="right"/>
              <w:ind w:right="500"/>
              <w:spacing w:after="0"/>
              <w:rPr>
                <w:sz w:val="20"/>
                <w:szCs w:val="20"/>
                <w:color w:val="auto"/>
              </w:rPr>
            </w:pPr>
            <w:r>
              <w:rPr>
                <w:rFonts w:ascii="Arial" w:cs="Arial" w:eastAsia="Arial" w:hAnsi="Arial"/>
                <w:sz w:val="16"/>
                <w:szCs w:val="16"/>
                <w:color w:val="auto"/>
                <w:w w:val="98"/>
              </w:rPr>
              <w:t>For the Three Months Ended September 30, 2021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gridSpan w:val="9"/>
          </w:tcPr>
          <w:p>
            <w:pPr>
              <w:jc w:val="center"/>
              <w:ind w:right="139"/>
              <w:spacing w:after="0"/>
              <w:rPr>
                <w:sz w:val="20"/>
                <w:szCs w:val="20"/>
                <w:color w:val="auto"/>
              </w:rPr>
            </w:pPr>
            <w:r>
              <w:rPr>
                <w:rFonts w:ascii="Arial" w:cs="Arial" w:eastAsia="Arial" w:hAnsi="Arial"/>
                <w:sz w:val="16"/>
                <w:szCs w:val="16"/>
                <w:color w:val="auto"/>
                <w:w w:val="90"/>
              </w:rPr>
              <w:t>For the Nine Months Ended September 30, 2021</w:t>
            </w: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400"/>
              <w:spacing w:after="0" w:line="162" w:lineRule="exact"/>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3"/>
            <w:vMerge w:val="restart"/>
          </w:tcPr>
          <w:p>
            <w:pPr>
              <w:jc w:val="right"/>
              <w:ind w:right="39"/>
              <w:spacing w:after="0"/>
              <w:rPr>
                <w:sz w:val="20"/>
                <w:szCs w:val="20"/>
                <w:color w:val="auto"/>
              </w:rPr>
            </w:pPr>
            <w:r>
              <w:rPr>
                <w:rFonts w:ascii="Arial" w:cs="Arial" w:eastAsia="Arial" w:hAnsi="Arial"/>
                <w:sz w:val="16"/>
                <w:szCs w:val="16"/>
                <w:color w:val="auto"/>
              </w:rPr>
              <w:t>Error Correction</w:t>
            </w:r>
          </w:p>
        </w:tc>
        <w:tc>
          <w:tcPr>
            <w:tcW w:w="160" w:type="dxa"/>
            <w:vAlign w:val="bottom"/>
            <w:gridSpan w:val="2"/>
            <w:vMerge w:val="restart"/>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vMerge w:val="restart"/>
          </w:tcPr>
          <w:p>
            <w:pPr>
              <w:jc w:val="right"/>
              <w:ind w:right="240"/>
              <w:spacing w:after="0"/>
              <w:rPr>
                <w:sz w:val="20"/>
                <w:szCs w:val="20"/>
                <w:color w:val="auto"/>
              </w:rPr>
            </w:pPr>
            <w:r>
              <w:rPr>
                <w:rFonts w:ascii="Arial" w:cs="Arial" w:eastAsia="Arial" w:hAnsi="Arial"/>
                <w:sz w:val="16"/>
                <w:szCs w:val="16"/>
                <w:color w:val="auto"/>
              </w:rPr>
              <w:t>As Adjusted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2"/>
              </w:rPr>
              <w:t>Previously</w:t>
            </w:r>
          </w:p>
        </w:tc>
        <w:tc>
          <w:tcPr>
            <w:tcW w:w="120" w:type="dxa"/>
            <w:vAlign w:val="bottom"/>
          </w:tcPr>
          <w:p>
            <w:pPr>
              <w:spacing w:after="0"/>
              <w:rPr>
                <w:sz w:val="14"/>
                <w:szCs w:val="14"/>
                <w:color w:val="auto"/>
              </w:rPr>
            </w:pPr>
          </w:p>
        </w:tc>
        <w:tc>
          <w:tcPr>
            <w:tcW w:w="1220" w:type="dxa"/>
            <w:vAlign w:val="bottom"/>
            <w:gridSpan w:val="3"/>
            <w:vMerge w:val="restart"/>
          </w:tcPr>
          <w:p>
            <w:pPr>
              <w:jc w:val="center"/>
              <w:ind w:right="19"/>
              <w:spacing w:after="0"/>
              <w:rPr>
                <w:sz w:val="20"/>
                <w:szCs w:val="20"/>
                <w:color w:val="auto"/>
              </w:rPr>
            </w:pPr>
            <w:r>
              <w:rPr>
                <w:rFonts w:ascii="Arial" w:cs="Arial" w:eastAsia="Arial" w:hAnsi="Arial"/>
                <w:sz w:val="16"/>
                <w:szCs w:val="16"/>
                <w:color w:val="auto"/>
                <w:w w:val="94"/>
              </w:rPr>
              <w:t>Error Correction</w:t>
            </w:r>
          </w:p>
        </w:tc>
        <w:tc>
          <w:tcPr>
            <w:tcW w:w="8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vMerge w:val="restart"/>
          </w:tcPr>
          <w:p>
            <w:pPr>
              <w:jc w:val="right"/>
              <w:ind w:right="199"/>
              <w:spacing w:after="0"/>
              <w:rPr>
                <w:sz w:val="20"/>
                <w:szCs w:val="20"/>
                <w:color w:val="auto"/>
              </w:rPr>
            </w:pPr>
            <w:r>
              <w:rPr>
                <w:rFonts w:ascii="Arial" w:cs="Arial" w:eastAsia="Arial" w:hAnsi="Arial"/>
                <w:sz w:val="16"/>
                <w:szCs w:val="16"/>
                <w:color w:val="auto"/>
              </w:rPr>
              <w:t>As Adjusted</w:t>
            </w:r>
          </w:p>
        </w:tc>
        <w:tc>
          <w:tcPr>
            <w:tcW w:w="0" w:type="dxa"/>
            <w:vAlign w:val="bottom"/>
          </w:tcPr>
          <w:p>
            <w:pPr>
              <w:spacing w:after="0"/>
              <w:rPr>
                <w:sz w:val="1"/>
                <w:szCs w:val="1"/>
                <w:color w:val="auto"/>
              </w:rPr>
            </w:pPr>
          </w:p>
        </w:tc>
      </w:tr>
      <w:tr>
        <w:trPr>
          <w:trHeight w:val="209"/>
        </w:trPr>
        <w:tc>
          <w:tcPr>
            <w:tcW w:w="26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Reported</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vMerge w:val="continue"/>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w w:val="91"/>
              </w:rPr>
              <w:t>Reported</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8"/>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6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gridSpan w:val="3"/>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(5,387)</w:t>
            </w:r>
          </w:p>
        </w:tc>
        <w:tc>
          <w:tcPr>
            <w:tcW w:w="6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(5,222)</w:t>
            </w: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(37,644)</w:t>
            </w:r>
          </w:p>
        </w:tc>
        <w:tc>
          <w:tcPr>
            <w:tcW w:w="0" w:type="dxa"/>
            <w:vAlign w:val="bottom"/>
          </w:tcPr>
          <w:p>
            <w:pPr>
              <w:spacing w:after="0"/>
              <w:rPr>
                <w:sz w:val="1"/>
                <w:szCs w:val="1"/>
                <w:color w:val="auto"/>
              </w:rPr>
            </w:pPr>
          </w:p>
        </w:tc>
      </w:tr>
      <w:tr>
        <w:trPr>
          <w:trHeight w:val="166"/>
        </w:trPr>
        <w:tc>
          <w:tcPr>
            <w:tcW w:w="2660" w:type="dxa"/>
            <w:vAlign w:val="bottom"/>
          </w:tcPr>
          <w:p>
            <w:pPr>
              <w:ind w:left="20"/>
              <w:spacing w:after="0" w:line="166" w:lineRule="exact"/>
              <w:rPr>
                <w:sz w:val="20"/>
                <w:szCs w:val="20"/>
                <w:color w:val="auto"/>
              </w:rPr>
            </w:pPr>
            <w:r>
              <w:rPr>
                <w:rFonts w:ascii="Arial" w:cs="Arial" w:eastAsia="Arial" w:hAnsi="Arial"/>
                <w:sz w:val="16"/>
                <w:szCs w:val="16"/>
                <w:color w:val="auto"/>
              </w:rPr>
              <w:t>Comprehensive loss attributable to</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(5,400)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6"/>
                <w:szCs w:val="16"/>
                <w:color w:val="auto"/>
              </w:rPr>
              <w:t>165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6"/>
                <w:szCs w:val="16"/>
                <w:color w:val="auto"/>
              </w:rPr>
              <w:t>(5,235)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(38,934)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vMerge w:val="restart"/>
          </w:tcPr>
          <w:p>
            <w:pPr>
              <w:jc w:val="right"/>
              <w:spacing w:after="0"/>
              <w:rPr>
                <w:sz w:val="20"/>
                <w:szCs w:val="20"/>
                <w:color w:val="auto"/>
              </w:rPr>
            </w:pPr>
            <w:r>
              <w:rPr>
                <w:rFonts w:ascii="Arial" w:cs="Arial" w:eastAsia="Arial" w:hAnsi="Arial"/>
                <w:sz w:val="16"/>
                <w:szCs w:val="16"/>
                <w:color w:val="auto"/>
              </w:rPr>
              <w:t>1,250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(37,684)</w:t>
            </w:r>
          </w:p>
        </w:tc>
        <w:tc>
          <w:tcPr>
            <w:tcW w:w="0" w:type="dxa"/>
            <w:vAlign w:val="bottom"/>
          </w:tcPr>
          <w:p>
            <w:pPr>
              <w:spacing w:after="0"/>
              <w:rPr>
                <w:sz w:val="1"/>
                <w:szCs w:val="1"/>
                <w:color w:val="auto"/>
              </w:rPr>
            </w:pPr>
          </w:p>
        </w:tc>
      </w:tr>
      <w:tr>
        <w:trPr>
          <w:trHeight w:val="206"/>
        </w:trPr>
        <w:tc>
          <w:tcPr>
            <w:tcW w:w="2660" w:type="dxa"/>
            <w:vAlign w:val="bottom"/>
          </w:tcPr>
          <w:p>
            <w:pPr>
              <w:ind w:left="20"/>
              <w:spacing w:after="0"/>
              <w:rPr>
                <w:sz w:val="20"/>
                <w:szCs w:val="20"/>
                <w:color w:val="auto"/>
              </w:rPr>
            </w:pPr>
            <w:r>
              <w:rPr>
                <w:rFonts w:ascii="Arial" w:cs="Arial" w:eastAsia="Arial" w:hAnsi="Arial"/>
                <w:sz w:val="16"/>
                <w:szCs w:val="16"/>
                <w:color w:val="auto"/>
              </w:rPr>
              <w:t>Telos Corporation</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89"/>
        </w:trPr>
        <w:tc>
          <w:tcPr>
            <w:tcW w:w="6920" w:type="dxa"/>
            <w:vAlign w:val="bottom"/>
            <w:tcBorders>
              <w:bottom w:val="single" w:sz="8" w:color="auto"/>
            </w:tcBorders>
            <w:gridSpan w:val="16"/>
          </w:tcPr>
          <w:p>
            <w:pPr>
              <w:ind w:left="20"/>
              <w:spacing w:after="0"/>
              <w:rPr>
                <w:sz w:val="20"/>
                <w:szCs w:val="20"/>
                <w:color w:val="auto"/>
              </w:rPr>
            </w:pPr>
            <w:r>
              <w:rPr>
                <w:rFonts w:ascii="Arial" w:cs="Arial" w:eastAsia="Arial" w:hAnsi="Arial"/>
                <w:sz w:val="16"/>
                <w:szCs w:val="16"/>
                <w:b w:val="1"/>
                <w:bCs w:val="1"/>
                <w:color w:val="auto"/>
                <w:w w:val="96"/>
              </w:rPr>
              <w:t>Table 18.3. Impact of the Correction to the Condensed Consolidated Statement of Cash Flows</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gridSpan w:val="13"/>
          </w:tcPr>
          <w:p>
            <w:pPr>
              <w:jc w:val="center"/>
              <w:ind w:left="260"/>
              <w:spacing w:after="0"/>
              <w:rPr>
                <w:sz w:val="20"/>
                <w:szCs w:val="20"/>
                <w:color w:val="auto"/>
              </w:rPr>
            </w:pPr>
            <w:r>
              <w:rPr>
                <w:rFonts w:ascii="Arial" w:cs="Arial" w:eastAsia="Arial" w:hAnsi="Arial"/>
                <w:sz w:val="16"/>
                <w:szCs w:val="16"/>
                <w:color w:val="auto"/>
                <w:w w:val="91"/>
              </w:rPr>
              <w:t>For the Nine Months Ended September 30, 2021</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0" w:type="dxa"/>
            <w:vAlign w:val="bottom"/>
            <w:gridSpan w:val="7"/>
          </w:tcPr>
          <w:p>
            <w:pPr>
              <w:jc w:val="right"/>
              <w:ind w:right="480"/>
              <w:spacing w:after="0"/>
              <w:rPr>
                <w:sz w:val="20"/>
                <w:szCs w:val="20"/>
                <w:color w:val="auto"/>
              </w:rPr>
            </w:pPr>
            <w:r>
              <w:rPr>
                <w:rFonts w:ascii="Arial" w:cs="Arial" w:eastAsia="Arial" w:hAnsi="Arial"/>
                <w:sz w:val="16"/>
                <w:szCs w:val="16"/>
                <w:color w:val="auto"/>
              </w:rPr>
              <w:t>Previously Reported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left="19"/>
              <w:spacing w:after="0"/>
              <w:rPr>
                <w:sz w:val="20"/>
                <w:szCs w:val="20"/>
                <w:color w:val="auto"/>
              </w:rPr>
            </w:pPr>
            <w:r>
              <w:rPr>
                <w:rFonts w:ascii="Arial" w:cs="Arial" w:eastAsia="Arial" w:hAnsi="Arial"/>
                <w:sz w:val="16"/>
                <w:szCs w:val="16"/>
                <w:color w:val="auto"/>
                <w:w w:val="94"/>
              </w:rPr>
              <w:t>Error Correction</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4"/>
          </w:tcPr>
          <w:p>
            <w:pPr>
              <w:jc w:val="right"/>
              <w:ind w:right="579"/>
              <w:spacing w:after="0"/>
              <w:rPr>
                <w:sz w:val="20"/>
                <w:szCs w:val="20"/>
                <w:color w:val="auto"/>
              </w:rPr>
            </w:pPr>
            <w:r>
              <w:rPr>
                <w:rFonts w:ascii="Arial" w:cs="Arial" w:eastAsia="Arial" w:hAnsi="Arial"/>
                <w:sz w:val="16"/>
                <w:szCs w:val="16"/>
                <w:color w:val="auto"/>
              </w:rPr>
              <w:t>As Adjusted</w:t>
            </w:r>
          </w:p>
        </w:tc>
        <w:tc>
          <w:tcPr>
            <w:tcW w:w="0" w:type="dxa"/>
            <w:vAlign w:val="bottom"/>
          </w:tcPr>
          <w:p>
            <w:pPr>
              <w:spacing w:after="0"/>
              <w:rPr>
                <w:sz w:val="1"/>
                <w:szCs w:val="1"/>
                <w:color w:val="auto"/>
              </w:rPr>
            </w:pPr>
          </w:p>
        </w:tc>
      </w:tr>
      <w:tr>
        <w:trPr>
          <w:trHeight w:val="214"/>
        </w:trPr>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center"/>
              <w:ind w:left="179"/>
              <w:spacing w:after="0"/>
              <w:rPr>
                <w:sz w:val="20"/>
                <w:szCs w:val="20"/>
                <w:color w:val="auto"/>
              </w:rPr>
            </w:pPr>
            <w:r>
              <w:rPr>
                <w:rFonts w:ascii="Arial" w:cs="Arial" w:eastAsia="Arial" w:hAnsi="Arial"/>
                <w:sz w:val="14"/>
                <w:szCs w:val="14"/>
                <w:i w:val="1"/>
                <w:iCs w:val="1"/>
                <w:color w:val="auto"/>
                <w:w w:val="94"/>
              </w:rPr>
              <w:t>(in thousands)</w:t>
            </w: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(38,894)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1,250</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(37,644)</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47,197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181</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47,378</w:t>
            </w:r>
          </w:p>
        </w:tc>
        <w:tc>
          <w:tcPr>
            <w:tcW w:w="0" w:type="dxa"/>
            <w:vAlign w:val="bottom"/>
          </w:tcPr>
          <w:p>
            <w:pPr>
              <w:spacing w:after="0"/>
              <w:rPr>
                <w:sz w:val="1"/>
                <w:szCs w:val="1"/>
                <w:color w:val="auto"/>
              </w:rPr>
            </w:pPr>
          </w:p>
        </w:tc>
      </w:tr>
      <w:tr>
        <w:trPr>
          <w:trHeight w:val="219"/>
        </w:trPr>
        <w:tc>
          <w:tcPr>
            <w:tcW w:w="408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Changes in other operating assets and liabilities</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1,538</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(4,362)</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Cash used in operating activities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6,668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2,969</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9,637</w:t>
            </w:r>
          </w:p>
        </w:tc>
        <w:tc>
          <w:tcPr>
            <w:tcW w:w="0" w:type="dxa"/>
            <w:vAlign w:val="bottom"/>
          </w:tcPr>
          <w:p>
            <w:pPr>
              <w:spacing w:after="0"/>
              <w:rPr>
                <w:sz w:val="1"/>
                <w:szCs w:val="1"/>
                <w:color w:val="auto"/>
              </w:rPr>
            </w:pPr>
          </w:p>
        </w:tc>
      </w:tr>
      <w:tr>
        <w:trPr>
          <w:trHeight w:val="233"/>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Capitalized software development costs</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(6,139)</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(6,672)</w:t>
            </w:r>
          </w:p>
        </w:tc>
        <w:tc>
          <w:tcPr>
            <w:tcW w:w="0" w:type="dxa"/>
            <w:vAlign w:val="bottom"/>
          </w:tcPr>
          <w:p>
            <w:pPr>
              <w:spacing w:after="0"/>
              <w:rPr>
                <w:sz w:val="1"/>
                <w:szCs w:val="1"/>
                <w:color w:val="auto"/>
              </w:rPr>
            </w:pPr>
          </w:p>
        </w:tc>
      </w:tr>
      <w:tr>
        <w:trPr>
          <w:trHeight w:val="226"/>
        </w:trPr>
        <w:tc>
          <w:tcPr>
            <w:tcW w:w="2660" w:type="dxa"/>
            <w:vAlign w:val="bottom"/>
          </w:tcPr>
          <w:p>
            <w:pPr>
              <w:ind w:left="20"/>
              <w:spacing w:after="0"/>
              <w:rPr>
                <w:sz w:val="20"/>
                <w:szCs w:val="20"/>
                <w:color w:val="auto"/>
              </w:rPr>
            </w:pPr>
            <w:r>
              <w:rPr>
                <w:rFonts w:ascii="Arial" w:cs="Arial" w:eastAsia="Arial" w:hAnsi="Arial"/>
                <w:sz w:val="16"/>
                <w:szCs w:val="16"/>
                <w:color w:val="auto"/>
              </w:rPr>
              <w:t>Cash used in investing activities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(13,709)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(533)</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(14,242)</w:t>
            </w:r>
          </w:p>
        </w:tc>
        <w:tc>
          <w:tcPr>
            <w:tcW w:w="0" w:type="dxa"/>
            <w:vAlign w:val="bottom"/>
          </w:tcPr>
          <w:p>
            <w:pPr>
              <w:spacing w:after="0"/>
              <w:rPr>
                <w:sz w:val="1"/>
                <w:szCs w:val="1"/>
                <w:color w:val="auto"/>
              </w:rPr>
            </w:pPr>
          </w:p>
        </w:tc>
      </w:tr>
      <w:tr>
        <w:trPr>
          <w:trHeight w:val="233"/>
        </w:trPr>
        <w:tc>
          <w:tcPr>
            <w:tcW w:w="560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Distribution to Telos ID Class B member – non-controlling interest</w:t>
            </w:r>
          </w:p>
        </w:tc>
        <w:tc>
          <w:tcPr>
            <w:tcW w:w="14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(2,436)</w:t>
            </w: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(2,436)</w:t>
            </w:r>
          </w:p>
        </w:tc>
        <w:tc>
          <w:tcPr>
            <w:tcW w:w="0" w:type="dxa"/>
            <w:vAlign w:val="bottom"/>
          </w:tcPr>
          <w:p>
            <w:pPr>
              <w:spacing w:after="0"/>
              <w:rPr>
                <w:sz w:val="1"/>
                <w:szCs w:val="1"/>
                <w:color w:val="auto"/>
              </w:rPr>
            </w:pPr>
          </w:p>
        </w:tc>
      </w:tr>
      <w:tr>
        <w:trPr>
          <w:trHeight w:val="210"/>
        </w:trPr>
        <w:tc>
          <w:tcPr>
            <w:tcW w:w="2660" w:type="dxa"/>
            <w:vAlign w:val="bottom"/>
          </w:tcPr>
          <w:p>
            <w:pPr>
              <w:ind w:left="20"/>
              <w:spacing w:after="0"/>
              <w:rPr>
                <w:sz w:val="20"/>
                <w:szCs w:val="20"/>
                <w:color w:val="auto"/>
              </w:rPr>
            </w:pPr>
            <w:r>
              <w:rPr>
                <w:rFonts w:ascii="Arial" w:cs="Arial" w:eastAsia="Arial" w:hAnsi="Arial"/>
                <w:sz w:val="16"/>
                <w:szCs w:val="16"/>
                <w:color w:val="auto"/>
              </w:rPr>
              <w:t>Cash provided by financing activities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35,131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(2,436)</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32,695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Table 18.4. Impact of the Correction to the Condensed Consolidated Statement of Changes in Stockholders' Equity</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4060" w:type="dxa"/>
            <w:vAlign w:val="bottom"/>
            <w:tcBorders>
              <w:top w:val="single" w:sz="8" w:color="auto"/>
              <w:bottom w:val="single" w:sz="8" w:color="auto"/>
            </w:tcBorders>
            <w:gridSpan w:val="7"/>
          </w:tcPr>
          <w:p>
            <w:pPr>
              <w:jc w:val="right"/>
              <w:ind w:right="440"/>
              <w:spacing w:after="0"/>
              <w:rPr>
                <w:sz w:val="20"/>
                <w:szCs w:val="20"/>
                <w:color w:val="auto"/>
              </w:rPr>
            </w:pPr>
            <w:r>
              <w:rPr>
                <w:rFonts w:ascii="Arial" w:cs="Arial" w:eastAsia="Arial" w:hAnsi="Arial"/>
                <w:sz w:val="16"/>
                <w:szCs w:val="16"/>
                <w:color w:val="auto"/>
                <w:w w:val="99"/>
              </w:rPr>
              <w:t>For the Three Months Ended September 30, 2021</w:t>
            </w: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4000" w:type="dxa"/>
            <w:vAlign w:val="bottom"/>
            <w:tcBorders>
              <w:top w:val="single" w:sz="8" w:color="auto"/>
              <w:bottom w:val="single" w:sz="8" w:color="auto"/>
            </w:tcBorders>
            <w:gridSpan w:val="7"/>
          </w:tcPr>
          <w:p>
            <w:pPr>
              <w:jc w:val="right"/>
              <w:ind w:right="459"/>
              <w:spacing w:after="0"/>
              <w:rPr>
                <w:sz w:val="20"/>
                <w:szCs w:val="20"/>
                <w:color w:val="auto"/>
              </w:rPr>
            </w:pPr>
            <w:r>
              <w:rPr>
                <w:rFonts w:ascii="Arial" w:cs="Arial" w:eastAsia="Arial" w:hAnsi="Arial"/>
                <w:sz w:val="16"/>
                <w:szCs w:val="16"/>
                <w:color w:val="auto"/>
                <w:w w:val="99"/>
              </w:rPr>
              <w:t>For the Nine Months Ended September 30, 2021</w:t>
            </w: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ind w:left="120"/>
              <w:spacing w:after="0" w:line="162" w:lineRule="exact"/>
              <w:rPr>
                <w:sz w:val="20"/>
                <w:szCs w:val="20"/>
                <w:color w:val="auto"/>
              </w:rPr>
            </w:pPr>
            <w:r>
              <w:rPr>
                <w:rFonts w:ascii="Arial" w:cs="Arial" w:eastAsia="Arial" w:hAnsi="Arial"/>
                <w:sz w:val="16"/>
                <w:szCs w:val="16"/>
                <w:color w:val="auto"/>
              </w:rPr>
              <w:t>Previously</w:t>
            </w:r>
          </w:p>
        </w:tc>
        <w:tc>
          <w:tcPr>
            <w:tcW w:w="120" w:type="dxa"/>
            <w:vAlign w:val="bottom"/>
          </w:tcPr>
          <w:p>
            <w:pPr>
              <w:spacing w:after="0"/>
              <w:rPr>
                <w:sz w:val="14"/>
                <w:szCs w:val="14"/>
                <w:color w:val="auto"/>
              </w:rPr>
            </w:pPr>
          </w:p>
        </w:tc>
        <w:tc>
          <w:tcPr>
            <w:tcW w:w="1220" w:type="dxa"/>
            <w:vAlign w:val="bottom"/>
            <w:vMerge w:val="restart"/>
          </w:tcPr>
          <w:p>
            <w:pPr>
              <w:jc w:val="right"/>
              <w:ind w:right="39"/>
              <w:spacing w:after="0"/>
              <w:rPr>
                <w:sz w:val="20"/>
                <w:szCs w:val="20"/>
                <w:color w:val="auto"/>
              </w:rPr>
            </w:pPr>
            <w:r>
              <w:rPr>
                <w:rFonts w:ascii="Arial" w:cs="Arial" w:eastAsia="Arial" w:hAnsi="Arial"/>
                <w:sz w:val="16"/>
                <w:szCs w:val="16"/>
                <w:color w:val="auto"/>
                <w:w w:val="94"/>
              </w:rPr>
              <w:t>Error Correction</w:t>
            </w:r>
          </w:p>
        </w:tc>
        <w:tc>
          <w:tcPr>
            <w:tcW w:w="16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vMerge w:val="restart"/>
          </w:tcPr>
          <w:p>
            <w:pPr>
              <w:jc w:val="right"/>
              <w:ind w:right="180"/>
              <w:spacing w:after="0"/>
              <w:rPr>
                <w:sz w:val="20"/>
                <w:szCs w:val="20"/>
                <w:color w:val="auto"/>
              </w:rPr>
            </w:pPr>
            <w:r>
              <w:rPr>
                <w:rFonts w:ascii="Arial" w:cs="Arial" w:eastAsia="Arial" w:hAnsi="Arial"/>
                <w:sz w:val="16"/>
                <w:szCs w:val="16"/>
                <w:color w:val="auto"/>
              </w:rPr>
              <w:t>As Adjusted</w:t>
            </w:r>
          </w:p>
        </w:tc>
        <w:tc>
          <w:tcPr>
            <w:tcW w:w="8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ind w:left="120"/>
              <w:spacing w:after="0" w:line="162" w:lineRule="exact"/>
              <w:rPr>
                <w:sz w:val="20"/>
                <w:szCs w:val="20"/>
                <w:color w:val="auto"/>
              </w:rPr>
            </w:pPr>
            <w:r>
              <w:rPr>
                <w:rFonts w:ascii="Arial" w:cs="Arial" w:eastAsia="Arial" w:hAnsi="Arial"/>
                <w:sz w:val="16"/>
                <w:szCs w:val="16"/>
                <w:color w:val="auto"/>
              </w:rPr>
              <w:t>Previously</w:t>
            </w:r>
          </w:p>
        </w:tc>
        <w:tc>
          <w:tcPr>
            <w:tcW w:w="120" w:type="dxa"/>
            <w:vAlign w:val="bottom"/>
          </w:tcPr>
          <w:p>
            <w:pPr>
              <w:spacing w:after="0"/>
              <w:rPr>
                <w:sz w:val="14"/>
                <w:szCs w:val="14"/>
                <w:color w:val="auto"/>
              </w:rPr>
            </w:pPr>
          </w:p>
        </w:tc>
        <w:tc>
          <w:tcPr>
            <w:tcW w:w="1220" w:type="dxa"/>
            <w:vAlign w:val="bottom"/>
            <w:vMerge w:val="restart"/>
          </w:tcPr>
          <w:p>
            <w:pPr>
              <w:jc w:val="right"/>
              <w:ind w:right="39"/>
              <w:spacing w:after="0"/>
              <w:rPr>
                <w:sz w:val="20"/>
                <w:szCs w:val="20"/>
                <w:color w:val="auto"/>
              </w:rPr>
            </w:pPr>
            <w:r>
              <w:rPr>
                <w:rFonts w:ascii="Arial" w:cs="Arial" w:eastAsia="Arial" w:hAnsi="Arial"/>
                <w:sz w:val="16"/>
                <w:szCs w:val="16"/>
                <w:color w:val="auto"/>
                <w:w w:val="94"/>
              </w:rPr>
              <w:t>Error Correction</w:t>
            </w:r>
          </w:p>
        </w:tc>
        <w:tc>
          <w:tcPr>
            <w:tcW w:w="8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vMerge w:val="restart"/>
          </w:tcPr>
          <w:p>
            <w:pPr>
              <w:jc w:val="right"/>
              <w:ind w:right="199"/>
              <w:spacing w:after="0"/>
              <w:rPr>
                <w:sz w:val="20"/>
                <w:szCs w:val="20"/>
                <w:color w:val="auto"/>
              </w:rPr>
            </w:pPr>
            <w:r>
              <w:rPr>
                <w:rFonts w:ascii="Arial" w:cs="Arial" w:eastAsia="Arial" w:hAnsi="Arial"/>
                <w:sz w:val="16"/>
                <w:szCs w:val="16"/>
                <w:color w:val="auto"/>
              </w:rPr>
              <w:t>As Adjusted</w:t>
            </w:r>
          </w:p>
        </w:tc>
        <w:tc>
          <w:tcPr>
            <w:tcW w:w="0" w:type="dxa"/>
            <w:vAlign w:val="bottom"/>
          </w:tcPr>
          <w:p>
            <w:pPr>
              <w:spacing w:after="0"/>
              <w:rPr>
                <w:sz w:val="1"/>
                <w:szCs w:val="1"/>
                <w:color w:val="auto"/>
              </w:rPr>
            </w:pPr>
          </w:p>
        </w:tc>
      </w:tr>
      <w:tr>
        <w:trPr>
          <w:trHeight w:val="209"/>
        </w:trPr>
        <w:tc>
          <w:tcPr>
            <w:tcW w:w="2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Reported</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Reported</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80" w:type="dxa"/>
            <w:vAlign w:val="bottom"/>
            <w:gridSpan w:val="5"/>
          </w:tcPr>
          <w:p>
            <w:pPr>
              <w:ind w:left="76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(37,644)</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354,119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354,300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354,119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354,300</w:t>
            </w:r>
          </w:p>
        </w:tc>
        <w:tc>
          <w:tcPr>
            <w:tcW w:w="0" w:type="dxa"/>
            <w:vAlign w:val="bottom"/>
          </w:tcPr>
          <w:p>
            <w:pPr>
              <w:spacing w:after="0"/>
              <w:rPr>
                <w:sz w:val="1"/>
                <w:szCs w:val="1"/>
                <w:color w:val="auto"/>
              </w:rPr>
            </w:pPr>
          </w:p>
        </w:tc>
      </w:tr>
      <w:tr>
        <w:trPr>
          <w:trHeight w:val="169"/>
        </w:trPr>
        <w:tc>
          <w:tcPr>
            <w:tcW w:w="26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Accumulated deficit - beginning</w:t>
            </w:r>
          </w:p>
        </w:tc>
        <w:tc>
          <w:tcPr>
            <w:tcW w:w="2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(177,350)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1,085</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(176,265)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(143,843)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(143,843)</w:t>
            </w: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w:t>
            </w:r>
          </w:p>
        </w:tc>
        <w:tc>
          <w:tcPr>
            <w:tcW w:w="2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Accumulated deficit - ending balance</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(182,737)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1,250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(181,487)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(182,737)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(181,487)</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171,491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172,922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171,491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172,922</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19. COMMITMENT AND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Legal Proceedings</w:t>
      </w:r>
    </w:p>
    <w:p>
      <w:pPr>
        <w:spacing w:after="0" w:line="17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As previously reported in Note 19 of the Form 10-Q for the quarter ended June 30, 2022, filed on August 9, 2022, on February 7, 2022, Telos and certain of its current and former officers were named as defendants in a lawsuit filed in the United States District Court for the Eastern District of Virginia. In the complaint, the plaintiffs, who purport to represent a class of purchasers of Telos common stock between November 19, 2020, and March 16, 2022, allege that the defendants violated securities laws by failing to disclose delays relating to the launch of certain contracts between Telos and the Transportation Security Administration ("TSA") and the Centers for Medicare and Medicaid Services and to take into account those delays when providing a financial forecast for the Company’s 2021 performance. On June 15, 2022, the Plaintiffs filed a consolidated complaint which added claims (i) concerning Telos' disclosure of revenue projections for these contracts, (ii) against the directors of Telos at the time of its initial public offering, and (iii) pursuant to Sections 11 and 15 of the Securities Act of 1933. The Company is vigorously defending the case, but given the early stage, although a loss may reasonably be possible, the Company is unable to predict the likelihood of success of plaintiffs' claims or estimate a loss or range of loss. As a result, no material liability has been recorded as of September 30, 2022, and December, 31, 2021, respectively.</w:t>
      </w:r>
    </w:p>
    <w:p>
      <w:pPr>
        <w:spacing w:after="0" w:line="13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addition, the Company is a party to litigation arising in the ordinary course of business. In the opinion of management, while the results of such litigation cannot be predicted with any reasonable degree of certainty, the final outcome of such known matters will not, based upon all available information, have a material adverse effect on the Company's unaudited consolidated financial position, results of operations or cash flows.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 Government Contracts</w:t>
      </w:r>
    </w:p>
    <w:p>
      <w:pPr>
        <w:spacing w:after="0" w:line="17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As a U.S. government contractor, we are subject to various audits and investigations by the U.S. government to determine whether our operations are being conducted in accordance with applicable regulatory requirements. U.S. government investigations of our operations, whether relating to government contracts or conducted for other reasons, could result in administrative, civil, or criminal liabilities, including repayments, fines or penalties being imposed upon us, suspension, proposed debarment, debarment from eligibility for future U.S. government contracting, or suspension of export privileges. Suspension or debarment could have a material adverse effect on us because of our dependence on contracts with the U.S. government. U.S. government investigations often take years to complete, and many result in no adverse action against us. We also provide products and services to customers outside of the United States, which are subject to U.S. and foreign laws and regulations and foreign procurement policies and practices. Our compliance with local regulations or applicable U.S. government regulations also may be audited or investigated.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20. SUPPLEMENTAL CASH FLOW INFORMATION</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Table 20.1: Details of Cash, Cash Equivalent, and Restricted Cash</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84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6"/>
                <w:szCs w:val="16"/>
                <w:color w:val="auto"/>
                <w:w w:val="99"/>
              </w:rPr>
              <w:t>September 30, 2022</w:t>
            </w: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91"/>
              </w:rPr>
              <w:t>December 31, 2021</w:t>
            </w:r>
          </w:p>
        </w:tc>
      </w:tr>
      <w:tr>
        <w:trPr>
          <w:trHeight w:val="214"/>
        </w:trPr>
        <w:tc>
          <w:tcPr>
            <w:tcW w:w="7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700" w:type="dxa"/>
            <w:vAlign w:val="bottom"/>
          </w:tcPr>
          <w:p>
            <w:pPr>
              <w:spacing w:after="0"/>
              <w:rPr>
                <w:sz w:val="18"/>
                <w:szCs w:val="18"/>
                <w:color w:val="auto"/>
              </w:rPr>
            </w:pPr>
          </w:p>
        </w:tc>
      </w:tr>
      <w:tr>
        <w:trPr>
          <w:trHeight w:val="25"/>
        </w:trPr>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125,332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126,562</w:t>
            </w:r>
          </w:p>
        </w:tc>
      </w:tr>
      <w:tr>
        <w:trPr>
          <w:trHeight w:val="216"/>
        </w:trPr>
        <w:tc>
          <w:tcPr>
            <w:tcW w:w="70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Restricted cash </w:t>
            </w:r>
            <w:r>
              <w:rPr>
                <w:rFonts w:ascii="Arial" w:cs="Arial" w:eastAsia="Arial" w:hAnsi="Arial"/>
                <w:sz w:val="21"/>
                <w:szCs w:val="21"/>
                <w:color w:val="auto"/>
                <w:vertAlign w:val="superscript"/>
              </w:rPr>
              <w:t>(1)</w:t>
            </w: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1"/>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Cash, cash equivalents, and restricted cash</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125,464</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126,562</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Restricted cash consists of a commercial money market account held as a deposit on the Ashburn lease and is recorded under "Other assets"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Table 20.2: Supplemental Cash Flow Information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120" w:type="dxa"/>
            <w:vAlign w:val="bottom"/>
            <w:tcBorders>
              <w:top w:val="single" w:sz="8" w:color="auto"/>
            </w:tcBorders>
          </w:tcPr>
          <w:p>
            <w:pPr>
              <w:spacing w:after="0"/>
              <w:rPr>
                <w:sz w:val="18"/>
                <w:szCs w:val="18"/>
                <w:color w:val="auto"/>
              </w:rPr>
            </w:pPr>
          </w:p>
        </w:tc>
        <w:tc>
          <w:tcPr>
            <w:tcW w:w="3900" w:type="dxa"/>
            <w:vAlign w:val="bottom"/>
            <w:tcBorders>
              <w:top w:val="single" w:sz="8" w:color="auto"/>
              <w:bottom w:val="single" w:sz="8" w:color="auto"/>
            </w:tcBorders>
            <w:gridSpan w:val="4"/>
          </w:tcPr>
          <w:p>
            <w:pPr>
              <w:jc w:val="right"/>
              <w:ind w:right="799"/>
              <w:spacing w:after="0"/>
              <w:rPr>
                <w:sz w:val="20"/>
                <w:szCs w:val="20"/>
                <w:color w:val="auto"/>
              </w:rPr>
            </w:pPr>
            <w:r>
              <w:rPr>
                <w:rFonts w:ascii="Arial" w:cs="Arial" w:eastAsia="Arial" w:hAnsi="Arial"/>
                <w:sz w:val="16"/>
                <w:szCs w:val="16"/>
                <w:color w:val="auto"/>
              </w:rPr>
              <w:t>For the Nine Months Ended</w:t>
            </w:r>
          </w:p>
        </w:tc>
        <w:tc>
          <w:tcPr>
            <w:tcW w:w="340" w:type="dxa"/>
            <w:vAlign w:val="bottom"/>
            <w:tcBorders>
              <w:top w:val="single" w:sz="8" w:color="auto"/>
              <w:bottom w:val="single" w:sz="8" w:color="auto"/>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September 30, 2022</w:t>
            </w:r>
          </w:p>
        </w:tc>
        <w:tc>
          <w:tcPr>
            <w:tcW w:w="3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September 30, 2021</w:t>
            </w:r>
          </w:p>
        </w:tc>
        <w:tc>
          <w:tcPr>
            <w:tcW w:w="340" w:type="dxa"/>
            <w:vAlign w:val="bottom"/>
            <w:tcBorders>
              <w:bottom w:val="single" w:sz="8" w:color="auto"/>
            </w:tcBorders>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0" w:type="dxa"/>
            <w:vAlign w:val="bottom"/>
            <w:gridSpan w:val="3"/>
          </w:tcPr>
          <w:p>
            <w:pPr>
              <w:jc w:val="right"/>
              <w:ind w:right="1279"/>
              <w:spacing w:after="0"/>
              <w:rPr>
                <w:sz w:val="20"/>
                <w:szCs w:val="20"/>
                <w:color w:val="auto"/>
              </w:rPr>
            </w:pPr>
            <w:r>
              <w:rPr>
                <w:rFonts w:ascii="Arial" w:cs="Arial" w:eastAsia="Arial" w:hAnsi="Arial"/>
                <w:sz w:val="14"/>
                <w:szCs w:val="14"/>
                <w:i w:val="1"/>
                <w:iCs w:val="1"/>
                <w:color w:val="auto"/>
                <w:w w:val="92"/>
              </w:rPr>
              <w:t>(in thousands)</w:t>
            </w:r>
          </w:p>
        </w:tc>
        <w:tc>
          <w:tcPr>
            <w:tcW w:w="340" w:type="dxa"/>
            <w:vAlign w:val="bottom"/>
          </w:tcPr>
          <w:p>
            <w:pPr>
              <w:spacing w:after="0"/>
              <w:rPr>
                <w:sz w:val="18"/>
                <w:szCs w:val="18"/>
                <w:color w:val="auto"/>
              </w:rPr>
            </w:pPr>
          </w:p>
        </w:tc>
      </w:tr>
      <w:tr>
        <w:trPr>
          <w:trHeight w:val="26"/>
        </w:trPr>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698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color w:val="auto"/>
              </w:rPr>
              <w:t>Cash paid during the period for:</w:t>
            </w:r>
          </w:p>
        </w:tc>
        <w:tc>
          <w:tcPr>
            <w:tcW w:w="1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208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Interest</w:t>
            </w:r>
          </w:p>
        </w:tc>
        <w:tc>
          <w:tcPr>
            <w:tcW w:w="4900" w:type="dxa"/>
            <w:vAlign w:val="bottom"/>
            <w:tcBorders>
              <w:top w:val="single" w:sz="8" w:color="CCEEFF"/>
            </w:tcBorders>
            <w:gridSpan w:val="2"/>
          </w:tcPr>
          <w:p>
            <w:pPr>
              <w:spacing w:after="0"/>
              <w:rPr>
                <w:sz w:val="18"/>
                <w:szCs w:val="18"/>
                <w:color w:val="auto"/>
              </w:rPr>
            </w:pPr>
          </w:p>
        </w:tc>
        <w:tc>
          <w:tcPr>
            <w:tcW w:w="1700" w:type="dxa"/>
            <w:vAlign w:val="bottom"/>
            <w:tcBorders>
              <w:top w:val="single" w:sz="8" w:color="CCEEFF"/>
            </w:tcBorders>
          </w:tcPr>
          <w:p>
            <w:pPr>
              <w:jc w:val="right"/>
              <w:ind w:right="1519"/>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523</w:t>
            </w:r>
          </w:p>
        </w:tc>
        <w:tc>
          <w:tcPr>
            <w:tcW w:w="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jc w:val="right"/>
              <w:ind w:right="1559"/>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97"/>
              </w:rPr>
              <w:t>583</w:t>
            </w:r>
          </w:p>
        </w:tc>
      </w:tr>
      <w:tr>
        <w:trPr>
          <w:trHeight w:val="219"/>
        </w:trPr>
        <w:tc>
          <w:tcPr>
            <w:tcW w:w="20" w:type="dxa"/>
            <w:vAlign w:val="bottom"/>
            <w:shd w:val="clear" w:color="auto" w:fill="CCEEFF"/>
          </w:tcPr>
          <w:p>
            <w:pPr>
              <w:spacing w:after="0"/>
              <w:rPr>
                <w:sz w:val="19"/>
                <w:szCs w:val="19"/>
                <w:color w:val="auto"/>
              </w:rPr>
            </w:pPr>
          </w:p>
        </w:tc>
        <w:tc>
          <w:tcPr>
            <w:tcW w:w="69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Income taxes</w:t>
            </w:r>
          </w:p>
        </w:tc>
        <w:tc>
          <w:tcPr>
            <w:tcW w:w="17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176"/>
        </w:trPr>
        <w:tc>
          <w:tcPr>
            <w:tcW w:w="20" w:type="dxa"/>
            <w:vAlign w:val="bottom"/>
          </w:tcPr>
          <w:p>
            <w:pPr>
              <w:spacing w:after="0"/>
              <w:rPr>
                <w:sz w:val="15"/>
                <w:szCs w:val="15"/>
                <w:color w:val="auto"/>
              </w:rPr>
            </w:pPr>
          </w:p>
        </w:tc>
        <w:tc>
          <w:tcPr>
            <w:tcW w:w="6980" w:type="dxa"/>
            <w:vAlign w:val="bottom"/>
            <w:gridSpan w:val="3"/>
          </w:tcPr>
          <w:p>
            <w:pPr>
              <w:spacing w:after="0" w:line="175" w:lineRule="exact"/>
              <w:rPr>
                <w:sz w:val="20"/>
                <w:szCs w:val="20"/>
                <w:color w:val="auto"/>
              </w:rPr>
            </w:pPr>
            <w:r>
              <w:rPr>
                <w:rFonts w:ascii="Arial" w:cs="Arial" w:eastAsia="Arial" w:hAnsi="Arial"/>
                <w:sz w:val="16"/>
                <w:szCs w:val="16"/>
                <w:color w:val="auto"/>
              </w:rPr>
              <w:t>Non-cash investing and financing activities:</w:t>
            </w:r>
          </w:p>
        </w:tc>
        <w:tc>
          <w:tcPr>
            <w:tcW w:w="1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9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Operating lease ROU assets obtained in exchange for operating lease liabilities</w:t>
            </w:r>
          </w:p>
        </w:tc>
        <w:tc>
          <w:tcPr>
            <w:tcW w:w="1700" w:type="dxa"/>
            <w:vAlign w:val="bottom"/>
            <w:shd w:val="clear" w:color="auto" w:fill="CCEEFF"/>
          </w:tcPr>
          <w:p>
            <w:pPr>
              <w:jc w:val="right"/>
              <w:ind w:right="151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155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486</w:t>
            </w:r>
          </w:p>
        </w:tc>
      </w:tr>
      <w:tr>
        <w:trPr>
          <w:trHeight w:val="213"/>
        </w:trPr>
        <w:tc>
          <w:tcPr>
            <w:tcW w:w="20" w:type="dxa"/>
            <w:vAlign w:val="bottom"/>
          </w:tcPr>
          <w:p>
            <w:pPr>
              <w:spacing w:after="0"/>
              <w:rPr>
                <w:sz w:val="18"/>
                <w:szCs w:val="18"/>
                <w:color w:val="auto"/>
              </w:rPr>
            </w:pPr>
          </w:p>
        </w:tc>
        <w:tc>
          <w:tcPr>
            <w:tcW w:w="6980" w:type="dxa"/>
            <w:vAlign w:val="bottom"/>
            <w:gridSpan w:val="3"/>
          </w:tcPr>
          <w:p>
            <w:pPr>
              <w:ind w:left="120"/>
              <w:spacing w:after="0"/>
              <w:rPr>
                <w:sz w:val="20"/>
                <w:szCs w:val="20"/>
                <w:color w:val="auto"/>
              </w:rPr>
            </w:pPr>
            <w:r>
              <w:rPr>
                <w:rFonts w:ascii="Arial" w:cs="Arial" w:eastAsia="Arial" w:hAnsi="Arial"/>
                <w:sz w:val="16"/>
                <w:szCs w:val="16"/>
                <w:color w:val="auto"/>
              </w:rPr>
              <w:t>Capital expenditure activity in accounts payable and other accrued liabilities</w:t>
            </w:r>
          </w:p>
        </w:tc>
        <w:tc>
          <w:tcPr>
            <w:tcW w:w="17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400</w:t>
            </w: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9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Common stock repurchase under SRP</w:t>
            </w:r>
          </w:p>
        </w:tc>
        <w:tc>
          <w:tcPr>
            <w:tcW w:w="17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20" w:type="dxa"/>
            <w:vAlign w:val="bottom"/>
          </w:tcPr>
          <w:p>
            <w:pPr>
              <w:spacing w:after="0"/>
              <w:rPr>
                <w:sz w:val="18"/>
                <w:szCs w:val="18"/>
                <w:color w:val="auto"/>
              </w:rPr>
            </w:pPr>
          </w:p>
        </w:tc>
        <w:tc>
          <w:tcPr>
            <w:tcW w:w="6980" w:type="dxa"/>
            <w:vAlign w:val="bottom"/>
            <w:gridSpan w:val="3"/>
          </w:tcPr>
          <w:p>
            <w:pPr>
              <w:ind w:left="120"/>
              <w:spacing w:after="0"/>
              <w:rPr>
                <w:sz w:val="20"/>
                <w:szCs w:val="20"/>
                <w:color w:val="auto"/>
              </w:rPr>
            </w:pPr>
            <w:r>
              <w:rPr>
                <w:rFonts w:ascii="Arial" w:cs="Arial" w:eastAsia="Arial" w:hAnsi="Arial"/>
                <w:sz w:val="16"/>
                <w:szCs w:val="16"/>
                <w:color w:val="auto"/>
              </w:rPr>
              <w:t>Acquisition holdback</w:t>
            </w:r>
          </w:p>
        </w:tc>
        <w:tc>
          <w:tcPr>
            <w:tcW w:w="170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7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97"/>
              </w:rPr>
              <w:t>506</w:t>
            </w: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E32E1"/>
        </w:rPr>
        <w:t>Table of Contents</w:t>
      </w:r>
    </w:p>
    <w:p>
      <w:pPr>
        <w:spacing w:after="0" w:line="200" w:lineRule="exact"/>
        <w:rPr>
          <w:sz w:val="20"/>
          <w:szCs w:val="20"/>
          <w:color w:val="auto"/>
        </w:rPr>
      </w:pPr>
    </w:p>
    <w:p>
      <w:pPr>
        <w:spacing w:after="0" w:line="364" w:lineRule="exact"/>
        <w:rPr>
          <w:sz w:val="20"/>
          <w:szCs w:val="20"/>
          <w:color w:val="auto"/>
        </w:rPr>
      </w:pPr>
    </w:p>
    <w:p>
      <w:pPr>
        <w:ind w:right="3800"/>
        <w:spacing w:after="0" w:line="440"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This Quarterly Report on Form 10-Q contains forward-looking statements. For this purpose, any statements contained herein that are not statements of historical fact may be deemed to be forward-looking statements. Without limiting the foregoing, the words “believes,” “anticipates,” “plans,” “expects” and similar expressions are intended to identify forward-looking statements. There are a number of important factors that could cause the Company’s actual results to differ materially from those indicated by such forward-looking statements. These factors include, without limitation, those set forth in the risk factors section included in the Company’s Form 10-K for the year ended December 31, 2021, as filed with the SEC.</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Business Overview</w:t>
      </w:r>
    </w:p>
    <w:p>
      <w:pPr>
        <w:spacing w:after="0" w:line="17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We offer technologically advanced, software-based security solutions that empower and protect the world’s most security-conscious organizations against rapidly evolving, sophisticated and pervasive threats. Our portfolio of security products, services, and expertise empower our customers with capabilities to reach new markets, serve their stakeholders more effectively, and successfully defend the nation or their enterprise. We protect our customers’ people, information, and digital assets so they can pursue their corporate goals and conduct their global missions with confidence in their security and privacy.</w:t>
      </w:r>
    </w:p>
    <w:p>
      <w:pPr>
        <w:spacing w:after="0" w:line="10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mission is to protect our customers’ people, systems, and vital information assets with offerings for cybersecurity, cloud security, and enterprise security. In the current global environment, our mission is more critical than ever. The emergence of each new information and communications technology introduces new vulnerabilities, as security is still too often overlooked in solution development. Networks and applications meant to enhance productivity and profitability often jeopardize an organization due to poor planning, misconfiguration, or an unknown gap in security. Ransomware, insider threats, cybercrime, and advanced persistent threats continue to menace public and private enterprises across all industries.</w:t>
      </w:r>
    </w:p>
    <w:p>
      <w:pPr>
        <w:spacing w:after="0" w:line="122"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Cybersecurity, cloud security, and enterprise security of the modern organization share much in common, yet also call for a diverse range of skills, capabilities, and experience in order to meet the requirements of security-conscious customers. Decades of experience in developing, orchestrating, and delivering solutions across these three domains give us the vision and the confidence to provide solutions that empower and protect the enterprise at an integrated, holistic level. Our experience in addressing challenges in one area of an enterprise helps us meet requirements in others. We understand that a range of complementary capabilities may be needed to solve a single challenge, and we also recognize when a single solution might address multiple challenges. Our security solutions span across these three domains.</w:t>
      </w:r>
    </w:p>
    <w:p>
      <w:pPr>
        <w:spacing w:after="0" w:line="11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 xml:space="preserve">As a result of the change in our organization and leadership structure in the fourth quarter of 2021, we established and operate in two reportable segments </w:t>
      </w:r>
      <w:r>
        <w:rPr>
          <w:rFonts w:ascii="Arial" w:cs="Arial" w:eastAsia="Arial" w:hAnsi="Arial"/>
          <w:sz w:val="16"/>
          <w:szCs w:val="16"/>
          <w:color w:val="auto"/>
        </w:rPr>
        <w:t>–</w:t>
      </w:r>
      <w:r>
        <w:rPr>
          <w:rFonts w:ascii="Arial" w:cs="Arial" w:eastAsia="Arial" w:hAnsi="Arial"/>
          <w:sz w:val="18"/>
          <w:szCs w:val="18"/>
          <w:color w:val="auto"/>
        </w:rPr>
        <w:t xml:space="preserve"> Security Solutions and Secure Networks.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Solutions</w:t>
      </w:r>
    </w:p>
    <w:p>
      <w:pPr>
        <w:spacing w:after="0" w:line="171"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Security Solutions, which focuses on cybersecurity, cloud and identity solutions, includes Information Assurance, Secure Communications, and Telos ID. Cybersecurity solutions help our customers ensure the ongoing security, integrity, and compliance of their on-premises and related cloud-based systems by reducing threats and vulnerabilities to foil cyber adversaries before they can attack. Our security engineers and subject matter experts assess our customers’ cybersecurity environments and design, engineer, and operate systems needed to strengthen their cybersecurity posture. Our cloud solutions leverage the specialized skills and experience needed to help our customers plan, engineer, execute and accelerate secure cloud migrations while assuring ongoing management and security of enterprise cloud technology environments. Our identity solutions deliver digital identity, biometric, and nationwide enrollment services and address Know Your Customer and identity management challenges for enterprises working within regulated and critical infrastructure environments.</w:t>
      </w:r>
    </w:p>
    <w:p>
      <w:pPr>
        <w:spacing w:after="0" w:line="124"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Information Assurance</w:t>
      </w:r>
    </w:p>
    <w:p>
      <w:pPr>
        <w:spacing w:after="0" w:line="171" w:lineRule="exact"/>
        <w:rPr>
          <w:rFonts w:ascii="Arial" w:cs="Arial" w:eastAsia="Arial" w:hAnsi="Arial"/>
          <w:sz w:val="18"/>
          <w:szCs w:val="18"/>
          <w:color w:val="auto"/>
        </w:rPr>
      </w:pPr>
    </w:p>
    <w:p>
      <w:pPr>
        <w:ind w:left="1300" w:right="200" w:hanging="320"/>
        <w:spacing w:after="0" w:line="259" w:lineRule="auto"/>
        <w:tabs>
          <w:tab w:leader="none" w:pos="1296" w:val="left"/>
        </w:tabs>
        <w:numPr>
          <w:ilvl w:val="1"/>
          <w:numId w:val="18"/>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Xacta</w:t>
      </w:r>
      <w:r>
        <w:rPr>
          <w:rFonts w:ascii="Arial" w:cs="Arial" w:eastAsia="Arial" w:hAnsi="Arial"/>
          <w:sz w:val="18"/>
          <w:szCs w:val="18"/>
          <w:color w:val="auto"/>
        </w:rPr>
        <w:t>: a premier platform for enterprise cyber risk management and security compliance automation, delivering security awareness for</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in the cloud, on-premises, and in hybrid and multi-cloud environments. Xacta delivers automated cyber risk and compliance management solutions to large commercial and government enterprises. Across the U.S. federal government, Xacta is the de facto commercial cyber risk and compliance management solution.</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E32E1"/>
        </w:rPr>
        <w:t>Table of Contents</w:t>
      </w:r>
    </w:p>
    <w:p>
      <w:pPr>
        <w:spacing w:after="0" w:line="200" w:lineRule="exact"/>
        <w:rPr>
          <w:sz w:val="20"/>
          <w:szCs w:val="20"/>
          <w:color w:val="auto"/>
        </w:rPr>
      </w:pPr>
    </w:p>
    <w:p>
      <w:pPr>
        <w:spacing w:after="0" w:line="368"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Secure Communications:</w:t>
      </w:r>
    </w:p>
    <w:p>
      <w:pPr>
        <w:spacing w:after="0" w:line="171" w:lineRule="exact"/>
        <w:rPr>
          <w:rFonts w:ascii="Arial" w:cs="Arial" w:eastAsia="Arial" w:hAnsi="Arial"/>
          <w:sz w:val="18"/>
          <w:szCs w:val="18"/>
          <w:b w:val="1"/>
          <w:bCs w:val="1"/>
          <w:i w:val="1"/>
          <w:iCs w:val="1"/>
          <w:color w:val="auto"/>
        </w:rPr>
      </w:pPr>
    </w:p>
    <w:p>
      <w:pPr>
        <w:ind w:left="1300" w:right="320" w:hanging="320"/>
        <w:spacing w:after="0" w:line="296" w:lineRule="auto"/>
        <w:tabs>
          <w:tab w:leader="none" w:pos="1296" w:val="left"/>
        </w:tabs>
        <w:numPr>
          <w:ilvl w:val="1"/>
          <w:numId w:val="19"/>
        </w:numPr>
        <w:rPr>
          <w:rFonts w:ascii="Arial" w:cs="Arial" w:eastAsia="Arial" w:hAnsi="Arial"/>
          <w:sz w:val="16"/>
          <w:szCs w:val="16"/>
          <w:b w:val="1"/>
          <w:bCs w:val="1"/>
          <w:i w:val="1"/>
          <w:iCs w:val="1"/>
          <w:color w:val="auto"/>
        </w:rPr>
      </w:pPr>
      <w:r>
        <w:rPr>
          <w:rFonts w:ascii="Arial" w:cs="Arial" w:eastAsia="Arial" w:hAnsi="Arial"/>
          <w:sz w:val="16"/>
          <w:szCs w:val="16"/>
          <w:i w:val="1"/>
          <w:iCs w:val="1"/>
          <w:color w:val="auto"/>
        </w:rPr>
        <w:t xml:space="preserve">Telos Ghost: </w:t>
      </w:r>
      <w:r>
        <w:rPr>
          <w:rFonts w:ascii="Arial" w:cs="Arial" w:eastAsia="Arial" w:hAnsi="Arial"/>
          <w:sz w:val="16"/>
          <w:szCs w:val="16"/>
          <w:color w:val="auto"/>
        </w:rPr>
        <w:t>a virtual obfuscation network-as-a-service with encryption and managed attribution capabilities to ensure the safety and</w:t>
      </w:r>
      <w:r>
        <w:rPr>
          <w:rFonts w:ascii="Arial" w:cs="Arial" w:eastAsia="Arial" w:hAnsi="Arial"/>
          <w:sz w:val="16"/>
          <w:szCs w:val="16"/>
          <w:i w:val="1"/>
          <w:iCs w:val="1"/>
          <w:color w:val="auto"/>
        </w:rPr>
        <w:t xml:space="preserve"> </w:t>
      </w:r>
      <w:r>
        <w:rPr>
          <w:rFonts w:ascii="Arial" w:cs="Arial" w:eastAsia="Arial" w:hAnsi="Arial"/>
          <w:sz w:val="16"/>
          <w:szCs w:val="16"/>
          <w:color w:val="auto"/>
        </w:rPr>
        <w:t>privacy of people, information, and resources on the network. Telos Ghost seeks to eliminate cyberattack surfaces by obfuscating and encrypting data, masking user identity and location, and hiding network resources. It provides the additional layers of security and privacy needed for intelligence gathering, cyber threat protection, securing critical infrastructure, and protecting communications and applications when operations, property, and even lives can be jeopardized by a single error in security.</w:t>
      </w:r>
    </w:p>
    <w:p>
      <w:pPr>
        <w:spacing w:after="0" w:line="107" w:lineRule="exact"/>
        <w:rPr>
          <w:rFonts w:ascii="Arial" w:cs="Arial" w:eastAsia="Arial" w:hAnsi="Arial"/>
          <w:sz w:val="16"/>
          <w:szCs w:val="16"/>
          <w:b w:val="1"/>
          <w:bCs w:val="1"/>
          <w:i w:val="1"/>
          <w:iCs w:val="1"/>
          <w:color w:val="auto"/>
        </w:rPr>
      </w:pPr>
    </w:p>
    <w:p>
      <w:pPr>
        <w:ind w:left="1300" w:right="60" w:hanging="320"/>
        <w:spacing w:after="0" w:line="259" w:lineRule="auto"/>
        <w:tabs>
          <w:tab w:leader="none" w:pos="1296"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Telos Advanced Cyber Analytics ("ACA")</w:t>
      </w:r>
      <w:r>
        <w:rPr>
          <w:rFonts w:ascii="Arial" w:cs="Arial" w:eastAsia="Arial" w:hAnsi="Arial"/>
          <w:sz w:val="18"/>
          <w:szCs w:val="18"/>
          <w:color w:val="auto"/>
        </w:rPr>
        <w:t>: a solution-as-a-service that delivers timely, accurate, actionable intelligence at speed and scale</w:t>
      </w:r>
      <w:r>
        <w:rPr>
          <w:rFonts w:ascii="Arial" w:cs="Arial" w:eastAsia="Arial" w:hAnsi="Arial"/>
          <w:sz w:val="18"/>
          <w:szCs w:val="18"/>
          <w:i w:val="1"/>
          <w:iCs w:val="1"/>
          <w:color w:val="auto"/>
        </w:rPr>
        <w:t xml:space="preserve"> </w:t>
      </w:r>
      <w:r>
        <w:rPr>
          <w:rFonts w:ascii="Arial" w:cs="Arial" w:eastAsia="Arial" w:hAnsi="Arial"/>
          <w:sz w:val="18"/>
          <w:szCs w:val="18"/>
          <w:color w:val="auto"/>
        </w:rPr>
        <w:t>to illuminate threats to enterprise assets. It enables organizations to detect malicious activity earlier and to uncover and identify previously unknown attacks and new malicious behavior. Further, it assists in the attribution of events and provides sophisticated and comprehensive analytics without expensive overhead.</w:t>
      </w:r>
    </w:p>
    <w:p>
      <w:pPr>
        <w:spacing w:after="0" w:line="132" w:lineRule="exact"/>
        <w:rPr>
          <w:rFonts w:ascii="Arial" w:cs="Arial" w:eastAsia="Arial" w:hAnsi="Arial"/>
          <w:sz w:val="18"/>
          <w:szCs w:val="18"/>
          <w:color w:val="auto"/>
        </w:rPr>
      </w:pPr>
    </w:p>
    <w:p>
      <w:pPr>
        <w:ind w:left="1300" w:hanging="320"/>
        <w:spacing w:after="0" w:line="257" w:lineRule="auto"/>
        <w:tabs>
          <w:tab w:leader="none" w:pos="1296" w:val="left"/>
        </w:tabs>
        <w:numPr>
          <w:ilvl w:val="1"/>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Telos Automated Message Handling System (“AMHS”): </w:t>
      </w:r>
      <w:r>
        <w:rPr>
          <w:rFonts w:ascii="Arial" w:cs="Arial" w:eastAsia="Arial" w:hAnsi="Arial"/>
          <w:sz w:val="18"/>
          <w:szCs w:val="18"/>
          <w:color w:val="auto"/>
        </w:rPr>
        <w:t>web-based organizational message distribution and management for mission-critical communications; the recognized gold standard for organizational messaging in the U.S. government. Telos AMHS is used by military field operatives for critical communications on the battlefield and is the only web-based solution for assured messaging and directory services using the Defense Information System Agency's Organizational Messaging Service and its specialized communications protocols.</w:t>
      </w:r>
    </w:p>
    <w:p>
      <w:pPr>
        <w:spacing w:after="0" w:line="128" w:lineRule="exact"/>
        <w:rPr>
          <w:rFonts w:ascii="Arial" w:cs="Arial" w:eastAsia="Arial" w:hAnsi="Arial"/>
          <w:sz w:val="18"/>
          <w:szCs w:val="18"/>
          <w:i w:val="1"/>
          <w:iCs w:val="1"/>
          <w:color w:val="auto"/>
        </w:rPr>
      </w:pPr>
    </w:p>
    <w:p>
      <w:pPr>
        <w:ind w:left="660" w:right="40" w:hanging="328"/>
        <w:spacing w:after="0" w:line="238"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Telos ID: </w:t>
      </w:r>
      <w:r>
        <w:rPr>
          <w:rFonts w:ascii="Arial" w:cs="Arial" w:eastAsia="Arial" w:hAnsi="Arial"/>
          <w:sz w:val="17"/>
          <w:szCs w:val="17"/>
          <w:color w:val="auto"/>
        </w:rPr>
        <w:t>offering identity trust and digital services through IDTrust360</w:t>
      </w:r>
      <w:r>
        <w:rPr>
          <w:rFonts w:ascii="Arial" w:cs="Arial" w:eastAsia="Arial" w:hAnsi="Arial"/>
          <w:sz w:val="22"/>
          <w:szCs w:val="22"/>
          <w:color w:val="auto"/>
          <w:vertAlign w:val="superscript"/>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an enterprise-class digital identity risk platform for extending flexible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hybrid cloud identity services. This platform is enabled for mobile, enterprise environments and custom digital identity services that mitigate threats through the integration of advanced technologies that fuse biometrics, credentials, and other identity-centric data used to continuously monitor trust. In April 2021, we announced the acquisition of the assets of DFT, whose ONYX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touchless mobile fingerprint software is being integrated with the IDTrust360 platform. We maintain government certifications and designations that distinguish Telos ID, including TSA PreCheck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enrollment provider, Designated Aviation Channeling provider, FBI-approved Channeler, and Financial Industry Regulatory Authority Electronic Fingerprint Submission provider.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Secure Networks</w:t>
      </w:r>
    </w:p>
    <w:p>
      <w:pPr>
        <w:spacing w:after="0" w:line="171"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Secure Networks focuses on enterprise security. Secure Networks provides secure networking architectures and solutions to the DoD, the federal Intelligence Community and other federal government agencies. Our net-centric solutions enable collaboration and connectivity in order to increase efficiency, reduce costs, and improve mission outcomes. We provide an extensive range of wired and wireless, fixed and deployable, classified and unclassified voice, data, and video secure network solutions and services to support defense and civilian missions. Capabilities include network design, operations and sustainment; system integration and engineering; network security and compliance; deployable comms; robotic process automation and other digital transformation capabilities; service desk; defensive cyber operations; and program management.</w:t>
      </w:r>
    </w:p>
    <w:p>
      <w:pPr>
        <w:spacing w:after="0" w:line="124" w:lineRule="exact"/>
        <w:rPr>
          <w:sz w:val="20"/>
          <w:szCs w:val="20"/>
          <w:color w:val="auto"/>
        </w:rPr>
      </w:pPr>
    </w:p>
    <w:p>
      <w:pPr>
        <w:jc w:val="both"/>
        <w:ind w:left="660" w:right="440" w:hanging="328"/>
        <w:spacing w:after="0" w:line="311" w:lineRule="auto"/>
        <w:tabs>
          <w:tab w:leader="none" w:pos="655"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Secure Mobility: </w:t>
      </w:r>
      <w:r>
        <w:rPr>
          <w:rFonts w:ascii="Arial" w:cs="Arial" w:eastAsia="Arial" w:hAnsi="Arial"/>
          <w:sz w:val="16"/>
          <w:szCs w:val="16"/>
          <w:color w:val="auto"/>
        </w:rPr>
        <w:t>solutions for business and government that enable remote work and minimize operational and security concerns across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beyond the enterprise. Our secure mobility team brings credentials to every engagement, supplying deep expertise and experience as well as highly desirable clearances and industry-recognized certifications for network engineering, mobility, and security.</w:t>
      </w:r>
    </w:p>
    <w:p>
      <w:pPr>
        <w:spacing w:after="0" w:line="94" w:lineRule="exact"/>
        <w:rPr>
          <w:rFonts w:ascii="Arial" w:cs="Arial" w:eastAsia="Arial" w:hAnsi="Arial"/>
          <w:sz w:val="16"/>
          <w:szCs w:val="16"/>
          <w:b w:val="1"/>
          <w:bCs w:val="1"/>
          <w:color w:val="auto"/>
        </w:rPr>
      </w:pPr>
    </w:p>
    <w:p>
      <w:pPr>
        <w:ind w:left="660" w:right="180" w:hanging="328"/>
        <w:spacing w:after="0" w:line="286" w:lineRule="auto"/>
        <w:tabs>
          <w:tab w:leader="none" w:pos="655"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Network Management and Defense: </w:t>
      </w:r>
      <w:r>
        <w:rPr>
          <w:rFonts w:ascii="Arial" w:cs="Arial" w:eastAsia="Arial" w:hAnsi="Arial"/>
          <w:sz w:val="17"/>
          <w:szCs w:val="17"/>
          <w:color w:val="auto"/>
        </w:rPr>
        <w:t>services for operating, administrating, and defending complex enterprise networks and for defensive cyber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operations. Our diverse portfolio of network management and defense capabilities addresses common and uncommon requirements in many industries and disciplines, ranging from the military and government agencies to Fortune 500 companies.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175"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Our business performance continues to be heavily affected by the overall level of U.S. government spending and the alignment of our solutions with the priorities of the U.S. government. U.S. government spending and contracts continue to be affected by the federal budget and appropriations process and related legislation.</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E32E1"/>
        </w:rPr>
        <w:t>Table of Contents</w:t>
      </w:r>
    </w:p>
    <w:p>
      <w:pPr>
        <w:spacing w:after="0" w:line="200" w:lineRule="exact"/>
        <w:rPr>
          <w:sz w:val="20"/>
          <w:szCs w:val="20"/>
          <w:color w:val="auto"/>
        </w:rPr>
      </w:pPr>
    </w:p>
    <w:p>
      <w:pPr>
        <w:spacing w:after="0" w:line="36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Congress could not agree on fiscal year ("FY") 2023 appropriations legislation before the start of the fiscal year on October 1, 2022. As a result, the entire federal government is currently operating under the terms of a continuing resolution ("CR"), which only permits agencies to spend at FY 2022 appropriations levels without any adjustments for the dramatic increase in inflation we have seen over the past year. Moreover, federal departments and agencies are generally precluded from moving forward on new contract starts or accelerating current projects while they are funded by a CR. The current CR runs through December 16, 2022, and it is not clear at this time whether Congress will be able to come to an agreement on appropriations legislation for FY 2023 by then or will have to pass another CR, possibly lasting into January or February 2023. Such continued delays in finalizing FY 2023 appropriations could, in turn, impact future planning by Telos and our government customers.</w:t>
      </w:r>
    </w:p>
    <w:p>
      <w:pPr>
        <w:spacing w:after="0" w:line="1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President’s FY 2023 budget request called for approximately 4% more defense spending than was provided for FY 2022. However, this proposed FY 2023 budget was developed before Russia invaded Ukraine and did not include expenditures related to that ongoing event. The proposed FY 2023 budget also assumed an inflation rate for DoD of 2.2%, which Pentagon officials subsequently acknowledged would need to be adjusted higher. There is significant congressional support for boosting defense spending further to account for these factors and other needs, as demonstrated by the House and Senate versions of the FY 2023 National Defense Authorization Act, which call for authorizing appropriations of $37 billion (House) and $45 billion (Senate) more than proposed by the President’s budget. Actual final appropriations levels for national defense will not be determined until December, at the earliest.</w:t>
      </w:r>
    </w:p>
    <w:p>
      <w:pPr>
        <w:spacing w:after="0" w:line="14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proposed FY 2023 budget also called for an increase in federal civilian agency (non-defense) cybersecurity funding of nearly 11%. The Biden Administration says it is seeking to increase investments across the various civilian federal agencies to help align them to the cybersecurity practices and priorities outlined in the President’s Executive Order 14028, “Improving the Nation’s Cybersecurity.” As with overall defense spending, final appropriations levels for non-defense cybersecurity efforts will not be determined until December, at the earliest. An exception to this is the new four-year, $1 billion State and Local Cybersecurity Grant program, which has already been appropriated and the first year’s funding is now available.</w:t>
      </w:r>
    </w:p>
    <w:p>
      <w:pPr>
        <w:spacing w:after="0" w:line="12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Looking ahead to next year, the Office of Management and Budget ("OMB") has already given federal departments and agencies guidance for cybersecurity priorities to include in their FY 2024 proposed budgets. OMB has directed that agencies prioritize accelerated adoption of the cloud, IT modernization, further private sector collaboration for sector risk management responsibilities and ensuring adequate cyber threat information sharing, and supply chain risk management. These priorities align with the solutions Telos has been developing and bringing to market for the past several years. For example, Xacta, our flagship offering, continues to set the standard for innovative capabilities in managing cyber risk and automating continuous compliance in on-premises, cloud, and hybrid environments. Our cloud practice area includes cloud migration, CloudSecOps, and cloud security compliance to accelerate IT modernization for business and government. Our Telos ACA platform combines decades of information security experience with an extensive background in cyber intelligence to defend enterprises against advanced cyber threats.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Landscape</w:t>
      </w:r>
    </w:p>
    <w:p>
      <w:pPr>
        <w:spacing w:after="0" w:line="171"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In recent years, continuing and increasingly damaging ransomware and other cyberattacks against federal, state and local governments, K-12 and higher education, and private sector enterprises have resulted in intensified efforts to better defend against such attacks. The growing demand for these solutions continues to provide Telos with the privilege of offering our expertise to protect these vitally important organizations.</w:t>
      </w:r>
    </w:p>
    <w:p>
      <w:pPr>
        <w:spacing w:after="0" w:line="1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Ransomware remains arguably the most severe cyber threat to enterprises in the commercial, state, and local government and education sectors. Our Xacta offering empowers these organizations and institutions to maintain a strong cyber risk posture to minimize the risk of ransomware gaining a foothold in their IT environment. Our Telos ACA offering provides real- and near-real-time intelligence into known and unknown threats to give organizations advance warning of ransomware and other threats. Should ransomware get loose in the enterprise network, Telos Ghost, our virtual obfuscation network offering, can hide vital resources from view to prevent the payload from reaching them.</w:t>
      </w:r>
    </w:p>
    <w:p>
      <w:pPr>
        <w:spacing w:after="0" w:line="13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Critical infrastructure and industrial internet of things ("IoT") are among the categories at greatest risk of cyberattacks. Energy, utilities, financial services, and healthcare were among the critical infrastructure sectors that experienced high-profile breaches or ransomware attacks over the past year. Telos Ghost can hide critical IoT and industrial control systems from the public internet to keep them from being compromised. Telos Ghost can also cordon off financial data, medical records, intellectual property, and other crown-jewel assets from visibility or accessibility by adversaries.</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These capabilities are increasingly important, as threat actors continue to breach enterprise networks in spite of access management systems such as virtual private networks and multi-factor authentication. Telos Ghost creates an additional layer of defense against intruders by hiding critical records, information, and applications as well as their users in an anonymous undiscoverable network. Adversaries cannot see them, so they cannot hack them. This also makes Telos Ghost a robust component in a Secure Access Service Edge or Zero Trust Network Access security architecture.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E32E1"/>
        </w:rPr>
        <w:t>Table of Contents</w:t>
      </w:r>
    </w:p>
    <w:p>
      <w:pPr>
        <w:spacing w:after="0" w:line="200" w:lineRule="exact"/>
        <w:rPr>
          <w:sz w:val="20"/>
          <w:szCs w:val="20"/>
          <w:color w:val="auto"/>
        </w:rPr>
      </w:pPr>
    </w:p>
    <w:p>
      <w:pPr>
        <w:spacing w:after="0" w:line="36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Government mandates and initiatives to assure stronger security in highly regulated industries, as noted above, also lead to opportunities for Telos solutions and services. An update to the research study Telos conducted last year reveals that audit fatigue continues to burden these organizations, with automation solutions being recognized as the most effective remedy for the many repetitive and redundant tasks that security compliance requires. Xacta streamlines, harmonizes, and automates the security controls and processes that comprise the leading cybersecurity standards and frameworks, in on-premises, cloud, hybrid, and multi-cloud environments.</w:t>
      </w:r>
    </w:p>
    <w:p>
      <w:pPr>
        <w:spacing w:after="0" w:line="13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example, Xacta supports Federal Risk and Authorization Management Program ("FedRAMP") authorization, allowing all process participants to collaborate within the same Xacta application to attain a FedRAMP Authority to Operate. Xacta is also a trailblazer in deploying the Open Security Controls Assessment Language, a multi-format framework adopted by FedRAMP to allow security professionals to automate security assessment, auditing, and continuous monitoring processes.</w:t>
      </w:r>
    </w:p>
    <w:p>
      <w:pPr>
        <w:spacing w:after="0" w:line="133"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DoD’s emerging Cybersecurity Maturity Model Certification ("CMMC") program is intended to ensure that members of the defense supply chain are applying sound cybersecurity practices in order to protect sensitive unclassified information. Because CMMC 2.0 is still an evolving standard, the flexible Xacta for CMMC offering enables Defense Industrial Base customers to conduct preliminary CMMC compliance audits that assess the maturity level required today as well as build a roadmap to future maturity level requirements. Telos is also a Cyber AB Registered Provider Organization</w:t>
      </w:r>
      <w:r>
        <w:rPr>
          <w:rFonts w:ascii="Arial" w:cs="Arial" w:eastAsia="Arial" w:hAnsi="Arial"/>
          <w:sz w:val="20"/>
          <w:szCs w:val="20"/>
          <w:color w:val="auto"/>
          <w:vertAlign w:val="superscript"/>
        </w:rPr>
        <w:t>™</w:t>
      </w:r>
      <w:r>
        <w:rPr>
          <w:rFonts w:ascii="Arial" w:cs="Arial" w:eastAsia="Arial" w:hAnsi="Arial"/>
          <w:sz w:val="16"/>
          <w:szCs w:val="16"/>
          <w:color w:val="auto"/>
        </w:rPr>
        <w:t>, authorized by The Cyber AB to provide consulting services to government contractors and other companies in preparation for their CMMC assessments.</w:t>
      </w:r>
    </w:p>
    <w:p>
      <w:pPr>
        <w:spacing w:after="0" w:line="11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Finally, CISOs with today’s cost-conscious enterprises are under increasing pressure to provide evidence that their security strategies yield a return on investment. Xacta’s latest cyber risk quantification capabilities meet this need, allowing our customers to calculate inherent risk likelihood, impact, and criticality, shown in a graphic display that illustrates real-time risk posture and visualizes progress over time. In addition, customers can also define their own financial loss formula for customer-specific risk analysis in dollar amounts.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7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With much of the business of government still being conducted by federal employees working remotely through the use of information technology systems, we believe there will continue to be a need on the part of the government for the types of solutions and services provided by Telos.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Backlog is a useful measure in developing our annual budgeted revenue by estimating for the upcoming year, our continuing business from existing customers and active contracts. We consider backlog, both funded and unfunded (as explained below), other expected annual renewals, and expansion planned by our current customers.</w:t>
      </w:r>
    </w:p>
    <w:p>
      <w:pPr>
        <w:spacing w:after="0" w:line="13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Total backlog consists of the aggregate contract revenues remaining to be earned by us at a given time over the life of our contracts, whether funded or unfunded. Funded backlog consists of the aggregate contract revenues remaining to be earned at a given time, which, in the case of U.S. government contracts, means that they have been funded by the procuring agency. Unfunded backlog is the difference between total backlog and funded backlog and includes potential revenues that may be earned if customers exercise delivery orders and/or renewal options to continue these contracts. Based on historical experience, we generally assume option year renewals to be exercised. Most of our customers fund contracts on the basis of one year or less, and, as a result, funded backlog is generally expected to be earned within one year from any point in time, whereas unfunded backlog is expected to be earned over a longer period.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TSA PreCheck</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 xml:space="preserve"> Update</w:t>
      </w:r>
    </w:p>
    <w:p>
      <w:pPr>
        <w:spacing w:after="0" w:line="114" w:lineRule="exact"/>
        <w:rPr>
          <w:sz w:val="20"/>
          <w:szCs w:val="20"/>
          <w:color w:val="auto"/>
        </w:rPr>
      </w:pPr>
    </w:p>
    <w:p>
      <w:pPr>
        <w:ind w:right="180"/>
        <w:spacing w:after="0" w:line="222" w:lineRule="auto"/>
        <w:rPr>
          <w:sz w:val="20"/>
          <w:szCs w:val="20"/>
          <w:color w:val="auto"/>
        </w:rPr>
      </w:pPr>
      <w:r>
        <w:rPr>
          <w:rFonts w:ascii="Arial" w:cs="Arial" w:eastAsia="Arial" w:hAnsi="Arial"/>
          <w:sz w:val="17"/>
          <w:szCs w:val="17"/>
          <w:color w:val="auto"/>
        </w:rPr>
        <w:t>On October 18, 2022, TSA issued an authority to operate to Telos ID for Telos’ PreCheck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System. With TSA approval, Telos is providing its TSA PreCheck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enrollment services for a trial period to a limited population of applicants in order to validate systems and processes in advance of its full implementation as an authorized TSA PreCheck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enrollment provider. Once Telos successfully completes its trial period to the satisfaction of TSA, Telos will launch its services to the public more widely. Telos continues to anticipate this launch will occur in calendar year 2022.</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E32E1"/>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Table MD&amp;A 1: Results of Operations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3200" w:type="dxa"/>
            <w:vAlign w:val="bottom"/>
            <w:tcBorders>
              <w:top w:val="single" w:sz="8" w:color="auto"/>
              <w:bottom w:val="single" w:sz="8" w:color="auto"/>
            </w:tcBorders>
            <w:gridSpan w:val="4"/>
          </w:tcPr>
          <w:p>
            <w:pPr>
              <w:jc w:val="right"/>
              <w:ind w:right="660"/>
              <w:spacing w:after="0"/>
              <w:rPr>
                <w:sz w:val="20"/>
                <w:szCs w:val="20"/>
                <w:color w:val="auto"/>
              </w:rPr>
            </w:pPr>
            <w:r>
              <w:rPr>
                <w:rFonts w:ascii="Arial" w:cs="Arial" w:eastAsia="Arial" w:hAnsi="Arial"/>
                <w:sz w:val="16"/>
                <w:szCs w:val="16"/>
                <w:color w:val="auto"/>
              </w:rPr>
              <w:t>For the Three Months Ended</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220" w:type="dxa"/>
            <w:vAlign w:val="bottom"/>
            <w:tcBorders>
              <w:top w:val="single" w:sz="8" w:color="auto"/>
              <w:bottom w:val="single" w:sz="8" w:color="auto"/>
            </w:tcBorders>
            <w:gridSpan w:val="4"/>
          </w:tcPr>
          <w:p>
            <w:pPr>
              <w:jc w:val="right"/>
              <w:ind w:right="679"/>
              <w:spacing w:after="0"/>
              <w:rPr>
                <w:sz w:val="20"/>
                <w:szCs w:val="20"/>
                <w:color w:val="auto"/>
              </w:rPr>
            </w:pPr>
            <w:r>
              <w:rPr>
                <w:rFonts w:ascii="Arial" w:cs="Arial" w:eastAsia="Arial" w:hAnsi="Arial"/>
                <w:sz w:val="16"/>
                <w:szCs w:val="16"/>
                <w:color w:val="auto"/>
              </w:rPr>
              <w:t>For the Nine Months Ended</w:t>
            </w:r>
          </w:p>
        </w:tc>
        <w:tc>
          <w:tcPr>
            <w:tcW w:w="0" w:type="dxa"/>
            <w:vAlign w:val="bottom"/>
          </w:tcPr>
          <w:p>
            <w:pPr>
              <w:spacing w:after="0"/>
              <w:rPr>
                <w:sz w:val="1"/>
                <w:szCs w:val="1"/>
                <w:color w:val="auto"/>
              </w:rPr>
            </w:pPr>
          </w:p>
        </w:tc>
      </w:tr>
      <w:tr>
        <w:trPr>
          <w:trHeight w:val="210"/>
        </w:trPr>
        <w:tc>
          <w:tcPr>
            <w:tcW w:w="4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1"/>
              </w:rPr>
              <w:t>September 30, 2022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91"/>
              </w:rPr>
              <w:t>September 30, 2021</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91"/>
              </w:rPr>
              <w:t>September 30, 2022</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91"/>
              </w:rPr>
              <w:t>September 30, 2021</w:t>
            </w:r>
          </w:p>
        </w:tc>
        <w:tc>
          <w:tcPr>
            <w:tcW w:w="0" w:type="dxa"/>
            <w:vAlign w:val="bottom"/>
          </w:tcPr>
          <w:p>
            <w:pPr>
              <w:spacing w:after="0"/>
              <w:rPr>
                <w:sz w:val="1"/>
                <w:szCs w:val="1"/>
                <w:color w:val="auto"/>
              </w:rPr>
            </w:pPr>
          </w:p>
        </w:tc>
      </w:tr>
      <w:tr>
        <w:trPr>
          <w:trHeight w:val="214"/>
        </w:trPr>
        <w:tc>
          <w:tcPr>
            <w:tcW w:w="4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gridSpan w:val="5"/>
          </w:tcPr>
          <w:p>
            <w:pPr>
              <w:ind w:left="114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63,593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68,981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169,544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178,383</w:t>
            </w:r>
          </w:p>
        </w:tc>
        <w:tc>
          <w:tcPr>
            <w:tcW w:w="0" w:type="dxa"/>
            <w:vAlign w:val="bottom"/>
          </w:tcPr>
          <w:p>
            <w:pPr>
              <w:spacing w:after="0"/>
              <w:rPr>
                <w:sz w:val="1"/>
                <w:szCs w:val="1"/>
                <w:color w:val="auto"/>
              </w:rPr>
            </w:pPr>
          </w:p>
        </w:tc>
      </w:tr>
      <w:tr>
        <w:trPr>
          <w:trHeight w:val="213"/>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sales</w:t>
            </w: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42,648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44,104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108,799</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116,502</w:t>
            </w:r>
          </w:p>
        </w:tc>
        <w:tc>
          <w:tcPr>
            <w:tcW w:w="0" w:type="dxa"/>
            <w:vAlign w:val="bottom"/>
          </w:tcPr>
          <w:p>
            <w:pPr>
              <w:spacing w:after="0"/>
              <w:rPr>
                <w:sz w:val="1"/>
                <w:szCs w:val="1"/>
                <w:color w:val="auto"/>
              </w:rPr>
            </w:pPr>
          </w:p>
        </w:tc>
      </w:tr>
      <w:tr>
        <w:trPr>
          <w:trHeight w:val="213"/>
        </w:trPr>
        <w:tc>
          <w:tcPr>
            <w:tcW w:w="4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20,945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24,877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60,745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61,881</w:t>
            </w:r>
          </w:p>
        </w:tc>
        <w:tc>
          <w:tcPr>
            <w:tcW w:w="0" w:type="dxa"/>
            <w:vAlign w:val="bottom"/>
          </w:tcPr>
          <w:p>
            <w:pPr>
              <w:spacing w:after="0"/>
              <w:rPr>
                <w:sz w:val="1"/>
                <w:szCs w:val="1"/>
                <w:color w:val="auto"/>
              </w:rPr>
            </w:pPr>
          </w:p>
        </w:tc>
      </w:tr>
      <w:tr>
        <w:trPr>
          <w:trHeight w:val="213"/>
        </w:trPr>
        <w:tc>
          <w:tcPr>
            <w:tcW w:w="4480" w:type="dxa"/>
            <w:vAlign w:val="bottom"/>
            <w:tcBorders>
              <w:bottom w:val="single" w:sz="8" w:color="CCEEFF"/>
            </w:tcBorders>
          </w:tcPr>
          <w:p>
            <w:pPr>
              <w:ind w:left="140"/>
              <w:spacing w:after="0"/>
              <w:rPr>
                <w:sz w:val="20"/>
                <w:szCs w:val="20"/>
                <w:color w:val="auto"/>
              </w:rPr>
            </w:pPr>
            <w:r>
              <w:rPr>
                <w:rFonts w:ascii="Arial" w:cs="Arial" w:eastAsia="Arial" w:hAnsi="Arial"/>
                <w:sz w:val="16"/>
                <w:szCs w:val="16"/>
                <w:b w:val="1"/>
                <w:bCs w:val="1"/>
                <w:i w:val="1"/>
                <w:iCs w:val="1"/>
                <w:color w:val="auto"/>
              </w:rPr>
              <w:t>Gross margin</w:t>
            </w: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i w:val="1"/>
                <w:iCs w:val="1"/>
                <w:color w:val="auto"/>
              </w:rPr>
              <w:t>32.9 %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i w:val="1"/>
                <w:iCs w:val="1"/>
                <w:color w:val="auto"/>
              </w:rPr>
              <w:t>36.1 %</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i w:val="1"/>
                <w:iCs w:val="1"/>
                <w:color w:val="auto"/>
              </w:rPr>
              <w:t>35.8 %</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i w:val="1"/>
                <w:iCs w:val="1"/>
                <w:color w:val="auto"/>
              </w:rPr>
              <w:t>34.7 %</w:t>
            </w:r>
          </w:p>
        </w:tc>
        <w:tc>
          <w:tcPr>
            <w:tcW w:w="0" w:type="dxa"/>
            <w:vAlign w:val="bottom"/>
          </w:tcPr>
          <w:p>
            <w:pPr>
              <w:spacing w:after="0"/>
              <w:rPr>
                <w:sz w:val="1"/>
                <w:szCs w:val="1"/>
                <w:color w:val="auto"/>
              </w:rPr>
            </w:pPr>
          </w:p>
        </w:tc>
      </w:tr>
      <w:tr>
        <w:trPr>
          <w:trHeight w:val="213"/>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28,614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29,965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95,314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97,935</w:t>
            </w:r>
          </w:p>
        </w:tc>
        <w:tc>
          <w:tcPr>
            <w:tcW w:w="0" w:type="dxa"/>
            <w:vAlign w:val="bottom"/>
          </w:tcPr>
          <w:p>
            <w:pPr>
              <w:spacing w:after="0"/>
              <w:rPr>
                <w:sz w:val="1"/>
                <w:szCs w:val="1"/>
                <w:color w:val="auto"/>
              </w:rPr>
            </w:pPr>
          </w:p>
        </w:tc>
      </w:tr>
      <w:tr>
        <w:trPr>
          <w:trHeight w:val="166"/>
        </w:trPr>
        <w:tc>
          <w:tcPr>
            <w:tcW w:w="4480" w:type="dxa"/>
            <w:vAlign w:val="bottom"/>
          </w:tcPr>
          <w:p>
            <w:pPr>
              <w:ind w:left="20"/>
              <w:spacing w:after="0" w:line="166" w:lineRule="exact"/>
              <w:rPr>
                <w:sz w:val="20"/>
                <w:szCs w:val="20"/>
                <w:color w:val="auto"/>
              </w:rPr>
            </w:pPr>
            <w:r>
              <w:rPr>
                <w:rFonts w:ascii="Arial" w:cs="Arial" w:eastAsia="Arial" w:hAnsi="Arial"/>
                <w:sz w:val="16"/>
                <w:szCs w:val="16"/>
                <w:b w:val="1"/>
                <w:bCs w:val="1"/>
                <w:i w:val="1"/>
                <w:iCs w:val="1"/>
                <w:color w:val="auto"/>
                <w:w w:val="93"/>
              </w:rPr>
              <w:t>Selling, general and administrative expenses as percentage of</w:t>
            </w:r>
          </w:p>
        </w:tc>
        <w:tc>
          <w:tcPr>
            <w:tcW w:w="14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b w:val="1"/>
                <w:bCs w:val="1"/>
                <w:i w:val="1"/>
                <w:iCs w:val="1"/>
                <w:color w:val="auto"/>
              </w:rPr>
              <w:t>45.0 %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b w:val="1"/>
                <w:bCs w:val="1"/>
                <w:i w:val="1"/>
                <w:iCs w:val="1"/>
                <w:color w:val="auto"/>
              </w:rPr>
              <w:t>43.4 %</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b w:val="1"/>
                <w:bCs w:val="1"/>
                <w:i w:val="1"/>
                <w:iCs w:val="1"/>
                <w:color w:val="auto"/>
              </w:rPr>
              <w:t>56.2 %</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b w:val="1"/>
                <w:bCs w:val="1"/>
                <w:i w:val="1"/>
                <w:iCs w:val="1"/>
                <w:color w:val="auto"/>
              </w:rPr>
              <w:t>54.9 %</w:t>
            </w:r>
          </w:p>
        </w:tc>
        <w:tc>
          <w:tcPr>
            <w:tcW w:w="0" w:type="dxa"/>
            <w:vAlign w:val="bottom"/>
          </w:tcPr>
          <w:p>
            <w:pPr>
              <w:spacing w:after="0"/>
              <w:rPr>
                <w:sz w:val="1"/>
                <w:szCs w:val="1"/>
                <w:color w:val="auto"/>
              </w:rPr>
            </w:pPr>
          </w:p>
        </w:tc>
      </w:tr>
      <w:tr>
        <w:trPr>
          <w:trHeight w:val="209"/>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i w:val="1"/>
                <w:iCs w:val="1"/>
                <w:color w:val="auto"/>
              </w:rPr>
              <w:t>revenue</w:t>
            </w: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loss</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(7,669)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(5,088)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(34,569)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(36,054)</w:t>
            </w:r>
          </w:p>
        </w:tc>
        <w:tc>
          <w:tcPr>
            <w:tcW w:w="0" w:type="dxa"/>
            <w:vAlign w:val="bottom"/>
          </w:tcPr>
          <w:p>
            <w:pPr>
              <w:spacing w:after="0"/>
              <w:rPr>
                <w:sz w:val="1"/>
                <w:szCs w:val="1"/>
                <w:color w:val="auto"/>
              </w:rPr>
            </w:pPr>
          </w:p>
        </w:tc>
      </w:tr>
      <w:tr>
        <w:trPr>
          <w:trHeight w:val="213"/>
        </w:trPr>
        <w:tc>
          <w:tcPr>
            <w:tcW w:w="4480" w:type="dxa"/>
            <w:vAlign w:val="bottom"/>
          </w:tcPr>
          <w:p>
            <w:pPr>
              <w:ind w:left="140"/>
              <w:spacing w:after="0"/>
              <w:rPr>
                <w:sz w:val="20"/>
                <w:szCs w:val="20"/>
                <w:color w:val="auto"/>
              </w:rPr>
            </w:pPr>
            <w:r>
              <w:rPr>
                <w:rFonts w:ascii="Arial" w:cs="Arial" w:eastAsia="Arial" w:hAnsi="Arial"/>
                <w:sz w:val="16"/>
                <w:szCs w:val="16"/>
                <w:color w:val="auto"/>
              </w:rPr>
              <w:t>Other income/(expense)</w:t>
            </w:r>
          </w:p>
        </w:tc>
        <w:tc>
          <w:tcPr>
            <w:tcW w:w="14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518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140"/>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119"/>
              <w:spacing w:after="0"/>
              <w:rPr>
                <w:sz w:val="20"/>
                <w:szCs w:val="20"/>
                <w:color w:val="auto"/>
              </w:rPr>
            </w:pPr>
            <w:r>
              <w:rPr>
                <w:rFonts w:ascii="Arial" w:cs="Arial" w:eastAsia="Arial" w:hAnsi="Arial"/>
                <w:sz w:val="16"/>
                <w:szCs w:val="16"/>
                <w:color w:val="auto"/>
              </w:rPr>
              <w:t>648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(1,001)</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(195)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(558)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(583)</w:t>
            </w:r>
          </w:p>
        </w:tc>
        <w:tc>
          <w:tcPr>
            <w:tcW w:w="0" w:type="dxa"/>
            <w:vAlign w:val="bottom"/>
          </w:tcPr>
          <w:p>
            <w:pPr>
              <w:spacing w:after="0"/>
              <w:rPr>
                <w:sz w:val="1"/>
                <w:szCs w:val="1"/>
                <w:color w:val="auto"/>
              </w:rPr>
            </w:pPr>
          </w:p>
        </w:tc>
      </w:tr>
      <w:tr>
        <w:trPr>
          <w:trHeight w:val="207"/>
        </w:trPr>
        <w:tc>
          <w:tcPr>
            <w:tcW w:w="448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140" w:type="dxa"/>
            <w:vAlign w:val="bottom"/>
          </w:tcPr>
          <w:p>
            <w:pPr>
              <w:spacing w:after="0"/>
              <w:rPr>
                <w:sz w:val="17"/>
                <w:szCs w:val="17"/>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(7,332)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100"/>
              <w:spacing w:after="0"/>
              <w:rPr>
                <w:sz w:val="20"/>
                <w:szCs w:val="20"/>
                <w:color w:val="auto"/>
              </w:rPr>
            </w:pPr>
            <w:r>
              <w:rPr>
                <w:rFonts w:ascii="Arial" w:cs="Arial" w:eastAsia="Arial" w:hAnsi="Arial"/>
                <w:sz w:val="16"/>
                <w:szCs w:val="16"/>
                <w:color w:val="auto"/>
              </w:rPr>
              <w:t>(5,263)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(34,479)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(37,638)</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(Provision for)/benefit from income taxes</w:t>
            </w: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41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(133)</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Arial" w:cs="Arial" w:eastAsia="Arial" w:hAnsi="Arial"/>
                <w:sz w:val="16"/>
                <w:szCs w:val="16"/>
                <w:color w:val="auto"/>
              </w:rPr>
              <w:t>Net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(7,340)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(5,222)</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(34,612)</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(37,644)</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Results</w:t>
      </w:r>
    </w:p>
    <w:p>
      <w:pPr>
        <w:spacing w:after="0" w:line="171"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We generate revenue from the delivery of products and services to our customers. The discussion of material changes in our net revenue should be read in conjunction with the subsequent discussion of changes in our consolidated cost of sales and our business segment results of operations. Cost of sales, for both services and products, consists of material, labor, subcontracting costs and an allocation of indirect costs.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2022, Compared with Three Months Ended September 30, 2021</w:t>
      </w:r>
    </w:p>
    <w:p>
      <w:pPr>
        <w:spacing w:after="0" w:line="17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For the three months ended September 30, 2022, revenue decreased by $5.4 million, or 7.8%, compared to the same period in 2021. The decrease in revenue was primarily due to a large program that ended in 2021 within Security Solutions and the expected wind-down of large programs within Secure Networks.</w:t>
      </w:r>
    </w:p>
    <w:p>
      <w:pPr>
        <w:spacing w:after="0" w:line="130"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Cost of sales decreased by $1.5 million, or 3.3%, for the third quarter of 2022 compared to the same period in 2021, primarily as a result of decreased revenue, reduced costs across the Secure Networks portfolio, and revenue mix, offset by increased investment in a single large program in Security Solutions.</w:t>
      </w:r>
    </w:p>
    <w:p>
      <w:pPr>
        <w:spacing w:after="0" w:line="13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Gross profit decreased by $3.9 million, or 15.8%, in the third quarter of 2022 compared to the same period in 2021. Gross margin decreased from 36.1% to 32.9% for the third quarter of 2022 compared to the same period in 2021. This is primarily due to higher investment in a single large program in Security Solutions, offset by higher gross margins in Secure Networks due to broad-based margin performance across the portfolio, and a slight shift in revenue mix towards Security Solutions.</w:t>
      </w:r>
    </w:p>
    <w:p>
      <w:pPr>
        <w:spacing w:after="0" w:line="13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Selling, general, and administrative (“SG&amp;A”) expenses decreased by $1.4 million, or 4.5%, in the third quarter of 2022 compared to the same period in 2021, primarily attributable to the cost actions, offset by an increase in stock-based compensation.</w:t>
      </w:r>
    </w:p>
    <w:p>
      <w:pPr>
        <w:spacing w:after="0" w:line="11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Operating loss was $7.7 million for the third quarter of 2022, compared to $5.1 million for the same period in 2021, primarily due to the decrease in gross profit in the third quarter of 2022, as mentioned above, offset by the decrease in SG&amp;A expenses.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significant changes in interest expense, and other income and expenses between the comparable periods.</w:t>
      </w:r>
    </w:p>
    <w:p>
      <w:pPr>
        <w:spacing w:after="0" w:line="17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change in the income tax provision for the third quarter of 2022 compared to the same period in 2021 is based on the estimated annual effective tax rate applied to the pretax loss incurred for the quarter plus discrete tax items, based on our expectation of pretax loss for the fiscal year.</w:t>
      </w:r>
    </w:p>
    <w:p>
      <w:pPr>
        <w:spacing w:after="0" w:line="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Net loss was $7.3 million for the third quarter of 2022, compared to $5.2 million for the same period in 2021, primarily due to the decrease in gross profit, offset by the decrease in SG&amp;A expenses.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E32E1"/>
        </w:rPr>
        <w:t>Table of Contents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2022, Compared with Nine Months Ended September 30, 2021</w:t>
      </w:r>
    </w:p>
    <w:p>
      <w:pPr>
        <w:spacing w:after="0" w:line="17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Revenue decreased by $8.8 million, or 5.0%, during the nine months ended September 30, 2022 compared to the same period in 2021. The decrease is the result of the end of a large program in 2021 in Security Solutions and the expected wind-down of large programs in Secure Networks, offset by other increases across the portfolio.</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Cost of sales decreased by $7.7 million, or 6.6%, for the nine months ended September 30, 2022, compared to the same period in 2021, primarily as a result of decreased revenue, reduced costs across the portfolio, and revenue mix.</w:t>
      </w:r>
    </w:p>
    <w:p>
      <w:pPr>
        <w:spacing w:after="0" w:line="11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Gross profit decreased by $1.1 million, or 1.8%, for the nine months ended September 30, 2022, compared to the same period in 2021. Gross margin increased from 34.7% to 35.8% for the comparable periods due to broad-based margin performance across the portfolio and a shift in revenue mix toward Security Solutions.</w:t>
      </w:r>
    </w:p>
    <w:p>
      <w:pPr>
        <w:spacing w:after="0" w:line="13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SG&amp;A expense decreased by 2.7% to $95.3 million for the nine months ended September 30, 2022, from $97.9 million for the same period in 2021, primarily due to reduced stock-based compensation.</w:t>
      </w:r>
    </w:p>
    <w:p>
      <w:pPr>
        <w:spacing w:after="0" w:line="11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Operating loss was $34.6 million for the nine months ended September 30, 2022, compared to $36.1 million for the same period in 2021, primarily due to the decreases in SG&amp;A expense, offset by the decrease in gross profit described above.</w:t>
      </w:r>
    </w:p>
    <w:p>
      <w:pPr>
        <w:spacing w:after="0" w:line="11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Other expense of $1.0 million for the nine months ended September 30, 2021, was attributable to an accrual for a litigation settlement agreement, with no similar cost in 2022. There was no significant change in interest expense between comparable periods.</w:t>
      </w:r>
    </w:p>
    <w:p>
      <w:pPr>
        <w:spacing w:after="0" w:line="11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increase in the income tax provision for the nine months ended September 30, 2022, compared to the same period in 2021, is based on the estimated annual effective tax rate applied to the pretax loss incurred for the nine months plus discrete tax items, based on our expectation of pretax loss for the fiscal year.</w:t>
      </w:r>
    </w:p>
    <w:p>
      <w:pPr>
        <w:spacing w:after="0" w:line="13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Net loss was $34.6 million for the nine months ended September 30, 2022, compared to $37.6 million for the same period in 2021, primarily attributable to the decrease in SG&amp;A expenses coupled by the change in other expenses mentioned above, offset by the decrease in gross profit.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accounting policies of each business segment are the same as those followed by the Company as a whole. Management evaluates business segment performance based on gross profit.</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Table MD&amp;A 2: Security Solutions Segment - Financial Results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4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100" w:type="dxa"/>
            <w:vAlign w:val="bottom"/>
            <w:tcBorders>
              <w:top w:val="single" w:sz="8" w:color="auto"/>
              <w:bottom w:val="single" w:sz="8" w:color="auto"/>
            </w:tcBorders>
            <w:gridSpan w:val="4"/>
          </w:tcPr>
          <w:p>
            <w:pPr>
              <w:jc w:val="right"/>
              <w:ind w:right="581"/>
              <w:spacing w:after="0"/>
              <w:rPr>
                <w:sz w:val="20"/>
                <w:szCs w:val="20"/>
                <w:color w:val="auto"/>
              </w:rPr>
            </w:pPr>
            <w:r>
              <w:rPr>
                <w:rFonts w:ascii="Arial" w:cs="Arial" w:eastAsia="Arial" w:hAnsi="Arial"/>
                <w:sz w:val="16"/>
                <w:szCs w:val="16"/>
                <w:color w:val="auto"/>
              </w:rPr>
              <w:t>For the Three Months Ended</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100" w:type="dxa"/>
            <w:vAlign w:val="bottom"/>
            <w:tcBorders>
              <w:top w:val="single" w:sz="8" w:color="auto"/>
              <w:bottom w:val="single" w:sz="8" w:color="auto"/>
            </w:tcBorders>
            <w:gridSpan w:val="4"/>
          </w:tcPr>
          <w:p>
            <w:pPr>
              <w:jc w:val="right"/>
              <w:ind w:right="619"/>
              <w:spacing w:after="0"/>
              <w:rPr>
                <w:sz w:val="20"/>
                <w:szCs w:val="20"/>
                <w:color w:val="auto"/>
              </w:rPr>
            </w:pPr>
            <w:r>
              <w:rPr>
                <w:rFonts w:ascii="Arial" w:cs="Arial" w:eastAsia="Arial" w:hAnsi="Arial"/>
                <w:sz w:val="16"/>
                <w:szCs w:val="16"/>
                <w:color w:val="auto"/>
              </w:rPr>
              <w:t>For the Nine Months Ended</w:t>
            </w:r>
          </w:p>
        </w:tc>
      </w:tr>
      <w:tr>
        <w:trPr>
          <w:trHeight w:val="209"/>
        </w:trPr>
        <w:tc>
          <w:tcPr>
            <w:tcW w:w="4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September 30, 2022</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September 30, 2021</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September 30, 2022</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September 30, 2021</w:t>
            </w:r>
          </w:p>
        </w:tc>
      </w:tr>
      <w:tr>
        <w:trPr>
          <w:trHeight w:val="214"/>
        </w:trPr>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5"/>
          </w:tcPr>
          <w:p>
            <w:pPr>
              <w:ind w:left="108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5"/>
        </w:trPr>
        <w:tc>
          <w:tcPr>
            <w:tcW w:w="4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89,624</w:t>
            </w: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15,577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19,517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47,062</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46,032</w:t>
            </w: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Gross margin</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i w:val="1"/>
                <w:iCs w:val="1"/>
                <w:color w:val="auto"/>
              </w:rPr>
              <w:t>48.0 %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41"/>
              <w:spacing w:after="0"/>
              <w:rPr>
                <w:sz w:val="20"/>
                <w:szCs w:val="20"/>
                <w:color w:val="auto"/>
              </w:rPr>
            </w:pPr>
            <w:r>
              <w:rPr>
                <w:rFonts w:ascii="Arial" w:cs="Arial" w:eastAsia="Arial" w:hAnsi="Arial"/>
                <w:sz w:val="16"/>
                <w:szCs w:val="16"/>
                <w:i w:val="1"/>
                <w:iCs w:val="1"/>
                <w:color w:val="auto"/>
              </w:rPr>
              <w:t>56.5 %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i w:val="1"/>
                <w:iCs w:val="1"/>
                <w:color w:val="auto"/>
              </w:rPr>
              <w:t>52.2 %</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i w:val="1"/>
                <w:iCs w:val="1"/>
                <w:color w:val="auto"/>
              </w:rPr>
              <w:t>51.4 %</w:t>
            </w:r>
          </w:p>
        </w:tc>
      </w:tr>
    </w:tbl>
    <w:p>
      <w:pPr>
        <w:spacing w:after="0" w:line="24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the three months ended September 30, 2022, Security Solutions' revenue decreased by $2.1 million, or 6.1%, compared to the same period in 2021. The reduction was primarily attributable to a large program that ended in 2021 and a decrease in another large program within the portfolio.</w:t>
      </w:r>
    </w:p>
    <w:p>
      <w:pPr>
        <w:spacing w:after="0" w:line="92" w:lineRule="exact"/>
        <w:rPr>
          <w:sz w:val="20"/>
          <w:szCs w:val="20"/>
          <w:color w:val="auto"/>
        </w:rPr>
      </w:pPr>
    </w:p>
    <w:p>
      <w:pPr>
        <w:jc w:val="both"/>
        <w:ind w:right="160"/>
        <w:spacing w:after="0" w:line="342" w:lineRule="auto"/>
        <w:rPr>
          <w:sz w:val="20"/>
          <w:szCs w:val="20"/>
          <w:color w:val="auto"/>
        </w:rPr>
      </w:pPr>
      <w:r>
        <w:rPr>
          <w:rFonts w:ascii="Arial" w:cs="Arial" w:eastAsia="Arial" w:hAnsi="Arial"/>
          <w:sz w:val="16"/>
          <w:szCs w:val="16"/>
          <w:color w:val="auto"/>
        </w:rPr>
        <w:t>Security Solutions' gross profit for the third quarter of 2022 decreased by $3.9 million, or 20.2%, compared to the same period in 2021. Gross margin for the quarter decreased from 56.5% in 2021 to 48.0% in 2022 due to higher investment in a single large program and revenue mix shift within the portfolio.</w:t>
      </w:r>
    </w:p>
    <w:p>
      <w:pPr>
        <w:spacing w:after="0" w:line="7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Revenue for the nine months ended September 30, 2022, slightly increased by $0.6 million, or 0.6%, compared to the same period in 2021. This is due to broad based increases across the segment portfolio, offset by a decrease in revenue from a program that ended in 2021.</w:t>
      </w:r>
    </w:p>
    <w:p>
      <w:pPr>
        <w:spacing w:after="0" w:line="92"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Security Solutions' gross profit for the nine months ended September 30, 2022, increased by $1.0 million, or 2.2%, compared to the same period in 2021. Segment gross margin also increased from 51.4% in 2021 to 52.2% in 2022. The segment's profitability improvement was primarily due to a revenue mix shift within the business, along with some minor margin improvements in certain portions of the portfolio.</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Table MD&amp;A 3: Secure Networks Segment - Financial Results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4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100" w:type="dxa"/>
            <w:vAlign w:val="bottom"/>
            <w:tcBorders>
              <w:top w:val="single" w:sz="8" w:color="auto"/>
              <w:bottom w:val="single" w:sz="8" w:color="auto"/>
            </w:tcBorders>
            <w:gridSpan w:val="4"/>
          </w:tcPr>
          <w:p>
            <w:pPr>
              <w:jc w:val="right"/>
              <w:ind w:right="581"/>
              <w:spacing w:after="0"/>
              <w:rPr>
                <w:sz w:val="20"/>
                <w:szCs w:val="20"/>
                <w:color w:val="auto"/>
              </w:rPr>
            </w:pPr>
            <w:r>
              <w:rPr>
                <w:rFonts w:ascii="Arial" w:cs="Arial" w:eastAsia="Arial" w:hAnsi="Arial"/>
                <w:sz w:val="16"/>
                <w:szCs w:val="16"/>
                <w:color w:val="auto"/>
              </w:rPr>
              <w:t>For the Three Months Ended</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100" w:type="dxa"/>
            <w:vAlign w:val="bottom"/>
            <w:tcBorders>
              <w:top w:val="single" w:sz="8" w:color="auto"/>
              <w:bottom w:val="single" w:sz="8" w:color="auto"/>
            </w:tcBorders>
            <w:gridSpan w:val="4"/>
          </w:tcPr>
          <w:p>
            <w:pPr>
              <w:jc w:val="right"/>
              <w:ind w:right="619"/>
              <w:spacing w:after="0"/>
              <w:rPr>
                <w:sz w:val="20"/>
                <w:szCs w:val="20"/>
                <w:color w:val="auto"/>
              </w:rPr>
            </w:pPr>
            <w:r>
              <w:rPr>
                <w:rFonts w:ascii="Arial" w:cs="Arial" w:eastAsia="Arial" w:hAnsi="Arial"/>
                <w:sz w:val="16"/>
                <w:szCs w:val="16"/>
                <w:color w:val="auto"/>
              </w:rPr>
              <w:t>For the Nine Months Ended</w:t>
            </w:r>
          </w:p>
        </w:tc>
      </w:tr>
      <w:tr>
        <w:trPr>
          <w:trHeight w:val="209"/>
        </w:trPr>
        <w:tc>
          <w:tcPr>
            <w:tcW w:w="4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September 30, 2022</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September 30, 2021</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September 30, 2022</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September 30, 2021</w:t>
            </w:r>
          </w:p>
        </w:tc>
      </w:tr>
      <w:tr>
        <w:trPr>
          <w:trHeight w:val="214"/>
        </w:trPr>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5"/>
          </w:tcPr>
          <w:p>
            <w:pPr>
              <w:ind w:left="108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6"/>
        </w:trPr>
        <w:tc>
          <w:tcPr>
            <w:tcW w:w="4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88,759</w:t>
            </w: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5,368</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5,360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13,683</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15,849</w:t>
            </w: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17.2 %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15.6 %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17.2 %</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17.9 %</w:t>
            </w:r>
          </w:p>
        </w:tc>
      </w:tr>
    </w:tbl>
    <w:p>
      <w:pPr>
        <w:spacing w:after="0" w:line="24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Secure Networks' revenue for the third quarter of 2022 decreased by $3.3 million, or 9.5%, compared to the same period in 2021. This was driven by the expected wind-down of large programs within the portfolio.</w:t>
      </w:r>
    </w:p>
    <w:p>
      <w:pPr>
        <w:spacing w:after="0" w:line="11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While revenue decreased in the third quarter of 2022, Secure Networks' gross profit remained at approximately $5.4 million during the comparable periods. Segment gross margin increased between comparable periods from 15.6% in 2021 to 17.2% in 2022 due to broad-based margin performance across the portfolio.</w:t>
      </w:r>
    </w:p>
    <w:p>
      <w:pPr>
        <w:spacing w:after="0" w:line="1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the nine months ended September 30, 2022, Secure Networks' revenue decreased by $9.4 million, or 10.6%, compared to the same period in 2021, due to the expected wind-down of large programs.</w:t>
      </w:r>
    </w:p>
    <w:p>
      <w:pPr>
        <w:spacing w:after="0" w:line="116"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Gross profit for Secure Networks for the nine months ended September 30, 2022, decreased by $2.2 million, or 13.7%, compared to the same period in 2021, primarily as a result of the decline in year-to-date segment revenue. Segment gross margin decreased between comparable periods from 17.9% in 2021 to 17.2% in 2022 due to minor margin reductions across the portfolio.</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addition to our results determined in accordance with GAAP, we believe the non-GAAP financial measures of Enterprise EBITDA, Adjusted EBITDA, Adjusted EBITDA Margin, Adjusted Net Income (Loss), Adjusted Earnings Per Share ("EPS") and Free Cash Flow are useful in evaluating our operating performance. We believe that this non-GAAP financial information, when taken collectively with our GAAP results, may be helpful to readers of our financial statements because it provides consistency and comparability with past financial performance and assists in comparisons with other companies, some of which use similar non-GAAP financial information to supplement their GAAP results. The non-GAAP financial information is presented for supplemental informational purposes only, should not be considered a substitute for financial information presented in accordance with GAAP, and may be different from similarly titled non-GAAP measures used by other companies. A reconciliation is provided below for each of these non-GAAP financial measures to the most directly comparable financial measure stated in accordance with GAAP.</w:t>
      </w:r>
    </w:p>
    <w:p>
      <w:pPr>
        <w:spacing w:after="0" w:line="12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use the following non-GAAP financial measures to understand and evaluate our core operating performance and trends, to prepare and approve our annual budget, to develop short-term and long-term operating plans, and to evaluate the performance of certain management personnel when determining incentive compensation. We believe these non-GAAP financial measures facilitate comparison of our operating performance on a consistent basis between periods by excluding certain items that may, or could, have a disproportionately positive or negative impact on our results of operations in any particular period. When viewed in combination with our results prepared in accordance with GAAP, these non-GAAP financial measures help provide a broader picture of factors and trends affecting our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EBITDA, Adjusted EBITDA and Adjusted EBITDA Margin</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Enterprise EBITDA, Adjusted EBITDA and Adjusted EBITDA Margin are supplemental measures of operating performance that are not made under GAAP and that do not represent, and should not be considered as an alternative to net (loss) income and net (loss) income margin, as determined by GAAP. We define Enterprise EBITDA as net (loss) income, adjusted for non-operating expense (income), interest expense, provision for (benefit from) income taxes, and depreciation and amortization. We define Adjusted EBITDA as Enterprise EBITDA, adjusted for stock-based compensation expense. We define Adjusted EBITDA margin as adjusted EBITDA as a percentage of total revenue.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Table MD&amp;A 4: Reconciliation of Net Loss to Enterprise EBITDA, Adjusted EBITDA and Adjusted EBITDA Margin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1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198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6"/>
                <w:szCs w:val="16"/>
                <w:color w:val="auto"/>
                <w:w w:val="91"/>
              </w:rPr>
              <w:t>For the Three Months Ended</w:t>
            </w: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2100" w:type="dxa"/>
            <w:vAlign w:val="bottom"/>
            <w:tcBorders>
              <w:top w:val="single" w:sz="8" w:color="auto"/>
              <w:bottom w:val="single" w:sz="8" w:color="auto"/>
            </w:tcBorders>
            <w:gridSpan w:val="6"/>
          </w:tcPr>
          <w:p>
            <w:pPr>
              <w:ind w:left="60"/>
              <w:spacing w:after="0"/>
              <w:rPr>
                <w:sz w:val="20"/>
                <w:szCs w:val="20"/>
                <w:color w:val="auto"/>
              </w:rPr>
            </w:pPr>
            <w:r>
              <w:rPr>
                <w:rFonts w:ascii="Arial" w:cs="Arial" w:eastAsia="Arial" w:hAnsi="Arial"/>
                <w:sz w:val="16"/>
                <w:szCs w:val="16"/>
                <w:color w:val="auto"/>
              </w:rPr>
              <w:t>For the Nine Months Ended</w:t>
            </w:r>
          </w:p>
        </w:tc>
        <w:tc>
          <w:tcPr>
            <w:tcW w:w="840" w:type="dxa"/>
            <w:vAlign w:val="bottom"/>
            <w:tcBorders>
              <w:top w:val="single" w:sz="8" w:color="auto"/>
              <w:bottom w:val="single" w:sz="8" w:color="auto"/>
            </w:tcBorders>
          </w:tcPr>
          <w:p>
            <w:pPr>
              <w:spacing w:after="0"/>
              <w:rPr>
                <w:sz w:val="18"/>
                <w:szCs w:val="18"/>
                <w:color w:val="auto"/>
              </w:rPr>
            </w:pPr>
          </w:p>
        </w:tc>
      </w:tr>
      <w:tr>
        <w:trPr>
          <w:trHeight w:val="210"/>
        </w:trPr>
        <w:tc>
          <w:tcPr>
            <w:tcW w:w="3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color w:val="auto"/>
                <w:w w:val="97"/>
              </w:rPr>
              <w:t>September 30, 2022</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color w:val="auto"/>
                <w:w w:val="99"/>
              </w:rPr>
              <w:t>September 30, 2021</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6"/>
                <w:szCs w:val="16"/>
                <w:color w:val="auto"/>
                <w:w w:val="99"/>
              </w:rPr>
              <w:t>September 30, 2022</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6"/>
                <w:szCs w:val="16"/>
                <w:color w:val="auto"/>
                <w:w w:val="97"/>
              </w:rPr>
              <w:t>September 30, 2021</w:t>
            </w:r>
          </w:p>
        </w:tc>
      </w:tr>
      <w:tr>
        <w:trPr>
          <w:trHeight w:val="210"/>
        </w:trPr>
        <w:tc>
          <w:tcPr>
            <w:tcW w:w="3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Amount</w:t>
            </w:r>
          </w:p>
        </w:tc>
        <w:tc>
          <w:tcPr>
            <w:tcW w:w="80" w:type="dxa"/>
            <w:vAlign w:val="bottom"/>
          </w:tcPr>
          <w:p>
            <w:pPr>
              <w:spacing w:after="0"/>
              <w:rPr>
                <w:sz w:val="18"/>
                <w:szCs w:val="18"/>
                <w:color w:val="auto"/>
              </w:rPr>
            </w:pP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Margin</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Amount</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Margin</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Amount</w:t>
            </w:r>
          </w:p>
        </w:tc>
        <w:tc>
          <w:tcPr>
            <w:tcW w:w="80" w:type="dxa"/>
            <w:vAlign w:val="bottom"/>
          </w:tcPr>
          <w:p>
            <w:pPr>
              <w:spacing w:after="0"/>
              <w:rPr>
                <w:sz w:val="18"/>
                <w:szCs w:val="18"/>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Margin</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Amount</w:t>
            </w:r>
          </w:p>
        </w:tc>
        <w:tc>
          <w:tcPr>
            <w:tcW w:w="80" w:type="dxa"/>
            <w:vAlign w:val="bottom"/>
          </w:tcPr>
          <w:p>
            <w:pPr>
              <w:spacing w:after="0"/>
              <w:rPr>
                <w:sz w:val="18"/>
                <w:szCs w:val="18"/>
                <w:color w:val="auto"/>
              </w:rPr>
            </w:pP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Margin</w:t>
            </w:r>
          </w:p>
        </w:tc>
      </w:tr>
      <w:tr>
        <w:trPr>
          <w:trHeight w:val="250"/>
        </w:trPr>
        <w:tc>
          <w:tcPr>
            <w:tcW w:w="3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20" w:type="dxa"/>
            <w:vAlign w:val="bottom"/>
            <w:gridSpan w:val="3"/>
          </w:tcPr>
          <w:p>
            <w:pPr>
              <w:ind w:left="80"/>
              <w:spacing w:after="0"/>
              <w:rPr>
                <w:sz w:val="20"/>
                <w:szCs w:val="20"/>
                <w:color w:val="auto"/>
              </w:rPr>
            </w:pPr>
            <w:r>
              <w:rPr>
                <w:rFonts w:ascii="Arial" w:cs="Arial" w:eastAsia="Arial" w:hAnsi="Arial"/>
                <w:sz w:val="16"/>
                <w:szCs w:val="16"/>
                <w:i w:val="1"/>
                <w:iCs w:val="1"/>
                <w:color w:val="auto"/>
                <w:w w:val="90"/>
              </w:rPr>
              <w:t>(in thousands)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19"/>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(34,612)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(37,644)</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r>
      <w:tr>
        <w:trPr>
          <w:trHeight w:val="213"/>
        </w:trPr>
        <w:tc>
          <w:tcPr>
            <w:tcW w:w="310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3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Non-operating (income)/expense</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0.6 %</w:t>
            </w:r>
          </w:p>
        </w:tc>
      </w:tr>
      <w:tr>
        <w:trPr>
          <w:trHeight w:val="213"/>
        </w:trPr>
        <w:tc>
          <w:tcPr>
            <w:tcW w:w="310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181</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0.3 %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195</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0.3 %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558</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0.3 %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583</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0.3 %</w:t>
            </w:r>
          </w:p>
        </w:tc>
      </w:tr>
      <w:tr>
        <w:trPr>
          <w:trHeight w:val="219"/>
        </w:trPr>
        <w:tc>
          <w:tcPr>
            <w:tcW w:w="3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Provision for/(benefit from) income taxes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3"/>
        </w:trPr>
        <w:tc>
          <w:tcPr>
            <w:tcW w:w="31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1,517</w:t>
            </w: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2.4 %</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1,459</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2.1 %</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4,427</w:t>
            </w: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2.6 %</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4,223</w:t>
            </w: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2.4 %</w:t>
            </w:r>
          </w:p>
        </w:tc>
      </w:tr>
      <w:tr>
        <w:trPr>
          <w:trHeight w:val="213"/>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Enterprise EBITDA</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(30,142)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(31,831)</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r>
      <w:tr>
        <w:trPr>
          <w:trHeight w:val="216"/>
        </w:trPr>
        <w:tc>
          <w:tcPr>
            <w:tcW w:w="310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(1)</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14,721</w:t>
            </w: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23.1 %</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12,372</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17.9 %</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44,225</w:t>
            </w: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26.1 %</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47,378</w:t>
            </w: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26.5 %</w:t>
            </w: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13.5 %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12.7 %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15,547</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8.7 %</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40" w:right="80" w:hanging="332"/>
        <w:spacing w:after="0" w:line="289" w:lineRule="auto"/>
        <w:tabs>
          <w:tab w:leader="none" w:pos="332"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stock-based compensation adjustment to EBITDA for the three and nine months ended September 30, 2022, is made up of $15.0 million and $42.2 million, respectively, of stock-based compensation expenses for the awarded RSUs and PRSUs, and $(0.3) million and $2.0 million, respectively, of other sources of stock-based compensation (adjustment)/expense. The other source of stock-based compensation consists of accrued compensation, which the Company intends to settle in shares of the Company's common stock. However, it is the Company's discretion whether this compensation will ultimately be paid in stock or cash. The Company has the right to dictate the form of these payments up until the date at which they are paid. Any change to the expected payment form would result in a change of estimate that would add back to Adjusted EBITDA.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 (Loss) and Adjusted EPS</w:t>
      </w:r>
    </w:p>
    <w:p>
      <w:pPr>
        <w:spacing w:after="0" w:line="17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Adjusted Net Income (Loss) and Adjusted EPS are supplemental measures of operating performance that are not made under GAAP and that do not represent, and should not be considered as an alternatives to net income (loss) and earnings (loss) per share, as determined by GAAP. We define Adjusted Net Income (Loss) as net income (loss), adjusted for non-operating expense (income) and stock-based compensation expense. We define Adjusted EPS as Adjusted Net Income (Loss) divided by the weighted-average number of common shares outstanding for the period.</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Table MD&amp;A 5: Reconciliation of Net Loss to Adjusted Net Income and Adjusted EPS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3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2300" w:type="dxa"/>
            <w:vAlign w:val="bottom"/>
            <w:tcBorders>
              <w:top w:val="single" w:sz="8" w:color="auto"/>
              <w:bottom w:val="single" w:sz="8" w:color="auto"/>
            </w:tcBorders>
            <w:gridSpan w:val="6"/>
          </w:tcPr>
          <w:p>
            <w:pPr>
              <w:jc w:val="right"/>
              <w:ind w:right="260"/>
              <w:spacing w:after="0"/>
              <w:rPr>
                <w:sz w:val="20"/>
                <w:szCs w:val="20"/>
                <w:color w:val="auto"/>
              </w:rPr>
            </w:pPr>
            <w:r>
              <w:rPr>
                <w:rFonts w:ascii="Arial" w:cs="Arial" w:eastAsia="Arial" w:hAnsi="Arial"/>
                <w:sz w:val="16"/>
                <w:szCs w:val="16"/>
                <w:color w:val="auto"/>
                <w:w w:val="94"/>
              </w:rPr>
              <w:t>For the Three Months Ended</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2200" w:type="dxa"/>
            <w:vAlign w:val="bottom"/>
            <w:tcBorders>
              <w:top w:val="single" w:sz="8" w:color="auto"/>
              <w:bottom w:val="single" w:sz="8" w:color="auto"/>
            </w:tcBorders>
            <w:gridSpan w:val="6"/>
          </w:tcPr>
          <w:p>
            <w:pPr>
              <w:jc w:val="right"/>
              <w:ind w:right="259"/>
              <w:spacing w:after="0"/>
              <w:rPr>
                <w:sz w:val="20"/>
                <w:szCs w:val="20"/>
                <w:color w:val="auto"/>
              </w:rPr>
            </w:pPr>
            <w:r>
              <w:rPr>
                <w:rFonts w:ascii="Arial" w:cs="Arial" w:eastAsia="Arial" w:hAnsi="Arial"/>
                <w:sz w:val="16"/>
                <w:szCs w:val="16"/>
                <w:color w:val="auto"/>
                <w:w w:val="94"/>
              </w:rPr>
              <w:t>For the Nine Months Ended</w:t>
            </w: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ind w:left="320"/>
              <w:spacing w:after="0"/>
              <w:rPr>
                <w:sz w:val="20"/>
                <w:szCs w:val="20"/>
                <w:color w:val="auto"/>
              </w:rPr>
            </w:pPr>
            <w:r>
              <w:rPr>
                <w:rFonts w:ascii="Arial" w:cs="Arial" w:eastAsia="Arial" w:hAnsi="Arial"/>
                <w:sz w:val="16"/>
                <w:szCs w:val="16"/>
                <w:color w:val="auto"/>
              </w:rPr>
              <w:t>September 30, 2022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color w:val="auto"/>
              </w:rPr>
              <w:t>September 30, 2021</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ind w:left="300"/>
              <w:spacing w:after="0"/>
              <w:rPr>
                <w:sz w:val="20"/>
                <w:szCs w:val="20"/>
                <w:color w:val="auto"/>
              </w:rPr>
            </w:pPr>
            <w:r>
              <w:rPr>
                <w:rFonts w:ascii="Arial" w:cs="Arial" w:eastAsia="Arial" w:hAnsi="Arial"/>
                <w:sz w:val="16"/>
                <w:szCs w:val="16"/>
                <w:color w:val="auto"/>
              </w:rPr>
              <w:t>September 30, 2022</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ind w:left="300"/>
              <w:spacing w:after="0"/>
              <w:rPr>
                <w:sz w:val="20"/>
                <w:szCs w:val="20"/>
                <w:color w:val="auto"/>
              </w:rPr>
            </w:pPr>
            <w:r>
              <w:rPr>
                <w:rFonts w:ascii="Arial" w:cs="Arial" w:eastAsia="Arial" w:hAnsi="Arial"/>
                <w:sz w:val="16"/>
                <w:szCs w:val="16"/>
                <w:color w:val="auto"/>
              </w:rPr>
              <w:t>September 30, 2021</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99"/>
              <w:spacing w:after="0" w:line="162" w:lineRule="exact"/>
              <w:rPr>
                <w:sz w:val="20"/>
                <w:szCs w:val="20"/>
                <w:color w:val="auto"/>
              </w:rPr>
            </w:pPr>
            <w:r>
              <w:rPr>
                <w:rFonts w:ascii="Arial" w:cs="Arial" w:eastAsia="Arial" w:hAnsi="Arial"/>
                <w:sz w:val="16"/>
                <w:szCs w:val="16"/>
                <w:color w:val="auto"/>
                <w:w w:val="98"/>
              </w:rPr>
              <w:t>Adjusted Net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Adjusted</w:t>
            </w:r>
          </w:p>
        </w:tc>
        <w:tc>
          <w:tcPr>
            <w:tcW w:w="120" w:type="dxa"/>
            <w:vAlign w:val="bottom"/>
          </w:tcPr>
          <w:p>
            <w:pPr>
              <w:spacing w:after="0"/>
              <w:rPr>
                <w:sz w:val="14"/>
                <w:szCs w:val="14"/>
                <w:color w:val="auto"/>
              </w:rPr>
            </w:pPr>
          </w:p>
        </w:tc>
        <w:tc>
          <w:tcPr>
            <w:tcW w:w="1100" w:type="dxa"/>
            <w:vAlign w:val="bottom"/>
          </w:tcPr>
          <w:p>
            <w:pPr>
              <w:jc w:val="right"/>
              <w:ind w:right="100"/>
              <w:spacing w:after="0" w:line="162" w:lineRule="exact"/>
              <w:rPr>
                <w:sz w:val="20"/>
                <w:szCs w:val="20"/>
                <w:color w:val="auto"/>
              </w:rPr>
            </w:pPr>
            <w:r>
              <w:rPr>
                <w:rFonts w:ascii="Arial" w:cs="Arial" w:eastAsia="Arial" w:hAnsi="Arial"/>
                <w:sz w:val="16"/>
                <w:szCs w:val="16"/>
                <w:color w:val="auto"/>
                <w:w w:val="98"/>
              </w:rPr>
              <w:t>Adjusted Net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Adjusted</w:t>
            </w:r>
          </w:p>
        </w:tc>
        <w:tc>
          <w:tcPr>
            <w:tcW w:w="120" w:type="dxa"/>
            <w:vAlign w:val="bottom"/>
          </w:tcPr>
          <w:p>
            <w:pPr>
              <w:spacing w:after="0"/>
              <w:rPr>
                <w:sz w:val="14"/>
                <w:szCs w:val="14"/>
                <w:color w:val="auto"/>
              </w:rPr>
            </w:pPr>
          </w:p>
        </w:tc>
        <w:tc>
          <w:tcPr>
            <w:tcW w:w="1100" w:type="dxa"/>
            <w:vAlign w:val="bottom"/>
          </w:tcPr>
          <w:p>
            <w:pPr>
              <w:jc w:val="right"/>
              <w:ind w:right="99"/>
              <w:spacing w:after="0" w:line="162" w:lineRule="exact"/>
              <w:rPr>
                <w:sz w:val="20"/>
                <w:szCs w:val="20"/>
                <w:color w:val="auto"/>
              </w:rPr>
            </w:pPr>
            <w:r>
              <w:rPr>
                <w:rFonts w:ascii="Arial" w:cs="Arial" w:eastAsia="Arial" w:hAnsi="Arial"/>
                <w:sz w:val="16"/>
                <w:szCs w:val="16"/>
                <w:color w:val="auto"/>
                <w:w w:val="98"/>
              </w:rPr>
              <w:t>Adjusted Net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Adjusted</w:t>
            </w:r>
          </w:p>
        </w:tc>
        <w:tc>
          <w:tcPr>
            <w:tcW w:w="120" w:type="dxa"/>
            <w:vAlign w:val="bottom"/>
          </w:tcPr>
          <w:p>
            <w:pPr>
              <w:spacing w:after="0"/>
              <w:rPr>
                <w:sz w:val="14"/>
                <w:szCs w:val="14"/>
                <w:color w:val="auto"/>
              </w:rPr>
            </w:pPr>
          </w:p>
        </w:tc>
        <w:tc>
          <w:tcPr>
            <w:tcW w:w="1060" w:type="dxa"/>
            <w:vAlign w:val="bottom"/>
          </w:tcPr>
          <w:p>
            <w:pPr>
              <w:jc w:val="right"/>
              <w:ind w:right="79"/>
              <w:spacing w:after="0" w:line="162" w:lineRule="exact"/>
              <w:rPr>
                <w:sz w:val="20"/>
                <w:szCs w:val="20"/>
                <w:color w:val="auto"/>
              </w:rPr>
            </w:pPr>
            <w:r>
              <w:rPr>
                <w:rFonts w:ascii="Arial" w:cs="Arial" w:eastAsia="Arial" w:hAnsi="Arial"/>
                <w:sz w:val="16"/>
                <w:szCs w:val="16"/>
                <w:color w:val="auto"/>
                <w:w w:val="96"/>
              </w:rPr>
              <w:t>Adjusted Net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ind w:left="20"/>
              <w:spacing w:after="0" w:line="162" w:lineRule="exact"/>
              <w:rPr>
                <w:sz w:val="20"/>
                <w:szCs w:val="20"/>
                <w:color w:val="auto"/>
              </w:rPr>
            </w:pPr>
            <w:r>
              <w:rPr>
                <w:rFonts w:ascii="Arial" w:cs="Arial" w:eastAsia="Arial" w:hAnsi="Arial"/>
                <w:sz w:val="16"/>
                <w:szCs w:val="16"/>
                <w:color w:val="auto"/>
              </w:rPr>
              <w:t>Adjusted</w:t>
            </w:r>
          </w:p>
        </w:tc>
        <w:tc>
          <w:tcPr>
            <w:tcW w:w="0" w:type="dxa"/>
            <w:vAlign w:val="bottom"/>
          </w:tcPr>
          <w:p>
            <w:pPr>
              <w:spacing w:after="0"/>
              <w:rPr>
                <w:sz w:val="1"/>
                <w:szCs w:val="1"/>
                <w:color w:val="auto"/>
              </w:rPr>
            </w:pPr>
          </w:p>
        </w:tc>
      </w:tr>
      <w:tr>
        <w:trPr>
          <w:trHeight w:val="209"/>
        </w:trPr>
        <w:tc>
          <w:tcPr>
            <w:tcW w:w="2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2"/>
              </w:rPr>
              <w:t>Income/(Loss)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9"/>
              </w:rPr>
              <w:t>Per Share</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92"/>
              </w:rPr>
              <w:t>Income/(Loss)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3"/>
              </w:rPr>
              <w:t>Per Share</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2"/>
              </w:rPr>
              <w:t>Income/(Loss)</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9"/>
              </w:rPr>
              <w:t>Per Share</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0"/>
              </w:rPr>
              <w:t>Income/(Loss)</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9"/>
              </w:rPr>
              <w:t>Per Share</w:t>
            </w:r>
          </w:p>
        </w:tc>
        <w:tc>
          <w:tcPr>
            <w:tcW w:w="0" w:type="dxa"/>
            <w:vAlign w:val="bottom"/>
          </w:tcPr>
          <w:p>
            <w:pPr>
              <w:spacing w:after="0"/>
              <w:rPr>
                <w:sz w:val="1"/>
                <w:szCs w:val="1"/>
                <w:color w:val="auto"/>
              </w:rPr>
            </w:pPr>
          </w:p>
        </w:tc>
      </w:tr>
      <w:tr>
        <w:trPr>
          <w:trHeight w:val="214"/>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7"/>
          </w:tcPr>
          <w:p>
            <w:pPr>
              <w:jc w:val="right"/>
              <w:ind w:right="179"/>
              <w:spacing w:after="0"/>
              <w:rPr>
                <w:sz w:val="20"/>
                <w:szCs w:val="20"/>
                <w:color w:val="auto"/>
              </w:rPr>
            </w:pPr>
            <w:r>
              <w:rPr>
                <w:rFonts w:ascii="Arial" w:cs="Arial" w:eastAsia="Arial" w:hAnsi="Arial"/>
                <w:sz w:val="14"/>
                <w:szCs w:val="14"/>
                <w:i w:val="1"/>
                <w:iCs w:val="1"/>
                <w:color w:val="auto"/>
              </w:rPr>
              <w:t>(in thousands, except per share data)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GAAP measure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ind w:left="239"/>
              <w:spacing w:after="0"/>
              <w:rPr>
                <w:sz w:val="20"/>
                <w:szCs w:val="20"/>
                <w:color w:val="auto"/>
              </w:rPr>
            </w:pPr>
            <w:r>
              <w:rPr>
                <w:rFonts w:ascii="Arial" w:cs="Arial" w:eastAsia="Arial" w:hAnsi="Arial"/>
                <w:sz w:val="16"/>
                <w:szCs w:val="16"/>
                <w:color w:val="auto"/>
                <w:w w:val="90"/>
              </w:rPr>
              <w:t>(0.11)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(34,612)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ind w:left="219"/>
              <w:spacing w:after="0"/>
              <w:rPr>
                <w:sz w:val="20"/>
                <w:szCs w:val="20"/>
                <w:color w:val="auto"/>
              </w:rPr>
            </w:pPr>
            <w:r>
              <w:rPr>
                <w:rFonts w:ascii="Arial" w:cs="Arial" w:eastAsia="Arial" w:hAnsi="Arial"/>
                <w:sz w:val="16"/>
                <w:szCs w:val="16"/>
                <w:color w:val="auto"/>
                <w:w w:val="95"/>
              </w:rPr>
              <w:t>(0.51)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(37,644)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ind w:left="219"/>
              <w:spacing w:after="0"/>
              <w:rPr>
                <w:sz w:val="20"/>
                <w:szCs w:val="20"/>
                <w:color w:val="auto"/>
              </w:rPr>
            </w:pPr>
            <w:r>
              <w:rPr>
                <w:rFonts w:ascii="Arial" w:cs="Arial" w:eastAsia="Arial" w:hAnsi="Arial"/>
                <w:sz w:val="16"/>
                <w:szCs w:val="16"/>
                <w:color w:val="auto"/>
                <w:w w:val="95"/>
              </w:rPr>
              <w:t>(0.57)</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3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Non-operating (income)/</w:t>
            </w: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center"/>
              <w:ind w:left="219"/>
              <w:spacing w:after="0"/>
              <w:rPr>
                <w:sz w:val="20"/>
                <w:szCs w:val="20"/>
                <w:color w:val="auto"/>
              </w:rPr>
            </w:pPr>
            <w:r>
              <w:rPr>
                <w:rFonts w:ascii="Arial" w:cs="Arial" w:eastAsia="Arial" w:hAnsi="Arial"/>
                <w:sz w:val="16"/>
                <w:szCs w:val="16"/>
                <w:color w:val="auto"/>
                <w:w w:val="95"/>
              </w:rPr>
              <w:t>(0.01)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center"/>
              <w:ind w:left="219"/>
              <w:spacing w:after="0"/>
              <w:rPr>
                <w:sz w:val="20"/>
                <w:szCs w:val="20"/>
                <w:color w:val="auto"/>
              </w:rPr>
            </w:pPr>
            <w:r>
              <w:rPr>
                <w:rFonts w:ascii="Arial" w:cs="Arial" w:eastAsia="Arial" w:hAnsi="Arial"/>
                <w:sz w:val="16"/>
                <w:szCs w:val="16"/>
                <w:color w:val="auto"/>
                <w:w w:val="95"/>
              </w:rPr>
              <w:t>(0.01)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center"/>
              <w:ind w:left="239"/>
              <w:spacing w:after="0"/>
              <w:rPr>
                <w:sz w:val="20"/>
                <w:szCs w:val="20"/>
                <w:color w:val="auto"/>
              </w:rPr>
            </w:pPr>
            <w:r>
              <w:rPr>
                <w:rFonts w:ascii="Arial" w:cs="Arial" w:eastAsia="Arial" w:hAnsi="Arial"/>
                <w:sz w:val="16"/>
                <w:szCs w:val="16"/>
                <w:color w:val="auto"/>
                <w:w w:val="96"/>
              </w:rPr>
              <w:t>0.01</w:t>
            </w:r>
          </w:p>
        </w:tc>
        <w:tc>
          <w:tcPr>
            <w:tcW w:w="0" w:type="dxa"/>
            <w:vAlign w:val="bottom"/>
          </w:tcPr>
          <w:p>
            <w:pPr>
              <w:spacing w:after="0"/>
              <w:rPr>
                <w:sz w:val="1"/>
                <w:szCs w:val="1"/>
                <w:color w:val="auto"/>
              </w:rPr>
            </w:pPr>
          </w:p>
        </w:tc>
      </w:tr>
      <w:tr>
        <w:trPr>
          <w:trHeight w:val="212"/>
        </w:trPr>
        <w:tc>
          <w:tcPr>
            <w:tcW w:w="2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expense</w:t>
            </w: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140"/>
              <w:spacing w:after="0" w:line="162" w:lineRule="exact"/>
              <w:rPr>
                <w:sz w:val="20"/>
                <w:szCs w:val="20"/>
                <w:color w:val="auto"/>
              </w:rPr>
            </w:pPr>
            <w:r>
              <w:rPr>
                <w:rFonts w:ascii="Arial" w:cs="Arial" w:eastAsia="Arial" w:hAnsi="Arial"/>
                <w:sz w:val="16"/>
                <w:szCs w:val="16"/>
                <w:color w:val="auto"/>
              </w:rPr>
              <w:t>Stock-based compensation</w:t>
            </w: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14,721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center"/>
              <w:ind w:left="259"/>
              <w:spacing w:after="0"/>
              <w:rPr>
                <w:sz w:val="20"/>
                <w:szCs w:val="20"/>
                <w:color w:val="auto"/>
              </w:rPr>
            </w:pPr>
            <w:r>
              <w:rPr>
                <w:rFonts w:ascii="Arial" w:cs="Arial" w:eastAsia="Arial" w:hAnsi="Arial"/>
                <w:sz w:val="16"/>
                <w:szCs w:val="16"/>
                <w:color w:val="auto"/>
                <w:w w:val="89"/>
              </w:rPr>
              <w:t>0.22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12,372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0.19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44,225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center"/>
              <w:ind w:left="239"/>
              <w:spacing w:after="0"/>
              <w:rPr>
                <w:sz w:val="20"/>
                <w:szCs w:val="20"/>
                <w:color w:val="auto"/>
              </w:rPr>
            </w:pPr>
            <w:r>
              <w:rPr>
                <w:rFonts w:ascii="Arial" w:cs="Arial" w:eastAsia="Arial" w:hAnsi="Arial"/>
                <w:sz w:val="16"/>
                <w:szCs w:val="16"/>
                <w:color w:val="auto"/>
                <w:w w:val="96"/>
              </w:rPr>
              <w:t>0.65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47,378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center"/>
              <w:ind w:left="239"/>
              <w:spacing w:after="0"/>
              <w:rPr>
                <w:sz w:val="20"/>
                <w:szCs w:val="20"/>
                <w:color w:val="auto"/>
              </w:rPr>
            </w:pPr>
            <w:r>
              <w:rPr>
                <w:rFonts w:ascii="Arial" w:cs="Arial" w:eastAsia="Arial" w:hAnsi="Arial"/>
                <w:sz w:val="16"/>
                <w:szCs w:val="16"/>
                <w:color w:val="auto"/>
                <w:w w:val="96"/>
              </w:rPr>
              <w:t>0.72</w:t>
            </w:r>
          </w:p>
        </w:tc>
        <w:tc>
          <w:tcPr>
            <w:tcW w:w="0" w:type="dxa"/>
            <w:vAlign w:val="bottom"/>
          </w:tcPr>
          <w:p>
            <w:pPr>
              <w:spacing w:after="0"/>
              <w:rPr>
                <w:sz w:val="1"/>
                <w:szCs w:val="1"/>
                <w:color w:val="auto"/>
              </w:rPr>
            </w:pPr>
          </w:p>
        </w:tc>
      </w:tr>
      <w:tr>
        <w:trPr>
          <w:trHeight w:val="216"/>
        </w:trPr>
        <w:tc>
          <w:tcPr>
            <w:tcW w:w="232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 xml:space="preserve">expense </w:t>
            </w:r>
            <w:r>
              <w:rPr>
                <w:rFonts w:ascii="Arial" w:cs="Arial" w:eastAsia="Arial" w:hAnsi="Arial"/>
                <w:sz w:val="21"/>
                <w:szCs w:val="21"/>
                <w:color w:val="auto"/>
                <w:vertAlign w:val="superscript"/>
              </w:rPr>
              <w:t>(2)</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non-GAAP measure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ind w:left="259"/>
              <w:spacing w:after="0"/>
              <w:rPr>
                <w:sz w:val="20"/>
                <w:szCs w:val="20"/>
                <w:color w:val="auto"/>
              </w:rPr>
            </w:pPr>
            <w:r>
              <w:rPr>
                <w:rFonts w:ascii="Arial" w:cs="Arial" w:eastAsia="Arial" w:hAnsi="Arial"/>
                <w:sz w:val="16"/>
                <w:szCs w:val="16"/>
                <w:color w:val="auto"/>
                <w:w w:val="89"/>
              </w:rPr>
              <w:t>0.10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ind w:left="239"/>
              <w:spacing w:after="0"/>
              <w:rPr>
                <w:sz w:val="20"/>
                <w:szCs w:val="20"/>
                <w:color w:val="auto"/>
              </w:rPr>
            </w:pPr>
            <w:r>
              <w:rPr>
                <w:rFonts w:ascii="Arial" w:cs="Arial" w:eastAsia="Arial" w:hAnsi="Arial"/>
                <w:sz w:val="16"/>
                <w:szCs w:val="16"/>
                <w:color w:val="auto"/>
                <w:w w:val="96"/>
              </w:rPr>
              <w:t>0.13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10,735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ind w:left="239"/>
              <w:spacing w:after="0"/>
              <w:rPr>
                <w:sz w:val="20"/>
                <w:szCs w:val="20"/>
                <w:color w:val="auto"/>
              </w:rPr>
            </w:pPr>
            <w:r>
              <w:rPr>
                <w:rFonts w:ascii="Arial" w:cs="Arial" w:eastAsia="Arial" w:hAnsi="Arial"/>
                <w:sz w:val="16"/>
                <w:szCs w:val="16"/>
                <w:color w:val="auto"/>
                <w:w w:val="96"/>
              </w:rPr>
              <w:t>0.16</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bottom w:val="single" w:sz="8" w:color="CCEEFF"/>
            </w:tcBorders>
            <w:vMerge w:val="restart"/>
          </w:tcPr>
          <w:p>
            <w:pPr>
              <w:ind w:left="20"/>
              <w:spacing w:after="0" w:line="153" w:lineRule="exact"/>
              <w:rPr>
                <w:sz w:val="20"/>
                <w:szCs w:val="20"/>
                <w:color w:val="auto"/>
              </w:rPr>
            </w:pPr>
            <w:r>
              <w:rPr>
                <w:rFonts w:ascii="Arial" w:cs="Arial" w:eastAsia="Arial" w:hAnsi="Arial"/>
                <w:sz w:val="16"/>
                <w:szCs w:val="16"/>
                <w:color w:val="auto"/>
              </w:rPr>
              <w:t>Weighted-average shares of</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3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67,493</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66,755</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67,641</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65,999</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320" w:type="dxa"/>
            <w:vAlign w:val="bottom"/>
          </w:tcPr>
          <w:p>
            <w:pPr>
              <w:ind w:left="20"/>
              <w:spacing w:after="0"/>
              <w:rPr>
                <w:sz w:val="20"/>
                <w:szCs w:val="20"/>
                <w:color w:val="auto"/>
              </w:rPr>
            </w:pPr>
            <w:r>
              <w:rPr>
                <w:rFonts w:ascii="Arial" w:cs="Arial" w:eastAsia="Arial" w:hAnsi="Arial"/>
                <w:sz w:val="16"/>
                <w:szCs w:val="16"/>
                <w:color w:val="auto"/>
              </w:rPr>
              <w:t>common stock outstanding</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340" w:right="100" w:hanging="332"/>
        <w:spacing w:after="0" w:line="289" w:lineRule="auto"/>
        <w:tabs>
          <w:tab w:leader="none" w:pos="332"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stock-based compensation adjustment to net loss for the three and nine months ended September 30, 2022, is made up of $15.0 million and $42.2 million, respectively, of stock-based compensation expenses for the awarded RSUs and PRSUs, and $(0.3) million and $2.0 million, respectively, of other sources of stock-based compensation (adjustment)/expense. The other source of stock-based compensation consists of accrued compensation, which the Company intends to settle in shares of the Company's common stock. However, it is the Company's discretion whether this compensation will ultimately be paid in stock or cash. The Company has the right to dictate the form of these payments up until the date at which they are paid. Any change to the expected payment form would result in a change in estimate that would add back to Adjusted Net Income/(Loss).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Free cash flow, as reconciled in the table below, is a non-GAAP financial measure defined as net cash provided by or used in operating activities, less purchases of property and equipment and capitalized software development costs. This non-GAAP financial measure may be a useful measure for investors and other users of our financial statements as a supplemental measure of our cash performance and to assess the quality of our earnings as a key performance measure in evaluating management.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Table MD&amp;A 6: Free Cash Flow</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4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060" w:type="dxa"/>
            <w:vAlign w:val="bottom"/>
            <w:tcBorders>
              <w:top w:val="single" w:sz="8" w:color="auto"/>
              <w:bottom w:val="single" w:sz="8" w:color="auto"/>
            </w:tcBorders>
            <w:gridSpan w:val="4"/>
          </w:tcPr>
          <w:p>
            <w:pPr>
              <w:jc w:val="right"/>
              <w:ind w:right="575"/>
              <w:spacing w:after="0"/>
              <w:rPr>
                <w:sz w:val="20"/>
                <w:szCs w:val="20"/>
                <w:color w:val="auto"/>
              </w:rPr>
            </w:pPr>
            <w:r>
              <w:rPr>
                <w:rFonts w:ascii="Arial" w:cs="Arial" w:eastAsia="Arial" w:hAnsi="Arial"/>
                <w:sz w:val="16"/>
                <w:szCs w:val="16"/>
                <w:color w:val="auto"/>
              </w:rPr>
              <w:t>For the Three Months Ended</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120" w:type="dxa"/>
            <w:vAlign w:val="bottom"/>
            <w:tcBorders>
              <w:top w:val="single" w:sz="8" w:color="auto"/>
              <w:bottom w:val="single" w:sz="8" w:color="auto"/>
            </w:tcBorders>
            <w:gridSpan w:val="4"/>
          </w:tcPr>
          <w:p>
            <w:pPr>
              <w:ind w:left="600"/>
              <w:spacing w:after="0"/>
              <w:rPr>
                <w:sz w:val="20"/>
                <w:szCs w:val="20"/>
                <w:color w:val="auto"/>
              </w:rPr>
            </w:pPr>
            <w:r>
              <w:rPr>
                <w:rFonts w:ascii="Arial" w:cs="Arial" w:eastAsia="Arial" w:hAnsi="Arial"/>
                <w:sz w:val="16"/>
                <w:szCs w:val="16"/>
                <w:color w:val="auto"/>
              </w:rPr>
              <w:t>For the Nine Months Ended</w:t>
            </w:r>
          </w:p>
        </w:tc>
      </w:tr>
      <w:tr>
        <w:trPr>
          <w:trHeight w:val="209"/>
        </w:trPr>
        <w:tc>
          <w:tcPr>
            <w:tcW w:w="4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color w:val="auto"/>
                <w:w w:val="88"/>
              </w:rPr>
              <w:t>September 30, 2022</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color w:val="auto"/>
                <w:w w:val="89"/>
              </w:rPr>
              <w:t>September 30, 2021</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September 30, 2022</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97"/>
              </w:rPr>
              <w:t>September 30, 2021</w:t>
            </w:r>
          </w:p>
        </w:tc>
      </w:tr>
      <w:tr>
        <w:trPr>
          <w:trHeight w:val="214"/>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gridSpan w:val="5"/>
          </w:tcPr>
          <w:p>
            <w:pPr>
              <w:ind w:left="110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6"/>
        </w:trPr>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flows provided by 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20,118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center"/>
              <w:ind w:left="879"/>
              <w:spacing w:after="0"/>
              <w:rPr>
                <w:sz w:val="20"/>
                <w:szCs w:val="20"/>
                <w:color w:val="auto"/>
              </w:rPr>
            </w:pPr>
            <w:r>
              <w:rPr>
                <w:rFonts w:ascii="Arial" w:cs="Arial" w:eastAsia="Arial" w:hAnsi="Arial"/>
                <w:sz w:val="16"/>
                <w:szCs w:val="16"/>
                <w:color w:val="auto"/>
                <w:w w:val="94"/>
              </w:rPr>
              <w:t>9,637</w:t>
            </w: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3"/>
        </w:trPr>
        <w:tc>
          <w:tcPr>
            <w:tcW w:w="4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of property and equipment</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center"/>
              <w:ind w:left="859"/>
              <w:spacing w:after="0"/>
              <w:rPr>
                <w:sz w:val="20"/>
                <w:szCs w:val="20"/>
                <w:color w:val="auto"/>
              </w:rPr>
            </w:pPr>
            <w:r>
              <w:rPr>
                <w:rFonts w:ascii="Arial" w:cs="Arial" w:eastAsia="Arial" w:hAnsi="Arial"/>
                <w:sz w:val="16"/>
                <w:szCs w:val="16"/>
                <w:color w:val="auto"/>
                <w:w w:val="94"/>
              </w:rPr>
              <w:t>(1,645)</w:t>
            </w:r>
          </w:p>
        </w:tc>
      </w:tr>
      <w:tr>
        <w:trPr>
          <w:trHeight w:val="229"/>
        </w:trPr>
        <w:tc>
          <w:tcPr>
            <w:tcW w:w="47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Capitalized software development costs</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left="859"/>
              <w:spacing w:after="0"/>
              <w:rPr>
                <w:sz w:val="20"/>
                <w:szCs w:val="20"/>
                <w:color w:val="auto"/>
              </w:rPr>
            </w:pPr>
            <w:r>
              <w:rPr>
                <w:rFonts w:ascii="Arial" w:cs="Arial" w:eastAsia="Arial" w:hAnsi="Arial"/>
                <w:sz w:val="16"/>
                <w:szCs w:val="16"/>
                <w:color w:val="auto"/>
                <w:w w:val="94"/>
              </w:rPr>
              <w:t>(6,672)</w:t>
            </w: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Free cash flow</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10,723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center"/>
              <w:ind w:left="879"/>
              <w:spacing w:after="0"/>
              <w:rPr>
                <w:sz w:val="20"/>
                <w:szCs w:val="20"/>
                <w:color w:val="auto"/>
              </w:rPr>
            </w:pPr>
            <w:r>
              <w:rPr>
                <w:rFonts w:ascii="Arial" w:cs="Arial" w:eastAsia="Arial" w:hAnsi="Arial"/>
                <w:sz w:val="16"/>
                <w:szCs w:val="16"/>
                <w:color w:val="auto"/>
                <w:w w:val="94"/>
              </w:rPr>
              <w:t>1,320</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Enterprise EBITDA, Adjusted EBITDA, Adjusted EBITDA Margin, Adjusted Net Income (Loss), Adjusted EPS and Free Cash Flow each has limitations as an analytical tool, and you should not consider any of them in isolation, or as a substitute for analysis of our results as reported under GAAP. Among other limitations, Enterprise EBITDA, Adjusted EBITDA, Adjusted EBITDA Margin, Adjusted Net Income (Loss), Adjusted EPS and Free Cash Flow each does not reflect our cash expenditures, or future requirements, for capital expenditures or contractual commitments, does not reflect the impact of certain cash charges resulting from matters we consider not to be indicative of our ongoing operations, and does not reflect income tax expense or benefit. Other companies in our industry may calculate Enterprise EBITDA, Adjusted EBITDA, Adjusted EBITDA Margin, Adjusted Net Income (Loss), Adjusted EPS and Free Cash Flow differently than we do, which limits their usefulness as a comparative measure. Because of these limitations, neither Enterprise EBITDA, Adjusted EBITDA, Adjusted EBITDA Margin, Adjusted Net Income (Loss), Adjusted EPS nor Free Cash Flow should be considered as a replacement for net income (loss), net income (loss) margin, earnings (loss) per share, or net cash flows provided by/ (used in) operating activities, as determined by GAAP, or as a measure of our profitability. We compensate for these limitations by relying primarily on our GAAP results and using non-GAAP measures only for supplemental purposes.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Upon the closing of the IPO in November 2020, we issued 17.2 million shares of our common stock at a price of $17.00 per share, generating net proceeds of approximately $272.8 million. We used approximately $108.9 million of the net proceeds in connection with the exchangeable redeemable preferred stock conversion, $30.0 million to fund our acquisition of the outstanding Class B Units of Telos ID (see </w:t>
      </w:r>
      <w:r>
        <w:rPr>
          <w:rFonts w:ascii="Arial" w:cs="Arial" w:eastAsia="Arial" w:hAnsi="Arial"/>
          <w:sz w:val="17"/>
          <w:szCs w:val="17"/>
          <w:u w:val="single" w:color="auto"/>
          <w:color w:val="0000FF"/>
        </w:rPr>
        <w:t>Note 10</w:t>
      </w:r>
      <w:r>
        <w:rPr>
          <w:rFonts w:ascii="Arial" w:cs="Arial" w:eastAsia="Arial" w:hAnsi="Arial"/>
          <w:sz w:val="17"/>
          <w:szCs w:val="17"/>
          <w:color w:val="auto"/>
        </w:rPr>
        <w:t xml:space="preserve"> </w:t>
      </w:r>
      <w:r>
        <w:rPr>
          <w:rFonts w:ascii="Arial" w:cs="Arial" w:eastAsia="Arial" w:hAnsi="Arial"/>
          <w:sz w:val="17"/>
          <w:szCs w:val="17"/>
          <w:color w:val="0000FF"/>
        </w:rPr>
        <w: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Purchase of Telos ID Non-controlling</w:t>
      </w:r>
      <w:r>
        <w:rPr>
          <w:rFonts w:ascii="Arial" w:cs="Arial" w:eastAsia="Arial" w:hAnsi="Arial"/>
          <w:sz w:val="17"/>
          <w:szCs w:val="17"/>
          <w:color w:val="auto"/>
        </w:rPr>
        <w:t xml:space="preserve"> </w:t>
      </w:r>
      <w:r>
        <w:rPr>
          <w:rFonts w:ascii="Arial" w:cs="Arial" w:eastAsia="Arial" w:hAnsi="Arial"/>
          <w:sz w:val="17"/>
          <w:szCs w:val="17"/>
          <w:u w:val="single" w:color="auto"/>
          <w:color w:val="0000FF"/>
        </w:rPr>
        <w:t>Interests</w:t>
      </w:r>
      <w:r>
        <w:rPr>
          <w:rFonts w:ascii="Arial" w:cs="Arial" w:eastAsia="Arial" w:hAnsi="Arial"/>
          <w:sz w:val="17"/>
          <w:szCs w:val="17"/>
          <w:color w:val="000000"/>
        </w:rPr>
        <w:t>), and $21.0 million to repay our outstanding senior term loan and subordinated debt. On April 6, 2021, we completed our follow-on offering of 9.1</w:t>
      </w:r>
      <w:r>
        <w:rPr>
          <w:rFonts w:ascii="Arial" w:cs="Arial" w:eastAsia="Arial" w:hAnsi="Arial"/>
          <w:sz w:val="17"/>
          <w:szCs w:val="17"/>
          <w:color w:val="0000FF"/>
        </w:rPr>
        <w:t xml:space="preserve"> </w:t>
      </w:r>
      <w:r>
        <w:rPr>
          <w:rFonts w:ascii="Arial" w:cs="Arial" w:eastAsia="Arial" w:hAnsi="Arial"/>
          <w:sz w:val="17"/>
          <w:szCs w:val="17"/>
          <w:color w:val="000000"/>
        </w:rPr>
        <w:t xml:space="preserve">million shares of our common stock at a price of $33.00 per share, including 7.0 million shares of common stock by certain existing stockholders of Telos. The offering generated approximately $64.3 million of net proceeds to Telos. We did not receive any proceeds from the shares of common stock sold by the selling stockholders. On April 19, 2021, we used approximately $1.3 million of the net proceeds to repurchase 39,682 shares of our common stock and $26.9 million to repurchase 900,970 outstanding warrants for our common stock held by EnCap fund holders. Further, on July 30, 2021, we used approximately $5.9 million of the net proceeds to acquire the assets of DFT (see </w:t>
      </w:r>
      <w:r>
        <w:rPr>
          <w:rFonts w:ascii="Arial" w:cs="Arial" w:eastAsia="Arial" w:hAnsi="Arial"/>
          <w:sz w:val="17"/>
          <w:szCs w:val="17"/>
          <w:u w:val="single" w:color="auto"/>
          <w:color w:val="0000FF"/>
        </w:rPr>
        <w:t>Note 9</w:t>
      </w:r>
      <w:r>
        <w:rPr>
          <w:rFonts w:ascii="Arial" w:cs="Arial" w:eastAsia="Arial" w:hAnsi="Arial"/>
          <w:sz w:val="17"/>
          <w:szCs w:val="17"/>
          <w:color w:val="000000"/>
        </w:rPr>
        <w:t xml:space="preserve"> </w:t>
      </w:r>
      <w:r>
        <w:rPr>
          <w:rFonts w:ascii="Arial" w:cs="Arial" w:eastAsia="Arial" w:hAnsi="Arial"/>
          <w:sz w:val="17"/>
          <w:szCs w:val="17"/>
          <w:color w:val="0000FF"/>
        </w:rPr>
        <w:t>–</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Acquisition</w:t>
      </w:r>
      <w:r>
        <w:rPr>
          <w:rFonts w:ascii="Arial" w:cs="Arial" w:eastAsia="Arial" w:hAnsi="Arial"/>
          <w:sz w:val="17"/>
          <w:szCs w:val="17"/>
          <w:color w:val="000000"/>
        </w:rPr>
        <w:t>). We intend to use the remaining net proceeds of the IPO and the follow-on offering for general corporate purposes.</w:t>
      </w:r>
    </w:p>
    <w:p>
      <w:pPr>
        <w:spacing w:after="0" w:line="131"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Our overall financial position and liquidity are strong. Our working capital was $130.6 million and $140.8 million as of September 30, 2022, and December 31, 2021, respectively. Although no assurances can be given, we expect that funds generated from operations are sufficient to maintain the liquidity we require to meet our operating, investing and financing needs for the next 12 months.</w:t>
      </w:r>
    </w:p>
    <w:p>
      <w:pPr>
        <w:spacing w:after="0" w:line="130"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As of September 30, 2022, we had a cash and cash equivalent balance of $125.3 million, compared to $126.6 million on December 31, 2021. This balance gives us the flexibility for capital deployment while maintaining our focus on preserving a strong balance sheet to position us for future opportunities. We believe we have adequate funds on hand to execute our financial and operating strategy.</w:t>
      </w:r>
    </w:p>
    <w:p>
      <w:pPr>
        <w:spacing w:after="0" w:line="13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Cash provided by operating activities was $20.1 million for the nine months ended September 30, 2022, compared to cash used in operating activities of $9.6 million for the same period in 2021. Cash provided by or used in operating activities is primarily driven by the Company’s operating loss, the timing of receipt of customer payments, the timing of our payments to vendors and employees, and the timing of inventory turnover, adjusted for certain non-cash items that do not impact cash flows from operating activities.</w:t>
      </w:r>
    </w:p>
    <w:p>
      <w:pPr>
        <w:spacing w:after="0" w:line="13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Cash used in investing activities was approximately $9.4 million and $14.2 million for the nine months ended September 30, 2022, and 2021, respectively, primarily due to software development costs of $8.6 million and $6.7 million for the nine months ended September 30, 2022, and 2021, respectively, and the purchase of property and equipment. In addition, in 2021, $5.9 million was paid in cash for the acquisition completed in July 2021 (see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w:t>
      </w:r>
      <w:r>
        <w:rPr>
          <w:rFonts w:ascii="Arial" w:cs="Arial" w:eastAsia="Arial" w:hAnsi="Arial"/>
          <w:sz w:val="18"/>
          <w:szCs w:val="18"/>
          <w:color w:val="0000FF"/>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Acquisition</w:t>
      </w:r>
      <w:r>
        <w:rPr>
          <w:rFonts w:ascii="Arial" w:cs="Arial" w:eastAsia="Arial" w:hAnsi="Arial"/>
          <w:sz w:val="18"/>
          <w:szCs w:val="18"/>
          <w:color w:val="000000"/>
        </w:rPr>
        <w:t>).</w:t>
      </w:r>
    </w:p>
    <w:p>
      <w:pPr>
        <w:spacing w:after="0" w:line="13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 xml:space="preserve">Cash used in financing activities was $11.8 million for the nine months ended September 30, 2022, compared to cash provided by financing activities of $32.7 million for the same period in 2021. This is primarily attributable to payments under finance leases for both periods, payments of tax withholding related to a net share settlement of equity awards of $3.1 million in 2022, and the repurchase of common stock of $7.6 million in 2022 under the share repurchase program (see </w:t>
      </w:r>
      <w:r>
        <w:rPr>
          <w:rFonts w:ascii="Arial" w:cs="Arial" w:eastAsia="Arial" w:hAnsi="Arial"/>
          <w:sz w:val="18"/>
          <w:szCs w:val="18"/>
          <w:u w:val="single" w:color="auto"/>
          <w:color w:val="0000FF"/>
        </w:rPr>
        <w:t>Note 13 – Share Repurchases</w:t>
      </w:r>
      <w:r>
        <w:rPr>
          <w:rFonts w:ascii="Arial" w:cs="Arial" w:eastAsia="Arial" w:hAnsi="Arial"/>
          <w:sz w:val="18"/>
          <w:szCs w:val="18"/>
          <w:color w:val="auto"/>
        </w:rPr>
        <w:t>). By</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6"/>
          <w:szCs w:val="16"/>
          <w:u w:val="single" w:color="auto"/>
          <w:color w:val="0E32E1"/>
        </w:rPr>
        <w:t>Table of Contents</w:t>
      </w:r>
    </w:p>
    <w:p>
      <w:pPr>
        <w:spacing w:after="0" w:line="200" w:lineRule="exact"/>
        <w:rPr>
          <w:sz w:val="20"/>
          <w:szCs w:val="20"/>
          <w:color w:val="auto"/>
        </w:rPr>
      </w:pPr>
    </w:p>
    <w:p>
      <w:pPr>
        <w:spacing w:after="0" w:line="368" w:lineRule="exact"/>
        <w:rPr>
          <w:sz w:val="20"/>
          <w:szCs w:val="20"/>
          <w:color w:val="auto"/>
        </w:rPr>
      </w:pPr>
    </w:p>
    <w:p>
      <w:pPr>
        <w:jc w:val="both"/>
        <w:ind w:right="620"/>
        <w:spacing w:after="0" w:line="263" w:lineRule="auto"/>
        <w:rPr>
          <w:sz w:val="20"/>
          <w:szCs w:val="20"/>
          <w:color w:val="auto"/>
        </w:rPr>
      </w:pPr>
      <w:r>
        <w:rPr>
          <w:rFonts w:ascii="Arial" w:cs="Arial" w:eastAsia="Arial" w:hAnsi="Arial"/>
          <w:sz w:val="18"/>
          <w:szCs w:val="18"/>
          <w:color w:val="auto"/>
        </w:rPr>
        <w:t>contrast, in 2021, there was a cash inflow from the follow-on offering that generated $64.3 million of net proceeds, reduced by $2.4 million of final distributions to the Class B Members of Telos ID in the first quarter, $26.9 million used to repurchase the outstanding warrants and $1.3 million to repurchase the common stock held by EnCap fund holders.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U.S. requires us to make estimates, judgments, and assumptions that affect the amounts reported. Actual results could differ from those estimates. The 2021 Form 10-K, as filed with the SEC on March 28, 2022, includes a summary of critical accounting policies we believe are the most important to aid in understanding our financial results. There have been no changes to those critical accounting policies that have had a material impact on our reported amounts of assets, liabilities, revenues, or expenses during the nine months ended September 30, 2022.</w:t>
      </w:r>
    </w:p>
    <w:p>
      <w:pPr>
        <w:spacing w:after="0" w:line="13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Company has established disclosure controls and procedures to ensure that information required to be disclosed in this quarterly report on Form 10-Q was properly recorded, processed, summarized and reported within the time periods specified in the Commission's rules and forms. The Company's controls and procedures are designed to ensure that information required to be disclosed by the Company in the reports that it files or submits under the Securities Exchange Act of 1934, as amended (the "Exchange Act") is accumulated and communicated to the Company's management, including its principal executive and principal financial officer to allow timely decisions regarding required disclosure.</w:t>
      </w:r>
    </w:p>
    <w:p>
      <w:pPr>
        <w:spacing w:after="0" w:line="12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carried out an evaluation of the effectiveness of the design and operation of our disclosure controls and procedures (as defined in Exchange Act Rules 13a-15(e) and 15d-15(e)) at September 30, 2022, based on the evaluation of these controls and procedures required by paragraph (b) of Rule 13a-15 or Rule 15d-15 under the Exchange Act. This evaluation was carried out under the supervision and with the participation of our Chief Executive Officer and Chief Financial Officer. Based upon the evaluation, our Chief Executive Officer and Chief Financial Officer concluded that, on September 30, 2022, our disclosure controls and procedures were not effective as a result of the previously identified material weaknesses disclosed below.</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17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In connection with its evaluation of the internal control over financial reporting for the year ended December 31, 2021, management identified the following material weaknesses in our internal control over financial reporting:</w:t>
      </w:r>
    </w:p>
    <w:p>
      <w:pPr>
        <w:spacing w:after="0" w:line="62" w:lineRule="exact"/>
        <w:rPr>
          <w:sz w:val="20"/>
          <w:szCs w:val="20"/>
          <w:color w:val="auto"/>
        </w:rPr>
      </w:pPr>
    </w:p>
    <w:p>
      <w:pPr>
        <w:ind w:left="660" w:right="100" w:hanging="328"/>
        <w:spacing w:after="0" w:line="259" w:lineRule="auto"/>
        <w:tabs>
          <w:tab w:leader="none" w:pos="65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Management did not maintain appropriately designed entity-level controls impacting the control environment and monitoring activities to prevent or detect material misstatements to the consolidated financial statements. Specifically, the Company did not have sufficient qualified resources to effectively design, operate and oversee internal control over financial reporting, which contributed to the failure in the effectiveness of certain controls.</w:t>
      </w:r>
    </w:p>
    <w:p>
      <w:pPr>
        <w:spacing w:after="0" w:line="78" w:lineRule="exact"/>
        <w:rPr>
          <w:rFonts w:ascii="Arial" w:cs="Arial" w:eastAsia="Arial" w:hAnsi="Arial"/>
          <w:sz w:val="18"/>
          <w:szCs w:val="18"/>
          <w:color w:val="auto"/>
        </w:rPr>
      </w:pPr>
    </w:p>
    <w:p>
      <w:pPr>
        <w:ind w:left="660" w:right="28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Management did not maintain appropriately designed information technology general controls in the areas of user access, change management, and segregation of duties, including controls over the recording of journal entries and safeguarding of assets, related to certain information technology systems that support the Company’s financial reporting process.</w:t>
      </w:r>
    </w:p>
    <w:p>
      <w:pPr>
        <w:spacing w:after="0" w:line="75" w:lineRule="exact"/>
        <w:rPr>
          <w:rFonts w:ascii="Arial" w:cs="Arial" w:eastAsia="Arial" w:hAnsi="Arial"/>
          <w:sz w:val="18"/>
          <w:szCs w:val="18"/>
          <w:color w:val="auto"/>
        </w:rPr>
      </w:pPr>
    </w:p>
    <w:p>
      <w:pPr>
        <w:ind w:left="640" w:hanging="308"/>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Management did not maintain appropriately designed and implemented controls over the following:</w:t>
      </w:r>
    </w:p>
    <w:p>
      <w:pPr>
        <w:spacing w:after="0" w:line="117" w:lineRule="exact"/>
        <w:rPr>
          <w:rFonts w:ascii="Arial" w:cs="Arial" w:eastAsia="Arial" w:hAnsi="Arial"/>
          <w:sz w:val="18"/>
          <w:szCs w:val="18"/>
          <w:color w:val="auto"/>
        </w:rPr>
      </w:pPr>
    </w:p>
    <w:p>
      <w:pPr>
        <w:ind w:left="1300" w:hanging="415"/>
        <w:spacing w:after="0"/>
        <w:tabs>
          <w:tab w:leader="none" w:pos="1300" w:val="left"/>
        </w:tabs>
        <w:numPr>
          <w:ilvl w:val="2"/>
          <w:numId w:val="23"/>
        </w:numPr>
        <w:rPr>
          <w:rFonts w:ascii="Arial" w:cs="Arial" w:eastAsia="Arial" w:hAnsi="Arial"/>
          <w:sz w:val="18"/>
          <w:szCs w:val="18"/>
          <w:color w:val="auto"/>
        </w:rPr>
      </w:pPr>
      <w:r>
        <w:rPr>
          <w:rFonts w:ascii="Arial" w:cs="Arial" w:eastAsia="Arial" w:hAnsi="Arial"/>
          <w:sz w:val="18"/>
          <w:szCs w:val="18"/>
          <w:color w:val="auto"/>
        </w:rPr>
        <w:t>Recording of revenue in accordance with ASC Topic 606, "Revenue from Contracts with Customers.”</w:t>
      </w:r>
    </w:p>
    <w:p>
      <w:pPr>
        <w:spacing w:after="0" w:line="117" w:lineRule="exact"/>
        <w:rPr>
          <w:rFonts w:ascii="Arial" w:cs="Arial" w:eastAsia="Arial" w:hAnsi="Arial"/>
          <w:sz w:val="18"/>
          <w:szCs w:val="18"/>
          <w:color w:val="auto"/>
        </w:rPr>
      </w:pPr>
    </w:p>
    <w:p>
      <w:pPr>
        <w:ind w:left="1300" w:hanging="465"/>
        <w:spacing w:after="0" w:line="277" w:lineRule="auto"/>
        <w:tabs>
          <w:tab w:leader="none" w:pos="1300" w:val="left"/>
        </w:tabs>
        <w:numPr>
          <w:ilvl w:val="2"/>
          <w:numId w:val="23"/>
        </w:numPr>
        <w:rPr>
          <w:rFonts w:ascii="Arial" w:cs="Arial" w:eastAsia="Arial" w:hAnsi="Arial"/>
          <w:sz w:val="18"/>
          <w:szCs w:val="18"/>
          <w:color w:val="auto"/>
        </w:rPr>
      </w:pPr>
      <w:r>
        <w:rPr>
          <w:rFonts w:ascii="Arial" w:cs="Arial" w:eastAsia="Arial" w:hAnsi="Arial"/>
          <w:sz w:val="18"/>
          <w:szCs w:val="18"/>
          <w:color w:val="auto"/>
        </w:rPr>
        <w:t>Accounting for software development costs in accordance with ASC Topic 985-20, “Software – Costs of Software to be Sold, Leased, or Marketed,” and ASC Topic 350-40, “Internal Use Software.”</w:t>
      </w:r>
    </w:p>
    <w:p>
      <w:pPr>
        <w:spacing w:after="0" w:line="62" w:lineRule="exact"/>
        <w:rPr>
          <w:rFonts w:ascii="Arial" w:cs="Arial" w:eastAsia="Arial" w:hAnsi="Arial"/>
          <w:sz w:val="18"/>
          <w:szCs w:val="18"/>
          <w:color w:val="auto"/>
        </w:rPr>
      </w:pPr>
    </w:p>
    <w:p>
      <w:pPr>
        <w:ind w:left="1300" w:hanging="514"/>
        <w:spacing w:after="0" w:line="277" w:lineRule="auto"/>
        <w:tabs>
          <w:tab w:leader="none" w:pos="1300" w:val="left"/>
        </w:tabs>
        <w:numPr>
          <w:ilvl w:val="2"/>
          <w:numId w:val="23"/>
        </w:numPr>
        <w:rPr>
          <w:rFonts w:ascii="Arial" w:cs="Arial" w:eastAsia="Arial" w:hAnsi="Arial"/>
          <w:sz w:val="18"/>
          <w:szCs w:val="18"/>
          <w:color w:val="auto"/>
        </w:rPr>
      </w:pPr>
      <w:r>
        <w:rPr>
          <w:rFonts w:ascii="Arial" w:cs="Arial" w:eastAsia="Arial" w:hAnsi="Arial"/>
          <w:sz w:val="18"/>
          <w:szCs w:val="18"/>
          <w:color w:val="auto"/>
        </w:rPr>
        <w:t>Review of completeness and accuracy of award stock-based compensation expense, and review of the key inputs and assumptions utilized in third-party valuations.</w:t>
      </w:r>
    </w:p>
    <w:p>
      <w:pPr>
        <w:spacing w:after="0" w:line="62" w:lineRule="exact"/>
        <w:rPr>
          <w:rFonts w:ascii="Arial" w:cs="Arial" w:eastAsia="Arial" w:hAnsi="Arial"/>
          <w:sz w:val="18"/>
          <w:szCs w:val="18"/>
          <w:color w:val="auto"/>
        </w:rPr>
      </w:pPr>
    </w:p>
    <w:p>
      <w:pPr>
        <w:ind w:left="1300" w:hanging="505"/>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Preparation and review of projected financial information utilized in the valuation of the business combination.</w:t>
      </w:r>
    </w:p>
    <w:p>
      <w:pPr>
        <w:spacing w:after="0" w:line="117" w:lineRule="exact"/>
        <w:rPr>
          <w:rFonts w:ascii="Arial" w:cs="Arial" w:eastAsia="Arial" w:hAnsi="Arial"/>
          <w:sz w:val="18"/>
          <w:szCs w:val="18"/>
          <w:color w:val="auto"/>
        </w:rPr>
      </w:pPr>
    </w:p>
    <w:p>
      <w:pPr>
        <w:ind w:left="1300" w:hanging="455"/>
        <w:spacing w:after="0" w:line="277" w:lineRule="auto"/>
        <w:tabs>
          <w:tab w:leader="none" w:pos="1288" w:val="left"/>
        </w:tabs>
        <w:numPr>
          <w:ilvl w:val="1"/>
          <w:numId w:val="23"/>
        </w:numPr>
        <w:rPr>
          <w:rFonts w:ascii="Arial" w:cs="Arial" w:eastAsia="Arial" w:hAnsi="Arial"/>
          <w:sz w:val="18"/>
          <w:szCs w:val="18"/>
          <w:color w:val="auto"/>
        </w:rPr>
      </w:pPr>
      <w:r>
        <w:rPr>
          <w:rFonts w:ascii="Arial" w:cs="Arial" w:eastAsia="Arial" w:hAnsi="Arial"/>
          <w:sz w:val="18"/>
          <w:szCs w:val="18"/>
          <w:color w:val="auto"/>
        </w:rPr>
        <w:t>Financial statement close process to ensure the consistent execution, accuracy, and timely review of account reconciliations, as well as review of the statement of cash flows.</w:t>
      </w:r>
    </w:p>
    <w:p>
      <w:pPr>
        <w:spacing w:after="0" w:line="62" w:lineRule="exact"/>
        <w:rPr>
          <w:rFonts w:ascii="Arial" w:cs="Arial" w:eastAsia="Arial" w:hAnsi="Arial"/>
          <w:sz w:val="18"/>
          <w:szCs w:val="18"/>
          <w:color w:val="auto"/>
        </w:rPr>
      </w:pPr>
    </w:p>
    <w:p>
      <w:pPr>
        <w:ind w:left="1300" w:hanging="505"/>
        <w:spacing w:after="0"/>
        <w:tabs>
          <w:tab w:leader="none" w:pos="1300" w:val="left"/>
        </w:tabs>
        <w:numPr>
          <w:ilvl w:val="2"/>
          <w:numId w:val="24"/>
        </w:numPr>
        <w:rPr>
          <w:rFonts w:ascii="Arial" w:cs="Arial" w:eastAsia="Arial" w:hAnsi="Arial"/>
          <w:sz w:val="18"/>
          <w:szCs w:val="18"/>
          <w:color w:val="auto"/>
        </w:rPr>
      </w:pPr>
      <w:r>
        <w:rPr>
          <w:rFonts w:ascii="Arial" w:cs="Arial" w:eastAsia="Arial" w:hAnsi="Arial"/>
          <w:sz w:val="18"/>
          <w:szCs w:val="18"/>
          <w:color w:val="auto"/>
        </w:rPr>
        <w:t>Coding of transactions within the purchase to disbursement cycle.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6"/>
          <w:szCs w:val="16"/>
          <w:u w:val="single" w:color="auto"/>
          <w:color w:val="0E32E1"/>
        </w:rPr>
        <w:t>Table of Contents</w:t>
      </w:r>
    </w:p>
    <w:p>
      <w:pPr>
        <w:spacing w:after="0" w:line="200" w:lineRule="exact"/>
        <w:rPr>
          <w:sz w:val="20"/>
          <w:szCs w:val="20"/>
          <w:color w:val="auto"/>
        </w:rPr>
      </w:pPr>
    </w:p>
    <w:p>
      <w:pPr>
        <w:spacing w:after="0" w:line="3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These material weaknesses were partially related to employee turnover, resulting in a temporary shortage of qualified personnel to effectively perform the internal controls referenced above.</w:t>
      </w:r>
    </w:p>
    <w:p>
      <w:pPr>
        <w:spacing w:after="0" w:line="6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is working to remediate the material weaknesses in internal control over financial reporting and is taking steps to improve the internal control environment. The Company hired additional accounting personnel and implemented training of new and existing personnel on the proper execution of designed control procedures. Further, the Company is:</w:t>
      </w:r>
    </w:p>
    <w:p>
      <w:pPr>
        <w:spacing w:after="0" w:line="76" w:lineRule="exact"/>
        <w:rPr>
          <w:sz w:val="20"/>
          <w:szCs w:val="20"/>
          <w:color w:val="auto"/>
        </w:rPr>
      </w:pPr>
    </w:p>
    <w:p>
      <w:pPr>
        <w:ind w:left="660" w:hanging="328"/>
        <w:spacing w:after="0" w:line="277" w:lineRule="auto"/>
        <w:tabs>
          <w:tab w:leader="none" w:pos="65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Enhancing processes and designing and implementing internal controls around revenue recognition, software development costs, stock-based compensation, business combination, and financial close and reporting;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Enhancing user access provisioning and monitoring controls to enforce appropriate system access and segregation of duties.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material weaknesses will be considered remediated when management concludes that, through testing, the applicable remedial controls are designed and implemented effectively.</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still assessing the design and operating effectiveness of these measures and, as such, the identified material weaknesses have not been fully remediated as of September 30, 2022. We will continue to monitor the effectiveness of these remediation measures and will make any changes and take other actions that we deem appropriate.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Other than the ongoing remediation activities listed above, there has been no change in our internal control over financial reporting during the quarter ended September 30, 2022, that has materially affected, or is reasonably likely to materially affect, our internal control over financial reporting.</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E32E1"/>
        </w:rPr>
        <w:t>Table of Contents</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Information regarding legal proceedings may be found in </w:t>
      </w:r>
      <w:r>
        <w:rPr>
          <w:rFonts w:ascii="Arial" w:cs="Arial" w:eastAsia="Arial" w:hAnsi="Arial"/>
          <w:sz w:val="16"/>
          <w:szCs w:val="16"/>
          <w:u w:val="single" w:color="auto"/>
          <w:color w:val="0000FF"/>
        </w:rPr>
        <w:t>Note 19 – Commitments and Contingencies</w:t>
      </w:r>
      <w:r>
        <w:rPr>
          <w:rFonts w:ascii="Arial" w:cs="Arial" w:eastAsia="Arial" w:hAnsi="Arial"/>
          <w:sz w:val="16"/>
          <w:szCs w:val="16"/>
          <w:color w:val="auto"/>
        </w:rPr>
        <w:t xml:space="preserve"> to the unaudited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There were no material changes in the period ended September 30, 2022, in our risk factors as disclosed in our Annual Report on Form 10-K for the year ended December 31, 2021.</w:t>
      </w:r>
    </w:p>
    <w:p>
      <w:pPr>
        <w:spacing w:after="0" w:line="11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71" w:lineRule="exact"/>
        <w:rPr>
          <w:sz w:val="20"/>
          <w:szCs w:val="20"/>
          <w:color w:val="auto"/>
        </w:rPr>
      </w:pPr>
    </w:p>
    <w:p>
      <w:pPr>
        <w:ind w:left="660" w:right="8180" w:hanging="652"/>
        <w:spacing w:after="0" w:line="438" w:lineRule="auto"/>
        <w:tabs>
          <w:tab w:leader="none" w:pos="654"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Unregistered Sales of Securities </w:t>
      </w:r>
      <w:r>
        <w:rPr>
          <w:rFonts w:ascii="Arial" w:cs="Arial" w:eastAsia="Arial" w:hAnsi="Arial"/>
          <w:sz w:val="18"/>
          <w:szCs w:val="18"/>
          <w:color w:val="auto"/>
        </w:rPr>
        <w:t>None.</w:t>
      </w:r>
    </w:p>
    <w:p>
      <w:pPr>
        <w:ind w:left="660" w:right="9380" w:hanging="652"/>
        <w:spacing w:after="0" w:line="493" w:lineRule="auto"/>
        <w:tabs>
          <w:tab w:leader="none" w:pos="650"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Use of Proceeds </w:t>
      </w:r>
      <w:r>
        <w:rPr>
          <w:rFonts w:ascii="Arial" w:cs="Arial" w:eastAsia="Arial" w:hAnsi="Arial"/>
          <w:sz w:val="16"/>
          <w:szCs w:val="16"/>
          <w:color w:val="auto"/>
        </w:rPr>
        <w:t>None.</w:t>
      </w:r>
    </w:p>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Issuer Purchases of Equity Securities</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Common Stock Purchase Activity During the Three Months Ended September 30, 2022</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2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tcPr>
          <w:p>
            <w:pPr>
              <w:jc w:val="center"/>
              <w:spacing w:after="0" w:line="165" w:lineRule="exact"/>
              <w:rPr>
                <w:sz w:val="20"/>
                <w:szCs w:val="20"/>
                <w:color w:val="auto"/>
              </w:rPr>
            </w:pPr>
            <w:r>
              <w:rPr>
                <w:rFonts w:ascii="Arial" w:cs="Arial" w:eastAsia="Arial" w:hAnsi="Arial"/>
                <w:sz w:val="16"/>
                <w:szCs w:val="16"/>
                <w:color w:val="auto"/>
                <w:w w:val="90"/>
              </w:rPr>
              <w:t>Total Number of Shares</w:t>
            </w:r>
          </w:p>
        </w:tc>
        <w:tc>
          <w:tcPr>
            <w:tcW w:w="8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6"/>
                <w:szCs w:val="16"/>
                <w:color w:val="auto"/>
                <w:w w:val="99"/>
              </w:rPr>
              <w:t>Maximum Dollar Value of</w:t>
            </w:r>
          </w:p>
        </w:tc>
        <w:tc>
          <w:tcPr>
            <w:tcW w:w="0" w:type="dxa"/>
            <w:vAlign w:val="bottom"/>
          </w:tcPr>
          <w:p>
            <w:pPr>
              <w:spacing w:after="0"/>
              <w:rPr>
                <w:sz w:val="1"/>
                <w:szCs w:val="1"/>
                <w:color w:val="auto"/>
              </w:rPr>
            </w:pPr>
          </w:p>
        </w:tc>
      </w:tr>
      <w:tr>
        <w:trPr>
          <w:trHeight w:val="54"/>
        </w:trPr>
        <w:tc>
          <w:tcPr>
            <w:tcW w:w="3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60" w:type="dxa"/>
            <w:vAlign w:val="bottom"/>
            <w:vMerge w:val="restart"/>
          </w:tcPr>
          <w:p>
            <w:pPr>
              <w:jc w:val="center"/>
              <w:spacing w:after="0" w:line="162" w:lineRule="exact"/>
              <w:rPr>
                <w:sz w:val="20"/>
                <w:szCs w:val="20"/>
                <w:color w:val="auto"/>
              </w:rPr>
            </w:pPr>
            <w:r>
              <w:rPr>
                <w:rFonts w:ascii="Arial" w:cs="Arial" w:eastAsia="Arial" w:hAnsi="Arial"/>
                <w:sz w:val="16"/>
                <w:szCs w:val="16"/>
                <w:color w:val="auto"/>
                <w:w w:val="88"/>
              </w:rPr>
              <w:t>Purchased as Part of</w:t>
            </w:r>
          </w:p>
        </w:tc>
        <w:tc>
          <w:tcPr>
            <w:tcW w:w="80" w:type="dxa"/>
            <w:vAlign w:val="bottom"/>
          </w:tcPr>
          <w:p>
            <w:pPr>
              <w:spacing w:after="0"/>
              <w:rPr>
                <w:sz w:val="4"/>
                <w:szCs w:val="4"/>
                <w:color w:val="auto"/>
              </w:rPr>
            </w:pPr>
          </w:p>
        </w:tc>
        <w:tc>
          <w:tcPr>
            <w:tcW w:w="18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20" w:type="dxa"/>
            <w:vAlign w:val="bottom"/>
            <w:vMerge w:val="restart"/>
          </w:tcPr>
          <w:p>
            <w:pPr>
              <w:jc w:val="right"/>
              <w:ind w:right="85"/>
              <w:spacing w:after="0" w:line="162" w:lineRule="exact"/>
              <w:rPr>
                <w:sz w:val="20"/>
                <w:szCs w:val="20"/>
                <w:color w:val="auto"/>
              </w:rPr>
            </w:pPr>
            <w:r>
              <w:rPr>
                <w:rFonts w:ascii="Arial" w:cs="Arial" w:eastAsia="Arial" w:hAnsi="Arial"/>
                <w:sz w:val="16"/>
                <w:szCs w:val="16"/>
                <w:color w:val="auto"/>
                <w:w w:val="91"/>
              </w:rPr>
              <w:t>Shares that May Yet Be</w:t>
            </w:r>
          </w:p>
        </w:tc>
        <w:tc>
          <w:tcPr>
            <w:tcW w:w="0" w:type="dxa"/>
            <w:vAlign w:val="bottom"/>
          </w:tcPr>
          <w:p>
            <w:pPr>
              <w:spacing w:after="0"/>
              <w:rPr>
                <w:sz w:val="1"/>
                <w:szCs w:val="1"/>
                <w:color w:val="auto"/>
              </w:rPr>
            </w:pPr>
          </w:p>
        </w:tc>
      </w:tr>
      <w:tr>
        <w:trPr>
          <w:trHeight w:val="54"/>
        </w:trPr>
        <w:tc>
          <w:tcPr>
            <w:tcW w:w="3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940" w:type="dxa"/>
            <w:vAlign w:val="bottom"/>
            <w:gridSpan w:val="2"/>
            <w:vMerge w:val="restart"/>
          </w:tcPr>
          <w:p>
            <w:pPr>
              <w:ind w:left="160"/>
              <w:spacing w:after="0"/>
              <w:rPr>
                <w:sz w:val="20"/>
                <w:szCs w:val="20"/>
                <w:color w:val="auto"/>
              </w:rPr>
            </w:pPr>
            <w:r>
              <w:rPr>
                <w:rFonts w:ascii="Arial" w:cs="Arial" w:eastAsia="Arial" w:hAnsi="Arial"/>
                <w:sz w:val="16"/>
                <w:szCs w:val="16"/>
                <w:color w:val="auto"/>
              </w:rPr>
              <w:t>Total Number of Shares</w:t>
            </w:r>
          </w:p>
        </w:tc>
        <w:tc>
          <w:tcPr>
            <w:tcW w:w="140" w:type="dxa"/>
            <w:vAlign w:val="bottom"/>
          </w:tcPr>
          <w:p>
            <w:pPr>
              <w:spacing w:after="0"/>
              <w:rPr>
                <w:sz w:val="4"/>
                <w:szCs w:val="4"/>
                <w:color w:val="auto"/>
              </w:rPr>
            </w:pPr>
          </w:p>
        </w:tc>
        <w:tc>
          <w:tcPr>
            <w:tcW w:w="1800" w:type="dxa"/>
            <w:vAlign w:val="bottom"/>
            <w:gridSpan w:val="2"/>
            <w:vMerge w:val="restart"/>
          </w:tcPr>
          <w:p>
            <w:pPr>
              <w:ind w:left="40"/>
              <w:spacing w:after="0"/>
              <w:rPr>
                <w:sz w:val="20"/>
                <w:szCs w:val="20"/>
                <w:color w:val="auto"/>
              </w:rPr>
            </w:pPr>
            <w:r>
              <w:rPr>
                <w:rFonts w:ascii="Arial" w:cs="Arial" w:eastAsia="Arial" w:hAnsi="Arial"/>
                <w:sz w:val="16"/>
                <w:szCs w:val="16"/>
                <w:color w:val="auto"/>
              </w:rPr>
              <w:t>Average Price Paid per</w:t>
            </w:r>
          </w:p>
        </w:tc>
        <w:tc>
          <w:tcPr>
            <w:tcW w:w="1860" w:type="dxa"/>
            <w:vAlign w:val="bottom"/>
            <w:vMerge w:val="restart"/>
          </w:tcPr>
          <w:p>
            <w:pPr>
              <w:jc w:val="center"/>
              <w:spacing w:after="0"/>
              <w:rPr>
                <w:sz w:val="20"/>
                <w:szCs w:val="20"/>
                <w:color w:val="auto"/>
              </w:rPr>
            </w:pPr>
            <w:r>
              <w:rPr>
                <w:rFonts w:ascii="Arial" w:cs="Arial" w:eastAsia="Arial" w:hAnsi="Arial"/>
                <w:sz w:val="16"/>
                <w:szCs w:val="16"/>
                <w:color w:val="auto"/>
                <w:w w:val="93"/>
              </w:rPr>
              <w:t>Publicly Announced</w:t>
            </w: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3200" w:type="dxa"/>
            <w:vAlign w:val="bottom"/>
            <w:vMerge w:val="restart"/>
          </w:tcPr>
          <w:p>
            <w:pPr>
              <w:ind w:left="20"/>
              <w:spacing w:after="0"/>
              <w:rPr>
                <w:sz w:val="20"/>
                <w:szCs w:val="20"/>
                <w:color w:val="auto"/>
              </w:rPr>
            </w:pPr>
            <w:r>
              <w:rPr>
                <w:rFonts w:ascii="Arial" w:cs="Arial" w:eastAsia="Arial" w:hAnsi="Arial"/>
                <w:sz w:val="16"/>
                <w:szCs w:val="16"/>
                <w:color w:val="auto"/>
              </w:rPr>
              <w:t>Period</w:t>
            </w:r>
          </w:p>
        </w:tc>
        <w:tc>
          <w:tcPr>
            <w:tcW w:w="80" w:type="dxa"/>
            <w:vAlign w:val="bottom"/>
            <w:vMerge w:val="restart"/>
          </w:tcPr>
          <w:p>
            <w:pPr>
              <w:spacing w:after="0"/>
              <w:rPr>
                <w:sz w:val="13"/>
                <w:szCs w:val="13"/>
                <w:color w:val="auto"/>
              </w:rPr>
            </w:pPr>
          </w:p>
        </w:tc>
        <w:tc>
          <w:tcPr>
            <w:tcW w:w="19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gridSpan w:val="2"/>
            <w:vMerge w:val="continue"/>
          </w:tcPr>
          <w:p>
            <w:pPr>
              <w:spacing w:after="0"/>
              <w:rPr>
                <w:sz w:val="13"/>
                <w:szCs w:val="13"/>
                <w:color w:val="auto"/>
              </w:rPr>
            </w:pPr>
          </w:p>
        </w:tc>
        <w:tc>
          <w:tcPr>
            <w:tcW w:w="18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gridSpan w:val="2"/>
          </w:tcPr>
          <w:p>
            <w:pPr>
              <w:jc w:val="right"/>
              <w:spacing w:after="0" w:line="158" w:lineRule="exact"/>
              <w:rPr>
                <w:sz w:val="20"/>
                <w:szCs w:val="20"/>
                <w:color w:val="auto"/>
              </w:rPr>
            </w:pPr>
            <w:r>
              <w:rPr>
                <w:rFonts w:ascii="Arial" w:cs="Arial" w:eastAsia="Arial" w:hAnsi="Arial"/>
                <w:sz w:val="16"/>
                <w:szCs w:val="16"/>
                <w:color w:val="auto"/>
                <w:w w:val="90"/>
              </w:rPr>
              <w:t>Purchased Under the Plans</w:t>
            </w:r>
          </w:p>
        </w:tc>
        <w:tc>
          <w:tcPr>
            <w:tcW w:w="0" w:type="dxa"/>
            <w:vAlign w:val="bottom"/>
          </w:tcPr>
          <w:p>
            <w:pPr>
              <w:spacing w:after="0"/>
              <w:rPr>
                <w:sz w:val="1"/>
                <w:szCs w:val="1"/>
                <w:color w:val="auto"/>
              </w:rPr>
            </w:pPr>
          </w:p>
        </w:tc>
      </w:tr>
      <w:tr>
        <w:trPr>
          <w:trHeight w:val="162"/>
        </w:trPr>
        <w:tc>
          <w:tcPr>
            <w:tcW w:w="32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860" w:type="dxa"/>
            <w:vAlign w:val="bottom"/>
            <w:tcBorders>
              <w:bottom w:val="single" w:sz="8" w:color="auto"/>
            </w:tcBorders>
          </w:tcPr>
          <w:p>
            <w:pPr>
              <w:jc w:val="right"/>
              <w:ind w:right="361"/>
              <w:spacing w:after="0" w:line="162" w:lineRule="exact"/>
              <w:rPr>
                <w:sz w:val="20"/>
                <w:szCs w:val="20"/>
                <w:color w:val="auto"/>
              </w:rPr>
            </w:pPr>
            <w:r>
              <w:rPr>
                <w:rFonts w:ascii="Arial" w:cs="Arial" w:eastAsia="Arial" w:hAnsi="Arial"/>
                <w:sz w:val="14"/>
                <w:szCs w:val="14"/>
                <w:color w:val="auto"/>
              </w:rPr>
              <w:t xml:space="preserve">Purchased </w:t>
            </w:r>
            <w:r>
              <w:rPr>
                <w:rFonts w:ascii="Arial" w:cs="Arial" w:eastAsia="Arial" w:hAnsi="Arial"/>
                <w:sz w:val="18"/>
                <w:szCs w:val="18"/>
                <w:color w:val="auto"/>
                <w:vertAlign w:val="superscript"/>
              </w:rPr>
              <w:t>(1) (2)</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581"/>
              <w:spacing w:after="0" w:line="162" w:lineRule="exact"/>
              <w:rPr>
                <w:sz w:val="20"/>
                <w:szCs w:val="20"/>
                <w:color w:val="auto"/>
              </w:rPr>
            </w:pPr>
            <w:r>
              <w:rPr>
                <w:rFonts w:ascii="Arial" w:cs="Arial" w:eastAsia="Arial" w:hAnsi="Arial"/>
                <w:sz w:val="14"/>
                <w:szCs w:val="14"/>
                <w:color w:val="auto"/>
              </w:rPr>
              <w:t xml:space="preserve">Share </w:t>
            </w:r>
            <w:r>
              <w:rPr>
                <w:rFonts w:ascii="Arial" w:cs="Arial" w:eastAsia="Arial" w:hAnsi="Arial"/>
                <w:sz w:val="18"/>
                <w:szCs w:val="18"/>
                <w:color w:val="auto"/>
                <w:vertAlign w:val="superscript"/>
              </w:rPr>
              <w:t>(1)</w:t>
            </w:r>
          </w:p>
        </w:tc>
        <w:tc>
          <w:tcPr>
            <w:tcW w:w="80" w:type="dxa"/>
            <w:vAlign w:val="bottom"/>
            <w:tcBorders>
              <w:bottom w:val="single" w:sz="8" w:color="CCEEFF"/>
            </w:tcBorders>
          </w:tcPr>
          <w:p>
            <w:pPr>
              <w:spacing w:after="0"/>
              <w:rPr>
                <w:sz w:val="14"/>
                <w:szCs w:val="14"/>
                <w:color w:val="auto"/>
              </w:rPr>
            </w:pPr>
          </w:p>
        </w:tc>
        <w:tc>
          <w:tcPr>
            <w:tcW w:w="186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4"/>
                <w:szCs w:val="14"/>
                <w:color w:val="auto"/>
                <w:w w:val="98"/>
              </w:rPr>
              <w:t xml:space="preserve">Repurchases Plans </w:t>
            </w:r>
            <w:r>
              <w:rPr>
                <w:rFonts w:ascii="Arial" w:cs="Arial" w:eastAsia="Arial" w:hAnsi="Arial"/>
                <w:sz w:val="18"/>
                <w:szCs w:val="18"/>
                <w:color w:val="auto"/>
                <w:w w:val="98"/>
                <w:vertAlign w:val="superscript"/>
              </w:rPr>
              <w:t>(1)</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785"/>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9"/>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July 1, 2022 - July 31, 2022</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151,675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w:t>
            </w:r>
          </w:p>
        </w:tc>
        <w:tc>
          <w:tcPr>
            <w:tcW w:w="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119,012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46,077,038</w:t>
            </w:r>
          </w:p>
        </w:tc>
        <w:tc>
          <w:tcPr>
            <w:tcW w:w="0" w:type="dxa"/>
            <w:vAlign w:val="bottom"/>
          </w:tcPr>
          <w:p>
            <w:pPr>
              <w:spacing w:after="0"/>
              <w:rPr>
                <w:sz w:val="1"/>
                <w:szCs w:val="1"/>
                <w:color w:val="auto"/>
              </w:rPr>
            </w:pPr>
          </w:p>
        </w:tc>
      </w:tr>
      <w:tr>
        <w:trPr>
          <w:trHeight w:val="213"/>
        </w:trPr>
        <w:tc>
          <w:tcPr>
            <w:tcW w:w="3280" w:type="dxa"/>
            <w:vAlign w:val="bottom"/>
            <w:gridSpan w:val="2"/>
          </w:tcPr>
          <w:p>
            <w:pPr>
              <w:ind w:left="20"/>
              <w:spacing w:after="0"/>
              <w:rPr>
                <w:sz w:val="20"/>
                <w:szCs w:val="20"/>
                <w:color w:val="auto"/>
              </w:rPr>
            </w:pPr>
            <w:r>
              <w:rPr>
                <w:rFonts w:ascii="Arial" w:cs="Arial" w:eastAsia="Arial" w:hAnsi="Arial"/>
                <w:sz w:val="16"/>
                <w:szCs w:val="16"/>
                <w:color w:val="auto"/>
              </w:rPr>
              <w:t>August 1, 2022 - August 31, 2022</w:t>
            </w:r>
          </w:p>
        </w:tc>
        <w:tc>
          <w:tcPr>
            <w:tcW w:w="1860" w:type="dxa"/>
            <w:vAlign w:val="bottom"/>
          </w:tcPr>
          <w:p>
            <w:pPr>
              <w:jc w:val="right"/>
              <w:spacing w:after="0"/>
              <w:rPr>
                <w:sz w:val="20"/>
                <w:szCs w:val="20"/>
                <w:color w:val="auto"/>
              </w:rPr>
            </w:pPr>
            <w:r>
              <w:rPr>
                <w:rFonts w:ascii="Arial" w:cs="Arial" w:eastAsia="Arial" w:hAnsi="Arial"/>
                <w:sz w:val="16"/>
                <w:szCs w:val="16"/>
                <w:color w:val="auto"/>
              </w:rPr>
              <w:t>230,183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9.64</w:t>
            </w:r>
          </w:p>
        </w:tc>
        <w:tc>
          <w:tcPr>
            <w:tcW w:w="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230,183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43,856,971</w:t>
            </w:r>
          </w:p>
        </w:tc>
        <w:tc>
          <w:tcPr>
            <w:tcW w:w="0" w:type="dxa"/>
            <w:vAlign w:val="bottom"/>
          </w:tcPr>
          <w:p>
            <w:pPr>
              <w:spacing w:after="0"/>
              <w:rPr>
                <w:sz w:val="1"/>
                <w:szCs w:val="1"/>
                <w:color w:val="auto"/>
              </w:rPr>
            </w:pPr>
          </w:p>
        </w:tc>
      </w:tr>
      <w:tr>
        <w:trPr>
          <w:trHeight w:val="219"/>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September 1, 2022 - September 30, 2022</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149,536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10.30</w:t>
            </w:r>
          </w:p>
        </w:tc>
        <w:tc>
          <w:tcPr>
            <w:tcW w:w="8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149,536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42,316,996</w:t>
            </w:r>
          </w:p>
        </w:tc>
        <w:tc>
          <w:tcPr>
            <w:tcW w:w="0" w:type="dxa"/>
            <w:vAlign w:val="bottom"/>
          </w:tcPr>
          <w:p>
            <w:pPr>
              <w:spacing w:after="0"/>
              <w:rPr>
                <w:sz w:val="1"/>
                <w:szCs w:val="1"/>
                <w:color w:val="auto"/>
              </w:rPr>
            </w:pPr>
          </w:p>
        </w:tc>
      </w:tr>
      <w:tr>
        <w:trPr>
          <w:trHeight w:val="206"/>
        </w:trPr>
        <w:tc>
          <w:tcPr>
            <w:tcW w:w="328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531,394</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9.38</w:t>
            </w:r>
          </w:p>
        </w:tc>
        <w:tc>
          <w:tcPr>
            <w:tcW w:w="80" w:type="dxa"/>
            <w:vAlign w:val="bottom"/>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498,731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3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left="180" w:hanging="172"/>
        <w:spacing w:after="0" w:line="230" w:lineRule="auto"/>
        <w:tabs>
          <w:tab w:leader="none" w:pos="163" w:val="left"/>
        </w:tabs>
        <w:numPr>
          <w:ilvl w:val="0"/>
          <w:numId w:val="27"/>
        </w:numPr>
        <w:rPr>
          <w:rFonts w:ascii="Arial" w:cs="Arial" w:eastAsia="Arial" w:hAnsi="Arial"/>
          <w:sz w:val="19"/>
          <w:szCs w:val="19"/>
          <w:color w:val="auto"/>
          <w:vertAlign w:val="superscript"/>
        </w:rPr>
      </w:pPr>
      <w:r>
        <w:rPr>
          <w:rFonts w:ascii="Arial" w:cs="Arial" w:eastAsia="Arial" w:hAnsi="Arial"/>
          <w:sz w:val="14"/>
          <w:szCs w:val="14"/>
          <w:color w:val="auto"/>
        </w:rPr>
        <w:t>On May 24, 2022, the Board of Directors authorized a Share Repurchase Program, pursuant to which the Company can repurchase up to $50.0 million of issued and outstanding common stock. The repurchase program has no expiration date and may be modified, suspended, or terminated at any time. For the third quarter of 2022, the Company repurchased 498,731 shares of common stock under the program for an aggregate price of $4.7 million in open market.</w:t>
      </w:r>
    </w:p>
    <w:p>
      <w:pPr>
        <w:spacing w:after="0" w:line="157" w:lineRule="exact"/>
        <w:rPr>
          <w:rFonts w:ascii="Arial" w:cs="Arial" w:eastAsia="Arial" w:hAnsi="Arial"/>
          <w:sz w:val="19"/>
          <w:szCs w:val="19"/>
          <w:color w:val="auto"/>
          <w:vertAlign w:val="superscript"/>
        </w:rPr>
      </w:pPr>
    </w:p>
    <w:p>
      <w:pPr>
        <w:ind w:left="180" w:right="520" w:hanging="172"/>
        <w:spacing w:after="0" w:line="226" w:lineRule="auto"/>
        <w:tabs>
          <w:tab w:leader="none" w:pos="163" w:val="left"/>
        </w:tabs>
        <w:numPr>
          <w:ilvl w:val="0"/>
          <w:numId w:val="27"/>
        </w:numPr>
        <w:rPr>
          <w:rFonts w:ascii="Arial" w:cs="Arial" w:eastAsia="Arial" w:hAnsi="Arial"/>
          <w:sz w:val="19"/>
          <w:szCs w:val="19"/>
          <w:color w:val="auto"/>
          <w:vertAlign w:val="superscript"/>
        </w:rPr>
      </w:pPr>
      <w:r>
        <w:rPr>
          <w:rFonts w:ascii="Arial" w:cs="Arial" w:eastAsia="Arial" w:hAnsi="Arial"/>
          <w:sz w:val="14"/>
          <w:szCs w:val="14"/>
          <w:color w:val="auto"/>
        </w:rPr>
        <w:t>The Total Number of Shares Purchased includes shares withheld by the Company upon the vesting of restricted stock units to satisfy tax withholding obligations of the holders of those restricted stock units.</w:t>
      </w:r>
    </w:p>
    <w:p>
      <w:pPr>
        <w:spacing w:after="0" w:line="15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0E32E1"/>
        </w:rPr>
        <w:t>Table of Contents</w:t>
      </w:r>
    </w:p>
    <w:p>
      <w:pPr>
        <w:spacing w:after="0" w:line="200" w:lineRule="exact"/>
        <w:rPr>
          <w:sz w:val="20"/>
          <w:szCs w:val="20"/>
          <w:color w:val="auto"/>
        </w:rPr>
      </w:pPr>
    </w:p>
    <w:p>
      <w:pPr>
        <w:spacing w:after="0" w:line="3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gridSpan w:val="5"/>
          </w:tcPr>
          <w:p>
            <w:pPr>
              <w:jc w:val="center"/>
              <w:spacing w:after="0"/>
              <w:rPr>
                <w:sz w:val="20"/>
                <w:szCs w:val="20"/>
                <w:color w:val="auto"/>
              </w:rPr>
            </w:pPr>
            <w:r>
              <w:rPr>
                <w:rFonts w:ascii="Arial" w:cs="Arial" w:eastAsia="Arial" w:hAnsi="Arial"/>
                <w:sz w:val="16"/>
                <w:szCs w:val="16"/>
                <w:b w:val="1"/>
                <w:bCs w:val="1"/>
                <w:color w:val="auto"/>
                <w:w w:val="97"/>
              </w:rPr>
              <w:t>Exhibit</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380" w:type="dxa"/>
            <w:vAlign w:val="bottom"/>
            <w:gridSpan w:val="4"/>
            <w:vMerge w:val="restart"/>
          </w:tcPr>
          <w:p>
            <w:pPr>
              <w:ind w:left="3920"/>
              <w:spacing w:after="0"/>
              <w:rPr>
                <w:sz w:val="20"/>
                <w:szCs w:val="20"/>
                <w:color w:val="auto"/>
              </w:rPr>
            </w:pPr>
            <w:r>
              <w:rPr>
                <w:rFonts w:ascii="Arial" w:cs="Arial" w:eastAsia="Arial" w:hAnsi="Arial"/>
                <w:sz w:val="16"/>
                <w:szCs w:val="16"/>
                <w:b w:val="1"/>
                <w:bCs w:val="1"/>
                <w:color w:val="auto"/>
              </w:rPr>
              <w:t>Description of Exhibit</w:t>
            </w:r>
          </w:p>
        </w:tc>
        <w:tc>
          <w:tcPr>
            <w:tcW w:w="0" w:type="dxa"/>
            <w:vAlign w:val="bottom"/>
          </w:tcPr>
          <w:p>
            <w:pPr>
              <w:spacing w:after="0"/>
              <w:rPr>
                <w:sz w:val="1"/>
                <w:szCs w:val="1"/>
                <w:color w:val="auto"/>
              </w:rPr>
            </w:pPr>
          </w:p>
        </w:tc>
      </w:tr>
      <w:tr>
        <w:trPr>
          <w:trHeight w:val="213"/>
        </w:trPr>
        <w:tc>
          <w:tcPr>
            <w:tcW w:w="3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6"/>
                <w:szCs w:val="16"/>
                <w:b w:val="1"/>
                <w:bCs w:val="1"/>
                <w:color w:val="auto"/>
                <w:w w:val="92"/>
              </w:rPr>
              <w:t>No.</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38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20" w:type="dxa"/>
            <w:vAlign w:val="bottom"/>
            <w:gridSpan w:val="4"/>
            <w:shd w:val="clear" w:color="auto" w:fill="CCEEFF"/>
          </w:tcPr>
          <w:p>
            <w:pPr>
              <w:jc w:val="center"/>
              <w:ind w:left="259"/>
              <w:spacing w:after="0" w:line="172" w:lineRule="exact"/>
              <w:rPr>
                <w:sz w:val="20"/>
                <w:szCs w:val="20"/>
                <w:color w:val="auto"/>
              </w:rPr>
            </w:pPr>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1</w:t>
            </w:r>
          </w:p>
        </w:tc>
        <w:tc>
          <w:tcPr>
            <w:tcW w:w="340" w:type="dxa"/>
            <w:vAlign w:val="bottom"/>
            <w:shd w:val="clear" w:color="auto" w:fill="CCEEFF"/>
          </w:tcPr>
          <w:p>
            <w:pPr>
              <w:spacing w:after="0"/>
              <w:rPr>
                <w:sz w:val="16"/>
                <w:szCs w:val="16"/>
                <w:color w:val="auto"/>
              </w:rPr>
            </w:pPr>
          </w:p>
        </w:tc>
        <w:tc>
          <w:tcPr>
            <w:tcW w:w="9720" w:type="dxa"/>
            <w:vAlign w:val="bottom"/>
            <w:gridSpan w:val="6"/>
            <w:shd w:val="clear" w:color="auto" w:fill="CCEEFF"/>
          </w:tcPr>
          <w:p>
            <w:pPr>
              <w:ind w:left="20"/>
              <w:spacing w:after="0" w:line="172" w:lineRule="exact"/>
              <w:rPr>
                <w:sz w:val="20"/>
                <w:szCs w:val="20"/>
                <w:color w:val="auto"/>
              </w:rPr>
            </w:pPr>
            <w:r>
              <w:rPr>
                <w:rFonts w:ascii="Arial" w:cs="Arial" w:eastAsia="Arial" w:hAnsi="Arial"/>
                <w:sz w:val="16"/>
                <w:szCs w:val="16"/>
                <w:color w:val="auto"/>
              </w:rPr>
              <w:t xml:space="preserve">v   </w:t>
            </w:r>
            <w:r>
              <w:rPr>
                <w:rFonts w:ascii="Arial" w:cs="Arial" w:eastAsia="Arial" w:hAnsi="Arial"/>
                <w:sz w:val="16"/>
                <w:szCs w:val="16"/>
                <w:color w:val="0000FF"/>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54"/>
        </w:trPr>
        <w:tc>
          <w:tcPr>
            <w:tcW w:w="340" w:type="dxa"/>
            <w:vAlign w:val="bottom"/>
            <w:tcBorders>
              <w:top w:val="single" w:sz="8" w:color="CCEE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4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20" w:type="dxa"/>
            <w:vAlign w:val="bottom"/>
            <w:tcBorders>
              <w:top w:val="single" w:sz="8" w:color="CCEEFF"/>
            </w:tcBorders>
          </w:tcPr>
          <w:p>
            <w:pPr>
              <w:spacing w:after="0"/>
              <w:rPr>
                <w:sz w:val="4"/>
                <w:szCs w:val="4"/>
                <w:color w:val="auto"/>
              </w:rPr>
            </w:pPr>
          </w:p>
        </w:tc>
        <w:tc>
          <w:tcPr>
            <w:tcW w:w="110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20" w:type="dxa"/>
            <w:vAlign w:val="bottom"/>
            <w:gridSpan w:val="4"/>
            <w:shd w:val="clear" w:color="auto" w:fill="CCEEFF"/>
          </w:tcPr>
          <w:p>
            <w:pPr>
              <w:jc w:val="center"/>
              <w:ind w:left="259"/>
              <w:spacing w:after="0" w:line="175" w:lineRule="exact"/>
              <w:rPr>
                <w:sz w:val="20"/>
                <w:szCs w:val="20"/>
                <w:color w:val="auto"/>
              </w:rPr>
            </w:pPr>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2</w:t>
            </w:r>
          </w:p>
        </w:tc>
        <w:tc>
          <w:tcPr>
            <w:tcW w:w="340" w:type="dxa"/>
            <w:vAlign w:val="bottom"/>
            <w:shd w:val="clear" w:color="auto" w:fill="CCEEFF"/>
          </w:tcPr>
          <w:p>
            <w:pPr>
              <w:spacing w:after="0"/>
              <w:rPr>
                <w:sz w:val="17"/>
                <w:szCs w:val="17"/>
                <w:color w:val="auto"/>
              </w:rPr>
            </w:pPr>
          </w:p>
        </w:tc>
        <w:tc>
          <w:tcPr>
            <w:tcW w:w="9720" w:type="dxa"/>
            <w:vAlign w:val="bottom"/>
            <w:gridSpan w:val="6"/>
            <w:shd w:val="clear" w:color="auto" w:fill="CCEEFF"/>
          </w:tcPr>
          <w:p>
            <w:pPr>
              <w:ind w:left="20"/>
              <w:spacing w:after="0" w:line="175" w:lineRule="exact"/>
              <w:rPr>
                <w:sz w:val="20"/>
                <w:szCs w:val="20"/>
                <w:color w:val="auto"/>
              </w:rPr>
            </w:pPr>
            <w:r>
              <w:rPr>
                <w:rFonts w:ascii="Arial" w:cs="Arial" w:eastAsia="Arial" w:hAnsi="Arial"/>
                <w:sz w:val="16"/>
                <w:szCs w:val="16"/>
                <w:color w:val="auto"/>
              </w:rPr>
              <w:t xml:space="preserve">v   </w:t>
            </w:r>
            <w:r>
              <w:rPr>
                <w:rFonts w:ascii="Arial" w:cs="Arial" w:eastAsia="Arial" w:hAnsi="Arial"/>
                <w:sz w:val="16"/>
                <w:szCs w:val="16"/>
                <w:color w:val="0000FF"/>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54"/>
        </w:trPr>
        <w:tc>
          <w:tcPr>
            <w:tcW w:w="340" w:type="dxa"/>
            <w:vAlign w:val="bottom"/>
            <w:tcBorders>
              <w:top w:val="single" w:sz="8" w:color="CCEE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42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20" w:type="dxa"/>
            <w:vAlign w:val="bottom"/>
            <w:tcBorders>
              <w:top w:val="single" w:sz="8" w:color="CCEEFF"/>
            </w:tcBorders>
          </w:tcPr>
          <w:p>
            <w:pPr>
              <w:spacing w:after="0"/>
              <w:rPr>
                <w:sz w:val="4"/>
                <w:szCs w:val="4"/>
                <w:color w:val="auto"/>
              </w:rPr>
            </w:pPr>
          </w:p>
        </w:tc>
        <w:tc>
          <w:tcPr>
            <w:tcW w:w="110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560" w:type="dxa"/>
            <w:vAlign w:val="bottom"/>
            <w:gridSpan w:val="3"/>
            <w:shd w:val="clear" w:color="auto" w:fill="CCEEFF"/>
          </w:tcPr>
          <w:p>
            <w:pPr>
              <w:jc w:val="center"/>
              <w:ind w:left="319"/>
              <w:spacing w:after="0" w:line="175" w:lineRule="exact"/>
              <w:rPr>
                <w:sz w:val="20"/>
                <w:szCs w:val="20"/>
                <w:color w:val="auto"/>
              </w:rPr>
            </w:pPr>
            <w:r>
              <w:rPr>
                <w:rFonts w:ascii="Arial" w:cs="Arial" w:eastAsia="Arial" w:hAnsi="Arial"/>
                <w:sz w:val="16"/>
                <w:szCs w:val="16"/>
                <w:color w:val="0000FF"/>
                <w:w w:val="89"/>
              </w:rPr>
              <w:t>32</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720" w:type="dxa"/>
            <w:vAlign w:val="bottom"/>
            <w:gridSpan w:val="6"/>
            <w:shd w:val="clear" w:color="auto" w:fill="CCEEFF"/>
          </w:tcPr>
          <w:p>
            <w:pPr>
              <w:ind w:left="20"/>
              <w:spacing w:after="0" w:line="175" w:lineRule="exact"/>
              <w:rPr>
                <w:sz w:val="20"/>
                <w:szCs w:val="20"/>
                <w:color w:val="auto"/>
              </w:rPr>
            </w:pPr>
            <w:r>
              <w:rPr>
                <w:rFonts w:ascii="Arial" w:cs="Arial" w:eastAsia="Arial" w:hAnsi="Arial"/>
                <w:sz w:val="16"/>
                <w:szCs w:val="16"/>
                <w:color w:val="auto"/>
              </w:rPr>
              <w:t xml:space="preserve">z   </w:t>
            </w:r>
            <w:r>
              <w:rPr>
                <w:rFonts w:ascii="Arial" w:cs="Arial" w:eastAsia="Arial" w:hAnsi="Arial"/>
                <w:sz w:val="16"/>
                <w:szCs w:val="16"/>
                <w:color w:val="0000FF"/>
              </w:rPr>
              <w:t>Certification of Chief Executive Officer and Chief Financial Officer pursuant to Section 906 of the Sarbanes-Oxley Act of 2002</w:t>
            </w:r>
          </w:p>
        </w:tc>
        <w:tc>
          <w:tcPr>
            <w:tcW w:w="0" w:type="dxa"/>
            <w:vAlign w:val="bottom"/>
          </w:tcPr>
          <w:p>
            <w:pPr>
              <w:spacing w:after="0"/>
              <w:rPr>
                <w:sz w:val="1"/>
                <w:szCs w:val="1"/>
                <w:color w:val="auto"/>
              </w:rPr>
            </w:pPr>
          </w:p>
        </w:tc>
      </w:tr>
      <w:tr>
        <w:trPr>
          <w:trHeight w:val="54"/>
        </w:trPr>
        <w:tc>
          <w:tcPr>
            <w:tcW w:w="3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4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20" w:type="dxa"/>
            <w:vAlign w:val="bottom"/>
            <w:tcBorders>
              <w:top w:val="single" w:sz="8" w:color="0000FF"/>
            </w:tcBorders>
          </w:tcPr>
          <w:p>
            <w:pPr>
              <w:spacing w:after="0"/>
              <w:rPr>
                <w:sz w:val="4"/>
                <w:szCs w:val="4"/>
                <w:color w:val="auto"/>
              </w:rPr>
            </w:pPr>
          </w:p>
        </w:tc>
        <w:tc>
          <w:tcPr>
            <w:tcW w:w="110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960" w:type="dxa"/>
            <w:vAlign w:val="bottom"/>
            <w:gridSpan w:val="5"/>
            <w:vMerge w:val="restart"/>
            <w:shd w:val="clear" w:color="auto" w:fill="CCEEFF"/>
          </w:tcPr>
          <w:p>
            <w:pPr>
              <w:jc w:val="center"/>
              <w:spacing w:after="0"/>
              <w:rPr>
                <w:sz w:val="20"/>
                <w:szCs w:val="20"/>
                <w:color w:val="auto"/>
              </w:rPr>
            </w:pPr>
            <w:r>
              <w:rPr>
                <w:rFonts w:ascii="Arial" w:cs="Arial" w:eastAsia="Arial" w:hAnsi="Arial"/>
                <w:sz w:val="16"/>
                <w:szCs w:val="16"/>
                <w:color w:val="auto"/>
                <w:w w:val="96"/>
              </w:rPr>
              <w:t>101.INS</w:t>
            </w:r>
          </w:p>
        </w:tc>
        <w:tc>
          <w:tcPr>
            <w:tcW w:w="9720" w:type="dxa"/>
            <w:vAlign w:val="bottom"/>
            <w:gridSpan w:val="6"/>
            <w:shd w:val="clear" w:color="auto" w:fill="CCEEFF"/>
          </w:tcPr>
          <w:p>
            <w:pPr>
              <w:ind w:left="20"/>
              <w:spacing w:after="0" w:line="166" w:lineRule="exact"/>
              <w:rPr>
                <w:sz w:val="20"/>
                <w:szCs w:val="20"/>
                <w:color w:val="auto"/>
              </w:rPr>
            </w:pPr>
            <w:r>
              <w:rPr>
                <w:rFonts w:ascii="Arial" w:cs="Arial" w:eastAsia="Arial" w:hAnsi="Arial"/>
                <w:sz w:val="16"/>
                <w:szCs w:val="16"/>
                <w:color w:val="auto"/>
                <w:w w:val="93"/>
              </w:rPr>
              <w:t>v   XBRL Instance Document - the instance document does not appear in the Interactive Data File because its XBRL tags are embedded within the</w:t>
            </w:r>
          </w:p>
        </w:tc>
        <w:tc>
          <w:tcPr>
            <w:tcW w:w="0" w:type="dxa"/>
            <w:vAlign w:val="bottom"/>
          </w:tcPr>
          <w:p>
            <w:pPr>
              <w:spacing w:after="0"/>
              <w:rPr>
                <w:sz w:val="1"/>
                <w:szCs w:val="1"/>
                <w:color w:val="auto"/>
              </w:rPr>
            </w:pPr>
          </w:p>
        </w:tc>
      </w:tr>
      <w:tr>
        <w:trPr>
          <w:trHeight w:val="125"/>
        </w:trPr>
        <w:tc>
          <w:tcPr>
            <w:tcW w:w="960" w:type="dxa"/>
            <w:vAlign w:val="bottom"/>
            <w:gridSpan w:val="5"/>
            <w:vMerge w:val="continue"/>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9380" w:type="dxa"/>
            <w:vAlign w:val="bottom"/>
            <w:gridSpan w:val="4"/>
            <w:vMerge w:val="restart"/>
            <w:shd w:val="clear" w:color="auto" w:fill="CCEEFF"/>
          </w:tcPr>
          <w:p>
            <w:pPr>
              <w:spacing w:after="0"/>
              <w:rPr>
                <w:sz w:val="20"/>
                <w:szCs w:val="20"/>
                <w:color w:val="auto"/>
              </w:rPr>
            </w:pPr>
            <w:r>
              <w:rPr>
                <w:rFonts w:ascii="Arial" w:cs="Arial" w:eastAsia="Arial" w:hAnsi="Arial"/>
                <w:sz w:val="16"/>
                <w:szCs w:val="16"/>
                <w:color w:val="auto"/>
              </w:rPr>
              <w:t>Inline XBRL document</w:t>
            </w:r>
          </w:p>
        </w:tc>
        <w:tc>
          <w:tcPr>
            <w:tcW w:w="0" w:type="dxa"/>
            <w:vAlign w:val="bottom"/>
          </w:tcPr>
          <w:p>
            <w:pPr>
              <w:spacing w:after="0"/>
              <w:rPr>
                <w:sz w:val="1"/>
                <w:szCs w:val="1"/>
                <w:color w:val="auto"/>
              </w:rPr>
            </w:pPr>
          </w:p>
        </w:tc>
      </w:tr>
      <w:tr>
        <w:trPr>
          <w:trHeight w:val="87"/>
        </w:trPr>
        <w:tc>
          <w:tcPr>
            <w:tcW w:w="3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9380" w:type="dxa"/>
            <w:vAlign w:val="bottom"/>
            <w:gridSpan w:val="4"/>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960" w:type="dxa"/>
            <w:vAlign w:val="bottom"/>
            <w:gridSpan w:val="5"/>
            <w:shd w:val="clear" w:color="auto" w:fill="CCEEFF"/>
          </w:tcPr>
          <w:p>
            <w:pPr>
              <w:jc w:val="center"/>
              <w:spacing w:after="0"/>
              <w:rPr>
                <w:sz w:val="20"/>
                <w:szCs w:val="20"/>
                <w:color w:val="auto"/>
              </w:rPr>
            </w:pPr>
            <w:r>
              <w:rPr>
                <w:rFonts w:ascii="Arial" w:cs="Arial" w:eastAsia="Arial" w:hAnsi="Arial"/>
                <w:sz w:val="16"/>
                <w:szCs w:val="16"/>
                <w:color w:val="auto"/>
                <w:w w:val="92"/>
              </w:rPr>
              <w:t>101.SCH</w:t>
            </w:r>
          </w:p>
        </w:tc>
        <w:tc>
          <w:tcPr>
            <w:tcW w:w="9720" w:type="dxa"/>
            <w:vAlign w:val="bottom"/>
            <w:gridSpan w:val="6"/>
            <w:shd w:val="clear" w:color="auto" w:fill="CCEEFF"/>
          </w:tcPr>
          <w:p>
            <w:pPr>
              <w:ind w:left="20"/>
              <w:spacing w:after="0"/>
              <w:rPr>
                <w:sz w:val="20"/>
                <w:szCs w:val="20"/>
                <w:color w:val="auto"/>
              </w:rPr>
            </w:pPr>
            <w:r>
              <w:rPr>
                <w:rFonts w:ascii="Arial" w:cs="Arial" w:eastAsia="Arial" w:hAnsi="Arial"/>
                <w:sz w:val="16"/>
                <w:szCs w:val="16"/>
                <w:color w:val="auto"/>
              </w:rPr>
              <w:t>v   XBRL Taxonomy Extension Schema</w:t>
            </w:r>
          </w:p>
        </w:tc>
        <w:tc>
          <w:tcPr>
            <w:tcW w:w="0" w:type="dxa"/>
            <w:vAlign w:val="bottom"/>
          </w:tcPr>
          <w:p>
            <w:pPr>
              <w:spacing w:after="0"/>
              <w:rPr>
                <w:sz w:val="1"/>
                <w:szCs w:val="1"/>
                <w:color w:val="auto"/>
              </w:rPr>
            </w:pPr>
          </w:p>
        </w:tc>
      </w:tr>
      <w:tr>
        <w:trPr>
          <w:trHeight w:val="54"/>
        </w:trPr>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960" w:type="dxa"/>
            <w:vAlign w:val="bottom"/>
            <w:gridSpan w:val="5"/>
            <w:shd w:val="clear" w:color="auto" w:fill="CCEEFF"/>
          </w:tcPr>
          <w:p>
            <w:pPr>
              <w:jc w:val="center"/>
              <w:spacing w:after="0"/>
              <w:rPr>
                <w:sz w:val="20"/>
                <w:szCs w:val="20"/>
                <w:color w:val="auto"/>
              </w:rPr>
            </w:pPr>
            <w:r>
              <w:rPr>
                <w:rFonts w:ascii="Arial" w:cs="Arial" w:eastAsia="Arial" w:hAnsi="Arial"/>
                <w:sz w:val="16"/>
                <w:szCs w:val="16"/>
                <w:color w:val="auto"/>
                <w:w w:val="96"/>
              </w:rPr>
              <w:t>101.CAL</w:t>
            </w:r>
          </w:p>
        </w:tc>
        <w:tc>
          <w:tcPr>
            <w:tcW w:w="9720" w:type="dxa"/>
            <w:vAlign w:val="bottom"/>
            <w:gridSpan w:val="6"/>
            <w:shd w:val="clear" w:color="auto" w:fill="CCEEFF"/>
          </w:tcPr>
          <w:p>
            <w:pPr>
              <w:ind w:left="20"/>
              <w:spacing w:after="0"/>
              <w:rPr>
                <w:sz w:val="20"/>
                <w:szCs w:val="20"/>
                <w:color w:val="auto"/>
              </w:rPr>
            </w:pPr>
            <w:r>
              <w:rPr>
                <w:rFonts w:ascii="Arial" w:cs="Arial" w:eastAsia="Arial" w:hAnsi="Arial"/>
                <w:sz w:val="16"/>
                <w:szCs w:val="16"/>
                <w:color w:val="auto"/>
              </w:rPr>
              <w:t>v   XBRL Taxonomy Extension Calculation Linkbase</w:t>
            </w:r>
          </w:p>
        </w:tc>
        <w:tc>
          <w:tcPr>
            <w:tcW w:w="0" w:type="dxa"/>
            <w:vAlign w:val="bottom"/>
          </w:tcPr>
          <w:p>
            <w:pPr>
              <w:spacing w:after="0"/>
              <w:rPr>
                <w:sz w:val="1"/>
                <w:szCs w:val="1"/>
                <w:color w:val="auto"/>
              </w:rPr>
            </w:pPr>
          </w:p>
        </w:tc>
      </w:tr>
      <w:tr>
        <w:trPr>
          <w:trHeight w:val="54"/>
        </w:trPr>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960" w:type="dxa"/>
            <w:vAlign w:val="bottom"/>
            <w:gridSpan w:val="5"/>
            <w:shd w:val="clear" w:color="auto" w:fill="CCEEFF"/>
          </w:tcPr>
          <w:p>
            <w:pPr>
              <w:jc w:val="center"/>
              <w:spacing w:after="0"/>
              <w:rPr>
                <w:sz w:val="20"/>
                <w:szCs w:val="20"/>
                <w:color w:val="auto"/>
              </w:rPr>
            </w:pPr>
            <w:r>
              <w:rPr>
                <w:rFonts w:ascii="Arial" w:cs="Arial" w:eastAsia="Arial" w:hAnsi="Arial"/>
                <w:sz w:val="16"/>
                <w:szCs w:val="16"/>
                <w:color w:val="auto"/>
                <w:w w:val="94"/>
              </w:rPr>
              <w:t>101.DEF</w:t>
            </w:r>
          </w:p>
        </w:tc>
        <w:tc>
          <w:tcPr>
            <w:tcW w:w="9720" w:type="dxa"/>
            <w:vAlign w:val="bottom"/>
            <w:gridSpan w:val="6"/>
            <w:shd w:val="clear" w:color="auto" w:fill="CCEEFF"/>
          </w:tcPr>
          <w:p>
            <w:pPr>
              <w:ind w:left="20"/>
              <w:spacing w:after="0"/>
              <w:rPr>
                <w:sz w:val="20"/>
                <w:szCs w:val="20"/>
                <w:color w:val="auto"/>
              </w:rPr>
            </w:pPr>
            <w:r>
              <w:rPr>
                <w:rFonts w:ascii="Arial" w:cs="Arial" w:eastAsia="Arial" w:hAnsi="Arial"/>
                <w:sz w:val="16"/>
                <w:szCs w:val="16"/>
                <w:color w:val="auto"/>
              </w:rPr>
              <w:t>v   XBRL Taxonomy Extension Definition Linkbase</w:t>
            </w:r>
          </w:p>
        </w:tc>
        <w:tc>
          <w:tcPr>
            <w:tcW w:w="0" w:type="dxa"/>
            <w:vAlign w:val="bottom"/>
          </w:tcPr>
          <w:p>
            <w:pPr>
              <w:spacing w:after="0"/>
              <w:rPr>
                <w:sz w:val="1"/>
                <w:szCs w:val="1"/>
                <w:color w:val="auto"/>
              </w:rPr>
            </w:pPr>
          </w:p>
        </w:tc>
      </w:tr>
      <w:tr>
        <w:trPr>
          <w:trHeight w:val="54"/>
        </w:trPr>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960" w:type="dxa"/>
            <w:vAlign w:val="bottom"/>
            <w:gridSpan w:val="5"/>
            <w:shd w:val="clear" w:color="auto" w:fill="CCEEFF"/>
          </w:tcPr>
          <w:p>
            <w:pPr>
              <w:jc w:val="center"/>
              <w:spacing w:after="0"/>
              <w:rPr>
                <w:sz w:val="20"/>
                <w:szCs w:val="20"/>
                <w:color w:val="auto"/>
              </w:rPr>
            </w:pPr>
            <w:r>
              <w:rPr>
                <w:rFonts w:ascii="Arial" w:cs="Arial" w:eastAsia="Arial" w:hAnsi="Arial"/>
                <w:sz w:val="16"/>
                <w:szCs w:val="16"/>
                <w:color w:val="auto"/>
                <w:w w:val="97"/>
              </w:rPr>
              <w:t>101.LAB</w:t>
            </w:r>
          </w:p>
        </w:tc>
        <w:tc>
          <w:tcPr>
            <w:tcW w:w="9720" w:type="dxa"/>
            <w:vAlign w:val="bottom"/>
            <w:gridSpan w:val="6"/>
            <w:shd w:val="clear" w:color="auto" w:fill="CCEEFF"/>
          </w:tcPr>
          <w:p>
            <w:pPr>
              <w:ind w:left="20"/>
              <w:spacing w:after="0"/>
              <w:rPr>
                <w:sz w:val="20"/>
                <w:szCs w:val="20"/>
                <w:color w:val="auto"/>
              </w:rPr>
            </w:pPr>
            <w:r>
              <w:rPr>
                <w:rFonts w:ascii="Arial" w:cs="Arial" w:eastAsia="Arial" w:hAnsi="Arial"/>
                <w:sz w:val="16"/>
                <w:szCs w:val="16"/>
                <w:color w:val="auto"/>
              </w:rPr>
              <w:t>v   XBRL Taxonomy Extension Label Linkbase</w:t>
            </w:r>
          </w:p>
        </w:tc>
        <w:tc>
          <w:tcPr>
            <w:tcW w:w="0" w:type="dxa"/>
            <w:vAlign w:val="bottom"/>
          </w:tcPr>
          <w:p>
            <w:pPr>
              <w:spacing w:after="0"/>
              <w:rPr>
                <w:sz w:val="1"/>
                <w:szCs w:val="1"/>
                <w:color w:val="auto"/>
              </w:rPr>
            </w:pPr>
          </w:p>
        </w:tc>
      </w:tr>
      <w:tr>
        <w:trPr>
          <w:trHeight w:val="54"/>
        </w:trPr>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960" w:type="dxa"/>
            <w:vAlign w:val="bottom"/>
            <w:gridSpan w:val="5"/>
            <w:shd w:val="clear" w:color="auto" w:fill="CCEEFF"/>
          </w:tcPr>
          <w:p>
            <w:pPr>
              <w:jc w:val="center"/>
              <w:spacing w:after="0"/>
              <w:rPr>
                <w:sz w:val="20"/>
                <w:szCs w:val="20"/>
                <w:color w:val="auto"/>
              </w:rPr>
            </w:pPr>
            <w:r>
              <w:rPr>
                <w:rFonts w:ascii="Arial" w:cs="Arial" w:eastAsia="Arial" w:hAnsi="Arial"/>
                <w:sz w:val="16"/>
                <w:szCs w:val="16"/>
                <w:color w:val="auto"/>
                <w:w w:val="90"/>
              </w:rPr>
              <w:t>101.PRE</w:t>
            </w:r>
          </w:p>
        </w:tc>
        <w:tc>
          <w:tcPr>
            <w:tcW w:w="9720" w:type="dxa"/>
            <w:vAlign w:val="bottom"/>
            <w:gridSpan w:val="6"/>
            <w:shd w:val="clear" w:color="auto" w:fill="CCEEFF"/>
          </w:tcPr>
          <w:p>
            <w:pPr>
              <w:ind w:left="20"/>
              <w:spacing w:after="0"/>
              <w:rPr>
                <w:sz w:val="20"/>
                <w:szCs w:val="20"/>
                <w:color w:val="auto"/>
              </w:rPr>
            </w:pPr>
            <w:r>
              <w:rPr>
                <w:rFonts w:ascii="Arial" w:cs="Arial" w:eastAsia="Arial" w:hAnsi="Arial"/>
                <w:sz w:val="16"/>
                <w:szCs w:val="16"/>
                <w:color w:val="auto"/>
              </w:rPr>
              <w:t>v   XBRL Taxonomy Extension Presentation Linkbase</w:t>
            </w:r>
          </w:p>
        </w:tc>
        <w:tc>
          <w:tcPr>
            <w:tcW w:w="0" w:type="dxa"/>
            <w:vAlign w:val="bottom"/>
          </w:tcPr>
          <w:p>
            <w:pPr>
              <w:spacing w:after="0"/>
              <w:rPr>
                <w:sz w:val="1"/>
                <w:szCs w:val="1"/>
                <w:color w:val="auto"/>
              </w:rPr>
            </w:pPr>
          </w:p>
        </w:tc>
      </w:tr>
      <w:tr>
        <w:trPr>
          <w:trHeight w:val="54"/>
        </w:trPr>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20" w:type="dxa"/>
            <w:vAlign w:val="bottom"/>
            <w:gridSpan w:val="4"/>
            <w:shd w:val="clear" w:color="auto" w:fill="CCEEFF"/>
          </w:tcPr>
          <w:p>
            <w:pPr>
              <w:jc w:val="center"/>
              <w:ind w:left="259"/>
              <w:spacing w:after="0"/>
              <w:rPr>
                <w:sz w:val="20"/>
                <w:szCs w:val="20"/>
                <w:color w:val="auto"/>
              </w:rPr>
            </w:pPr>
            <w:r>
              <w:rPr>
                <w:rFonts w:ascii="Arial" w:cs="Arial" w:eastAsia="Arial" w:hAnsi="Arial"/>
                <w:sz w:val="16"/>
                <w:szCs w:val="16"/>
                <w:color w:val="auto"/>
                <w:w w:val="89"/>
              </w:rPr>
              <w:t>104</w:t>
            </w:r>
          </w:p>
        </w:tc>
        <w:tc>
          <w:tcPr>
            <w:tcW w:w="340" w:type="dxa"/>
            <w:vAlign w:val="bottom"/>
            <w:shd w:val="clear" w:color="auto" w:fill="CCEEFF"/>
          </w:tcPr>
          <w:p>
            <w:pPr>
              <w:spacing w:after="0"/>
              <w:rPr>
                <w:sz w:val="18"/>
                <w:szCs w:val="18"/>
                <w:color w:val="auto"/>
              </w:rPr>
            </w:pPr>
          </w:p>
        </w:tc>
        <w:tc>
          <w:tcPr>
            <w:tcW w:w="9720" w:type="dxa"/>
            <w:vAlign w:val="bottom"/>
            <w:gridSpan w:val="6"/>
            <w:shd w:val="clear" w:color="auto" w:fill="CCEEFF"/>
          </w:tcPr>
          <w:p>
            <w:pPr>
              <w:ind w:left="20"/>
              <w:spacing w:after="0"/>
              <w:rPr>
                <w:sz w:val="20"/>
                <w:szCs w:val="20"/>
                <w:color w:val="auto"/>
              </w:rPr>
            </w:pPr>
            <w:r>
              <w:rPr>
                <w:rFonts w:ascii="Arial" w:cs="Arial" w:eastAsia="Arial" w:hAnsi="Arial"/>
                <w:sz w:val="16"/>
                <w:szCs w:val="16"/>
                <w:color w:val="auto"/>
              </w:rPr>
              <w:t>v   Cover Page Interactive Data File. (formatted as Inline XBRL tags and contained in Exhibit 101)</w:t>
            </w:r>
          </w:p>
        </w:tc>
        <w:tc>
          <w:tcPr>
            <w:tcW w:w="0" w:type="dxa"/>
            <w:vAlign w:val="bottom"/>
          </w:tcPr>
          <w:p>
            <w:pPr>
              <w:spacing w:after="0"/>
              <w:rPr>
                <w:sz w:val="1"/>
                <w:szCs w:val="1"/>
                <w:color w:val="auto"/>
              </w:rPr>
            </w:pPr>
          </w:p>
        </w:tc>
      </w:tr>
      <w:tr>
        <w:trPr>
          <w:trHeight w:val="54"/>
        </w:trPr>
        <w:tc>
          <w:tcPr>
            <w:tcW w:w="3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4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980" w:hanging="540"/>
        <w:spacing w:after="0"/>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32" w:lineRule="exact"/>
        <w:rPr>
          <w:sz w:val="20"/>
          <w:szCs w:val="20"/>
          <w:color w:val="auto"/>
        </w:rPr>
      </w:pPr>
    </w:p>
    <w:p>
      <w:pPr>
        <w:ind w:left="980" w:hanging="540"/>
        <w:spacing w:after="0"/>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30" w:right="899" w:bottom="1440" w:gutter="0" w:footer="0" w:header="0"/>
        </w:sectPr>
      </w:pPr>
    </w:p>
    <w:bookmarkStart w:id="32" w:name="page33"/>
    <w:bookmarkEnd w:id="32"/>
    <w:p>
      <w:pPr>
        <w:spacing w:after="0"/>
        <w:rPr>
          <w:sz w:val="20"/>
          <w:szCs w:val="20"/>
          <w:color w:val="auto"/>
        </w:rPr>
      </w:pPr>
      <w:r>
        <w:rPr>
          <w:rFonts w:ascii="Arial" w:cs="Arial" w:eastAsia="Arial" w:hAnsi="Arial"/>
          <w:sz w:val="16"/>
          <w:szCs w:val="16"/>
          <w:u w:val="single" w:color="auto"/>
          <w:color w:val="0E32E1"/>
        </w:rPr>
        <w:t>Table of Contents</w:t>
      </w:r>
    </w:p>
    <w:p>
      <w:pPr>
        <w:spacing w:after="0" w:line="200" w:lineRule="exact"/>
        <w:rPr>
          <w:sz w:val="20"/>
          <w:szCs w:val="20"/>
          <w:color w:val="auto"/>
        </w:rPr>
      </w:pPr>
    </w:p>
    <w:p>
      <w:pPr>
        <w:spacing w:after="0" w:line="364"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TELOS CORPORATION</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6600" w:type="dxa"/>
            <w:vAlign w:val="bottom"/>
            <w:gridSpan w:val="2"/>
          </w:tcPr>
          <w:p>
            <w:pPr>
              <w:ind w:left="140"/>
              <w:spacing w:after="0"/>
              <w:rPr>
                <w:sz w:val="20"/>
                <w:szCs w:val="20"/>
                <w:color w:val="auto"/>
              </w:rPr>
            </w:pPr>
            <w:r>
              <w:rPr>
                <w:rFonts w:ascii="Arial" w:cs="Arial" w:eastAsia="Arial" w:hAnsi="Arial"/>
                <w:sz w:val="18"/>
                <w:szCs w:val="18"/>
                <w:color w:val="auto"/>
              </w:rPr>
              <w:t>/s/ John B. Wood</w:t>
            </w:r>
          </w:p>
        </w:tc>
        <w:tc>
          <w:tcPr>
            <w:tcW w:w="3660" w:type="dxa"/>
            <w:vAlign w:val="bottom"/>
          </w:tcPr>
          <w:p>
            <w:pPr>
              <w:ind w:left="1160"/>
              <w:spacing w:after="0"/>
              <w:rPr>
                <w:sz w:val="20"/>
                <w:szCs w:val="20"/>
                <w:color w:val="auto"/>
              </w:rPr>
            </w:pPr>
            <w:r>
              <w:rPr>
                <w:rFonts w:ascii="Arial" w:cs="Arial" w:eastAsia="Arial" w:hAnsi="Arial"/>
                <w:sz w:val="18"/>
                <w:szCs w:val="18"/>
                <w:color w:val="auto"/>
              </w:rPr>
              <w:t>November 9, 2022</w:t>
            </w:r>
          </w:p>
        </w:tc>
      </w:tr>
      <w:tr>
        <w:trPr>
          <w:trHeight w:val="222"/>
        </w:trPr>
        <w:tc>
          <w:tcPr>
            <w:tcW w:w="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65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John B. Wood</w:t>
            </w:r>
          </w:p>
        </w:tc>
        <w:tc>
          <w:tcPr>
            <w:tcW w:w="100" w:type="dxa"/>
            <w:vAlign w:val="bottom"/>
          </w:tcPr>
          <w:p>
            <w:pPr>
              <w:spacing w:after="0"/>
              <w:rPr>
                <w:sz w:val="19"/>
                <w:szCs w:val="19"/>
                <w:color w:val="auto"/>
              </w:rPr>
            </w:pPr>
          </w:p>
        </w:tc>
        <w:tc>
          <w:tcPr>
            <w:tcW w:w="3660" w:type="dxa"/>
            <w:vAlign w:val="bottom"/>
            <w:tcBorders>
              <w:top w:val="single" w:sz="8" w:color="auto"/>
            </w:tcBorders>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6600" w:type="dxa"/>
            <w:vAlign w:val="bottom"/>
            <w:gridSpan w:val="2"/>
          </w:tcPr>
          <w:p>
            <w:pPr>
              <w:ind w:left="140"/>
              <w:spacing w:after="0"/>
              <w:rPr>
                <w:sz w:val="20"/>
                <w:szCs w:val="20"/>
                <w:color w:val="auto"/>
              </w:rPr>
            </w:pPr>
            <w:r>
              <w:rPr>
                <w:rFonts w:ascii="Arial" w:cs="Arial" w:eastAsia="Arial" w:hAnsi="Arial"/>
                <w:sz w:val="18"/>
                <w:szCs w:val="18"/>
                <w:color w:val="auto"/>
              </w:rPr>
              <w:t>Chief Executive Officer</w:t>
            </w:r>
          </w:p>
        </w:tc>
        <w:tc>
          <w:tcPr>
            <w:tcW w:w="3660" w:type="dxa"/>
            <w:vAlign w:val="bottom"/>
          </w:tcPr>
          <w:p>
            <w:pPr>
              <w:spacing w:after="0"/>
              <w:rPr>
                <w:sz w:val="19"/>
                <w:szCs w:val="19"/>
                <w:color w:val="auto"/>
              </w:rPr>
            </w:pPr>
          </w:p>
        </w:tc>
      </w:tr>
      <w:tr>
        <w:trPr>
          <w:trHeight w:val="230"/>
        </w:trPr>
        <w:tc>
          <w:tcPr>
            <w:tcW w:w="420" w:type="dxa"/>
            <w:vAlign w:val="bottom"/>
          </w:tcPr>
          <w:p>
            <w:pPr>
              <w:spacing w:after="0"/>
              <w:rPr>
                <w:sz w:val="20"/>
                <w:szCs w:val="20"/>
                <w:color w:val="auto"/>
              </w:rPr>
            </w:pPr>
          </w:p>
        </w:tc>
        <w:tc>
          <w:tcPr>
            <w:tcW w:w="6600" w:type="dxa"/>
            <w:vAlign w:val="bottom"/>
            <w:gridSpan w:val="2"/>
          </w:tcPr>
          <w:p>
            <w:pPr>
              <w:ind w:left="140"/>
              <w:spacing w:after="0"/>
              <w:rPr>
                <w:sz w:val="20"/>
                <w:szCs w:val="20"/>
                <w:color w:val="auto"/>
              </w:rPr>
            </w:pPr>
            <w:r>
              <w:rPr>
                <w:rFonts w:ascii="Arial" w:cs="Arial" w:eastAsia="Arial" w:hAnsi="Arial"/>
                <w:sz w:val="18"/>
                <w:szCs w:val="18"/>
                <w:color w:val="auto"/>
              </w:rPr>
              <w:t>(Principal Executive Officer)</w:t>
            </w:r>
          </w:p>
        </w:tc>
        <w:tc>
          <w:tcPr>
            <w:tcW w:w="3660" w:type="dxa"/>
            <w:vAlign w:val="bottom"/>
          </w:tcPr>
          <w:p>
            <w:pPr>
              <w:spacing w:after="0"/>
              <w:rPr>
                <w:sz w:val="20"/>
                <w:szCs w:val="20"/>
                <w:color w:val="auto"/>
              </w:rPr>
            </w:pPr>
          </w:p>
        </w:tc>
      </w:tr>
      <w:tr>
        <w:trPr>
          <w:trHeight w:val="486"/>
        </w:trPr>
        <w:tc>
          <w:tcPr>
            <w:tcW w:w="420" w:type="dxa"/>
            <w:vAlign w:val="bottom"/>
          </w:tcPr>
          <w:p>
            <w:pPr>
              <w:spacing w:after="0"/>
              <w:rPr>
                <w:sz w:val="24"/>
                <w:szCs w:val="24"/>
                <w:color w:val="auto"/>
              </w:rPr>
            </w:pPr>
          </w:p>
        </w:tc>
        <w:tc>
          <w:tcPr>
            <w:tcW w:w="6600" w:type="dxa"/>
            <w:vAlign w:val="bottom"/>
            <w:gridSpan w:val="2"/>
          </w:tcPr>
          <w:p>
            <w:pPr>
              <w:ind w:left="140"/>
              <w:spacing w:after="0"/>
              <w:rPr>
                <w:sz w:val="20"/>
                <w:szCs w:val="20"/>
                <w:color w:val="auto"/>
              </w:rPr>
            </w:pPr>
            <w:r>
              <w:rPr>
                <w:rFonts w:ascii="Arial" w:cs="Arial" w:eastAsia="Arial" w:hAnsi="Arial"/>
                <w:sz w:val="18"/>
                <w:szCs w:val="18"/>
                <w:color w:val="auto"/>
              </w:rPr>
              <w:t>/s/ Mark Bendza</w:t>
            </w:r>
          </w:p>
        </w:tc>
        <w:tc>
          <w:tcPr>
            <w:tcW w:w="3660" w:type="dxa"/>
            <w:vAlign w:val="bottom"/>
          </w:tcPr>
          <w:p>
            <w:pPr>
              <w:ind w:left="1160"/>
              <w:spacing w:after="0"/>
              <w:rPr>
                <w:sz w:val="20"/>
                <w:szCs w:val="20"/>
                <w:color w:val="auto"/>
              </w:rPr>
            </w:pPr>
            <w:r>
              <w:rPr>
                <w:rFonts w:ascii="Arial" w:cs="Arial" w:eastAsia="Arial" w:hAnsi="Arial"/>
                <w:sz w:val="18"/>
                <w:szCs w:val="18"/>
                <w:color w:val="auto"/>
              </w:rPr>
              <w:t>November 9, 2022</w:t>
            </w:r>
          </w:p>
        </w:tc>
      </w:tr>
      <w:tr>
        <w:trPr>
          <w:trHeight w:val="222"/>
        </w:trPr>
        <w:tc>
          <w:tcPr>
            <w:tcW w:w="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65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Mark Bendza</w:t>
            </w:r>
          </w:p>
        </w:tc>
        <w:tc>
          <w:tcPr>
            <w:tcW w:w="100" w:type="dxa"/>
            <w:vAlign w:val="bottom"/>
          </w:tcPr>
          <w:p>
            <w:pPr>
              <w:spacing w:after="0"/>
              <w:rPr>
                <w:sz w:val="19"/>
                <w:szCs w:val="19"/>
                <w:color w:val="auto"/>
              </w:rPr>
            </w:pPr>
          </w:p>
        </w:tc>
        <w:tc>
          <w:tcPr>
            <w:tcW w:w="3660" w:type="dxa"/>
            <w:vAlign w:val="bottom"/>
            <w:tcBorders>
              <w:top w:val="single" w:sz="8" w:color="auto"/>
            </w:tcBorders>
          </w:tcPr>
          <w:p>
            <w:pPr>
              <w:spacing w:after="0"/>
              <w:rPr>
                <w:sz w:val="19"/>
                <w:szCs w:val="19"/>
                <w:color w:val="auto"/>
              </w:rPr>
            </w:pPr>
          </w:p>
        </w:tc>
      </w:tr>
      <w:tr>
        <w:trPr>
          <w:trHeight w:val="229"/>
        </w:trPr>
        <w:tc>
          <w:tcPr>
            <w:tcW w:w="420" w:type="dxa"/>
            <w:vAlign w:val="bottom"/>
          </w:tcPr>
          <w:p>
            <w:pPr>
              <w:spacing w:after="0"/>
              <w:rPr>
                <w:sz w:val="19"/>
                <w:szCs w:val="19"/>
                <w:color w:val="auto"/>
              </w:rPr>
            </w:pPr>
          </w:p>
        </w:tc>
        <w:tc>
          <w:tcPr>
            <w:tcW w:w="6600" w:type="dxa"/>
            <w:vAlign w:val="bottom"/>
            <w:gridSpan w:val="2"/>
          </w:tcPr>
          <w:p>
            <w:pPr>
              <w:ind w:left="140"/>
              <w:spacing w:after="0"/>
              <w:rPr>
                <w:sz w:val="20"/>
                <w:szCs w:val="20"/>
                <w:color w:val="auto"/>
              </w:rPr>
            </w:pPr>
            <w:r>
              <w:rPr>
                <w:rFonts w:ascii="Arial" w:cs="Arial" w:eastAsia="Arial" w:hAnsi="Arial"/>
                <w:sz w:val="18"/>
                <w:szCs w:val="18"/>
                <w:color w:val="auto"/>
              </w:rPr>
              <w:t>Chief Financial Officer</w:t>
            </w:r>
          </w:p>
        </w:tc>
        <w:tc>
          <w:tcPr>
            <w:tcW w:w="3660" w:type="dxa"/>
            <w:vAlign w:val="bottom"/>
          </w:tcPr>
          <w:p>
            <w:pPr>
              <w:spacing w:after="0"/>
              <w:rPr>
                <w:sz w:val="19"/>
                <w:szCs w:val="19"/>
                <w:color w:val="auto"/>
              </w:rPr>
            </w:pPr>
          </w:p>
        </w:tc>
      </w:tr>
      <w:tr>
        <w:trPr>
          <w:trHeight w:val="230"/>
        </w:trPr>
        <w:tc>
          <w:tcPr>
            <w:tcW w:w="420" w:type="dxa"/>
            <w:vAlign w:val="bottom"/>
          </w:tcPr>
          <w:p>
            <w:pPr>
              <w:spacing w:after="0"/>
              <w:rPr>
                <w:sz w:val="20"/>
                <w:szCs w:val="20"/>
                <w:color w:val="auto"/>
              </w:rPr>
            </w:pPr>
          </w:p>
        </w:tc>
        <w:tc>
          <w:tcPr>
            <w:tcW w:w="6600" w:type="dxa"/>
            <w:vAlign w:val="bottom"/>
            <w:gridSpan w:val="2"/>
          </w:tcPr>
          <w:p>
            <w:pPr>
              <w:ind w:left="140"/>
              <w:spacing w:after="0"/>
              <w:rPr>
                <w:sz w:val="20"/>
                <w:szCs w:val="20"/>
                <w:color w:val="auto"/>
              </w:rPr>
            </w:pPr>
            <w:r>
              <w:rPr>
                <w:rFonts w:ascii="Arial" w:cs="Arial" w:eastAsia="Arial" w:hAnsi="Arial"/>
                <w:sz w:val="18"/>
                <w:szCs w:val="18"/>
                <w:color w:val="auto"/>
              </w:rPr>
              <w:t>(Principal Financial Officer)</w:t>
            </w:r>
          </w:p>
        </w:tc>
        <w:tc>
          <w:tcPr>
            <w:tcW w:w="3660" w:type="dxa"/>
            <w:vAlign w:val="bottom"/>
          </w:tcPr>
          <w:p>
            <w:pPr>
              <w:spacing w:after="0"/>
              <w:rPr>
                <w:sz w:val="20"/>
                <w:szCs w:val="20"/>
                <w:color w:val="auto"/>
              </w:rPr>
            </w:pPr>
          </w:p>
        </w:tc>
      </w:tr>
      <w:tr>
        <w:trPr>
          <w:trHeight w:val="499"/>
        </w:trPr>
        <w:tc>
          <w:tcPr>
            <w:tcW w:w="420" w:type="dxa"/>
            <w:vAlign w:val="bottom"/>
          </w:tcPr>
          <w:p>
            <w:pPr>
              <w:spacing w:after="0"/>
              <w:rPr>
                <w:sz w:val="24"/>
                <w:szCs w:val="24"/>
                <w:color w:val="auto"/>
              </w:rPr>
            </w:pPr>
          </w:p>
        </w:tc>
        <w:tc>
          <w:tcPr>
            <w:tcW w:w="6600" w:type="dxa"/>
            <w:vAlign w:val="bottom"/>
            <w:gridSpan w:val="2"/>
          </w:tcPr>
          <w:p>
            <w:pPr>
              <w:ind w:left="140"/>
              <w:spacing w:after="0"/>
              <w:rPr>
                <w:sz w:val="20"/>
                <w:szCs w:val="20"/>
                <w:color w:val="auto"/>
              </w:rPr>
            </w:pPr>
            <w:r>
              <w:rPr>
                <w:rFonts w:ascii="Arial" w:cs="Arial" w:eastAsia="Arial" w:hAnsi="Arial"/>
                <w:sz w:val="18"/>
                <w:szCs w:val="18"/>
                <w:color w:val="auto"/>
              </w:rPr>
              <w:t>/s/ Victoria Harding</w:t>
            </w:r>
          </w:p>
        </w:tc>
        <w:tc>
          <w:tcPr>
            <w:tcW w:w="3660" w:type="dxa"/>
            <w:vAlign w:val="bottom"/>
          </w:tcPr>
          <w:p>
            <w:pPr>
              <w:ind w:left="1160"/>
              <w:spacing w:after="0"/>
              <w:rPr>
                <w:sz w:val="20"/>
                <w:szCs w:val="20"/>
                <w:color w:val="auto"/>
              </w:rPr>
            </w:pPr>
            <w:r>
              <w:rPr>
                <w:rFonts w:ascii="Arial" w:cs="Arial" w:eastAsia="Arial" w:hAnsi="Arial"/>
                <w:sz w:val="18"/>
                <w:szCs w:val="18"/>
                <w:color w:val="auto"/>
              </w:rPr>
              <w:t>November 9, 2022</w:t>
            </w:r>
          </w:p>
        </w:tc>
      </w:tr>
      <w:tr>
        <w:trPr>
          <w:trHeight w:val="222"/>
        </w:trPr>
        <w:tc>
          <w:tcPr>
            <w:tcW w:w="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65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Victoria Harding</w:t>
            </w:r>
          </w:p>
        </w:tc>
        <w:tc>
          <w:tcPr>
            <w:tcW w:w="100" w:type="dxa"/>
            <w:vAlign w:val="bottom"/>
          </w:tcPr>
          <w:p>
            <w:pPr>
              <w:spacing w:after="0"/>
              <w:rPr>
                <w:sz w:val="19"/>
                <w:szCs w:val="19"/>
                <w:color w:val="auto"/>
              </w:rPr>
            </w:pPr>
          </w:p>
        </w:tc>
        <w:tc>
          <w:tcPr>
            <w:tcW w:w="3660" w:type="dxa"/>
            <w:vAlign w:val="bottom"/>
            <w:tcBorders>
              <w:top w:val="single" w:sz="8" w:color="auto"/>
            </w:tcBorders>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6600" w:type="dxa"/>
            <w:vAlign w:val="bottom"/>
            <w:gridSpan w:val="2"/>
          </w:tcPr>
          <w:p>
            <w:pPr>
              <w:ind w:left="140"/>
              <w:spacing w:after="0"/>
              <w:rPr>
                <w:sz w:val="20"/>
                <w:szCs w:val="20"/>
                <w:color w:val="auto"/>
              </w:rPr>
            </w:pPr>
            <w:r>
              <w:rPr>
                <w:rFonts w:ascii="Arial" w:cs="Arial" w:eastAsia="Arial" w:hAnsi="Arial"/>
                <w:sz w:val="18"/>
                <w:szCs w:val="18"/>
                <w:color w:val="auto"/>
              </w:rPr>
              <w:t>Controller and Chief Accounting Officer</w:t>
            </w:r>
          </w:p>
        </w:tc>
        <w:tc>
          <w:tcPr>
            <w:tcW w:w="3660" w:type="dxa"/>
            <w:vAlign w:val="bottom"/>
          </w:tcPr>
          <w:p>
            <w:pPr>
              <w:spacing w:after="0"/>
              <w:rPr>
                <w:sz w:val="19"/>
                <w:szCs w:val="19"/>
                <w:color w:val="auto"/>
              </w:rPr>
            </w:pPr>
          </w:p>
        </w:tc>
      </w:tr>
      <w:tr>
        <w:trPr>
          <w:trHeight w:val="230"/>
        </w:trPr>
        <w:tc>
          <w:tcPr>
            <w:tcW w:w="420" w:type="dxa"/>
            <w:vAlign w:val="bottom"/>
          </w:tcPr>
          <w:p>
            <w:pPr>
              <w:spacing w:after="0"/>
              <w:rPr>
                <w:sz w:val="20"/>
                <w:szCs w:val="20"/>
                <w:color w:val="auto"/>
              </w:rPr>
            </w:pPr>
          </w:p>
        </w:tc>
        <w:tc>
          <w:tcPr>
            <w:tcW w:w="6600" w:type="dxa"/>
            <w:vAlign w:val="bottom"/>
            <w:gridSpan w:val="2"/>
          </w:tcPr>
          <w:p>
            <w:pPr>
              <w:ind w:left="140"/>
              <w:spacing w:after="0"/>
              <w:rPr>
                <w:sz w:val="20"/>
                <w:szCs w:val="20"/>
                <w:color w:val="auto"/>
              </w:rPr>
            </w:pPr>
            <w:r>
              <w:rPr>
                <w:rFonts w:ascii="Arial" w:cs="Arial" w:eastAsia="Arial" w:hAnsi="Arial"/>
                <w:sz w:val="18"/>
                <w:szCs w:val="18"/>
                <w:color w:val="auto"/>
              </w:rPr>
              <w:t>(Principal Accounting Officer)</w:t>
            </w:r>
          </w:p>
        </w:tc>
        <w:tc>
          <w:tcPr>
            <w:tcW w:w="36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680"/>
          </w:cols>
          <w:pgMar w:left="320" w:top="130" w:right="89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ind w:right="474"/>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ind w:left="6"/>
        <w:spacing w:after="0"/>
        <w:rPr>
          <w:sz w:val="20"/>
          <w:szCs w:val="20"/>
          <w:color w:val="auto"/>
        </w:rPr>
      </w:pPr>
      <w:r>
        <w:rPr>
          <w:rFonts w:ascii="Arial" w:cs="Arial" w:eastAsia="Arial" w:hAnsi="Arial"/>
          <w:sz w:val="18"/>
          <w:szCs w:val="18"/>
          <w:color w:val="auto"/>
        </w:rPr>
        <w:t>I, John B. Wood, certify that:</w:t>
      </w:r>
    </w:p>
    <w:p>
      <w:pPr>
        <w:spacing w:after="0" w:line="185" w:lineRule="exact"/>
        <w:rPr>
          <w:sz w:val="20"/>
          <w:szCs w:val="20"/>
          <w:color w:val="auto"/>
        </w:rPr>
      </w:pPr>
    </w:p>
    <w:p>
      <w:pPr>
        <w:ind w:left="326" w:hanging="326"/>
        <w:spacing w:after="0"/>
        <w:tabs>
          <w:tab w:leader="none" w:pos="326"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Telos Corporation;</w:t>
      </w:r>
    </w:p>
    <w:p>
      <w:pPr>
        <w:spacing w:after="0" w:line="198" w:lineRule="exact"/>
        <w:rPr>
          <w:rFonts w:ascii="Arial" w:cs="Arial" w:eastAsia="Arial" w:hAnsi="Arial"/>
          <w:sz w:val="18"/>
          <w:szCs w:val="18"/>
          <w:color w:val="auto"/>
        </w:rPr>
      </w:pPr>
    </w:p>
    <w:p>
      <w:pPr>
        <w:ind w:left="326" w:right="20" w:hanging="326"/>
        <w:spacing w:after="0" w:line="263" w:lineRule="auto"/>
        <w:tabs>
          <w:tab w:leader="none" w:pos="326"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26" w:right="180" w:hanging="326"/>
        <w:spacing w:after="0" w:line="308" w:lineRule="auto"/>
        <w:tabs>
          <w:tab w:leader="none" w:pos="326"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326" w:right="160" w:hanging="326"/>
        <w:spacing w:after="0" w:line="291" w:lineRule="auto"/>
        <w:tabs>
          <w:tab w:leader="none" w:pos="326"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326"/>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83" w:lineRule="exact"/>
        <w:rPr>
          <w:rFonts w:ascii="Arial" w:cs="Arial" w:eastAsia="Arial" w:hAnsi="Arial"/>
          <w:sz w:val="16"/>
          <w:szCs w:val="16"/>
          <w:color w:val="auto"/>
        </w:rPr>
      </w:pPr>
    </w:p>
    <w:p>
      <w:pPr>
        <w:ind w:left="6" w:right="440" w:firstLine="399"/>
        <w:spacing w:after="0" w:line="263" w:lineRule="auto"/>
        <w:tabs>
          <w:tab w:leader="none" w:pos="807"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6" w:right="140" w:firstLine="399"/>
        <w:spacing w:after="0" w:line="263" w:lineRule="auto"/>
        <w:tabs>
          <w:tab w:leader="none" w:pos="804"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6" w:right="260" w:firstLine="399"/>
        <w:spacing w:after="0" w:line="342" w:lineRule="auto"/>
        <w:tabs>
          <w:tab w:leader="none" w:pos="807"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6" w:right="260" w:firstLine="399"/>
        <w:spacing w:after="0" w:line="263" w:lineRule="auto"/>
        <w:tabs>
          <w:tab w:leader="none" w:pos="804"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26" w:right="120" w:hanging="326"/>
        <w:spacing w:after="0" w:line="342" w:lineRule="auto"/>
        <w:tabs>
          <w:tab w:leader="none" w:pos="326"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6" w:right="460" w:firstLine="399"/>
        <w:spacing w:after="0" w:line="308" w:lineRule="auto"/>
        <w:tabs>
          <w:tab w:leader="none" w:pos="807"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7"/>
          <w:szCs w:val="17"/>
          <w:color w:val="auto"/>
        </w:rPr>
      </w:pPr>
    </w:p>
    <w:p>
      <w:pPr>
        <w:ind w:left="6" w:right="180" w:firstLine="399"/>
        <w:spacing w:after="0" w:line="277" w:lineRule="auto"/>
        <w:tabs>
          <w:tab w:leader="none" w:pos="804"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126"/>
        <w:spacing w:after="0"/>
        <w:rPr>
          <w:sz w:val="20"/>
          <w:szCs w:val="20"/>
          <w:color w:val="auto"/>
        </w:rPr>
      </w:pPr>
      <w:r>
        <w:rPr>
          <w:rFonts w:ascii="Arial" w:cs="Arial" w:eastAsia="Arial" w:hAnsi="Arial"/>
          <w:sz w:val="18"/>
          <w:szCs w:val="18"/>
          <w:color w:val="auto"/>
        </w:rPr>
        <w:t>Date: November 9, 2022</w:t>
      </w:r>
    </w:p>
    <w:p>
      <w:pPr>
        <w:spacing w:after="0" w:line="279" w:lineRule="exact"/>
        <w:rPr>
          <w:sz w:val="20"/>
          <w:szCs w:val="20"/>
          <w:color w:val="auto"/>
        </w:rPr>
      </w:pPr>
    </w:p>
    <w:p>
      <w:pPr>
        <w:ind w:left="5126"/>
        <w:spacing w:after="0"/>
        <w:rPr>
          <w:sz w:val="20"/>
          <w:szCs w:val="20"/>
          <w:color w:val="auto"/>
        </w:rPr>
      </w:pPr>
      <w:r>
        <w:rPr>
          <w:rFonts w:ascii="Arial" w:cs="Arial" w:eastAsia="Arial" w:hAnsi="Arial"/>
          <w:sz w:val="18"/>
          <w:szCs w:val="18"/>
          <w:color w:val="auto"/>
        </w:rPr>
        <w:t>/s/ John B.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3240405</wp:posOffset>
            </wp:positionH>
            <wp:positionV relativeFrom="paragraph">
              <wp:posOffset>14605</wp:posOffset>
            </wp:positionV>
            <wp:extent cx="35572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126"/>
        <w:spacing w:after="0"/>
        <w:rPr>
          <w:sz w:val="20"/>
          <w:szCs w:val="20"/>
          <w:color w:val="auto"/>
        </w:rPr>
      </w:pPr>
      <w:r>
        <w:rPr>
          <w:rFonts w:ascii="Arial" w:cs="Arial" w:eastAsia="Arial" w:hAnsi="Arial"/>
          <w:sz w:val="18"/>
          <w:szCs w:val="18"/>
          <w:color w:val="auto"/>
        </w:rPr>
        <w:t>John B. Wood</w:t>
      </w:r>
    </w:p>
    <w:p>
      <w:pPr>
        <w:spacing w:after="0" w:line="23" w:lineRule="exact"/>
        <w:rPr>
          <w:sz w:val="20"/>
          <w:szCs w:val="20"/>
          <w:color w:val="auto"/>
        </w:rPr>
      </w:pPr>
    </w:p>
    <w:p>
      <w:pPr>
        <w:ind w:left="5126"/>
        <w:spacing w:after="0"/>
        <w:rPr>
          <w:sz w:val="20"/>
          <w:szCs w:val="20"/>
          <w:color w:val="auto"/>
        </w:rPr>
      </w:pPr>
      <w:r>
        <w:rPr>
          <w:rFonts w:ascii="Arial" w:cs="Arial" w:eastAsia="Arial" w:hAnsi="Arial"/>
          <w:sz w:val="18"/>
          <w:szCs w:val="18"/>
          <w:color w:val="auto"/>
        </w:rPr>
        <w:t>Chief Executive Officer (Principal Executive Officer)</w:t>
      </w:r>
    </w:p>
    <w:p>
      <w:pPr>
        <w:sectPr>
          <w:pgSz w:w="11900" w:h="16838" w:orient="portrait"/>
          <w:cols w:equalWidth="0" w:num="1">
            <w:col w:w="10746"/>
          </w:cols>
          <w:pgMar w:left="814" w:top="1066"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Mark Bendza, certify that:</w:t>
      </w:r>
    </w:p>
    <w:p>
      <w:pPr>
        <w:spacing w:after="0" w:line="185" w:lineRule="exact"/>
        <w:rPr>
          <w:sz w:val="20"/>
          <w:szCs w:val="20"/>
          <w:color w:val="auto"/>
        </w:rPr>
      </w:pPr>
    </w:p>
    <w:p>
      <w:pPr>
        <w:ind w:left="360" w:hanging="326"/>
        <w:spacing w:after="0"/>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Telos Corporation;</w:t>
      </w:r>
    </w:p>
    <w:p>
      <w:pPr>
        <w:spacing w:after="0" w:line="198" w:lineRule="exact"/>
        <w:rPr>
          <w:rFonts w:ascii="Arial" w:cs="Arial" w:eastAsia="Arial" w:hAnsi="Arial"/>
          <w:sz w:val="18"/>
          <w:szCs w:val="18"/>
          <w:color w:val="auto"/>
        </w:rPr>
      </w:pPr>
    </w:p>
    <w:p>
      <w:pPr>
        <w:ind w:left="360" w:right="20" w:hanging="326"/>
        <w:spacing w:after="0" w:line="263" w:lineRule="auto"/>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60" w:right="180" w:hanging="326"/>
        <w:spacing w:after="0" w:line="308" w:lineRule="auto"/>
        <w:tabs>
          <w:tab w:leader="none" w:pos="3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360" w:right="160" w:hanging="326"/>
        <w:spacing w:after="0" w:line="291" w:lineRule="auto"/>
        <w:tabs>
          <w:tab w:leader="none" w:pos="3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3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83" w:lineRule="exact"/>
        <w:rPr>
          <w:rFonts w:ascii="Arial" w:cs="Arial" w:eastAsia="Arial" w:hAnsi="Arial"/>
          <w:sz w:val="16"/>
          <w:szCs w:val="16"/>
          <w:color w:val="auto"/>
        </w:rPr>
      </w:pPr>
    </w:p>
    <w:p>
      <w:pPr>
        <w:ind w:left="40" w:right="440" w:firstLine="399"/>
        <w:spacing w:after="0" w:line="263" w:lineRule="auto"/>
        <w:tabs>
          <w:tab w:leader="none" w:pos="841"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40" w:right="140" w:firstLine="399"/>
        <w:spacing w:after="0" w:line="263" w:lineRule="auto"/>
        <w:tabs>
          <w:tab w:leader="none" w:pos="83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40" w:right="260" w:firstLine="399"/>
        <w:spacing w:after="0" w:line="342" w:lineRule="auto"/>
        <w:tabs>
          <w:tab w:leader="none" w:pos="841"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40" w:right="260" w:firstLine="399"/>
        <w:spacing w:after="0" w:line="263" w:lineRule="auto"/>
        <w:tabs>
          <w:tab w:leader="none" w:pos="83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60" w:right="120" w:hanging="326"/>
        <w:spacing w:after="0" w:line="342" w:lineRule="auto"/>
        <w:tabs>
          <w:tab w:leader="none" w:pos="3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40" w:right="460" w:firstLine="399"/>
        <w:spacing w:after="0" w:line="308" w:lineRule="auto"/>
        <w:tabs>
          <w:tab w:leader="none" w:pos="841"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7"/>
          <w:szCs w:val="17"/>
          <w:color w:val="auto"/>
        </w:rPr>
      </w:pPr>
    </w:p>
    <w:p>
      <w:pPr>
        <w:ind w:left="40" w:right="180" w:firstLine="399"/>
        <w:spacing w:after="0" w:line="277" w:lineRule="auto"/>
        <w:tabs>
          <w:tab w:leader="none" w:pos="838"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Date: November 9, 2022</w:t>
      </w:r>
    </w:p>
    <w:p>
      <w:pPr>
        <w:spacing w:after="0" w:line="27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 Mark Bendza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3261995</wp:posOffset>
            </wp:positionH>
            <wp:positionV relativeFrom="paragraph">
              <wp:posOffset>14605</wp:posOffset>
            </wp:positionV>
            <wp:extent cx="35572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Mark Bendza</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Chief Financial Officer (Principal Financial Officer)</w:t>
      </w:r>
    </w:p>
    <w:p>
      <w:pPr>
        <w:sectPr>
          <w:pgSz w:w="11900" w:h="16838" w:orient="portrait"/>
          <w:cols w:equalWidth="0" w:num="1">
            <w:col w:w="10780"/>
          </w:cols>
          <w:pgMar w:left="780" w:top="1066"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In connection with the Quarterly Report of Telos Corporation (the "Company") on Form 10-Q for the period ended September 30, 2022, as filed with the Securities and Exchange Commission on the date hereof (the "Report"), we, John B. Wood and Mark Bendza, certify, pursuant to 18 U.S.C. § 1350, as adopted pursuant to § 906 of the Sarbanes-Oxley Act of 2002, that to our knowledge:</w:t>
      </w:r>
    </w:p>
    <w:p>
      <w:pPr>
        <w:spacing w:after="0" w:line="184" w:lineRule="exact"/>
        <w:rPr>
          <w:sz w:val="20"/>
          <w:szCs w:val="20"/>
          <w:color w:val="auto"/>
        </w:rPr>
      </w:pPr>
    </w:p>
    <w:p>
      <w:pPr>
        <w:ind w:left="640" w:hanging="308"/>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380" w:right="140" w:hanging="6048"/>
        <w:spacing w:after="0" w:line="434" w:lineRule="auto"/>
        <w:tabs>
          <w:tab w:leader="none" w:pos="659"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9, 2022</w:t>
      </w:r>
    </w:p>
    <w:p>
      <w:pPr>
        <w:spacing w:after="0" w:line="88"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John B.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14605</wp:posOffset>
            </wp:positionV>
            <wp:extent cx="31032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John B. Wood</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Chief Executive Officer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Date: November 9, 2022</w:t>
      </w:r>
    </w:p>
    <w:p>
      <w:pPr>
        <w:spacing w:after="0" w:line="29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Mark Bendza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14605</wp:posOffset>
            </wp:positionV>
            <wp:extent cx="31032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Mark Bendza</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Chief Financial Officer (Principal Financial Officer)</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lowerLetter"/>
      <w:start w:val="1"/>
    </w:lvl>
  </w:abstractNum>
  <w:abstractNum w:abstractNumId="3">
    <w:nsid w:val="431BD7B7"/>
    <w:multiLevelType w:val="hybridMultilevel"/>
    <w:lvl w:ilvl="0">
      <w:lvlJc w:val="left"/>
      <w:lvlText w:val="(%1)"/>
      <w:numFmt w:val="lowerLetter"/>
      <w:start w:val="2"/>
    </w:lvl>
  </w:abstractNum>
  <w:abstractNum w:abstractNumId="4">
    <w:nsid w:val="3F2DBA31"/>
    <w:multiLevelType w:val="hybridMultilevel"/>
    <w:lvl w:ilvl="0">
      <w:lvlJc w:val="left"/>
      <w:lvlText w:val="(%1)"/>
      <w:numFmt w:val="lowerLetter"/>
      <w:start w:val="3"/>
    </w:lvl>
  </w:abstractNum>
  <w:abstractNum w:abstractNumId="5">
    <w:nsid w:val="7C83E458"/>
    <w:multiLevelType w:val="hybridMultilevel"/>
    <w:lvl w:ilvl="0">
      <w:lvlJc w:val="left"/>
      <w:lvlText w:val="(%1)"/>
      <w:numFmt w:val="lowerLetter"/>
      <w:start w:val="4"/>
    </w:lvl>
  </w:abstractNum>
  <w:abstractNum w:abstractNumId="6">
    <w:nsid w:val="257130A3"/>
    <w:multiLevelType w:val="hybridMultilevel"/>
    <w:lvl w:ilvl="0">
      <w:lvlJc w:val="left"/>
      <w:lvlText w:val="(%1)"/>
      <w:numFmt w:val="lowerLetter"/>
      <w:start w:val="5"/>
    </w:lvl>
  </w:abstractNum>
  <w:abstractNum w:abstractNumId="7">
    <w:nsid w:val="62BBD95A"/>
    <w:multiLevelType w:val="hybridMultilevel"/>
    <w:lvl w:ilvl="0">
      <w:lvlJc w:val="left"/>
      <w:lvlText w:val="(%1)"/>
      <w:numFmt w:val="lowerLetter"/>
      <w:start w:val="6"/>
    </w:lvl>
  </w:abstractNum>
  <w:abstractNum w:abstractNumId="8">
    <w:nsid w:val="436C6125"/>
    <w:multiLevelType w:val="hybridMultilevel"/>
    <w:lvl w:ilvl="0">
      <w:lvlJc w:val="left"/>
      <w:lvlText w:val="(%1)"/>
      <w:numFmt w:val="lowerLetter"/>
      <w:start w:val="7"/>
    </w:lvl>
  </w:abstractNum>
  <w:abstractNum w:abstractNumId="9">
    <w:nsid w:val="628C895D"/>
    <w:multiLevelType w:val="hybridMultilevel"/>
    <w:lvl w:ilvl="0">
      <w:lvlJc w:val="left"/>
      <w:lvlText w:val="(%1)"/>
      <w:numFmt w:val="lowerLetter"/>
      <w:start w:val="8"/>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1)"/>
      <w:numFmt w:val="lowerLetter"/>
      <w:start w:val="1"/>
    </w:lvl>
  </w:abstractNum>
  <w:abstractNum w:abstractNumId="12">
    <w:nsid w:val="2443A858"/>
    <w:multiLevelType w:val="hybridMultilevel"/>
    <w:lvl w:ilvl="0">
      <w:lvlJc w:val="left"/>
      <w:lvlText w:val="(%1)"/>
      <w:numFmt w:val="lowerLetter"/>
      <w:start w:val="2"/>
    </w:lvl>
  </w:abstractNum>
  <w:abstractNum w:abstractNumId="13">
    <w:nsid w:val="2D1D5AE9"/>
    <w:multiLevelType w:val="hybridMultilevel"/>
    <w:lvl w:ilvl="0">
      <w:lvlJc w:val="left"/>
      <w:lvlText w:val="(%1)"/>
      <w:numFmt w:val="lowerLetter"/>
      <w:start w:val="3"/>
    </w:lvl>
  </w:abstractNum>
  <w:abstractNum w:abstractNumId="14">
    <w:nsid w:val="6763845E"/>
    <w:multiLevelType w:val="hybridMultilevel"/>
    <w:lvl w:ilvl="0">
      <w:lvlJc w:val="left"/>
      <w:lvlText w:val="(%1)"/>
      <w:numFmt w:val="lowerLetter"/>
      <w:start w:val="4"/>
    </w:lvl>
  </w:abstractNum>
  <w:abstractNum w:abstractNumId="15">
    <w:nsid w:val="75A2A8D4"/>
    <w:multiLevelType w:val="hybridMultilevel"/>
    <w:lvl w:ilvl="0">
      <w:lvlJc w:val="left"/>
      <w:lvlText w:val="(%1)"/>
      <w:numFmt w:val="lowerLetter"/>
      <w:start w:val="5"/>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
      <w:numFmt w:val="bullet"/>
      <w:start w:val="1"/>
    </w:lvl>
    <w:lvl w:ilvl="1">
      <w:lvlJc w:val="left"/>
      <w:lvlText w:val="◦"/>
      <w:numFmt w:val="bullet"/>
      <w:start w:val="1"/>
    </w:lvl>
  </w:abstractNum>
  <w:abstractNum w:abstractNumId="18">
    <w:nsid w:val="4353D0CD"/>
    <w:multiLevelType w:val="hybridMultilevel"/>
    <w:lvl w:ilvl="0">
      <w:lvlJc w:val="left"/>
      <w:lvlText w:val="•"/>
      <w:numFmt w:val="bullet"/>
      <w:start w:val="1"/>
    </w:lvl>
    <w:lvl w:ilvl="1">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decimal"/>
      <w:start w:val="2"/>
    </w:lvl>
  </w:abstractNum>
  <w:abstractNum w:abstractNumId="22">
    <w:nsid w:val="71F32454"/>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abstractNum>
  <w:abstractNum w:abstractNumId="23">
    <w:nsid w:val="2CA88611"/>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6"/>
    </w:lvl>
  </w:abstractNum>
  <w:abstractNum w:abstractNumId="24">
    <w:nsid w:val="836C40E"/>
    <w:multiLevelType w:val="hybridMultilevel"/>
    <w:lvl w:ilvl="0">
      <w:lvlJc w:val="left"/>
      <w:lvlText w:val="%1."/>
      <w:numFmt w:val="lowerLetter"/>
      <w:start w:val="1"/>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v"/>
      <w:numFmt w:val="bullet"/>
      <w:start w:val="1"/>
    </w:lvl>
  </w:abstractNum>
  <w:abstractNum w:abstractNumId="28">
    <w:nsid w:val="1E7FF521"/>
    <w:multiLevelType w:val="hybridMultilevel"/>
    <w:lvl w:ilvl="0">
      <w:lvlJc w:val="left"/>
      <w:lvlText w:val="z"/>
      <w:numFmt w:val="bullet"/>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2022-11-09T15:35:28Z</dcterms:created>
  <dcterms:modified xsi:type="dcterms:W3CDTF">2022-11-09T15:35:28Z</dcterms:modified>
</cp:coreProperties>
</file>