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7"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15"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May 11, 2026</w:t>
      </w:r>
    </w:p>
    <w:p>
      <w:pPr>
        <w:spacing w:after="0" w:line="31"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7"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22"/>
          <w:szCs w:val="22"/>
          <w:b w:val="1"/>
          <w:bCs w:val="1"/>
          <w:color w:val="auto"/>
        </w:rPr>
        <w:t>TELOS CORPORATION</w:t>
      </w:r>
    </w:p>
    <w:p>
      <w:pPr>
        <w:spacing w:after="0" w:line="2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0840"/>
          </w:cols>
          <w:pgMar w:left="320" w:top="873" w:right="739" w:bottom="1440" w:gutter="0" w:footer="0" w:header="0"/>
        </w:sectPr>
      </w:pPr>
    </w:p>
    <w:p>
      <w:pPr>
        <w:spacing w:after="0" w:line="24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001-08443</w:t>
      </w:r>
    </w:p>
    <w:p>
      <w:pPr>
        <w:spacing w:after="0" w:line="3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52-0880974</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3">
            <w:col w:w="4260" w:space="720"/>
            <w:col w:w="2580" w:space="720"/>
            <w:col w:w="2560"/>
          </w:cols>
          <w:pgMar w:left="320" w:top="873" w:right="739" w:bottom="1440" w:gutter="0" w:footer="0" w:header="0"/>
          <w:type w:val="continuous"/>
        </w:sectPr>
      </w:pPr>
    </w:p>
    <w:p>
      <w:pPr>
        <w:spacing w:after="0" w:line="151" w:lineRule="exact"/>
        <w:rPr>
          <w:sz w:val="24"/>
          <w:szCs w:val="24"/>
          <w:color w:val="auto"/>
        </w:rPr>
      </w:pPr>
    </w:p>
    <w:p>
      <w:pPr>
        <w:jc w:val="center"/>
        <w:ind w:right="1620"/>
        <w:spacing w:after="0"/>
        <w:rPr>
          <w:sz w:val="20"/>
          <w:szCs w:val="20"/>
          <w:color w:val="auto"/>
        </w:rPr>
      </w:pPr>
      <w:r>
        <w:rPr>
          <w:rFonts w:ascii="Times New Roman" w:cs="Times New Roman" w:eastAsia="Times New Roman" w:hAnsi="Times New Roman"/>
          <w:sz w:val="18"/>
          <w:szCs w:val="18"/>
          <w:b w:val="1"/>
          <w:bCs w:val="1"/>
          <w:color w:val="auto"/>
        </w:rPr>
        <w:t>19886 Ashburn Road,</w:t>
      </w:r>
    </w:p>
    <w:p>
      <w:pPr>
        <w:spacing w:after="0" w:line="31" w:lineRule="exact"/>
        <w:rPr>
          <w:sz w:val="24"/>
          <w:szCs w:val="24"/>
          <w:color w:val="auto"/>
        </w:rPr>
      </w:pPr>
    </w:p>
    <w:p>
      <w:pPr>
        <w:jc w:val="center"/>
        <w:ind w:right="1620"/>
        <w:spacing w:after="0"/>
        <w:rPr>
          <w:sz w:val="20"/>
          <w:szCs w:val="20"/>
          <w:color w:val="auto"/>
        </w:rPr>
      </w:pPr>
      <w:r>
        <w:rPr>
          <w:rFonts w:ascii="Times New Roman" w:cs="Times New Roman" w:eastAsia="Times New Roman" w:hAnsi="Times New Roman"/>
          <w:sz w:val="18"/>
          <w:szCs w:val="18"/>
          <w:b w:val="1"/>
          <w:bCs w:val="1"/>
          <w:color w:val="auto"/>
        </w:rPr>
        <w:t>Ashburn, Virginia</w:t>
      </w:r>
    </w:p>
    <w:p>
      <w:pPr>
        <w:spacing w:after="0" w:line="23" w:lineRule="exact"/>
        <w:rPr>
          <w:sz w:val="24"/>
          <w:szCs w:val="24"/>
          <w:color w:val="auto"/>
        </w:rPr>
      </w:pPr>
    </w:p>
    <w:p>
      <w:pPr>
        <w:jc w:val="center"/>
        <w:ind w:right="16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20147-2358</w:t>
      </w:r>
    </w:p>
    <w:p>
      <w:pPr>
        <w:spacing w:after="0" w:line="4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20" w:space="720"/>
            <w:col w:w="2800"/>
          </w:cols>
          <w:pgMar w:left="320" w:top="873" w:right="739" w:bottom="1440" w:gutter="0" w:footer="0" w:header="0"/>
          <w:type w:val="continuous"/>
        </w:sectPr>
      </w:pPr>
    </w:p>
    <w:p>
      <w:pPr>
        <w:spacing w:after="0" w:line="43"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(703) 724-3800</w:t>
      </w:r>
    </w:p>
    <w:p>
      <w:pPr>
        <w:spacing w:after="0" w:line="31"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76"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(Former name, former address, and former fiscal year, if changed since last report)</w:t>
      </w:r>
    </w:p>
    <w:p>
      <w:pPr>
        <w:spacing w:after="0" w:line="218"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0840"/>
          </w:cols>
          <w:pgMar w:left="320" w:top="873" w:right="739" w:bottom="1440" w:gutter="0" w:footer="0" w:header="0"/>
          <w:type w:val="continuous"/>
        </w:sectPr>
      </w:pPr>
    </w:p>
    <w:p>
      <w:pPr>
        <w:spacing w:after="0" w:line="50" w:lineRule="exact"/>
        <w:rPr>
          <w:sz w:val="24"/>
          <w:szCs w:val="24"/>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7" w:lineRule="exact"/>
        <w:rPr>
          <w:sz w:val="24"/>
          <w:szCs w:val="24"/>
          <w:color w:val="auto"/>
        </w:rPr>
      </w:pPr>
    </w:p>
    <w:p>
      <w:pPr>
        <w:jc w:val="center"/>
        <w:ind w:left="200"/>
        <w:spacing w:after="0"/>
        <w:rPr>
          <w:sz w:val="20"/>
          <w:szCs w:val="20"/>
          <w:color w:val="auto"/>
        </w:rPr>
      </w:pPr>
      <w:r>
        <w:rPr>
          <w:rFonts w:ascii="Times New Roman" w:cs="Times New Roman" w:eastAsia="Times New Roman" w:hAnsi="Times New Roman"/>
          <w:sz w:val="17"/>
          <w:szCs w:val="17"/>
          <w:b w:val="1"/>
          <w:bCs w:val="1"/>
          <w:color w:val="auto"/>
        </w:rPr>
        <w:t>Common stock, $0.001 par value per share</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color w:val="auto"/>
        </w:rPr>
        <w:t>Trading symbol</w:t>
      </w:r>
    </w:p>
    <w:p>
      <w:pPr>
        <w:spacing w:after="0" w:line="3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TLS</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ind w:firstLine="72"/>
        <w:spacing w:after="0" w:line="297" w:lineRule="auto"/>
        <w:rPr>
          <w:sz w:val="20"/>
          <w:szCs w:val="20"/>
          <w:color w:val="auto"/>
        </w:rPr>
      </w:pPr>
      <w:r>
        <w:rPr>
          <w:rFonts w:ascii="Times New Roman" w:cs="Times New Roman" w:eastAsia="Times New Roman" w:hAnsi="Times New Roman"/>
          <w:sz w:val="18"/>
          <w:szCs w:val="18"/>
          <w:color w:val="auto"/>
        </w:rPr>
        <w:t xml:space="preserve">Name of each exchange on which registered </w:t>
      </w:r>
      <w:r>
        <w:rPr>
          <w:rFonts w:ascii="Times New Roman" w:cs="Times New Roman" w:eastAsia="Times New Roman" w:hAnsi="Times New Roman"/>
          <w:sz w:val="18"/>
          <w:szCs w:val="18"/>
          <w:b w:val="1"/>
          <w:bCs w:val="1"/>
          <w:color w:val="auto"/>
        </w:rPr>
        <w:t>The Nasdaq Stock Market LLC</w:t>
      </w:r>
    </w:p>
    <w:p>
      <w:pPr>
        <w:spacing w:after="0" w:line="200" w:lineRule="exact"/>
        <w:rPr>
          <w:sz w:val="24"/>
          <w:szCs w:val="24"/>
          <w:color w:val="auto"/>
        </w:rPr>
      </w:pPr>
    </w:p>
    <w:p>
      <w:pPr>
        <w:sectPr>
          <w:pgSz w:w="11900" w:h="16838" w:orient="portrait"/>
          <w:cols w:equalWidth="0" w:num="3">
            <w:col w:w="3960" w:space="720"/>
            <w:col w:w="2180" w:space="720"/>
            <w:col w:w="3260"/>
          </w:cols>
          <w:pgMar w:left="320" w:top="873" w:right="739" w:bottom="1440" w:gutter="0" w:footer="0" w:header="0"/>
          <w:type w:val="continuous"/>
        </w:sectPr>
      </w:pPr>
    </w:p>
    <w:p>
      <w:pPr>
        <w:spacing w:after="0" w:line="30"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02" w:lineRule="exact"/>
        <w:rPr>
          <w:sz w:val="24"/>
          <w:szCs w:val="24"/>
          <w:color w:val="auto"/>
        </w:rPr>
      </w:pPr>
    </w:p>
    <w:p>
      <w:pPr>
        <w:ind w:left="1160" w:hanging="666"/>
        <w:spacing w:after="0"/>
        <w:tabs>
          <w:tab w:leader="none" w:pos="11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1160" w:hanging="666"/>
        <w:spacing w:after="0"/>
        <w:tabs>
          <w:tab w:leader="none" w:pos="11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1160" w:hanging="666"/>
        <w:spacing w:after="0"/>
        <w:tabs>
          <w:tab w:leader="none" w:pos="11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1160" w:hanging="666"/>
        <w:spacing w:after="0"/>
        <w:tabs>
          <w:tab w:leader="none" w:pos="11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13" w:lineRule="exact"/>
        <w:rPr>
          <w:sz w:val="24"/>
          <w:szCs w:val="24"/>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w:t>
      </w:r>
    </w:p>
    <w:p>
      <w:pPr>
        <w:spacing w:after="0" w:line="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873" w:right="739" w:bottom="1440" w:gutter="0" w:footer="0" w:header="0"/>
          <w:type w:val="continuous"/>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Monday, May 11, 2026, Telos Corporation (the “Company”) issued a press release announcing a conference call to discuss its financial results for the first quarter ended March 31, 2026, and posted those financial results on its website. A copy of the press release and financial results for the first quarter ended March 31, 2026 are attached as Exhibit 99.1 and Exhibit 99.2 to this Current Report on Form 8-K and incorporated herein by reference.</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will conduct a conference call to discuss its financial results on Monday, May 11, 2026, at 9:30 a.m., Eastern Time. A live broadcast of the conference call along with a supplemental presentation will be available to the public through links on the Investor Relations section of the Company’s website (</w:t>
      </w:r>
      <w:r>
        <w:rPr>
          <w:rFonts w:ascii="Times New Roman" w:cs="Times New Roman" w:eastAsia="Times New Roman" w:hAnsi="Times New Roman"/>
          <w:sz w:val="18"/>
          <w:szCs w:val="18"/>
          <w:u w:val="single" w:color="auto"/>
          <w:color w:val="3051F2"/>
        </w:rPr>
        <w:t>https://investors.telos.com</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and Exhibit 99.2 attached hereto, is furnished pursuant to Item 2.02 of this Current Report on Form 8-K. Such information shall not be deemed “filed” for purposes of Section 18 of the Securities Exchange Act of 1934, nor shall it be deemed incorporated by reference into any filing under the Securities Act of 1933, except as shall be expressly set forth by specific reference in such filing.</w:t>
      </w:r>
    </w:p>
    <w:p>
      <w:pPr>
        <w:spacing w:after="0" w:line="16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70" w:lineRule="exact"/>
        <w:rPr>
          <w:sz w:val="20"/>
          <w:szCs w:val="20"/>
          <w:color w:val="auto"/>
        </w:rPr>
      </w:pPr>
    </w:p>
    <w:p>
      <w:pPr>
        <w:ind w:left="1440"/>
        <w:spacing w:after="0"/>
        <w:tabs>
          <w:tab w:leader="none" w:pos="208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u w:val="single" w:color="auto"/>
          <w:color w:val="0000FF"/>
        </w:rPr>
        <w:t>Press Release, issued May 11, 2026</w:t>
      </w:r>
    </w:p>
    <w:p>
      <w:pPr>
        <w:spacing w:after="0" w:line="63" w:lineRule="exact"/>
        <w:rPr>
          <w:sz w:val="20"/>
          <w:szCs w:val="20"/>
          <w:color w:val="auto"/>
        </w:rPr>
      </w:pPr>
    </w:p>
    <w:p>
      <w:pPr>
        <w:ind w:left="1440"/>
        <w:spacing w:after="0"/>
        <w:tabs>
          <w:tab w:leader="none" w:pos="2080" w:val="left"/>
        </w:tabs>
        <w:rPr>
          <w:sz w:val="20"/>
          <w:szCs w:val="20"/>
          <w:color w:val="auto"/>
        </w:rPr>
      </w:pPr>
      <w:r>
        <w:rPr>
          <w:rFonts w:ascii="Times New Roman" w:cs="Times New Roman" w:eastAsia="Times New Roman" w:hAnsi="Times New Roman"/>
          <w:sz w:val="18"/>
          <w:szCs w:val="18"/>
          <w:u w:val="single" w:color="auto"/>
          <w:color w:val="0000FF"/>
        </w:rPr>
        <w:t>99.2</w:t>
      </w:r>
      <w:r>
        <w:rPr>
          <w:sz w:val="20"/>
          <w:szCs w:val="20"/>
          <w:color w:val="auto"/>
        </w:rPr>
        <w:tab/>
      </w:r>
      <w:r>
        <w:rPr>
          <w:rFonts w:ascii="Times New Roman" w:cs="Times New Roman" w:eastAsia="Times New Roman" w:hAnsi="Times New Roman"/>
          <w:sz w:val="17"/>
          <w:szCs w:val="17"/>
          <w:u w:val="single" w:color="auto"/>
          <w:color w:val="0000FF"/>
        </w:rPr>
        <w:t>First Quarter 2026 Financial Results</w:t>
      </w:r>
    </w:p>
    <w:p>
      <w:pPr>
        <w:spacing w:after="0" w:line="63" w:lineRule="exact"/>
        <w:rPr>
          <w:sz w:val="20"/>
          <w:szCs w:val="20"/>
          <w:color w:val="auto"/>
        </w:rPr>
      </w:pPr>
    </w:p>
    <w:p>
      <w:pPr>
        <w:ind w:left="1460"/>
        <w:spacing w:after="0"/>
        <w:tabs>
          <w:tab w:leader="none" w:pos="20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Inline XBRL for the cover page of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 I G N A T U R E S</w:t>
      </w:r>
    </w:p>
    <w:p>
      <w:pPr>
        <w:spacing w:after="0" w:line="224" w:lineRule="exact"/>
        <w:rPr>
          <w:sz w:val="20"/>
          <w:szCs w:val="20"/>
          <w:color w:val="auto"/>
        </w:rPr>
      </w:pPr>
    </w:p>
    <w:p>
      <w:pPr>
        <w:ind w:hanging="3"/>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TELOS CORPORATION</w:t>
      </w:r>
    </w:p>
    <w:p>
      <w:pPr>
        <w:spacing w:after="0" w:line="297" w:lineRule="exact"/>
        <w:rPr>
          <w:sz w:val="20"/>
          <w:szCs w:val="20"/>
          <w:color w:val="auto"/>
        </w:rPr>
      </w:pPr>
    </w:p>
    <w:p>
      <w:pPr>
        <w:ind w:left="5700"/>
        <w:spacing w:after="0"/>
        <w:tabs>
          <w:tab w:leader="none" w:pos="6220" w:val="left"/>
        </w:tabs>
        <w:rPr>
          <w:sz w:val="20"/>
          <w:szCs w:val="20"/>
          <w:color w:val="auto"/>
        </w:rPr>
      </w:pPr>
      <w:r>
        <w:rPr>
          <w:rFonts w:ascii="Times New Roman" w:cs="Times New Roman" w:eastAsia="Times New Roman" w:hAnsi="Times New Roman"/>
          <w:sz w:val="18"/>
          <w:szCs w:val="18"/>
          <w:color w:val="auto"/>
        </w:rPr>
        <w:t>By:</w:t>
        <w:tab/>
        <w:t>/s/ Mark Bendza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17145</wp:posOffset>
            </wp:positionV>
            <wp:extent cx="28117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6"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Mark Bendza</w:t>
      </w:r>
    </w:p>
    <w:p>
      <w:pPr>
        <w:spacing w:after="0" w:line="2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11, 2026</w:t>
      </w:r>
    </w:p>
    <w:p>
      <w:pPr>
        <w:sectPr>
          <w:pgSz w:w="11900" w:h="16838" w:orient="portrait"/>
          <w:cols w:equalWidth="0" w:num="1">
            <w:col w:w="11220"/>
          </w:cols>
          <w:pgMar w:left="320" w:top="761"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574040</wp:posOffset>
            </wp:positionV>
            <wp:extent cx="1903095" cy="651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0309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Telos Corporation Announces First Quarter 2026 Earnings</w:t>
      </w:r>
    </w:p>
    <w:p>
      <w:pPr>
        <w:spacing w:after="0" w:line="200" w:lineRule="exact"/>
        <w:rPr>
          <w:sz w:val="20"/>
          <w:szCs w:val="20"/>
          <w:color w:val="auto"/>
        </w:rPr>
      </w:pPr>
    </w:p>
    <w:p>
      <w:pPr>
        <w:spacing w:after="0" w:line="397" w:lineRule="exact"/>
        <w:rPr>
          <w:sz w:val="20"/>
          <w:szCs w:val="20"/>
          <w:color w:val="auto"/>
        </w:rPr>
      </w:pPr>
    </w:p>
    <w:p>
      <w:pPr>
        <w:ind w:right="22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Ashburn, Va. – May 11, 2026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3051F2"/>
        </w:rPr>
        <w:t>Telos Corporation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(NASDAQ: TLS), a leading provider of cyber, cloud and enterprise security solutions for the world’s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most security-conscious organizations, has posted its 2026 first quarter financial results on its investor relations website at </w:t>
      </w:r>
      <w:r>
        <w:rPr>
          <w:rFonts w:ascii="Times New Roman" w:cs="Times New Roman" w:eastAsia="Times New Roman" w:hAnsi="Times New Roman"/>
          <w:sz w:val="17"/>
          <w:szCs w:val="17"/>
          <w:color w:val="3051F2"/>
        </w:rPr>
        <w:t>https://investors.telos.com</w:t>
      </w:r>
      <w:r>
        <w:rPr>
          <w:rFonts w:ascii="Times New Roman" w:cs="Times New Roman" w:eastAsia="Times New Roman" w:hAnsi="Times New Roman"/>
          <w:sz w:val="17"/>
          <w:szCs w:val="17"/>
          <w:color w:val="auto"/>
        </w:rPr>
        <w:t>.</w:t>
      </w:r>
    </w:p>
    <w:p>
      <w:pPr>
        <w:spacing w:after="0" w:line="68" w:lineRule="exact"/>
        <w:rPr>
          <w:sz w:val="20"/>
          <w:szCs w:val="20"/>
          <w:color w:val="auto"/>
        </w:rPr>
      </w:pPr>
    </w:p>
    <w:p>
      <w:pPr>
        <w:ind w:right="880"/>
        <w:spacing w:after="0" w:line="266" w:lineRule="auto"/>
        <w:rPr>
          <w:sz w:val="20"/>
          <w:szCs w:val="20"/>
          <w:color w:val="auto"/>
        </w:rPr>
      </w:pPr>
      <w:r>
        <w:rPr>
          <w:rFonts w:ascii="Times New Roman" w:cs="Times New Roman" w:eastAsia="Times New Roman" w:hAnsi="Times New Roman"/>
          <w:sz w:val="18"/>
          <w:szCs w:val="18"/>
          <w:color w:val="auto"/>
        </w:rPr>
        <w:t xml:space="preserve">Telos will host a live webcast to discuss its first quarter 2026 financial results today, May 11, 2026, at 9:30 a.m. ET. To access the webcast, visit </w:t>
      </w:r>
      <w:r>
        <w:rPr>
          <w:rFonts w:ascii="Times New Roman" w:cs="Times New Roman" w:eastAsia="Times New Roman" w:hAnsi="Times New Roman"/>
          <w:sz w:val="18"/>
          <w:szCs w:val="18"/>
          <w:color w:val="3051F2"/>
        </w:rPr>
        <w:t>https://edge.media-server.com/mmc/p/so4sxhaa</w:t>
      </w:r>
      <w:r>
        <w:rPr>
          <w:rFonts w:ascii="Times New Roman" w:cs="Times New Roman" w:eastAsia="Times New Roman" w:hAnsi="Times New Roman"/>
          <w:sz w:val="18"/>
          <w:szCs w:val="18"/>
          <w:color w:val="000000"/>
        </w:rPr>
        <w:t>.</w:t>
      </w:r>
    </w:p>
    <w:p>
      <w:pPr>
        <w:spacing w:after="0" w:line="189"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Related presentation materials will be available in the Investors section of the Company’s website. In addition, an archived webcast will be posted on the website approximately two hours after the live event concludes.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Telos Corporation</w:t>
      </w:r>
    </w:p>
    <w:p>
      <w:pPr>
        <w:spacing w:after="0" w:line="1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Telos Corporation (NASDAQ: TLS) empowers and protects the world’s most security-conscious organizations with efficient, adaptable, and secure solutions that safeguard people, systems, and information. We deliver advanced capabilities across cyber governance, risk, and compliance (GRC) with Xacta®; identity and biometric solutions; secure networks and communications; and TSA PreCheck® enrollment services. Serving the U.S. federal government, regulated industries, and global enterprises, Telos helps customers stay ahead of evolving threats, accelerate compliance, and achieve mission success. Driven by purpose and guided by our core values, we build trusted partnerships, deliver superior solutions, and help create a more secure, interconnected world. Learn more at </w:t>
      </w:r>
      <w:r>
        <w:rPr>
          <w:rFonts w:ascii="Times New Roman" w:cs="Times New Roman" w:eastAsia="Times New Roman" w:hAnsi="Times New Roman"/>
          <w:sz w:val="18"/>
          <w:szCs w:val="18"/>
          <w:color w:val="3051F2"/>
        </w:rPr>
        <w:t>www.telos.com</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Media: </w:t>
      </w:r>
      <w:r>
        <w:rPr>
          <w:rFonts w:ascii="Times New Roman" w:cs="Times New Roman" w:eastAsia="Times New Roman" w:hAnsi="Times New Roman"/>
          <w:sz w:val="18"/>
          <w:szCs w:val="18"/>
          <w:color w:val="0000FF"/>
        </w:rPr>
        <w:t>media@telos.com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Investors: </w:t>
      </w:r>
      <w:r>
        <w:rPr>
          <w:rFonts w:ascii="Times New Roman" w:cs="Times New Roman" w:eastAsia="Times New Roman" w:hAnsi="Times New Roman"/>
          <w:sz w:val="18"/>
          <w:szCs w:val="18"/>
          <w:color w:val="0000FF"/>
        </w:rPr>
        <w:t>InvestorRelations@telos.com</w:t>
      </w:r>
    </w:p>
    <w:p>
      <w:pPr>
        <w:sectPr>
          <w:pgSz w:w="11900" w:h="16838" w:orient="portrait"/>
          <w:cols w:equalWidth="0" w:num="1">
            <w:col w:w="11240"/>
          </w:cols>
          <w:pgMar w:left="320" w:top="126"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148590</wp:posOffset>
            </wp:positionV>
            <wp:extent cx="2057400" cy="7029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5740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First Quarter 2026 Financial Results</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May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0891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198" w:lineRule="exact"/>
        <w:rPr>
          <w:sz w:val="20"/>
          <w:szCs w:val="20"/>
          <w:color w:val="auto"/>
        </w:rPr>
      </w:pPr>
    </w:p>
    <w:p>
      <w:pPr>
        <w:jc w:val="center"/>
        <w:ind w:right="40"/>
        <w:spacing w:after="0" w:line="303" w:lineRule="auto"/>
        <w:rPr>
          <w:sz w:val="20"/>
          <w:szCs w:val="20"/>
          <w:color w:val="auto"/>
        </w:rPr>
      </w:pPr>
      <w:r>
        <w:rPr>
          <w:rFonts w:ascii="Times New Roman" w:cs="Times New Roman" w:eastAsia="Times New Roman" w:hAnsi="Times New Roman"/>
          <w:sz w:val="29"/>
          <w:szCs w:val="29"/>
          <w:color w:val="404040"/>
        </w:rPr>
        <w:t>Telos Corporation Reports 56% Revenue Growth and Continued Strong Profitability and Cash Flow Margins; Reaffirms Full Year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0891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115" w:lineRule="exact"/>
        <w:rPr>
          <w:sz w:val="20"/>
          <w:szCs w:val="20"/>
          <w:color w:val="auto"/>
        </w:rPr>
      </w:pPr>
    </w:p>
    <w:p>
      <w:pPr>
        <w:ind w:left="340" w:right="300" w:hanging="332"/>
        <w:spacing w:after="0" w:line="287" w:lineRule="auto"/>
        <w:tabs>
          <w:tab w:leader="none" w:pos="328"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Substantial Growth</w:t>
      </w:r>
      <w:r>
        <w:rPr>
          <w:rFonts w:ascii="Times New Roman" w:cs="Times New Roman" w:eastAsia="Times New Roman" w:hAnsi="Times New Roman"/>
          <w:sz w:val="20"/>
          <w:szCs w:val="20"/>
          <w:color w:val="auto"/>
        </w:rPr>
        <w:t>: Revenue grew 56% year-over-year to $47.7 million, exceeding guidance, and driven by 78% growth in Security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Solutions primarily due to the expansion of large programs in Telos ID.</w:t>
      </w:r>
    </w:p>
    <w:p>
      <w:pPr>
        <w:spacing w:after="0" w:line="84" w:lineRule="exact"/>
        <w:rPr>
          <w:rFonts w:ascii="Times New Roman" w:cs="Times New Roman" w:eastAsia="Times New Roman" w:hAnsi="Times New Roman"/>
          <w:sz w:val="20"/>
          <w:szCs w:val="20"/>
          <w:b w:val="1"/>
          <w:bCs w:val="1"/>
          <w:color w:val="auto"/>
        </w:rPr>
      </w:pPr>
    </w:p>
    <w:p>
      <w:pPr>
        <w:ind w:left="340" w:right="880" w:hanging="332"/>
        <w:spacing w:after="0" w:line="250" w:lineRule="auto"/>
        <w:tabs>
          <w:tab w:leader="none" w:pos="32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Healthy Gross Margins</w:t>
      </w:r>
      <w:r>
        <w:rPr>
          <w:rFonts w:ascii="Times New Roman" w:cs="Times New Roman" w:eastAsia="Times New Roman" w:hAnsi="Times New Roman"/>
          <w:sz w:val="20"/>
          <w:szCs w:val="20"/>
          <w:color w:val="auto"/>
        </w:rPr>
        <w:t>: GAAP Gross Margin and Cash Gross Margin</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both exceeded guidance assumptions primarily due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performance in Telos ID. GAAP Gross Margin was 36.4% and Cash Gross Margin</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was 42.3%.</w:t>
      </w:r>
    </w:p>
    <w:p>
      <w:pPr>
        <w:spacing w:after="0" w:line="49" w:lineRule="exact"/>
        <w:rPr>
          <w:rFonts w:ascii="Times New Roman" w:cs="Times New Roman" w:eastAsia="Times New Roman" w:hAnsi="Times New Roman"/>
          <w:sz w:val="20"/>
          <w:szCs w:val="20"/>
          <w:color w:val="auto"/>
        </w:rPr>
      </w:pPr>
    </w:p>
    <w:p>
      <w:pPr>
        <w:ind w:left="340" w:right="440" w:hanging="332"/>
        <w:spacing w:after="0" w:line="307" w:lineRule="auto"/>
        <w:tabs>
          <w:tab w:leader="none" w:pos="328"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Rigorous Expense Discipline</w:t>
      </w:r>
      <w:r>
        <w:rPr>
          <w:rFonts w:ascii="Times New Roman" w:cs="Times New Roman" w:eastAsia="Times New Roman" w:hAnsi="Times New Roman"/>
          <w:sz w:val="19"/>
          <w:szCs w:val="19"/>
          <w:color w:val="auto"/>
        </w:rPr>
        <w:t>: GAAP Operating Expenses decreased 25% year-over-year primarily due to lower stock-based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compensation expense. Adjusted Operating Expenses</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9"/>
          <w:szCs w:val="19"/>
          <w:color w:val="auto"/>
        </w:rPr>
        <w:t xml:space="preserve"> decreased 8% primarily due to restructuring and cost management initiatives.</w:t>
      </w:r>
    </w:p>
    <w:p>
      <w:pPr>
        <w:spacing w:after="0" w:line="2" w:lineRule="exact"/>
        <w:rPr>
          <w:rFonts w:ascii="Times New Roman" w:cs="Times New Roman" w:eastAsia="Times New Roman" w:hAnsi="Times New Roman"/>
          <w:sz w:val="19"/>
          <w:szCs w:val="19"/>
          <w:color w:val="auto"/>
        </w:rPr>
      </w:pPr>
    </w:p>
    <w:p>
      <w:pPr>
        <w:ind w:left="340" w:right="580" w:hanging="332"/>
        <w:spacing w:after="0" w:line="219" w:lineRule="auto"/>
        <w:tabs>
          <w:tab w:leader="none" w:pos="32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Expanding Operating Margins</w:t>
      </w:r>
      <w:r>
        <w:rPr>
          <w:rFonts w:ascii="Times New Roman" w:cs="Times New Roman" w:eastAsia="Times New Roman" w:hAnsi="Times New Roman"/>
          <w:sz w:val="20"/>
          <w:szCs w:val="20"/>
          <w:color w:val="auto"/>
        </w:rPr>
        <w:t>: GAAP Net Income was $2.0 million. Adjusted EBITDA</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was $7.9 million, exceeding guidance.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Adjusted EBITDA Margin</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expanded from 1.2% to 16.5% year-over-year primarily due to revenue growth in Telos ID and lower operating expenses.</w:t>
      </w:r>
    </w:p>
    <w:p>
      <w:pPr>
        <w:spacing w:after="0" w:line="81" w:lineRule="exact"/>
        <w:rPr>
          <w:rFonts w:ascii="Times New Roman" w:cs="Times New Roman" w:eastAsia="Times New Roman" w:hAnsi="Times New Roman"/>
          <w:sz w:val="20"/>
          <w:szCs w:val="20"/>
          <w:color w:val="auto"/>
        </w:rPr>
      </w:pPr>
    </w:p>
    <w:p>
      <w:pPr>
        <w:ind w:left="340" w:right="140" w:hanging="332"/>
        <w:spacing w:after="0" w:line="245" w:lineRule="auto"/>
        <w:tabs>
          <w:tab w:leader="none" w:pos="32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Robust Cash Flow Margins</w:t>
      </w:r>
      <w:r>
        <w:rPr>
          <w:rFonts w:ascii="Times New Roman" w:cs="Times New Roman" w:eastAsia="Times New Roman" w:hAnsi="Times New Roman"/>
          <w:sz w:val="20"/>
          <w:szCs w:val="20"/>
          <w:color w:val="auto"/>
        </w:rPr>
        <w:t>: Cash Flow from Operations was $8.7 million, or 18.1% of revenue. Free Cash Flow</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increased 69% year-over-year to $6.4 million. Free Cash Flow Margin</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increased from 12.3% to 13.4%.</w:t>
      </w:r>
    </w:p>
    <w:p>
      <w:pPr>
        <w:spacing w:after="0" w:line="54" w:lineRule="exact"/>
        <w:rPr>
          <w:rFonts w:ascii="Times New Roman" w:cs="Times New Roman" w:eastAsia="Times New Roman" w:hAnsi="Times New Roman"/>
          <w:sz w:val="20"/>
          <w:szCs w:val="20"/>
          <w:color w:val="auto"/>
        </w:rPr>
      </w:pPr>
    </w:p>
    <w:p>
      <w:pPr>
        <w:ind w:left="340" w:right="40" w:hanging="332"/>
        <w:spacing w:after="0" w:line="273" w:lineRule="auto"/>
        <w:tabs>
          <w:tab w:leader="none" w:pos="32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Continued Share Repurchases</w:t>
      </w:r>
      <w:r>
        <w:rPr>
          <w:rFonts w:ascii="Times New Roman" w:cs="Times New Roman" w:eastAsia="Times New Roman" w:hAnsi="Times New Roman"/>
          <w:sz w:val="20"/>
          <w:szCs w:val="20"/>
          <w:color w:val="auto"/>
        </w:rPr>
        <w:t>. Deployed $2.2 million to repurchase 0.5 million shares at an average price of $4.25 per share in the first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quarter of 2026. Repurchases expected to accelerate in the second quarter.</w:t>
      </w:r>
    </w:p>
    <w:p>
      <w:pPr>
        <w:spacing w:after="0" w:line="111" w:lineRule="exact"/>
        <w:rPr>
          <w:rFonts w:ascii="Times New Roman" w:cs="Times New Roman" w:eastAsia="Times New Roman" w:hAnsi="Times New Roman"/>
          <w:sz w:val="20"/>
          <w:szCs w:val="20"/>
          <w:color w:val="auto"/>
        </w:rPr>
      </w:pPr>
    </w:p>
    <w:p>
      <w:pPr>
        <w:ind w:left="340" w:right="200" w:hanging="332"/>
        <w:spacing w:after="0" w:line="228" w:lineRule="auto"/>
        <w:tabs>
          <w:tab w:leader="none" w:pos="32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Forecast: </w:t>
      </w:r>
      <w:r>
        <w:rPr>
          <w:rFonts w:ascii="Times New Roman" w:cs="Times New Roman" w:eastAsia="Times New Roman" w:hAnsi="Times New Roman"/>
          <w:sz w:val="20"/>
          <w:szCs w:val="20"/>
          <w:color w:val="auto"/>
        </w:rPr>
        <w:t>Year-over-year double-digit revenue growth, lower operating expenses, and Adjusted EBITDA Margin</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expansion as well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robust cash flow and accelerated share repurchases in the second quarter. Reaffirming full year outlook.</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Financial Guidance for the Second Quarter and Full Year</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40" w:type="dxa"/>
            <w:vAlign w:val="bottom"/>
            <w:tcBorders>
              <w:top w:val="single" w:sz="8" w:color="auto"/>
            </w:tcBorders>
          </w:tcPr>
          <w:p>
            <w:pPr>
              <w:spacing w:after="0"/>
              <w:rPr>
                <w:sz w:val="19"/>
                <w:szCs w:val="19"/>
                <w:color w:val="auto"/>
              </w:rPr>
            </w:pPr>
          </w:p>
        </w:tc>
        <w:tc>
          <w:tcPr>
            <w:tcW w:w="2900" w:type="dxa"/>
            <w:vAlign w:val="bottom"/>
            <w:tcBorders>
              <w:top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Second Quarter</w:t>
            </w:r>
          </w:p>
        </w:tc>
        <w:tc>
          <w:tcPr>
            <w:tcW w:w="28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6"/>
              </w:rPr>
              <w:t>Full Year</w:t>
            </w:r>
          </w:p>
        </w:tc>
      </w:tr>
      <w:tr>
        <w:trPr>
          <w:trHeight w:val="223"/>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2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$44.0 million - $46.0 million</w:t>
            </w:r>
          </w:p>
        </w:tc>
        <w:tc>
          <w:tcPr>
            <w:tcW w:w="80" w:type="dxa"/>
            <w:vAlign w:val="bottom"/>
            <w:tcBorders>
              <w:top w:val="single" w:sz="8" w:color="CCEEFF"/>
            </w:tcBorders>
            <w:shd w:val="clear" w:color="auto" w:fill="CCEEFF"/>
          </w:tcPr>
          <w:p>
            <w:pPr>
              <w:spacing w:after="0"/>
              <w:rPr>
                <w:sz w:val="19"/>
                <w:szCs w:val="19"/>
                <w:color w:val="auto"/>
              </w:rPr>
            </w:pPr>
          </w:p>
        </w:tc>
        <w:tc>
          <w:tcPr>
            <w:tcW w:w="280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$187 million - $200 million</w:t>
            </w: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Year-Over-Year Growth</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- 28%</w:t>
            </w: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- 21%</w:t>
            </w:r>
          </w:p>
        </w:tc>
      </w:tr>
      <w:tr>
        <w:trPr>
          <w:trHeight w:val="230"/>
        </w:trPr>
        <w:tc>
          <w:tcPr>
            <w:tcW w:w="55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2</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million</w:t>
            </w: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$6.0 million</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 million</w:t>
            </w:r>
          </w:p>
        </w:tc>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$28.0 million</w:t>
            </w:r>
          </w:p>
        </w:tc>
      </w:tr>
      <w:tr>
        <w:trPr>
          <w:trHeight w:val="306"/>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r>
              <w:rPr>
                <w:rFonts w:ascii="Times New Roman" w:cs="Times New Roman" w:eastAsia="Times New Roman" w:hAnsi="Times New Roman"/>
                <w:sz w:val="23"/>
                <w:szCs w:val="23"/>
                <w:color w:val="auto"/>
                <w:vertAlign w:val="superscript"/>
              </w:rPr>
              <w:t>2</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- 13.0%</w:t>
            </w:r>
          </w:p>
        </w:tc>
        <w:tc>
          <w:tcPr>
            <w:tcW w:w="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300" w:firstLine="8"/>
        <w:spacing w:after="0" w:line="230" w:lineRule="auto"/>
        <w:tabs>
          <w:tab w:leader="none" w:pos="83"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Cash Gross Margin, Adjusted Operating Expenses, Adjusted EBITDA, Adjusted EBITDA Margin, Free Cash Flow and Free Cash Flow Margin are non-GAAP financial measures. Refer to “Non- GAAP Financial Measures” below.</w:t>
      </w:r>
    </w:p>
    <w:p>
      <w:pPr>
        <w:spacing w:after="0" w:line="28" w:lineRule="exact"/>
        <w:rPr>
          <w:sz w:val="20"/>
          <w:szCs w:val="20"/>
          <w:color w:val="auto"/>
        </w:rPr>
      </w:pPr>
    </w:p>
    <w:p>
      <w:pPr>
        <w:ind w:right="160" w:firstLine="8"/>
        <w:spacing w:after="0" w:line="281" w:lineRule="auto"/>
        <w:tabs>
          <w:tab w:leader="none" w:pos="70" w:val="left"/>
        </w:tabs>
        <w:numPr>
          <w:ilvl w:val="0"/>
          <w:numId w:val="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Adjusted EBITDA and Adjusted EBITDA Margin are non-GAAP financial measures. The Company has not provided a reconciliation to the most directly comparable GAAP measure to these forward-looking non-GAAP financial measures because certain items are out of the Company’s control or cannot be reasonably predicted. Accordingly, reconciliations of forward-looking Adjusted EBITDA and Adjusted EBITDA Margin are not available without unreasonable effort.</w:t>
      </w:r>
    </w:p>
    <w:p>
      <w:pPr>
        <w:sectPr>
          <w:pgSz w:w="11900" w:h="16838" w:orient="portrait"/>
          <w:cols w:equalWidth="0" w:num="1">
            <w:col w:w="11240"/>
          </w:cols>
          <w:pgMar w:left="320" w:top="81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40575" cy="3472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0575" cy="3472180"/>
                    </a:xfrm>
                    <a:prstGeom prst="rect">
                      <a:avLst/>
                    </a:prstGeom>
                    <a:noFill/>
                  </pic:spPr>
                </pic:pic>
              </a:graphicData>
            </a:graphic>
          </wp:anchor>
        </w:drawing>
        <w:t>First Quarter 2026 Financial Highlights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11"/>
        </w:trPr>
        <w:tc>
          <w:tcPr>
            <w:tcW w:w="6400" w:type="dxa"/>
            <w:vAlign w:val="bottom"/>
          </w:tcPr>
          <w:p>
            <w:pPr>
              <w:spacing w:after="0"/>
              <w:rPr>
                <w:sz w:val="18"/>
                <w:szCs w:val="18"/>
                <w:color w:val="auto"/>
              </w:rPr>
            </w:pPr>
          </w:p>
        </w:tc>
        <w:tc>
          <w:tcPr>
            <w:tcW w:w="2400" w:type="dxa"/>
            <w:vAlign w:val="bottom"/>
            <w:tcBorders>
              <w:bottom w:val="single" w:sz="8" w:color="auto"/>
            </w:tcBorders>
            <w:gridSpan w:val="2"/>
          </w:tcPr>
          <w:p>
            <w:pPr>
              <w:ind w:left="6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440" w:type="dxa"/>
            <w:vAlign w:val="bottom"/>
            <w:tcBorders>
              <w:bottom w:val="single" w:sz="8" w:color="auto"/>
            </w:tcBorders>
            <w:gridSpan w:val="2"/>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0" w:type="dxa"/>
            <w:vAlign w:val="bottom"/>
            <w:tcBorders>
              <w:bottom w:val="single" w:sz="8" w:color="auto"/>
            </w:tcBorders>
          </w:tcPr>
          <w:p>
            <w:pPr>
              <w:spacing w:after="0"/>
              <w:rPr>
                <w:sz w:val="18"/>
                <w:szCs w:val="18"/>
                <w:color w:val="auto"/>
              </w:rPr>
            </w:pPr>
          </w:p>
        </w:tc>
      </w:tr>
      <w:tr>
        <w:trPr>
          <w:trHeight w:val="209"/>
        </w:trPr>
        <w:tc>
          <w:tcPr>
            <w:tcW w:w="6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0" w:type="dxa"/>
            <w:vAlign w:val="bottom"/>
            <w:gridSpan w:val="3"/>
          </w:tcPr>
          <w:p>
            <w:pPr>
              <w:jc w:val="right"/>
              <w:ind w:right="899"/>
              <w:spacing w:after="0"/>
              <w:rPr>
                <w:sz w:val="20"/>
                <w:szCs w:val="20"/>
                <w:color w:val="auto"/>
              </w:rPr>
            </w:pPr>
            <w:r>
              <w:rPr>
                <w:rFonts w:ascii="Times New Roman" w:cs="Times New Roman" w:eastAsia="Times New Roman" w:hAnsi="Times New Roman"/>
                <w:sz w:val="16"/>
                <w:szCs w:val="16"/>
                <w:i w:val="1"/>
                <w:iCs w:val="1"/>
                <w:color w:val="auto"/>
              </w:rPr>
              <w:t>(amounts in millions, except per share data)</w:t>
            </w:r>
          </w:p>
        </w:tc>
        <w:tc>
          <w:tcPr>
            <w:tcW w:w="20" w:type="dxa"/>
            <w:vAlign w:val="bottom"/>
          </w:tcPr>
          <w:p>
            <w:pPr>
              <w:spacing w:after="0"/>
              <w:rPr>
                <w:sz w:val="18"/>
                <w:szCs w:val="18"/>
                <w:color w:val="auto"/>
              </w:rPr>
            </w:pPr>
          </w:p>
        </w:tc>
      </w:tr>
      <w:tr>
        <w:trPr>
          <w:trHeight w:val="218"/>
        </w:trPr>
        <w:tc>
          <w:tcPr>
            <w:tcW w:w="6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w:t>
            </w:r>
          </w:p>
        </w:tc>
        <w:tc>
          <w:tcPr>
            <w:tcW w:w="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rPr>
              <w:t>47.7</w:t>
            </w:r>
          </w:p>
        </w:tc>
        <w:tc>
          <w:tcPr>
            <w:tcW w:w="9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rPr>
              <w:t>30.6</w:t>
            </w:r>
          </w:p>
        </w:tc>
        <w:tc>
          <w:tcPr>
            <w:tcW w:w="20" w:type="dxa"/>
            <w:vAlign w:val="bottom"/>
          </w:tcPr>
          <w:p>
            <w:pPr>
              <w:spacing w:after="0"/>
              <w:rPr>
                <w:sz w:val="18"/>
                <w:szCs w:val="18"/>
                <w:color w:val="auto"/>
              </w:rPr>
            </w:pPr>
          </w:p>
        </w:tc>
      </w:tr>
      <w:tr>
        <w:trPr>
          <w:trHeight w:val="213"/>
        </w:trPr>
        <w:tc>
          <w:tcPr>
            <w:tcW w:w="6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Gross Profit</w:t>
            </w:r>
          </w:p>
        </w:tc>
        <w:tc>
          <w:tcPr>
            <w:tcW w:w="8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rPr>
              <w:t>17.4</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rPr>
              <w:t>12.2</w:t>
            </w:r>
          </w:p>
        </w:tc>
        <w:tc>
          <w:tcPr>
            <w:tcW w:w="20" w:type="dxa"/>
            <w:vAlign w:val="bottom"/>
          </w:tcPr>
          <w:p>
            <w:pPr>
              <w:spacing w:after="0"/>
              <w:rPr>
                <w:sz w:val="18"/>
                <w:szCs w:val="18"/>
                <w:color w:val="auto"/>
              </w:rPr>
            </w:pPr>
          </w:p>
        </w:tc>
      </w:tr>
      <w:tr>
        <w:trPr>
          <w:trHeight w:val="219"/>
        </w:trPr>
        <w:tc>
          <w:tcPr>
            <w:tcW w:w="6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Gross Margin</w:t>
            </w:r>
          </w:p>
        </w:tc>
        <w:tc>
          <w:tcPr>
            <w:tcW w:w="8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rPr>
              <w:t>36.4 %</w:t>
            </w:r>
          </w:p>
        </w:tc>
        <w:tc>
          <w:tcPr>
            <w:tcW w:w="9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rPr>
              <w:t>39.8 %</w:t>
            </w:r>
          </w:p>
        </w:tc>
        <w:tc>
          <w:tcPr>
            <w:tcW w:w="20" w:type="dxa"/>
            <w:vAlign w:val="bottom"/>
          </w:tcPr>
          <w:p>
            <w:pPr>
              <w:spacing w:after="0"/>
              <w:rPr>
                <w:sz w:val="19"/>
                <w:szCs w:val="19"/>
                <w:color w:val="auto"/>
              </w:rPr>
            </w:pPr>
          </w:p>
        </w:tc>
      </w:tr>
      <w:tr>
        <w:trPr>
          <w:trHeight w:val="216"/>
        </w:trPr>
        <w:tc>
          <w:tcPr>
            <w:tcW w:w="6400" w:type="dxa"/>
            <w:vAlign w:val="bottom"/>
          </w:tcPr>
          <w:p>
            <w:pPr>
              <w:ind w:left="40"/>
              <w:spacing w:after="0" w:line="216" w:lineRule="exact"/>
              <w:rPr>
                <w:sz w:val="20"/>
                <w:szCs w:val="20"/>
                <w:color w:val="auto"/>
              </w:rPr>
            </w:pPr>
            <w:r>
              <w:rPr>
                <w:rFonts w:ascii="Times New Roman" w:cs="Times New Roman" w:eastAsia="Times New Roman" w:hAnsi="Times New Roman"/>
                <w:sz w:val="16"/>
                <w:szCs w:val="16"/>
                <w:color w:val="auto"/>
              </w:rPr>
              <w:t>Adjusted Gross Profit</w:t>
            </w:r>
            <w:r>
              <w:rPr>
                <w:rFonts w:ascii="Times New Roman" w:cs="Times New Roman" w:eastAsia="Times New Roman" w:hAnsi="Times New Roman"/>
                <w:sz w:val="21"/>
                <w:szCs w:val="21"/>
                <w:color w:val="auto"/>
                <w:vertAlign w:val="superscript"/>
              </w:rPr>
              <w:t>1</w:t>
            </w:r>
          </w:p>
        </w:tc>
        <w:tc>
          <w:tcPr>
            <w:tcW w:w="8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rPr>
              <w:t>17.6</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rPr>
              <w:t>12.4</w:t>
            </w:r>
          </w:p>
        </w:tc>
        <w:tc>
          <w:tcPr>
            <w:tcW w:w="20" w:type="dxa"/>
            <w:vAlign w:val="bottom"/>
          </w:tcPr>
          <w:p>
            <w:pPr>
              <w:spacing w:after="0"/>
              <w:rPr>
                <w:sz w:val="18"/>
                <w:szCs w:val="18"/>
                <w:color w:val="auto"/>
              </w:rPr>
            </w:pPr>
          </w:p>
        </w:tc>
      </w:tr>
      <w:tr>
        <w:trPr>
          <w:trHeight w:val="216"/>
        </w:trPr>
        <w:tc>
          <w:tcPr>
            <w:tcW w:w="6400" w:type="dxa"/>
            <w:vAlign w:val="bottom"/>
            <w:shd w:val="clear" w:color="auto" w:fill="CCEEFF"/>
          </w:tcPr>
          <w:p>
            <w:pPr>
              <w:ind w:left="40"/>
              <w:spacing w:after="0" w:line="216" w:lineRule="exact"/>
              <w:rPr>
                <w:sz w:val="20"/>
                <w:szCs w:val="20"/>
                <w:color w:val="auto"/>
              </w:rPr>
            </w:pPr>
            <w:r>
              <w:rPr>
                <w:rFonts w:ascii="Times New Roman" w:cs="Times New Roman" w:eastAsia="Times New Roman" w:hAnsi="Times New Roman"/>
                <w:sz w:val="16"/>
                <w:szCs w:val="16"/>
                <w:color w:val="auto"/>
              </w:rPr>
              <w:t>Adjusted Gross Margin</w:t>
            </w:r>
            <w:r>
              <w:rPr>
                <w:rFonts w:ascii="Times New Roman" w:cs="Times New Roman" w:eastAsia="Times New Roman" w:hAnsi="Times New Roman"/>
                <w:sz w:val="21"/>
                <w:szCs w:val="21"/>
                <w:color w:val="auto"/>
                <w:vertAlign w:val="superscript"/>
              </w:rPr>
              <w:t>1</w:t>
            </w:r>
          </w:p>
        </w:tc>
        <w:tc>
          <w:tcPr>
            <w:tcW w:w="84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rPr>
              <w:t>36.9 %</w:t>
            </w:r>
          </w:p>
        </w:tc>
        <w:tc>
          <w:tcPr>
            <w:tcW w:w="9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rPr>
              <w:t>40.4 %</w:t>
            </w:r>
          </w:p>
        </w:tc>
        <w:tc>
          <w:tcPr>
            <w:tcW w:w="20" w:type="dxa"/>
            <w:vAlign w:val="bottom"/>
          </w:tcPr>
          <w:p>
            <w:pPr>
              <w:spacing w:after="0"/>
              <w:rPr>
                <w:sz w:val="18"/>
                <w:szCs w:val="18"/>
                <w:color w:val="auto"/>
              </w:rPr>
            </w:pPr>
          </w:p>
        </w:tc>
      </w:tr>
      <w:tr>
        <w:trPr>
          <w:trHeight w:val="216"/>
        </w:trPr>
        <w:tc>
          <w:tcPr>
            <w:tcW w:w="6400" w:type="dxa"/>
            <w:vAlign w:val="bottom"/>
          </w:tcPr>
          <w:p>
            <w:pPr>
              <w:ind w:left="40"/>
              <w:spacing w:after="0" w:line="216" w:lineRule="exact"/>
              <w:rPr>
                <w:sz w:val="20"/>
                <w:szCs w:val="20"/>
                <w:color w:val="auto"/>
              </w:rPr>
            </w:pPr>
            <w:r>
              <w:rPr>
                <w:rFonts w:ascii="Times New Roman" w:cs="Times New Roman" w:eastAsia="Times New Roman" w:hAnsi="Times New Roman"/>
                <w:sz w:val="16"/>
                <w:szCs w:val="16"/>
                <w:color w:val="auto"/>
              </w:rPr>
              <w:t>Cash Gross Profit</w:t>
            </w:r>
            <w:r>
              <w:rPr>
                <w:rFonts w:ascii="Times New Roman" w:cs="Times New Roman" w:eastAsia="Times New Roman" w:hAnsi="Times New Roman"/>
                <w:sz w:val="21"/>
                <w:szCs w:val="21"/>
                <w:color w:val="auto"/>
                <w:vertAlign w:val="superscript"/>
              </w:rPr>
              <w:t>1</w:t>
            </w:r>
          </w:p>
        </w:tc>
        <w:tc>
          <w:tcPr>
            <w:tcW w:w="8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rPr>
              <w:t>20.2</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rPr>
              <w:t>13.9</w:t>
            </w:r>
          </w:p>
        </w:tc>
        <w:tc>
          <w:tcPr>
            <w:tcW w:w="20" w:type="dxa"/>
            <w:vAlign w:val="bottom"/>
          </w:tcPr>
          <w:p>
            <w:pPr>
              <w:spacing w:after="0"/>
              <w:rPr>
                <w:sz w:val="18"/>
                <w:szCs w:val="18"/>
                <w:color w:val="auto"/>
              </w:rPr>
            </w:pPr>
          </w:p>
        </w:tc>
      </w:tr>
      <w:tr>
        <w:trPr>
          <w:trHeight w:val="216"/>
        </w:trPr>
        <w:tc>
          <w:tcPr>
            <w:tcW w:w="6400" w:type="dxa"/>
            <w:vAlign w:val="bottom"/>
            <w:shd w:val="clear" w:color="auto" w:fill="CCEEFF"/>
          </w:tcPr>
          <w:p>
            <w:pPr>
              <w:ind w:left="40"/>
              <w:spacing w:after="0" w:line="216" w:lineRule="exact"/>
              <w:rPr>
                <w:sz w:val="20"/>
                <w:szCs w:val="20"/>
                <w:color w:val="auto"/>
              </w:rPr>
            </w:pPr>
            <w:r>
              <w:rPr>
                <w:rFonts w:ascii="Times New Roman" w:cs="Times New Roman" w:eastAsia="Times New Roman" w:hAnsi="Times New Roman"/>
                <w:sz w:val="16"/>
                <w:szCs w:val="16"/>
                <w:color w:val="auto"/>
              </w:rPr>
              <w:t>Cash Gross Margin</w:t>
            </w:r>
            <w:r>
              <w:rPr>
                <w:rFonts w:ascii="Times New Roman" w:cs="Times New Roman" w:eastAsia="Times New Roman" w:hAnsi="Times New Roman"/>
                <w:sz w:val="21"/>
                <w:szCs w:val="21"/>
                <w:color w:val="auto"/>
                <w:vertAlign w:val="superscript"/>
              </w:rPr>
              <w:t>1</w:t>
            </w:r>
          </w:p>
        </w:tc>
        <w:tc>
          <w:tcPr>
            <w:tcW w:w="84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rPr>
              <w:t>42.3 %</w:t>
            </w:r>
          </w:p>
        </w:tc>
        <w:tc>
          <w:tcPr>
            <w:tcW w:w="9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rPr>
              <w:t>45.3 %</w:t>
            </w:r>
          </w:p>
        </w:tc>
        <w:tc>
          <w:tcPr>
            <w:tcW w:w="20" w:type="dxa"/>
            <w:vAlign w:val="bottom"/>
          </w:tcPr>
          <w:p>
            <w:pPr>
              <w:spacing w:after="0"/>
              <w:rPr>
                <w:sz w:val="18"/>
                <w:szCs w:val="18"/>
                <w:color w:val="auto"/>
              </w:rPr>
            </w:pPr>
          </w:p>
        </w:tc>
      </w:tr>
      <w:tr>
        <w:trPr>
          <w:trHeight w:val="213"/>
        </w:trPr>
        <w:tc>
          <w:tcPr>
            <w:tcW w:w="6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GAAP Net Income (Loss)</w:t>
            </w:r>
          </w:p>
        </w:tc>
        <w:tc>
          <w:tcPr>
            <w:tcW w:w="8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rPr>
              <w:t>2.0</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rPr>
              <w:t>(8.6)</w:t>
            </w:r>
          </w:p>
        </w:tc>
        <w:tc>
          <w:tcPr>
            <w:tcW w:w="20" w:type="dxa"/>
            <w:vAlign w:val="bottom"/>
          </w:tcPr>
          <w:p>
            <w:pPr>
              <w:spacing w:after="0"/>
              <w:rPr>
                <w:sz w:val="18"/>
                <w:szCs w:val="18"/>
                <w:color w:val="auto"/>
              </w:rPr>
            </w:pPr>
          </w:p>
        </w:tc>
      </w:tr>
      <w:tr>
        <w:trPr>
          <w:trHeight w:val="219"/>
        </w:trPr>
        <w:tc>
          <w:tcPr>
            <w:tcW w:w="6400" w:type="dxa"/>
            <w:vAlign w:val="bottom"/>
            <w:shd w:val="clear" w:color="auto" w:fill="CCEEFF"/>
          </w:tcPr>
          <w:p>
            <w:pPr>
              <w:ind w:left="40"/>
              <w:spacing w:after="0" w:line="219" w:lineRule="exact"/>
              <w:rPr>
                <w:sz w:val="20"/>
                <w:szCs w:val="20"/>
                <w:color w:val="auto"/>
              </w:rPr>
            </w:pPr>
            <w:r>
              <w:rPr>
                <w:rFonts w:ascii="Times New Roman" w:cs="Times New Roman" w:eastAsia="Times New Roman" w:hAnsi="Times New Roman"/>
                <w:sz w:val="16"/>
                <w:szCs w:val="16"/>
                <w:color w:val="auto"/>
              </w:rPr>
              <w:t>Adjusted Net Income (Loss)</w:t>
            </w:r>
            <w:r>
              <w:rPr>
                <w:rFonts w:ascii="Times New Roman" w:cs="Times New Roman" w:eastAsia="Times New Roman" w:hAnsi="Times New Roman"/>
                <w:sz w:val="21"/>
                <w:szCs w:val="21"/>
                <w:color w:val="auto"/>
                <w:vertAlign w:val="superscript"/>
              </w:rPr>
              <w:t>1</w:t>
            </w:r>
          </w:p>
        </w:tc>
        <w:tc>
          <w:tcPr>
            <w:tcW w:w="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rPr>
              <w:t>4.3</w:t>
            </w:r>
          </w:p>
        </w:tc>
        <w:tc>
          <w:tcPr>
            <w:tcW w:w="9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rPr>
              <w:t>(2.1)</w:t>
            </w:r>
          </w:p>
        </w:tc>
        <w:tc>
          <w:tcPr>
            <w:tcW w:w="20" w:type="dxa"/>
            <w:vAlign w:val="bottom"/>
          </w:tcPr>
          <w:p>
            <w:pPr>
              <w:spacing w:after="0"/>
              <w:rPr>
                <w:sz w:val="19"/>
                <w:szCs w:val="19"/>
                <w:color w:val="auto"/>
              </w:rPr>
            </w:pPr>
          </w:p>
        </w:tc>
      </w:tr>
      <w:tr>
        <w:trPr>
          <w:trHeight w:val="216"/>
        </w:trPr>
        <w:tc>
          <w:tcPr>
            <w:tcW w:w="6400" w:type="dxa"/>
            <w:vAlign w:val="bottom"/>
          </w:tcPr>
          <w:p>
            <w:pPr>
              <w:ind w:left="40"/>
              <w:spacing w:after="0" w:line="216" w:lineRule="exact"/>
              <w:rPr>
                <w:sz w:val="20"/>
                <w:szCs w:val="20"/>
                <w:color w:val="auto"/>
              </w:rPr>
            </w:pPr>
            <w:r>
              <w:rPr>
                <w:rFonts w:ascii="Times New Roman" w:cs="Times New Roman" w:eastAsia="Times New Roman" w:hAnsi="Times New Roman"/>
                <w:sz w:val="16"/>
                <w:szCs w:val="16"/>
                <w:color w:val="auto"/>
              </w:rPr>
              <w:t>EBITDA</w:t>
            </w:r>
            <w:r>
              <w:rPr>
                <w:rFonts w:ascii="Times New Roman" w:cs="Times New Roman" w:eastAsia="Times New Roman" w:hAnsi="Times New Roman"/>
                <w:sz w:val="21"/>
                <w:szCs w:val="21"/>
                <w:color w:val="auto"/>
                <w:vertAlign w:val="superscript"/>
              </w:rPr>
              <w:t>1</w:t>
            </w:r>
          </w:p>
        </w:tc>
        <w:tc>
          <w:tcPr>
            <w:tcW w:w="8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rPr>
              <w:t>4.9</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rPr>
              <w:t>(6.7)</w:t>
            </w:r>
          </w:p>
        </w:tc>
        <w:tc>
          <w:tcPr>
            <w:tcW w:w="20" w:type="dxa"/>
            <w:vAlign w:val="bottom"/>
          </w:tcPr>
          <w:p>
            <w:pPr>
              <w:spacing w:after="0"/>
              <w:rPr>
                <w:sz w:val="18"/>
                <w:szCs w:val="18"/>
                <w:color w:val="auto"/>
              </w:rPr>
            </w:pPr>
          </w:p>
        </w:tc>
      </w:tr>
      <w:tr>
        <w:trPr>
          <w:trHeight w:val="216"/>
        </w:trPr>
        <w:tc>
          <w:tcPr>
            <w:tcW w:w="6400" w:type="dxa"/>
            <w:vAlign w:val="bottom"/>
            <w:shd w:val="clear" w:color="auto" w:fill="CCEEFF"/>
          </w:tcPr>
          <w:p>
            <w:pPr>
              <w:ind w:left="40"/>
              <w:spacing w:after="0" w:line="216" w:lineRule="exact"/>
              <w:rPr>
                <w:sz w:val="20"/>
                <w:szCs w:val="20"/>
                <w:color w:val="auto"/>
              </w:rPr>
            </w:pPr>
            <w:r>
              <w:rPr>
                <w:rFonts w:ascii="Times New Roman" w:cs="Times New Roman" w:eastAsia="Times New Roman" w:hAnsi="Times New Roman"/>
                <w:sz w:val="16"/>
                <w:szCs w:val="16"/>
                <w:color w:val="auto"/>
              </w:rPr>
              <w:t>Adjusted EBITDA</w:t>
            </w:r>
            <w:r>
              <w:rPr>
                <w:rFonts w:ascii="Times New Roman" w:cs="Times New Roman" w:eastAsia="Times New Roman" w:hAnsi="Times New Roman"/>
                <w:sz w:val="21"/>
                <w:szCs w:val="21"/>
                <w:color w:val="auto"/>
                <w:vertAlign w:val="superscript"/>
              </w:rPr>
              <w:t>1</w:t>
            </w:r>
          </w:p>
        </w:tc>
        <w:tc>
          <w:tcPr>
            <w:tcW w:w="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rPr>
              <w:t>7.9</w:t>
            </w:r>
          </w:p>
        </w:tc>
        <w:tc>
          <w:tcPr>
            <w:tcW w:w="9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rPr>
              <w:t>0.4</w:t>
            </w:r>
          </w:p>
        </w:tc>
        <w:tc>
          <w:tcPr>
            <w:tcW w:w="20" w:type="dxa"/>
            <w:vAlign w:val="bottom"/>
          </w:tcPr>
          <w:p>
            <w:pPr>
              <w:spacing w:after="0"/>
              <w:rPr>
                <w:sz w:val="18"/>
                <w:szCs w:val="18"/>
                <w:color w:val="auto"/>
              </w:rPr>
            </w:pPr>
          </w:p>
        </w:tc>
      </w:tr>
      <w:tr>
        <w:trPr>
          <w:trHeight w:val="216"/>
        </w:trPr>
        <w:tc>
          <w:tcPr>
            <w:tcW w:w="6400" w:type="dxa"/>
            <w:vAlign w:val="bottom"/>
          </w:tcPr>
          <w:p>
            <w:pPr>
              <w:ind w:left="40"/>
              <w:spacing w:after="0" w:line="216" w:lineRule="exact"/>
              <w:rPr>
                <w:sz w:val="20"/>
                <w:szCs w:val="20"/>
                <w:color w:val="auto"/>
              </w:rPr>
            </w:pPr>
            <w:r>
              <w:rPr>
                <w:rFonts w:ascii="Times New Roman" w:cs="Times New Roman" w:eastAsia="Times New Roman" w:hAnsi="Times New Roman"/>
                <w:sz w:val="16"/>
                <w:szCs w:val="16"/>
                <w:color w:val="auto"/>
              </w:rPr>
              <w:t>Adjusted EBITDA Margin</w:t>
            </w:r>
            <w:r>
              <w:rPr>
                <w:rFonts w:ascii="Times New Roman" w:cs="Times New Roman" w:eastAsia="Times New Roman" w:hAnsi="Times New Roman"/>
                <w:sz w:val="21"/>
                <w:szCs w:val="21"/>
                <w:color w:val="auto"/>
                <w:vertAlign w:val="superscript"/>
              </w:rPr>
              <w:t>1</w:t>
            </w:r>
          </w:p>
        </w:tc>
        <w:tc>
          <w:tcPr>
            <w:tcW w:w="840" w:type="dxa"/>
            <w:vAlign w:val="bottom"/>
          </w:tcPr>
          <w:p>
            <w:pPr>
              <w:spacing w:after="0"/>
              <w:rPr>
                <w:sz w:val="18"/>
                <w:szCs w:val="18"/>
                <w:color w:val="auto"/>
              </w:rPr>
            </w:pPr>
          </w:p>
        </w:tc>
        <w:tc>
          <w:tcPr>
            <w:tcW w:w="156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rPr>
              <w:t>16.5 %</w:t>
            </w:r>
          </w:p>
        </w:tc>
        <w:tc>
          <w:tcPr>
            <w:tcW w:w="940" w:type="dxa"/>
            <w:vAlign w:val="bottom"/>
          </w:tcPr>
          <w:p>
            <w:pPr>
              <w:spacing w:after="0"/>
              <w:rPr>
                <w:sz w:val="18"/>
                <w:szCs w:val="18"/>
                <w:color w:val="auto"/>
              </w:rPr>
            </w:pPr>
          </w:p>
        </w:tc>
        <w:tc>
          <w:tcPr>
            <w:tcW w:w="1500" w:type="dxa"/>
            <w:vAlign w:val="bottom"/>
          </w:tcPr>
          <w:p>
            <w:pPr>
              <w:jc w:val="right"/>
              <w:ind w:right="659"/>
              <w:spacing w:after="0"/>
              <w:rPr>
                <w:sz w:val="20"/>
                <w:szCs w:val="20"/>
                <w:color w:val="auto"/>
              </w:rPr>
            </w:pPr>
            <w:r>
              <w:rPr>
                <w:rFonts w:ascii="Times New Roman" w:cs="Times New Roman" w:eastAsia="Times New Roman" w:hAnsi="Times New Roman"/>
                <w:sz w:val="16"/>
                <w:szCs w:val="16"/>
                <w:color w:val="auto"/>
              </w:rPr>
              <w:t>1.2 %</w:t>
            </w:r>
          </w:p>
        </w:tc>
        <w:tc>
          <w:tcPr>
            <w:tcW w:w="20" w:type="dxa"/>
            <w:vAlign w:val="bottom"/>
          </w:tcPr>
          <w:p>
            <w:pPr>
              <w:spacing w:after="0"/>
              <w:rPr>
                <w:sz w:val="18"/>
                <w:szCs w:val="18"/>
                <w:color w:val="auto"/>
              </w:rPr>
            </w:pPr>
          </w:p>
        </w:tc>
      </w:tr>
      <w:tr>
        <w:trPr>
          <w:trHeight w:val="216"/>
        </w:trPr>
        <w:tc>
          <w:tcPr>
            <w:tcW w:w="6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GAAP EPS, basic</w:t>
            </w:r>
          </w:p>
        </w:tc>
        <w:tc>
          <w:tcPr>
            <w:tcW w:w="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rPr>
              <w:t>0.03</w:t>
            </w:r>
          </w:p>
        </w:tc>
        <w:tc>
          <w:tcPr>
            <w:tcW w:w="9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rPr>
              <w:t>(0.12)</w:t>
            </w:r>
          </w:p>
        </w:tc>
        <w:tc>
          <w:tcPr>
            <w:tcW w:w="20" w:type="dxa"/>
            <w:vAlign w:val="bottom"/>
          </w:tcPr>
          <w:p>
            <w:pPr>
              <w:spacing w:after="0"/>
              <w:rPr>
                <w:sz w:val="18"/>
                <w:szCs w:val="18"/>
                <w:color w:val="auto"/>
              </w:rPr>
            </w:pPr>
          </w:p>
        </w:tc>
      </w:tr>
      <w:tr>
        <w:trPr>
          <w:trHeight w:val="213"/>
        </w:trPr>
        <w:tc>
          <w:tcPr>
            <w:tcW w:w="6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Weighted-average Shares of Common Stock Outstanding, basic (GAAP)</w:t>
            </w:r>
          </w:p>
        </w:tc>
        <w:tc>
          <w:tcPr>
            <w:tcW w:w="840" w:type="dxa"/>
            <w:vAlign w:val="bottom"/>
          </w:tcPr>
          <w:p>
            <w:pPr>
              <w:spacing w:after="0"/>
              <w:rPr>
                <w:sz w:val="18"/>
                <w:szCs w:val="18"/>
                <w:color w:val="auto"/>
              </w:rPr>
            </w:pPr>
          </w:p>
        </w:tc>
        <w:tc>
          <w:tcPr>
            <w:tcW w:w="156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rPr>
              <w:t>73.8</w:t>
            </w:r>
          </w:p>
        </w:tc>
        <w:tc>
          <w:tcPr>
            <w:tcW w:w="940" w:type="dxa"/>
            <w:vAlign w:val="bottom"/>
          </w:tcPr>
          <w:p>
            <w:pPr>
              <w:spacing w:after="0"/>
              <w:rPr>
                <w:sz w:val="18"/>
                <w:szCs w:val="18"/>
                <w:color w:val="auto"/>
              </w:rPr>
            </w:pPr>
          </w:p>
        </w:tc>
        <w:tc>
          <w:tcPr>
            <w:tcW w:w="150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rPr>
              <w:t>72.7</w:t>
            </w:r>
          </w:p>
        </w:tc>
        <w:tc>
          <w:tcPr>
            <w:tcW w:w="20" w:type="dxa"/>
            <w:vAlign w:val="bottom"/>
          </w:tcPr>
          <w:p>
            <w:pPr>
              <w:spacing w:after="0"/>
              <w:rPr>
                <w:sz w:val="18"/>
                <w:szCs w:val="18"/>
                <w:color w:val="auto"/>
              </w:rPr>
            </w:pPr>
          </w:p>
        </w:tc>
      </w:tr>
      <w:tr>
        <w:trPr>
          <w:trHeight w:val="219"/>
        </w:trPr>
        <w:tc>
          <w:tcPr>
            <w:tcW w:w="6400" w:type="dxa"/>
            <w:vAlign w:val="bottom"/>
            <w:shd w:val="clear" w:color="auto" w:fill="CCEEFF"/>
          </w:tcPr>
          <w:p>
            <w:pPr>
              <w:ind w:left="40"/>
              <w:spacing w:after="0" w:line="219" w:lineRule="exact"/>
              <w:rPr>
                <w:sz w:val="20"/>
                <w:szCs w:val="20"/>
                <w:color w:val="auto"/>
              </w:rPr>
            </w:pPr>
            <w:r>
              <w:rPr>
                <w:rFonts w:ascii="Times New Roman" w:cs="Times New Roman" w:eastAsia="Times New Roman" w:hAnsi="Times New Roman"/>
                <w:sz w:val="16"/>
                <w:szCs w:val="16"/>
                <w:color w:val="auto"/>
              </w:rPr>
              <w:t>GAAP EPS, diluted</w:t>
            </w:r>
            <w:r>
              <w:rPr>
                <w:rFonts w:ascii="Times New Roman" w:cs="Times New Roman" w:eastAsia="Times New Roman" w:hAnsi="Times New Roman"/>
                <w:sz w:val="21"/>
                <w:szCs w:val="21"/>
                <w:color w:val="auto"/>
                <w:vertAlign w:val="superscript"/>
              </w:rPr>
              <w:t>2</w:t>
            </w:r>
          </w:p>
        </w:tc>
        <w:tc>
          <w:tcPr>
            <w:tcW w:w="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rPr>
              <w:t>0.03</w:t>
            </w:r>
          </w:p>
        </w:tc>
        <w:tc>
          <w:tcPr>
            <w:tcW w:w="9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rPr>
              <w:t>(0.12)</w:t>
            </w:r>
          </w:p>
        </w:tc>
        <w:tc>
          <w:tcPr>
            <w:tcW w:w="20" w:type="dxa"/>
            <w:vAlign w:val="bottom"/>
          </w:tcPr>
          <w:p>
            <w:pPr>
              <w:spacing w:after="0"/>
              <w:rPr>
                <w:sz w:val="19"/>
                <w:szCs w:val="19"/>
                <w:color w:val="auto"/>
              </w:rPr>
            </w:pPr>
          </w:p>
        </w:tc>
      </w:tr>
      <w:tr>
        <w:trPr>
          <w:trHeight w:val="216"/>
        </w:trPr>
        <w:tc>
          <w:tcPr>
            <w:tcW w:w="6400" w:type="dxa"/>
            <w:vAlign w:val="bottom"/>
          </w:tcPr>
          <w:p>
            <w:pPr>
              <w:ind w:left="40"/>
              <w:spacing w:after="0" w:line="216" w:lineRule="exact"/>
              <w:rPr>
                <w:sz w:val="20"/>
                <w:szCs w:val="20"/>
                <w:color w:val="auto"/>
              </w:rPr>
            </w:pPr>
            <w:r>
              <w:rPr>
                <w:rFonts w:ascii="Times New Roman" w:cs="Times New Roman" w:eastAsia="Times New Roman" w:hAnsi="Times New Roman"/>
                <w:sz w:val="16"/>
                <w:szCs w:val="16"/>
                <w:color w:val="auto"/>
              </w:rPr>
              <w:t>Weighted-average Shares of Common Stock Outstanding, diluted/basic</w:t>
            </w: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6"/>
                <w:szCs w:val="16"/>
                <w:color w:val="auto"/>
              </w:rPr>
              <w:t xml:space="preserve"> (GAAP)</w:t>
            </w:r>
          </w:p>
        </w:tc>
        <w:tc>
          <w:tcPr>
            <w:tcW w:w="840" w:type="dxa"/>
            <w:vAlign w:val="bottom"/>
          </w:tcPr>
          <w:p>
            <w:pPr>
              <w:spacing w:after="0"/>
              <w:rPr>
                <w:sz w:val="18"/>
                <w:szCs w:val="18"/>
                <w:color w:val="auto"/>
              </w:rPr>
            </w:pPr>
          </w:p>
        </w:tc>
        <w:tc>
          <w:tcPr>
            <w:tcW w:w="156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rPr>
              <w:t>77.6</w:t>
            </w:r>
          </w:p>
        </w:tc>
        <w:tc>
          <w:tcPr>
            <w:tcW w:w="940" w:type="dxa"/>
            <w:vAlign w:val="bottom"/>
          </w:tcPr>
          <w:p>
            <w:pPr>
              <w:spacing w:after="0"/>
              <w:rPr>
                <w:sz w:val="18"/>
                <w:szCs w:val="18"/>
                <w:color w:val="auto"/>
              </w:rPr>
            </w:pPr>
          </w:p>
        </w:tc>
        <w:tc>
          <w:tcPr>
            <w:tcW w:w="150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rPr>
              <w:t>72.7</w:t>
            </w:r>
          </w:p>
        </w:tc>
        <w:tc>
          <w:tcPr>
            <w:tcW w:w="20" w:type="dxa"/>
            <w:vAlign w:val="bottom"/>
          </w:tcPr>
          <w:p>
            <w:pPr>
              <w:spacing w:after="0"/>
              <w:rPr>
                <w:sz w:val="18"/>
                <w:szCs w:val="18"/>
                <w:color w:val="auto"/>
              </w:rPr>
            </w:pPr>
          </w:p>
        </w:tc>
      </w:tr>
      <w:tr>
        <w:trPr>
          <w:trHeight w:val="216"/>
        </w:trPr>
        <w:tc>
          <w:tcPr>
            <w:tcW w:w="6400" w:type="dxa"/>
            <w:vAlign w:val="bottom"/>
            <w:shd w:val="clear" w:color="auto" w:fill="CCEEFF"/>
          </w:tcPr>
          <w:p>
            <w:pPr>
              <w:ind w:left="40"/>
              <w:spacing w:after="0" w:line="216" w:lineRule="exact"/>
              <w:rPr>
                <w:sz w:val="20"/>
                <w:szCs w:val="20"/>
                <w:color w:val="auto"/>
              </w:rPr>
            </w:pPr>
            <w:r>
              <w:rPr>
                <w:rFonts w:ascii="Times New Roman" w:cs="Times New Roman" w:eastAsia="Times New Roman" w:hAnsi="Times New Roman"/>
                <w:sz w:val="16"/>
                <w:szCs w:val="16"/>
                <w:color w:val="auto"/>
              </w:rPr>
              <w:t>Adjusted EPS</w:t>
            </w:r>
            <w:r>
              <w:rPr>
                <w:rFonts w:ascii="Times New Roman" w:cs="Times New Roman" w:eastAsia="Times New Roman" w:hAnsi="Times New Roman"/>
                <w:sz w:val="21"/>
                <w:szCs w:val="21"/>
                <w:color w:val="auto"/>
                <w:vertAlign w:val="superscript"/>
              </w:rPr>
              <w:t>1</w:t>
            </w:r>
          </w:p>
        </w:tc>
        <w:tc>
          <w:tcPr>
            <w:tcW w:w="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rPr>
              <w:t>0.06</w:t>
            </w:r>
          </w:p>
        </w:tc>
        <w:tc>
          <w:tcPr>
            <w:tcW w:w="9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rPr>
              <w:t>(0.03)</w:t>
            </w:r>
          </w:p>
        </w:tc>
        <w:tc>
          <w:tcPr>
            <w:tcW w:w="20" w:type="dxa"/>
            <w:vAlign w:val="bottom"/>
          </w:tcPr>
          <w:p>
            <w:pPr>
              <w:spacing w:after="0"/>
              <w:rPr>
                <w:sz w:val="18"/>
                <w:szCs w:val="18"/>
                <w:color w:val="auto"/>
              </w:rPr>
            </w:pPr>
          </w:p>
        </w:tc>
      </w:tr>
      <w:tr>
        <w:trPr>
          <w:trHeight w:val="216"/>
        </w:trPr>
        <w:tc>
          <w:tcPr>
            <w:tcW w:w="6400" w:type="dxa"/>
            <w:vAlign w:val="bottom"/>
          </w:tcPr>
          <w:p>
            <w:pPr>
              <w:ind w:left="40"/>
              <w:spacing w:after="0" w:line="216" w:lineRule="exact"/>
              <w:rPr>
                <w:sz w:val="20"/>
                <w:szCs w:val="20"/>
                <w:color w:val="auto"/>
              </w:rPr>
            </w:pPr>
            <w:r>
              <w:rPr>
                <w:rFonts w:ascii="Times New Roman" w:cs="Times New Roman" w:eastAsia="Times New Roman" w:hAnsi="Times New Roman"/>
                <w:sz w:val="16"/>
                <w:szCs w:val="16"/>
                <w:color w:val="auto"/>
              </w:rPr>
              <w:t>Weighted-average Shares of Common Stock Outstanding, diluted/basic</w:t>
            </w: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6"/>
                <w:szCs w:val="16"/>
                <w:color w:val="auto"/>
              </w:rPr>
              <w:t xml:space="preserve"> (non-GAAP)</w:t>
            </w:r>
          </w:p>
        </w:tc>
        <w:tc>
          <w:tcPr>
            <w:tcW w:w="840" w:type="dxa"/>
            <w:vAlign w:val="bottom"/>
          </w:tcPr>
          <w:p>
            <w:pPr>
              <w:spacing w:after="0"/>
              <w:rPr>
                <w:sz w:val="18"/>
                <w:szCs w:val="18"/>
                <w:color w:val="auto"/>
              </w:rPr>
            </w:pPr>
          </w:p>
        </w:tc>
        <w:tc>
          <w:tcPr>
            <w:tcW w:w="156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rPr>
              <w:t>77.6</w:t>
            </w:r>
          </w:p>
        </w:tc>
        <w:tc>
          <w:tcPr>
            <w:tcW w:w="940" w:type="dxa"/>
            <w:vAlign w:val="bottom"/>
          </w:tcPr>
          <w:p>
            <w:pPr>
              <w:spacing w:after="0"/>
              <w:rPr>
                <w:sz w:val="18"/>
                <w:szCs w:val="18"/>
                <w:color w:val="auto"/>
              </w:rPr>
            </w:pPr>
          </w:p>
        </w:tc>
        <w:tc>
          <w:tcPr>
            <w:tcW w:w="150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rPr>
              <w:t>72.7</w:t>
            </w:r>
          </w:p>
        </w:tc>
        <w:tc>
          <w:tcPr>
            <w:tcW w:w="20" w:type="dxa"/>
            <w:vAlign w:val="bottom"/>
          </w:tcPr>
          <w:p>
            <w:pPr>
              <w:spacing w:after="0"/>
              <w:rPr>
                <w:sz w:val="18"/>
                <w:szCs w:val="18"/>
                <w:color w:val="auto"/>
              </w:rPr>
            </w:pPr>
          </w:p>
        </w:tc>
      </w:tr>
      <w:tr>
        <w:trPr>
          <w:trHeight w:val="216"/>
        </w:trPr>
        <w:tc>
          <w:tcPr>
            <w:tcW w:w="6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 from Operations</w:t>
            </w:r>
          </w:p>
        </w:tc>
        <w:tc>
          <w:tcPr>
            <w:tcW w:w="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rPr>
              <w:t>8.7</w:t>
            </w:r>
          </w:p>
        </w:tc>
        <w:tc>
          <w:tcPr>
            <w:tcW w:w="9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rPr>
              <w:t>6.1</w:t>
            </w:r>
          </w:p>
        </w:tc>
        <w:tc>
          <w:tcPr>
            <w:tcW w:w="20" w:type="dxa"/>
            <w:vAlign w:val="bottom"/>
          </w:tcPr>
          <w:p>
            <w:pPr>
              <w:spacing w:after="0"/>
              <w:rPr>
                <w:sz w:val="18"/>
                <w:szCs w:val="18"/>
                <w:color w:val="auto"/>
              </w:rPr>
            </w:pPr>
          </w:p>
        </w:tc>
      </w:tr>
      <w:tr>
        <w:trPr>
          <w:trHeight w:val="216"/>
        </w:trPr>
        <w:tc>
          <w:tcPr>
            <w:tcW w:w="6400" w:type="dxa"/>
            <w:vAlign w:val="bottom"/>
          </w:tcPr>
          <w:p>
            <w:pPr>
              <w:ind w:left="40"/>
              <w:spacing w:after="0" w:line="216" w:lineRule="exact"/>
              <w:rPr>
                <w:sz w:val="20"/>
                <w:szCs w:val="20"/>
                <w:color w:val="auto"/>
              </w:rPr>
            </w:pPr>
            <w:r>
              <w:rPr>
                <w:rFonts w:ascii="Times New Roman" w:cs="Times New Roman" w:eastAsia="Times New Roman" w:hAnsi="Times New Roman"/>
                <w:sz w:val="16"/>
                <w:szCs w:val="16"/>
                <w:color w:val="auto"/>
              </w:rPr>
              <w:t>Free Cash Flow</w:t>
            </w:r>
            <w:r>
              <w:rPr>
                <w:rFonts w:ascii="Times New Roman" w:cs="Times New Roman" w:eastAsia="Times New Roman" w:hAnsi="Times New Roman"/>
                <w:sz w:val="21"/>
                <w:szCs w:val="21"/>
                <w:color w:val="auto"/>
                <w:vertAlign w:val="superscript"/>
              </w:rPr>
              <w:t>1</w:t>
            </w:r>
          </w:p>
        </w:tc>
        <w:tc>
          <w:tcPr>
            <w:tcW w:w="8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rPr>
              <w:t>6.4</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rPr>
              <w:t>3.8</w:t>
            </w:r>
          </w:p>
        </w:tc>
        <w:tc>
          <w:tcPr>
            <w:tcW w:w="20" w:type="dxa"/>
            <w:vAlign w:val="bottom"/>
          </w:tcPr>
          <w:p>
            <w:pPr>
              <w:spacing w:after="0"/>
              <w:rPr>
                <w:sz w:val="18"/>
                <w:szCs w:val="18"/>
                <w:color w:val="auto"/>
              </w:rPr>
            </w:pPr>
          </w:p>
        </w:tc>
      </w:tr>
      <w:tr>
        <w:trPr>
          <w:trHeight w:val="216"/>
        </w:trPr>
        <w:tc>
          <w:tcPr>
            <w:tcW w:w="6400" w:type="dxa"/>
            <w:vAlign w:val="bottom"/>
            <w:shd w:val="clear" w:color="auto" w:fill="CCEEFF"/>
          </w:tcPr>
          <w:p>
            <w:pPr>
              <w:ind w:left="40"/>
              <w:spacing w:after="0" w:line="216" w:lineRule="exact"/>
              <w:rPr>
                <w:sz w:val="20"/>
                <w:szCs w:val="20"/>
                <w:color w:val="auto"/>
              </w:rPr>
            </w:pPr>
            <w:r>
              <w:rPr>
                <w:rFonts w:ascii="Times New Roman" w:cs="Times New Roman" w:eastAsia="Times New Roman" w:hAnsi="Times New Roman"/>
                <w:sz w:val="16"/>
                <w:szCs w:val="16"/>
                <w:color w:val="auto"/>
              </w:rPr>
              <w:t>Free Cash Flow Margin</w:t>
            </w:r>
            <w:r>
              <w:rPr>
                <w:rFonts w:ascii="Times New Roman" w:cs="Times New Roman" w:eastAsia="Times New Roman" w:hAnsi="Times New Roman"/>
                <w:sz w:val="21"/>
                <w:szCs w:val="21"/>
                <w:color w:val="auto"/>
                <w:vertAlign w:val="superscript"/>
              </w:rPr>
              <w:t>1</w:t>
            </w:r>
          </w:p>
        </w:tc>
        <w:tc>
          <w:tcPr>
            <w:tcW w:w="84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rPr>
              <w:t>13.4%</w:t>
            </w:r>
          </w:p>
        </w:tc>
        <w:tc>
          <w:tcPr>
            <w:tcW w:w="9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rPr>
              <w:t>12.3%</w:t>
            </w:r>
          </w:p>
        </w:tc>
        <w:tc>
          <w:tcPr>
            <w:tcW w:w="20" w:type="dxa"/>
            <w:vAlign w:val="bottom"/>
          </w:tcPr>
          <w:p>
            <w:pPr>
              <w:spacing w:after="0"/>
              <w:rPr>
                <w:sz w:val="18"/>
                <w:szCs w:val="18"/>
                <w:color w:val="auto"/>
              </w:rPr>
            </w:pPr>
          </w:p>
        </w:tc>
      </w:tr>
    </w:tbl>
    <w:p>
      <w:pPr>
        <w:spacing w:after="0" w:line="85" w:lineRule="exact"/>
        <w:rPr>
          <w:sz w:val="20"/>
          <w:szCs w:val="20"/>
          <w:color w:val="auto"/>
        </w:rPr>
      </w:pPr>
    </w:p>
    <w:p>
      <w:pPr>
        <w:ind w:right="220" w:firstLine="8"/>
        <w:spacing w:after="0" w:line="221" w:lineRule="auto"/>
        <w:tabs>
          <w:tab w:leader="none" w:pos="83"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Adjusted Gross Profit, Adjusted Gross Margin, Cash Gross Profit, Cash Gross Margin, Adjusted Net Income (Loss), EBITDA, Adjusted EBITDA, Adjusted EBITDA Margin, Adjusted EPS, Free Cash Flow and Free Cash Flow Margin are non-GAAP financial measures. Refer to "Non-GAAP Financial Measures" below.</w:t>
      </w:r>
    </w:p>
    <w:p>
      <w:pPr>
        <w:spacing w:after="0" w:line="150" w:lineRule="exact"/>
        <w:rPr>
          <w:sz w:val="20"/>
          <w:szCs w:val="20"/>
          <w:color w:val="auto"/>
        </w:rPr>
      </w:pPr>
    </w:p>
    <w:p>
      <w:pPr>
        <w:ind w:right="200" w:firstLine="8"/>
        <w:spacing w:after="0" w:line="281" w:lineRule="auto"/>
        <w:tabs>
          <w:tab w:leader="none" w:pos="83"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This line is labeled “diluted/basic” because for a period of net loss, potentially dilutive shares are not included in the calculation of diluted earnings (loss) per share, because to do so would be anti-dilutive. For the first quarter of 2025, the basic and diluted weighted-average share of common stock outstanding are the same due to a net loss position. For the first quarter of 2026, the basic and diluted weighted-average share of common stock outstanding are different due to a net income position.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This summary contains forward-looking statements which are made under the safe harbor provisions of the federal securities laws. These statements are based on the Company’s management’s current beliefs, expectations and assumptions about future events, conditions, and results and on information currently available to them. By their nature, forward-looking statements involve risks and uncertainties because they relate to events and depend on circumstances that may or may not occur in the future. The Company believes that these risks and uncertainties include, but are not limited to, those described under the captions “Risk Factors” and “Management’s Discussion and Analysis of Financial Condition and Results of Operations” set forth from time to time in the Company’s filings and reports with the U.S. Securities and Exchange Commission (“SEC”), including its Annual Report on Form 10-K for the year ended December 31, 2025, and its Quarterly Reports on Form 10-Q, as well as future filings and reports by the Company, copies of which are available at </w:t>
      </w:r>
      <w:r>
        <w:rPr>
          <w:rFonts w:ascii="Times New Roman" w:cs="Times New Roman" w:eastAsia="Times New Roman" w:hAnsi="Times New Roman"/>
          <w:sz w:val="18"/>
          <w:szCs w:val="18"/>
          <w:u w:val="single" w:color="auto"/>
          <w:color w:val="3051F2"/>
        </w:rPr>
        <w:t>https://investors.telos.com</w:t>
      </w:r>
      <w:r>
        <w:rPr>
          <w:rFonts w:ascii="Times New Roman" w:cs="Times New Roman" w:eastAsia="Times New Roman" w:hAnsi="Times New Roman"/>
          <w:sz w:val="18"/>
          <w:szCs w:val="18"/>
          <w:color w:val="auto"/>
        </w:rPr>
        <w:t xml:space="preserve"> and on the SEC’s website at </w:t>
      </w:r>
      <w:r>
        <w:rPr>
          <w:rFonts w:ascii="Times New Roman" w:cs="Times New Roman" w:eastAsia="Times New Roman" w:hAnsi="Times New Roman"/>
          <w:sz w:val="18"/>
          <w:szCs w:val="18"/>
          <w:u w:val="single" w:color="auto"/>
          <w:color w:val="3051F2"/>
        </w:rPr>
        <w:t>www.sec.gov</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-140335</wp:posOffset>
            </wp:positionV>
            <wp:extent cx="133731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37310" cy="128905"/>
                    </a:xfrm>
                    <a:prstGeom prst="rect">
                      <a:avLst/>
                    </a:prstGeom>
                    <a:noFill/>
                  </pic:spPr>
                </pic:pic>
              </a:graphicData>
            </a:graphic>
          </wp:anchor>
        </w:drawing>
      </w:r>
    </w:p>
    <w:p>
      <w:pPr>
        <w:spacing w:after="0" w:line="11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Although the Company bases these forward-looking statements on assumptions that its management believes are reasonable when made, the Company cautions the reader that forward-looking statements are not guarantees of future performance and that the Company’s actual results of operations, financial condition and liquidity, and industry developments may differ materially from statements made in or suggested by the forward-looking statements contained in this summary. Given these risks, uncertainties, and other factors, many of which are beyond its control, the Company cautions the reader not to place undue reliance on these forward-looking statements. Any forward-looking statement speaks only as of the date of such statement and, except as required by law, the Company undertakes no obligation to update any forward-looking statement publicly, or to revise any forward-looking statement to reflect events or developments occurring after the date of the statement, even if new information becomes available in the future. Comparisons of results for current and any prior periods are not intended to express any future trends or indications of future performance, unless specifically expressed as such, and should only be viewed as historical data.</w:t>
      </w:r>
    </w:p>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60"/>
          </w:cols>
          <w:pgMar w:left="320" w:top="934"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addition to our results determined in accordance with U.S. GAAP, we believe the non-GAAP financial measures of EBITDA, Adjusted EBITDA, EBITDA Margin, Adjusted EBITDA Margin, Incremental Adjusted EBITDA, Incremental Adjusted EBITDA Margin, Adjusted Net Income (Loss), Adjusted Earnings Per Share ("EPS"), Adjusted Gross Profit, Adjusted Gross Margin, Cash Gross Profit, Cash Gross Margin, Adjusted Operating Expenses, Cash Operating Expenses, Free Cash Flow and Free Cash Flow Margin are useful in evaluating our operating and cash flow performance. We believe that this non-GAAP financial information, when taken collectively with our GAAP results, may be helpful to readers of our financial statements because it provides consistency and comparability with past financial performance and assists in comparisons with other companies, some of which use similar non-GAAP financial information to supplement their GAAP results. The non-GAAP financial information is presented for supplemental informational purposes only, should not be considered a substitute for financial information presented in accordance with GAAP, and may be different from similarly-titled non-GAAP measures used by other companies. A reconciliation is provided below for each of these non-GAAP financial measures to the most directly comparable financial measure stated in accordance with GAAP.</w:t>
      </w:r>
    </w:p>
    <w:p>
      <w:pPr>
        <w:spacing w:after="0" w:line="14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Telos believes that EBITDA, EBITDA Margin, Adjusted EBITDA, Adjusted EBITDA Margin, Incremental Adjusted EBITDA, Incremental Adjusted EBITDA Margin, Adjusted Net Income (Loss), Adjusted EPS, Cash Operating Expenses, and Adjusted Operating Expenses provide the Board of Directors, management and investors with a clear representation of the Company’s core operating performance and trends, provide greater visibility into the long-term financial performance of the Company, and eliminate the impact of items that do not relate to the ongoing operating performance of the business. Further, Adjusted EBITDA is used by the Board of Directors and management to prepare and approve the Company’s annual budget, and to evaluate the performance of certain management personnel when determining incentive compensation. Adjusted Gross Profit, Cash Gross Profit, Adjusted Gross Margin and Cash Gross Margin provide management and investors a clear representation of the core economics of gross profit and gross margin without the impact of non-cash expenses and sunk costs expended. Telos uses Free Cash Flow and Free Cash Flow Margin to understand the cash flows that directly correspond with our operations and the investments the Company must make in those operations, using a methodology that combines operating cash flows and capital expenditures. Further, Free Cash Flow may be useful to management and investors in evaluating the Company's operating and cash flow performance and liquidity, and the Board of Directors uses this measure to evaluate the performance of certain management personnel when determining incentive compensation. Telos believes these non-GAAP financial measures facilitate the comparison of the Company’s operating and cash performance on a consistent basis between periods by excluding certain items that may, or could, have a disproportionately positive or negative impact on the Company’s results of operations in any particular period. When viewed in combination with the Company’s results prepared in accordance with GAAP, these non-GAAP financial measures help provide a broader picture of factors and trends affecting the Company’s results of operations.</w:t>
      </w:r>
    </w:p>
    <w:p>
      <w:pPr>
        <w:spacing w:after="0" w:line="14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EBITDA, Adjusted EBITDA, EBITDA Margin, Adjusted EBITDA Margin, Incremental Adjusted EBITDA, Incremental Adjusted EBITDA Margin, Adjusted Net Income (Loss), Adjusted EPS, Adjusted Gross Profit, Adjusted Gross Margin, Cash Gross Profit, Cash Gross Margin, Adjusted Operating Expenses, Cash Operating Expenses, Free Cash Flow and Free Cash Flow Margin are supplemental measures of operating and cash flow performance that are not made under GAAP and do not represent, and should not be considered as an alternative to gross profit, gross margin, net (loss) income, earnings per share, operating expenses or net cash flows (used in) provided by operating activities, as determined by GAAP.</w:t>
      </w:r>
    </w:p>
    <w:p>
      <w:pPr>
        <w:spacing w:after="0" w:line="1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Company defines EBITDA as net income (loss), adjusted for non-operating (income) expense, interest expense, provision for (benefit from) income taxes, and depreciation and amortization. The Company defines Adjusted EBITDA as EBITDA, adjusted for stock-based compensation expense, impairment loss on goodwill and intangible assets, and restructuring expenses (adjustments). The Company defines EBITDA Margin, as EBITDA as a percentage of total revenue. The Company defines Adjusted EBITDA Margin as Adjusted EBITDA as a percentage of total revenue. The Company defines Incremental Adjusted EBITDA as the net change between current and prior year Adjusted EBITDA. The Company defines Incremental Adjusted EBITDA Margin as Incremental Adjusted EBITDA as a percentage of the net change between current and prior year total revenue. The Company defines Adjusted Net Income (Loss) as net (loss) income, adjusted for non-operating (income) expense, stock-based compensation expense, impairment loss on goodwill and intangible assets, and restructuring expenses (adjustments). The Company defines Adjusted EPS as Adjusted Net Income (Loss) divided by the weighted-average number of common shares outstanding for the period. The Company defines Adjusted Gross Profit as gross profit, plus stock-based compensation expense, impairment loss on intangible assets, and restructuring expenses charged under cost of sales. The Company defines Adjusted Gross Margin as Adjusted Gross Profit as a percentage of total revenue. The Company defines Cash Gross Profit as Adjusted Gross Profit, plus depreciation and amortization. The Company defines Cash Gross Margin as Cash Gross Profit as a percentage of total revenue. The Company defines Adjusted Operating Expenses as operating expenses, adjusted for stock-based compensation expenses, impairment loss on goodwill and intangible assets, and restructuring expenses (adjustments). The Company defines Cash Operating Expenses as Adjusted Operating Expenses, adjusted for depreciation and amortization, and capitalized software development costs. Free Cash Flow is defined as net cash (used in) provided by operating activities, less net purchases of property and equipment, and capitalized software development costs. The Company defines Free Cash Flow Margin as Free Cash Flow as a percentage of total revenue.</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873" w:right="339" w:bottom="1440" w:gutter="0" w:footer="0" w:header="0"/>
        </w:sectPr>
      </w:pPr>
    </w:p>
    <w:bookmarkStart w:id="7" w:name="page8"/>
    <w:bookmarkEnd w:id="7"/>
    <w:p>
      <w:pPr>
        <w:spacing w:after="0" w:line="252" w:lineRule="auto"/>
        <w:rPr>
          <w:sz w:val="20"/>
          <w:szCs w:val="20"/>
          <w:color w:val="auto"/>
        </w:rPr>
      </w:pPr>
      <w:r>
        <w:rPr>
          <w:rFonts w:ascii="Times New Roman" w:cs="Times New Roman" w:eastAsia="Times New Roman" w:hAnsi="Times New Roman"/>
          <w:sz w:val="18"/>
          <w:szCs w:val="18"/>
          <w:color w:val="auto"/>
        </w:rPr>
        <w:t>EBITDA, Adjusted EBITDA, EBITDA Margin, Adjusted EBITDA Margin, Incremental Adjusted EBITDA, Incremental Adjusted EBITDA Margin, Adjusted Net Income (Loss), Adjusted EPS, Adjusted Gross Profit, Adjusted Gross Margin, Cash Gross Profit, Cash Gross Margin, Adjusted Operating Expenses, Cash Operating Expenses, Free Cash Flow, and Free Cash Flow Margin each has limitations as an analytical tool, and you should not consider any of them in isolation, or as a substitute for analysis of results as reported under GAAP. Among other limitations, each of EBITDA, Adjusted EBITDA, EBITDA Margin, Adjusted EBITDA Margin, Incremental Adjusted EBITDA, Incremental Adjusted EBITDA Margin, Adjusted Net Income (Loss), Adjusted EPS, Adjusted Gross Profit, Adjusted Gross Margin, Cash Gross Profit, Cash Gross Margin, Adjusted Operating Expenses, Cash Operating Expenses, Free Cash Flow and Free Cash Flow Margin does not reflect our cash expenditures, or future requirements, for capital expenditures or contractual commitments, does not reflect the impact of certain cash and non-cash charges resulting from matters considered not to be indicative of ongoing operations, and does not reflect income tax expense or benefit. Other companies in the Company’s industry may calculate Adjusted EBITDA, Adjusted EBITDA Margin, Incremental Adjusted EBITDA, Incremental Adjusted EBITDA Margin, Adjusted Net Income (Loss), Adjusted EPS, Adjusted Gross Profit, Adjusted Gross Margin, Cash Gross Profit, Cash Gross Margin, Adjusted Operating Expenses, Cash Operating Expenses, Free Cash Flow and Free Cash Flow Margin differently than Telos does, which limits its usefulness as a comparative measure. Because of these limitations, neither EBITDA, Adjusted EBITDA, EBITDA Margin, Adjusted EBITDA Margin, Incremental Adjusted EBITDA, Incremental Adjusted EBITDA Margin, Adjusted Net Income (Loss), Adjusted EPS, Adjusted Gross Profit, Adjusted Gross Margin, Cash Gross Profit, Cash Gross Margin, Adjusted Operating Expenses, Cash Operating Expenses, Free Cash Flow, nor Free Cash Flow Margin should be considered as a replacement for gross profit, gross margin, net (loss) income, earnings per share, operating expenses, net cash flows (used in) provided by operating activities, or operating cash flow margin as determined by GAAP, or as a measure of profitability. Telos compensates for these limitations by relying primarily on the Company’s GAAP results and using non-GAAP measures only for supplemental purposes.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Telos Corporation</w:t>
      </w:r>
    </w:p>
    <w:p>
      <w:pPr>
        <w:spacing w:after="0" w:line="31"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8"/>
          <w:szCs w:val="18"/>
          <w:u w:val="single" w:color="auto"/>
          <w:color w:val="3051F2"/>
        </w:rPr>
        <w:t>Telos Corporation</w:t>
      </w:r>
      <w:r>
        <w:rPr>
          <w:rFonts w:ascii="Times New Roman" w:cs="Times New Roman" w:eastAsia="Times New Roman" w:hAnsi="Times New Roman"/>
          <w:sz w:val="18"/>
          <w:szCs w:val="18"/>
          <w:color w:val="3051F2"/>
        </w:rPr>
        <w:t xml:space="preserve"> </w:t>
      </w:r>
      <w:r>
        <w:rPr>
          <w:rFonts w:ascii="Times New Roman" w:cs="Times New Roman" w:eastAsia="Times New Roman" w:hAnsi="Times New Roman"/>
          <w:sz w:val="18"/>
          <w:szCs w:val="18"/>
          <w:color w:val="000000"/>
        </w:rPr>
        <w:t>(NASDAQ: TLS) empowers and protects the world’s most security-conscious organizations with efficient, adaptable, and secure</w:t>
      </w:r>
      <w:r>
        <w:rPr>
          <w:rFonts w:ascii="Times New Roman" w:cs="Times New Roman" w:eastAsia="Times New Roman" w:hAnsi="Times New Roman"/>
          <w:sz w:val="18"/>
          <w:szCs w:val="18"/>
          <w:color w:val="3051F2"/>
        </w:rPr>
        <w:t xml:space="preserve"> </w:t>
      </w:r>
      <w:r>
        <w:rPr>
          <w:rFonts w:ascii="Times New Roman" w:cs="Times New Roman" w:eastAsia="Times New Roman" w:hAnsi="Times New Roman"/>
          <w:sz w:val="18"/>
          <w:szCs w:val="18"/>
          <w:color w:val="000000"/>
        </w:rPr>
        <w:t>solutions that safeguard people, systems, and information. We deliver advanced capabilities across cyber governance, risk, and compliance (GRC) with Xacta</w:t>
      </w:r>
      <w:r>
        <w:rPr>
          <w:rFonts w:ascii="Times New Roman" w:cs="Times New Roman" w:eastAsia="Times New Roman" w:hAnsi="Times New Roman"/>
          <w:sz w:val="23"/>
          <w:szCs w:val="23"/>
          <w:color w:val="000000"/>
          <w:vertAlign w:val="superscript"/>
        </w:rPr>
        <w:t>®</w:t>
      </w:r>
      <w:r>
        <w:rPr>
          <w:rFonts w:ascii="Times New Roman" w:cs="Times New Roman" w:eastAsia="Times New Roman" w:hAnsi="Times New Roman"/>
          <w:sz w:val="18"/>
          <w:szCs w:val="18"/>
          <w:color w:val="000000"/>
        </w:rPr>
        <w:t>; identity and biometric solutions; secure networks and communications; and TSA PreCheck</w:t>
      </w:r>
      <w:r>
        <w:rPr>
          <w:rFonts w:ascii="Times New Roman" w:cs="Times New Roman" w:eastAsia="Times New Roman" w:hAnsi="Times New Roman"/>
          <w:sz w:val="23"/>
          <w:szCs w:val="23"/>
          <w:color w:val="000000"/>
          <w:vertAlign w:val="superscript"/>
        </w:rPr>
        <w:t>®</w:t>
      </w:r>
      <w:r>
        <w:rPr>
          <w:rFonts w:ascii="Times New Roman" w:cs="Times New Roman" w:eastAsia="Times New Roman" w:hAnsi="Times New Roman"/>
          <w:sz w:val="18"/>
          <w:szCs w:val="18"/>
          <w:color w:val="000000"/>
        </w:rPr>
        <w:t xml:space="preserve"> enrollment services. Serving the U.S. federal government, regulated industries, and global enterprises, Telos helps customers stay ahead of evolving threats, accelerate compliance, and achieve mission success. Driven by purpose and guided by our core values, we build trusted partnerships, deliver superior solutions, and help create a more secure, interconnected world. Learn more at </w:t>
      </w:r>
      <w:r>
        <w:rPr>
          <w:rFonts w:ascii="Times New Roman" w:cs="Times New Roman" w:eastAsia="Times New Roman" w:hAnsi="Times New Roman"/>
          <w:sz w:val="18"/>
          <w:szCs w:val="18"/>
          <w:u w:val="single" w:color="auto"/>
          <w:color w:val="3051F2"/>
        </w:rPr>
        <w:t>www.telos.com</w:t>
      </w:r>
      <w:r>
        <w:rPr>
          <w:rFonts w:ascii="Times New Roman" w:cs="Times New Roman" w:eastAsia="Times New Roman" w:hAnsi="Times New Roman"/>
          <w:sz w:val="18"/>
          <w:szCs w:val="18"/>
          <w:color w:val="000000"/>
          <w:highlight w:val="white"/>
        </w:rPr>
        <w: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3051F2"/>
        </w:rPr>
        <w:t>media@telos.com</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3051F2"/>
        </w:rPr>
        <w:t>InvestorRelations@telos.com</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320" w:top="877" w:right="3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TELOS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60" w:type="dxa"/>
            <w:vAlign w:val="bottom"/>
          </w:tcPr>
          <w:p>
            <w:pPr>
              <w:spacing w:after="0"/>
              <w:rPr>
                <w:sz w:val="18"/>
                <w:szCs w:val="18"/>
                <w:color w:val="auto"/>
              </w:rPr>
            </w:pPr>
          </w:p>
        </w:tc>
        <w:tc>
          <w:tcPr>
            <w:tcW w:w="3760" w:type="dxa"/>
            <w:vAlign w:val="bottom"/>
            <w:tcBorders>
              <w:bottom w:val="single" w:sz="8" w:color="auto"/>
            </w:tcBorders>
            <w:gridSpan w:val="4"/>
          </w:tcPr>
          <w:p>
            <w:pPr>
              <w:jc w:val="right"/>
              <w:ind w:right="599"/>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520" w:type="dxa"/>
            <w:vAlign w:val="bottom"/>
            <w:tcBorders>
              <w:bottom w:val="single" w:sz="8" w:color="auto"/>
            </w:tcBorders>
          </w:tcPr>
          <w:p>
            <w:pPr>
              <w:spacing w:after="0"/>
              <w:rPr>
                <w:sz w:val="18"/>
                <w:szCs w:val="18"/>
                <w:color w:val="auto"/>
              </w:rPr>
            </w:pPr>
          </w:p>
        </w:tc>
      </w:tr>
      <w:tr>
        <w:trPr>
          <w:trHeight w:val="210"/>
        </w:trPr>
        <w:tc>
          <w:tcPr>
            <w:tcW w:w="676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March 31, 2026</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March 31, 2025</w:t>
            </w:r>
          </w:p>
        </w:tc>
        <w:tc>
          <w:tcPr>
            <w:tcW w:w="520" w:type="dxa"/>
            <w:vAlign w:val="bottom"/>
            <w:tcBorders>
              <w:bottom w:val="single" w:sz="8" w:color="auto"/>
            </w:tcBorders>
          </w:tcPr>
          <w:p>
            <w:pPr>
              <w:spacing w:after="0"/>
              <w:rPr>
                <w:sz w:val="18"/>
                <w:szCs w:val="18"/>
                <w:color w:val="auto"/>
              </w:rPr>
            </w:pPr>
          </w:p>
        </w:tc>
      </w:tr>
      <w:tr>
        <w:trPr>
          <w:trHeight w:val="216"/>
        </w:trPr>
        <w:tc>
          <w:tcPr>
            <w:tcW w:w="6760" w:type="dxa"/>
            <w:vAlign w:val="bottom"/>
          </w:tcPr>
          <w:p>
            <w:pPr>
              <w:spacing w:after="0"/>
              <w:rPr>
                <w:sz w:val="18"/>
                <w:szCs w:val="18"/>
                <w:color w:val="auto"/>
              </w:rPr>
            </w:pPr>
          </w:p>
        </w:tc>
        <w:tc>
          <w:tcPr>
            <w:tcW w:w="3760" w:type="dxa"/>
            <w:vAlign w:val="bottom"/>
            <w:gridSpan w:val="4"/>
          </w:tcPr>
          <w:p>
            <w:pPr>
              <w:jc w:val="right"/>
              <w:ind w:right="359"/>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520" w:type="dxa"/>
            <w:vAlign w:val="bottom"/>
          </w:tcPr>
          <w:p>
            <w:pPr>
              <w:spacing w:after="0"/>
              <w:rPr>
                <w:sz w:val="18"/>
                <w:szCs w:val="18"/>
                <w:color w:val="auto"/>
              </w:rPr>
            </w:pPr>
          </w:p>
        </w:tc>
      </w:tr>
      <w:tr>
        <w:trPr>
          <w:trHeight w:val="23"/>
        </w:trPr>
        <w:tc>
          <w:tcPr>
            <w:tcW w:w="67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16"/>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 – Security Solutions</w:t>
            </w:r>
          </w:p>
        </w:tc>
        <w:tc>
          <w:tcPr>
            <w:tcW w:w="1580" w:type="dxa"/>
            <w:vAlign w:val="bottom"/>
            <w:shd w:val="clear" w:color="auto" w:fill="CCEEFF"/>
          </w:tcPr>
          <w:p>
            <w:pPr>
              <w:jc w:val="right"/>
              <w:ind w:right="140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45,970</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3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25,818</w:t>
            </w:r>
          </w:p>
        </w:tc>
      </w:tr>
      <w:tr>
        <w:trPr>
          <w:trHeight w:val="213"/>
        </w:trPr>
        <w:tc>
          <w:tcPr>
            <w:tcW w:w="6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Revenue – Secure Networks</w:t>
            </w:r>
          </w:p>
        </w:tc>
        <w:tc>
          <w:tcPr>
            <w:tcW w:w="15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1,772</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4,798</w:t>
            </w:r>
          </w:p>
        </w:tc>
      </w:tr>
      <w:tr>
        <w:trPr>
          <w:trHeight w:val="21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15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47,742</w:t>
            </w:r>
          </w:p>
        </w:tc>
        <w:tc>
          <w:tcPr>
            <w:tcW w:w="10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30,616</w:t>
            </w:r>
          </w:p>
        </w:tc>
      </w:tr>
      <w:tr>
        <w:trPr>
          <w:trHeight w:val="207"/>
        </w:trPr>
        <w:tc>
          <w:tcPr>
            <w:tcW w:w="6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Cost of sales – Security Solutions (excluding depreciation and amortization)</w:t>
            </w:r>
          </w:p>
        </w:tc>
        <w:tc>
          <w:tcPr>
            <w:tcW w:w="15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26,514</w:t>
            </w: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13,257</w:t>
            </w:r>
          </w:p>
        </w:tc>
      </w:tr>
      <w:tr>
        <w:trPr>
          <w:trHeight w:val="219"/>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Cost of sales – Secure Networks (excluding depreciation and amortization)</w:t>
            </w:r>
          </w:p>
        </w:tc>
        <w:tc>
          <w:tcPr>
            <w:tcW w:w="15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3,674</w:t>
            </w:r>
          </w:p>
        </w:tc>
      </w:tr>
      <w:tr>
        <w:trPr>
          <w:trHeight w:val="213"/>
        </w:trPr>
        <w:tc>
          <w:tcPr>
            <w:tcW w:w="6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5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2,596</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1,503</w:t>
            </w:r>
          </w:p>
        </w:tc>
      </w:tr>
      <w:tr>
        <w:trPr>
          <w:trHeight w:val="21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cost of sales</w:t>
            </w:r>
          </w:p>
        </w:tc>
        <w:tc>
          <w:tcPr>
            <w:tcW w:w="15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30,367</w:t>
            </w:r>
          </w:p>
        </w:tc>
        <w:tc>
          <w:tcPr>
            <w:tcW w:w="10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18,434</w:t>
            </w:r>
          </w:p>
        </w:tc>
      </w:tr>
      <w:tr>
        <w:trPr>
          <w:trHeight w:val="207"/>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5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17,375</w:t>
            </w: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12,182</w:t>
            </w: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5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13"/>
        </w:trPr>
        <w:tc>
          <w:tcPr>
            <w:tcW w:w="6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5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1,357</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1,571</w:t>
            </w:r>
          </w:p>
        </w:tc>
      </w:tr>
      <w:tr>
        <w:trPr>
          <w:trHeight w:val="219"/>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5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14,563</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19,633</w:t>
            </w:r>
          </w:p>
        </w:tc>
      </w:tr>
      <w:tr>
        <w:trPr>
          <w:trHeight w:val="207"/>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5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15,920</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21,204</w:t>
            </w:r>
          </w:p>
        </w:tc>
      </w:tr>
      <w:tr>
        <w:trPr>
          <w:trHeight w:val="21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15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(9,022)</w:t>
            </w:r>
          </w:p>
        </w:tc>
      </w:tr>
      <w:tr>
        <w:trPr>
          <w:trHeight w:val="213"/>
        </w:trPr>
        <w:tc>
          <w:tcPr>
            <w:tcW w:w="6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income</w:t>
            </w:r>
          </w:p>
        </w:tc>
        <w:tc>
          <w:tcPr>
            <w:tcW w:w="15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w:t>
            </w:r>
          </w:p>
        </w:tc>
      </w:tr>
      <w:tr>
        <w:trPr>
          <w:trHeight w:val="219"/>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15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r>
      <w:tr>
        <w:trPr>
          <w:trHeight w:val="207"/>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5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2,041</w:t>
            </w: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(8,608)</w:t>
            </w:r>
          </w:p>
        </w:tc>
      </w:tr>
      <w:tr>
        <w:trPr>
          <w:trHeight w:val="219"/>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15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7"/>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580" w:type="dxa"/>
            <w:vAlign w:val="bottom"/>
            <w:tcBorders>
              <w:bottom w:val="single" w:sz="8" w:color="auto"/>
            </w:tcBorders>
          </w:tcPr>
          <w:p>
            <w:pPr>
              <w:jc w:val="right"/>
              <w:ind w:right="140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7"/>
                <w:szCs w:val="17"/>
                <w:color w:val="auto"/>
              </w:rPr>
            </w:pPr>
          </w:p>
        </w:tc>
        <w:tc>
          <w:tcPr>
            <w:tcW w:w="1560" w:type="dxa"/>
            <w:vAlign w:val="bottom"/>
            <w:tcBorders>
              <w:bottom w:val="single" w:sz="8" w:color="auto"/>
            </w:tcBorders>
          </w:tcPr>
          <w:p>
            <w:pPr>
              <w:jc w:val="right"/>
              <w:ind w:right="13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(8,604)</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40"/>
        </w:trPr>
        <w:tc>
          <w:tcPr>
            <w:tcW w:w="676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per share:</w:t>
            </w:r>
          </w:p>
        </w:tc>
        <w:tc>
          <w:tcPr>
            <w:tcW w:w="1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9"/>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1580" w:type="dxa"/>
            <w:vAlign w:val="bottom"/>
            <w:shd w:val="clear" w:color="auto" w:fill="CCEEFF"/>
          </w:tcPr>
          <w:p>
            <w:pPr>
              <w:jc w:val="right"/>
              <w:ind w:right="140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r>
      <w:tr>
        <w:trPr>
          <w:trHeight w:val="213"/>
        </w:trPr>
        <w:tc>
          <w:tcPr>
            <w:tcW w:w="6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1580" w:type="dxa"/>
            <w:vAlign w:val="bottom"/>
          </w:tcPr>
          <w:p>
            <w:pPr>
              <w:jc w:val="right"/>
              <w:ind w:right="140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tcPr>
          <w:p>
            <w:pPr>
              <w:spacing w:after="0"/>
              <w:rPr>
                <w:sz w:val="18"/>
                <w:szCs w:val="18"/>
                <w:color w:val="auto"/>
              </w:rPr>
            </w:pPr>
          </w:p>
        </w:tc>
        <w:tc>
          <w:tcPr>
            <w:tcW w:w="1560" w:type="dxa"/>
            <w:vAlign w:val="bottom"/>
          </w:tcPr>
          <w:p>
            <w:pPr>
              <w:jc w:val="right"/>
              <w:ind w:right="13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(0.12)</w:t>
            </w:r>
          </w:p>
        </w:tc>
      </w:tr>
      <w:tr>
        <w:trPr>
          <w:trHeight w:val="273"/>
        </w:trPr>
        <w:tc>
          <w:tcPr>
            <w:tcW w:w="676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number of shares outstanding:</w:t>
            </w:r>
          </w:p>
        </w:tc>
        <w:tc>
          <w:tcPr>
            <w:tcW w:w="1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9"/>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15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73,822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72,715</w:t>
            </w:r>
          </w:p>
        </w:tc>
      </w:tr>
      <w:tr>
        <w:trPr>
          <w:trHeight w:val="210"/>
        </w:trPr>
        <w:tc>
          <w:tcPr>
            <w:tcW w:w="6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15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77,615</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72,715</w:t>
            </w: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40"/>
          </w:cols>
          <w:pgMar w:left="420" w:top="873" w:right="4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TELOS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March 31, 2026</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December 31, 2025</w:t>
            </w:r>
          </w:p>
        </w:tc>
      </w:tr>
      <w:tr>
        <w:trPr>
          <w:trHeight w:val="216"/>
        </w:trPr>
        <w:tc>
          <w:tcPr>
            <w:tcW w:w="7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40" w:type="dxa"/>
            <w:vAlign w:val="bottom"/>
            <w:gridSpan w:val="4"/>
          </w:tcPr>
          <w:p>
            <w:pPr>
              <w:jc w:val="right"/>
              <w:ind w:right="439"/>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 and share data)</w:t>
            </w:r>
          </w:p>
        </w:tc>
      </w:tr>
      <w:tr>
        <w:trPr>
          <w:trHeight w:val="23"/>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50,230</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53,180</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17,000</w:t>
            </w: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expenses</w:t>
            </w: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10,565</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program expenses</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10,006</w:t>
            </w:r>
          </w:p>
        </w:tc>
      </w:tr>
      <w:tr>
        <w:trPr>
          <w:trHeight w:val="213"/>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3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3,681</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3,662</w:t>
            </w:r>
          </w:p>
        </w:tc>
      </w:tr>
      <w:tr>
        <w:trPr>
          <w:trHeight w:val="212"/>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95,625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94,413</w:t>
            </w: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3,071</w:t>
            </w: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right-of-use assets, net</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4,170</w:t>
            </w: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 net</w:t>
            </w: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3,006</w:t>
            </w: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29,808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30,281</w:t>
            </w: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4,543</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4,513</w:t>
            </w:r>
          </w:p>
        </w:tc>
      </w:tr>
      <w:tr>
        <w:trPr>
          <w:trHeight w:val="212"/>
        </w:trPr>
        <w:tc>
          <w:tcPr>
            <w:tcW w:w="70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139,895</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139,864</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18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4,087</w:t>
            </w: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liabilities</w:t>
            </w: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6,900</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12,309</w:t>
            </w: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Contract liabilities – current portion</w:t>
            </w: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18,096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11,223</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Finance lease obligations – current portion</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2,033</w:t>
            </w:r>
          </w:p>
        </w:tc>
      </w:tr>
      <w:tr>
        <w:trPr>
          <w:trHeight w:val="213"/>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Operating lease obligations – current portion</w:t>
            </w:r>
          </w:p>
        </w:tc>
        <w:tc>
          <w:tcPr>
            <w:tcW w:w="3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w:t>
            </w:r>
          </w:p>
        </w:tc>
      </w:tr>
      <w:tr>
        <w:trPr>
          <w:trHeight w:val="212"/>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36,982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36,784</w:t>
            </w: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Contract liabilities – non-current portion</w:t>
            </w: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1,124</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Finance lease obligations – non-current portion</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5,608</w:t>
            </w: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obligations – non-current portion</w:t>
            </w: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13"/>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3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w:t>
            </w:r>
          </w:p>
        </w:tc>
      </w:tr>
      <w:tr>
        <w:trPr>
          <w:trHeight w:val="212"/>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43,364</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43,914</w:t>
            </w:r>
          </w:p>
        </w:tc>
      </w:tr>
      <w:tr>
        <w:trPr>
          <w:trHeight w:val="19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3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Common stock</w:t>
            </w: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458,392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459,828</w:t>
            </w: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3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(361,870)</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(363,893)</w:t>
            </w:r>
          </w:p>
        </w:tc>
      </w:tr>
      <w:tr>
        <w:trPr>
          <w:trHeight w:val="207"/>
        </w:trPr>
        <w:tc>
          <w:tcPr>
            <w:tcW w:w="70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96,531</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95,950</w:t>
            </w:r>
          </w:p>
        </w:tc>
      </w:tr>
      <w:tr>
        <w:trPr>
          <w:trHeight w:val="237"/>
        </w:trPr>
        <w:tc>
          <w:tcPr>
            <w:tcW w:w="70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139,895</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139,864</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873" w:right="33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TELOS CORPORATION</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00" w:type="dxa"/>
            <w:vAlign w:val="bottom"/>
          </w:tcPr>
          <w:p>
            <w:pPr>
              <w:spacing w:after="0"/>
              <w:rPr>
                <w:sz w:val="18"/>
                <w:szCs w:val="18"/>
                <w:color w:val="auto"/>
              </w:rPr>
            </w:pPr>
          </w:p>
        </w:tc>
        <w:tc>
          <w:tcPr>
            <w:tcW w:w="3720" w:type="dxa"/>
            <w:vAlign w:val="bottom"/>
            <w:tcBorders>
              <w:bottom w:val="single" w:sz="8" w:color="auto"/>
            </w:tcBorders>
            <w:gridSpan w:val="4"/>
          </w:tcPr>
          <w:p>
            <w:pPr>
              <w:jc w:val="right"/>
              <w:ind w:right="599"/>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520" w:type="dxa"/>
            <w:vAlign w:val="bottom"/>
            <w:tcBorders>
              <w:bottom w:val="single" w:sz="8" w:color="auto"/>
            </w:tcBorders>
          </w:tcPr>
          <w:p>
            <w:pPr>
              <w:spacing w:after="0"/>
              <w:rPr>
                <w:sz w:val="18"/>
                <w:szCs w:val="18"/>
                <w:color w:val="auto"/>
              </w:rPr>
            </w:pPr>
          </w:p>
        </w:tc>
      </w:tr>
      <w:tr>
        <w:trPr>
          <w:trHeight w:val="210"/>
        </w:trPr>
        <w:tc>
          <w:tcPr>
            <w:tcW w:w="690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March 31, 2026</w:t>
            </w:r>
          </w:p>
        </w:tc>
        <w:tc>
          <w:tcPr>
            <w:tcW w:w="5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March 31, 2025</w:t>
            </w:r>
          </w:p>
        </w:tc>
        <w:tc>
          <w:tcPr>
            <w:tcW w:w="520" w:type="dxa"/>
            <w:vAlign w:val="bottom"/>
            <w:tcBorders>
              <w:bottom w:val="single" w:sz="8" w:color="auto"/>
            </w:tcBorders>
          </w:tcPr>
          <w:p>
            <w:pPr>
              <w:spacing w:after="0"/>
              <w:rPr>
                <w:sz w:val="18"/>
                <w:szCs w:val="18"/>
                <w:color w:val="auto"/>
              </w:rPr>
            </w:pPr>
          </w:p>
        </w:tc>
      </w:tr>
      <w:tr>
        <w:trPr>
          <w:trHeight w:val="216"/>
        </w:trPr>
        <w:tc>
          <w:tcPr>
            <w:tcW w:w="6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160" w:type="dxa"/>
            <w:vAlign w:val="bottom"/>
            <w:gridSpan w:val="3"/>
          </w:tcPr>
          <w:p>
            <w:pPr>
              <w:jc w:val="right"/>
              <w:ind w:right="111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20" w:type="dxa"/>
            <w:vAlign w:val="bottom"/>
          </w:tcPr>
          <w:p>
            <w:pPr>
              <w:spacing w:after="0"/>
              <w:rPr>
                <w:sz w:val="18"/>
                <w:szCs w:val="18"/>
                <w:color w:val="auto"/>
              </w:rPr>
            </w:pPr>
          </w:p>
        </w:tc>
      </w:tr>
      <w:tr>
        <w:trPr>
          <w:trHeight w:val="23"/>
        </w:trPr>
        <w:tc>
          <w:tcPr>
            <w:tcW w:w="69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1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3"/>
        </w:trPr>
        <w:tc>
          <w:tcPr>
            <w:tcW w:w="6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 (loss)</w:t>
            </w:r>
          </w:p>
        </w:tc>
        <w:tc>
          <w:tcPr>
            <w:tcW w:w="1560" w:type="dxa"/>
            <w:vAlign w:val="bottom"/>
          </w:tcPr>
          <w:p>
            <w:pPr>
              <w:jc w:val="right"/>
              <w:ind w:right="13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Pr>
          <w:p>
            <w:pPr>
              <w:spacing w:after="0"/>
              <w:rPr>
                <w:sz w:val="18"/>
                <w:szCs w:val="18"/>
                <w:color w:val="auto"/>
              </w:rPr>
            </w:pPr>
          </w:p>
        </w:tc>
        <w:tc>
          <w:tcPr>
            <w:tcW w:w="1560" w:type="dxa"/>
            <w:vAlign w:val="bottom"/>
          </w:tcPr>
          <w:p>
            <w:pPr>
              <w:jc w:val="right"/>
              <w:ind w:right="13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(8,604)</w:t>
            </w:r>
          </w:p>
        </w:tc>
      </w:tr>
      <w:tr>
        <w:trPr>
          <w:trHeight w:val="219"/>
        </w:trPr>
        <w:tc>
          <w:tcPr>
            <w:tcW w:w="6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income (loss) to cash flows from operations:</w:t>
            </w: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13"/>
        </w:trPr>
        <w:tc>
          <w:tcPr>
            <w:tcW w:w="6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2,971</w:t>
            </w: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7,048</w:t>
            </w:r>
          </w:p>
        </w:tc>
      </w:tr>
      <w:tr>
        <w:trPr>
          <w:trHeight w:val="219"/>
        </w:trPr>
        <w:tc>
          <w:tcPr>
            <w:tcW w:w="6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3,429</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2,336</w:t>
            </w:r>
          </w:p>
        </w:tc>
      </w:tr>
      <w:tr>
        <w:trPr>
          <w:trHeight w:val="213"/>
        </w:trPr>
        <w:tc>
          <w:tcPr>
            <w:tcW w:w="6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Loss on disposal of fixed assets</w:t>
            </w:r>
          </w:p>
        </w:tc>
        <w:tc>
          <w:tcPr>
            <w:tcW w:w="1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3"/>
        </w:trPr>
        <w:tc>
          <w:tcPr>
            <w:tcW w:w="6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Provision for (benefit from) deferred income tax</w:t>
            </w:r>
          </w:p>
        </w:tc>
        <w:tc>
          <w:tcPr>
            <w:tcW w:w="1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9"/>
        </w:trPr>
        <w:tc>
          <w:tcPr>
            <w:tcW w:w="6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Provision for (recovery from) doubtful accounts</w:t>
            </w: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3"/>
        </w:trPr>
        <w:tc>
          <w:tcPr>
            <w:tcW w:w="6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Changes in other operating assets and liabilities:</w:t>
            </w:r>
          </w:p>
        </w:tc>
        <w:tc>
          <w:tcPr>
            <w:tcW w:w="1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9"/>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w:t>
            </w: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r>
      <w:tr>
        <w:trPr>
          <w:trHeight w:val="213"/>
        </w:trPr>
        <w:tc>
          <w:tcPr>
            <w:tcW w:w="6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 deferred program expenses, other current assets and other assets</w:t>
            </w:r>
          </w:p>
        </w:tc>
        <w:tc>
          <w:tcPr>
            <w:tcW w:w="1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(3,749)</w:t>
            </w: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3,016</w:t>
            </w:r>
          </w:p>
        </w:tc>
      </w:tr>
      <w:tr>
        <w:trPr>
          <w:trHeight w:val="219"/>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(1,564)</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13"/>
        </w:trPr>
        <w:tc>
          <w:tcPr>
            <w:tcW w:w="6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r>
      <w:tr>
        <w:trPr>
          <w:trHeight w:val="219"/>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Contract liabilities</w:t>
            </w: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6,699</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13"/>
        </w:trPr>
        <w:tc>
          <w:tcPr>
            <w:tcW w:w="6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Accrued liabilities and other liabilities</w:t>
            </w:r>
          </w:p>
        </w:tc>
        <w:tc>
          <w:tcPr>
            <w:tcW w:w="15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(1,257)</w:t>
            </w:r>
          </w:p>
        </w:tc>
        <w:tc>
          <w:tcPr>
            <w:tcW w:w="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1,681</w:t>
            </w:r>
          </w:p>
        </w:tc>
      </w:tr>
      <w:tr>
        <w:trPr>
          <w:trHeight w:val="212"/>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5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8,656</w:t>
            </w:r>
          </w:p>
        </w:tc>
        <w:tc>
          <w:tcPr>
            <w:tcW w:w="8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6,106</w:t>
            </w:r>
          </w:p>
        </w:tc>
      </w:tr>
      <w:tr>
        <w:trPr>
          <w:trHeight w:val="193"/>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19"/>
        </w:trPr>
        <w:tc>
          <w:tcPr>
            <w:tcW w:w="6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Capitalized software development costs</w:t>
            </w: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(2,132)</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(2,214)</w:t>
            </w:r>
          </w:p>
        </w:tc>
      </w:tr>
      <w:tr>
        <w:trPr>
          <w:trHeight w:val="213"/>
        </w:trPr>
        <w:tc>
          <w:tcPr>
            <w:tcW w:w="6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5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w:t>
            </w:r>
          </w:p>
        </w:tc>
      </w:tr>
      <w:tr>
        <w:trPr>
          <w:trHeight w:val="212"/>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5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(2,277)</w:t>
            </w:r>
          </w:p>
        </w:tc>
        <w:tc>
          <w:tcPr>
            <w:tcW w:w="8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(2,337)</w:t>
            </w:r>
          </w:p>
        </w:tc>
      </w:tr>
      <w:tr>
        <w:trPr>
          <w:trHeight w:val="193"/>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19"/>
        </w:trPr>
        <w:tc>
          <w:tcPr>
            <w:tcW w:w="6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Payments under finance lease obligations</w:t>
            </w: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w:t>
            </w:r>
          </w:p>
        </w:tc>
      </w:tr>
      <w:tr>
        <w:trPr>
          <w:trHeight w:val="213"/>
        </w:trPr>
        <w:tc>
          <w:tcPr>
            <w:tcW w:w="6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Payment of tax withholding related to net share settlement of equity awards</w:t>
            </w:r>
          </w:p>
        </w:tc>
        <w:tc>
          <w:tcPr>
            <w:tcW w:w="1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(6,619)</w:t>
            </w: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19"/>
        </w:trPr>
        <w:tc>
          <w:tcPr>
            <w:tcW w:w="6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(2,198)</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Payments for debt issuance costs</w:t>
            </w:r>
          </w:p>
        </w:tc>
        <w:tc>
          <w:tcPr>
            <w:tcW w:w="15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5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(9,329)</w:t>
            </w:r>
          </w:p>
        </w:tc>
        <w:tc>
          <w:tcPr>
            <w:tcW w:w="8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w:t>
            </w:r>
          </w:p>
        </w:tc>
      </w:tr>
      <w:tr>
        <w:trPr>
          <w:trHeight w:val="207"/>
        </w:trPr>
        <w:tc>
          <w:tcPr>
            <w:tcW w:w="6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15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(2,950)</w:t>
            </w: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3,213</w:t>
            </w:r>
          </w:p>
        </w:tc>
      </w:tr>
      <w:tr>
        <w:trPr>
          <w:trHeight w:val="21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15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53,320</w:t>
            </w:r>
          </w:p>
        </w:tc>
        <w:tc>
          <w:tcPr>
            <w:tcW w:w="8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54,717</w:t>
            </w:r>
          </w:p>
        </w:tc>
      </w:tr>
      <w:tr>
        <w:trPr>
          <w:trHeight w:val="207"/>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1560" w:type="dxa"/>
            <w:vAlign w:val="bottom"/>
            <w:tcBorders>
              <w:bottom w:val="single" w:sz="8" w:color="auto"/>
            </w:tcBorders>
          </w:tcPr>
          <w:p>
            <w:pPr>
              <w:jc w:val="right"/>
              <w:ind w:right="13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50,370</w:t>
            </w:r>
          </w:p>
        </w:tc>
        <w:tc>
          <w:tcPr>
            <w:tcW w:w="80" w:type="dxa"/>
            <w:vAlign w:val="bottom"/>
          </w:tcPr>
          <w:p>
            <w:pPr>
              <w:spacing w:after="0"/>
              <w:rPr>
                <w:sz w:val="17"/>
                <w:szCs w:val="17"/>
                <w:color w:val="auto"/>
              </w:rPr>
            </w:pPr>
          </w:p>
        </w:tc>
        <w:tc>
          <w:tcPr>
            <w:tcW w:w="1560" w:type="dxa"/>
            <w:vAlign w:val="bottom"/>
            <w:tcBorders>
              <w:bottom w:val="single" w:sz="8" w:color="auto"/>
            </w:tcBorders>
          </w:tcPr>
          <w:p>
            <w:pPr>
              <w:jc w:val="right"/>
              <w:ind w:right="13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57,930</w:t>
            </w:r>
          </w:p>
        </w:tc>
      </w:tr>
      <w:tr>
        <w:trPr>
          <w:trHeight w:val="23"/>
        </w:trPr>
        <w:tc>
          <w:tcPr>
            <w:tcW w:w="69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40"/>
          </w:cols>
          <w:pgMar w:left="380" w:top="873" w:right="37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192" w:lineRule="exact"/>
        <w:rPr>
          <w:sz w:val="20"/>
          <w:szCs w:val="20"/>
          <w:color w:val="auto"/>
        </w:rPr>
      </w:pPr>
    </w:p>
    <w:p>
      <w:pPr>
        <w:ind w:left="20" w:right="720"/>
        <w:spacing w:after="0" w:line="248" w:lineRule="auto"/>
        <w:rPr>
          <w:sz w:val="20"/>
          <w:szCs w:val="20"/>
          <w:color w:val="auto"/>
        </w:rPr>
      </w:pPr>
      <w:r>
        <w:rPr>
          <w:rFonts w:ascii="Times New Roman" w:cs="Times New Roman" w:eastAsia="Times New Roman" w:hAnsi="Times New Roman"/>
          <w:sz w:val="16"/>
          <w:szCs w:val="16"/>
          <w:b w:val="1"/>
          <w:bCs w:val="1"/>
          <w:color w:val="auto"/>
        </w:rPr>
        <w:t>Reconciliation of Net Income (Loss) to EBITDA and Adjusted EBITDA; Net Income (Loss) Margin to EBITDA Margin and Adjusted EBITDA Margin; Incremental Net Income (Loss) and Net Income (Loss) Margin to Incremental Adjusted EBITDA and Incremental Adjusted EBITDA Margin</w:t>
      </w:r>
    </w:p>
    <w:tbl>
      <w:tblPr>
        <w:tblLayout w:type="fixed"/>
        <w:tblInd w:w="0" w:type="dxa"/>
        <w:tblCellMar>
          <w:top w:w="0" w:type="dxa"/>
          <w:left w:w="0" w:type="dxa"/>
          <w:bottom w:w="0" w:type="dxa"/>
          <w:right w:w="0" w:type="dxa"/>
        </w:tblCellMar>
      </w:tblPr>
      <w:tr>
        <w:trPr>
          <w:trHeight w:val="207"/>
        </w:trPr>
        <w:tc>
          <w:tcPr>
            <w:tcW w:w="454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140" w:type="dxa"/>
            <w:vAlign w:val="bottom"/>
            <w:tcBorders>
              <w:top w:val="single" w:sz="8" w:color="auto"/>
              <w:bottom w:val="single" w:sz="8" w:color="auto"/>
            </w:tcBorders>
            <w:gridSpan w:val="4"/>
          </w:tcPr>
          <w:p>
            <w:pPr>
              <w:jc w:val="center"/>
              <w:ind w:right="200"/>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r>
      <w:tr>
        <w:trPr>
          <w:trHeight w:val="209"/>
        </w:trPr>
        <w:tc>
          <w:tcPr>
            <w:tcW w:w="4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March 31, 2026</w:t>
            </w:r>
          </w:p>
        </w:tc>
        <w:tc>
          <w:tcPr>
            <w:tcW w:w="140" w:type="dxa"/>
            <w:vAlign w:val="bottom"/>
          </w:tcPr>
          <w:p>
            <w:pPr>
              <w:spacing w:after="0"/>
              <w:rPr>
                <w:sz w:val="18"/>
                <w:szCs w:val="18"/>
                <w:color w:val="auto"/>
              </w:rPr>
            </w:pPr>
          </w:p>
        </w:tc>
        <w:tc>
          <w:tcPr>
            <w:tcW w:w="214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color w:val="auto"/>
              </w:rPr>
              <w:t>March 31, 2025</w:t>
            </w:r>
          </w:p>
        </w:tc>
        <w:tc>
          <w:tcPr>
            <w:tcW w:w="180" w:type="dxa"/>
            <w:vAlign w:val="bottom"/>
          </w:tcPr>
          <w:p>
            <w:pPr>
              <w:spacing w:after="0"/>
              <w:rPr>
                <w:sz w:val="18"/>
                <w:szCs w:val="18"/>
                <w:color w:val="auto"/>
              </w:rPr>
            </w:pPr>
          </w:p>
        </w:tc>
        <w:tc>
          <w:tcPr>
            <w:tcW w:w="200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Year-over-Year Change</w:t>
            </w:r>
          </w:p>
        </w:tc>
      </w:tr>
      <w:tr>
        <w:trPr>
          <w:trHeight w:val="209"/>
        </w:trPr>
        <w:tc>
          <w:tcPr>
            <w:tcW w:w="45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Margin</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Margin</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Margin</w:t>
            </w:r>
          </w:p>
        </w:tc>
      </w:tr>
      <w:tr>
        <w:trPr>
          <w:trHeight w:val="216"/>
        </w:trPr>
        <w:tc>
          <w:tcPr>
            <w:tcW w:w="4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
        </w:trPr>
        <w:tc>
          <w:tcPr>
            <w:tcW w:w="4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4.2 %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(8,604)</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(28.1) %</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10,627</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62.1 %</w:t>
            </w:r>
          </w:p>
        </w:tc>
      </w:tr>
      <w:tr>
        <w:trPr>
          <w:trHeight w:val="213"/>
        </w:trPr>
        <w:tc>
          <w:tcPr>
            <w:tcW w:w="4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(1.8)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(0.8) %</w:t>
            </w:r>
          </w:p>
        </w:tc>
      </w:tr>
      <w:tr>
        <w:trPr>
          <w:trHeight w:val="219"/>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0.2 %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0.5 %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(0.2) %</w:t>
            </w:r>
          </w:p>
        </w:tc>
      </w:tr>
      <w:tr>
        <w:trPr>
          <w:trHeight w:val="213"/>
        </w:trPr>
        <w:tc>
          <w:tcPr>
            <w:tcW w:w="4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0.1 %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8"/>
                <w:szCs w:val="18"/>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0.1 %</w:t>
            </w:r>
          </w:p>
        </w:tc>
      </w:tr>
      <w:tr>
        <w:trPr>
          <w:trHeight w:val="219"/>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3,429</w:t>
            </w:r>
          </w:p>
        </w:tc>
        <w:tc>
          <w:tcPr>
            <w:tcW w:w="8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7.2 %</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2,336</w:t>
            </w:r>
          </w:p>
        </w:tc>
        <w:tc>
          <w:tcPr>
            <w:tcW w:w="8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7.6 %</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w:t>
            </w:r>
          </w:p>
        </w:tc>
        <w:tc>
          <w:tcPr>
            <w:tcW w:w="8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6.4 %</w:t>
            </w:r>
          </w:p>
        </w:tc>
      </w:tr>
      <w:tr>
        <w:trPr>
          <w:trHeight w:val="207"/>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EBITDA (Non-GAAP)</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4,884</w:t>
            </w: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(6,686)</w:t>
            </w:r>
          </w:p>
        </w:tc>
        <w:tc>
          <w:tcPr>
            <w:tcW w:w="8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(21.8)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11,570</w:t>
            </w:r>
          </w:p>
        </w:tc>
        <w:tc>
          <w:tcPr>
            <w:tcW w:w="8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67.6 %</w:t>
            </w:r>
          </w:p>
        </w:tc>
      </w:tr>
      <w:tr>
        <w:trPr>
          <w:trHeight w:val="219"/>
        </w:trPr>
        <w:tc>
          <w:tcPr>
            <w:tcW w:w="454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Stock-based compensation expense</w:t>
            </w:r>
            <w:r>
              <w:rPr>
                <w:rFonts w:ascii="Times New Roman" w:cs="Times New Roman" w:eastAsia="Times New Roman" w:hAnsi="Times New Roman"/>
                <w:sz w:val="21"/>
                <w:szCs w:val="21"/>
                <w:color w:val="auto"/>
                <w:vertAlign w:val="superscript"/>
              </w:rPr>
              <w:t>(1)</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2,971</w:t>
            </w:r>
          </w:p>
        </w:tc>
        <w:tc>
          <w:tcPr>
            <w:tcW w:w="8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6.3 %</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7,048</w:t>
            </w:r>
          </w:p>
        </w:tc>
        <w:tc>
          <w:tcPr>
            <w:tcW w:w="8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23.0 %</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(4,077)</w:t>
            </w:r>
          </w:p>
        </w:tc>
        <w:tc>
          <w:tcPr>
            <w:tcW w:w="8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(23.8) %</w:t>
            </w:r>
          </w:p>
        </w:tc>
      </w:tr>
      <w:tr>
        <w:trPr>
          <w:trHeight w:val="209"/>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 (Non-GAAP)</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7,855</w:t>
            </w:r>
          </w:p>
        </w:tc>
        <w:tc>
          <w:tcPr>
            <w:tcW w:w="80" w:type="dxa"/>
            <w:vAlign w:val="bottom"/>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16.5 %</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80" w:type="dxa"/>
            <w:vAlign w:val="bottom"/>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1.2 %</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7,493</w:t>
            </w:r>
          </w:p>
        </w:tc>
        <w:tc>
          <w:tcPr>
            <w:tcW w:w="80" w:type="dxa"/>
            <w:vAlign w:val="bottom"/>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43.8 %</w:t>
            </w:r>
          </w:p>
        </w:tc>
      </w:tr>
      <w:tr>
        <w:trPr>
          <w:trHeight w:val="21"/>
        </w:trPr>
        <w:tc>
          <w:tcPr>
            <w:tcW w:w="4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180" w:hanging="172"/>
        <w:spacing w:after="0" w:line="244" w:lineRule="auto"/>
        <w:tabs>
          <w:tab w:leader="none" w:pos="163"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stock-based compensation expense to EBITDA as of March 31, 2026, and 2025 is made up of $1.7 million and $5.5 million, respectively, of stock-based compensation expense for the awarded RSUs, PSUs, and stock options, and $1.2 million and $1.5 million, respectively, of other sources of stock-based compensation expense. The other sources of stock-based compensation consist of accrued compensation, which the Company intends to settle in shares of the Company's common stock. However, the Company has the discretion to determine whether this compensation will ultimately be paid in stock or cash up until the date at which they are paid. Any change to the expected payment form would result in out-of-quarter adjustments to this add back to Adjusted EBITDA.</w:t>
      </w:r>
    </w:p>
    <w:p>
      <w:pPr>
        <w:spacing w:after="0" w:line="1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Net Income (Loss) to Adjusted Net Income (Loss), and EPS to Adjusted EPS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3860" w:type="dxa"/>
            <w:vAlign w:val="bottom"/>
            <w:tcBorders>
              <w:top w:val="single" w:sz="8" w:color="auto"/>
              <w:bottom w:val="single" w:sz="8" w:color="auto"/>
            </w:tcBorders>
            <w:gridSpan w:val="4"/>
          </w:tcPr>
          <w:p>
            <w:pPr>
              <w:jc w:val="right"/>
              <w:ind w:right="1079"/>
              <w:spacing w:after="0"/>
              <w:rPr>
                <w:sz w:val="20"/>
                <w:szCs w:val="20"/>
                <w:color w:val="auto"/>
              </w:rPr>
            </w:pPr>
            <w:r>
              <w:rPr>
                <w:rFonts w:ascii="Times New Roman" w:cs="Times New Roman" w:eastAsia="Times New Roman" w:hAnsi="Times New Roman"/>
                <w:sz w:val="16"/>
                <w:szCs w:val="16"/>
                <w:color w:val="auto"/>
              </w:rPr>
              <w:t>For the Three Months Ended</w:t>
            </w:r>
          </w:p>
        </w:tc>
      </w:tr>
      <w:tr>
        <w:trPr>
          <w:trHeight w:val="209"/>
        </w:trPr>
        <w:tc>
          <w:tcPr>
            <w:tcW w:w="6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color w:val="auto"/>
              </w:rPr>
              <w:t>March 31, 2026</w:t>
            </w: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March 31, 2025</w:t>
            </w:r>
          </w:p>
        </w:tc>
      </w:tr>
      <w:tr>
        <w:trPr>
          <w:trHeight w:val="216"/>
        </w:trPr>
        <w:tc>
          <w:tcPr>
            <w:tcW w:w="6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60" w:type="dxa"/>
            <w:vAlign w:val="bottom"/>
            <w:gridSpan w:val="4"/>
          </w:tcPr>
          <w:p>
            <w:pPr>
              <w:jc w:val="right"/>
              <w:ind w:right="939"/>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r>
      <w:tr>
        <w:trPr>
          <w:trHeight w:val="23"/>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1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(8,604)</w:t>
            </w:r>
          </w:p>
        </w:tc>
      </w:tr>
      <w:tr>
        <w:trPr>
          <w:trHeight w:val="213"/>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9"/>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income</w:t>
            </w: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w:t>
            </w:r>
          </w:p>
        </w:tc>
      </w:tr>
      <w:tr>
        <w:trPr>
          <w:trHeight w:val="216"/>
        </w:trPr>
        <w:tc>
          <w:tcPr>
            <w:tcW w:w="6900" w:type="dxa"/>
            <w:vAlign w:val="bottom"/>
            <w:tcBorders>
              <w:bottom w:val="single" w:sz="8" w:color="CCEEFF"/>
            </w:tcBorders>
          </w:tcPr>
          <w:p>
            <w:pPr>
              <w:ind w:left="220"/>
              <w:spacing w:after="0" w:line="216" w:lineRule="exact"/>
              <w:rPr>
                <w:sz w:val="20"/>
                <w:szCs w:val="20"/>
                <w:color w:val="auto"/>
              </w:rPr>
            </w:pPr>
            <w:r>
              <w:rPr>
                <w:rFonts w:ascii="Times New Roman" w:cs="Times New Roman" w:eastAsia="Times New Roman" w:hAnsi="Times New Roman"/>
                <w:sz w:val="16"/>
                <w:szCs w:val="16"/>
                <w:color w:val="auto"/>
              </w:rPr>
              <w:t>Stock-based compensation expense</w:t>
            </w:r>
            <w:r>
              <w:rPr>
                <w:rFonts w:ascii="Times New Roman" w:cs="Times New Roman" w:eastAsia="Times New Roman" w:hAnsi="Times New Roman"/>
                <w:sz w:val="21"/>
                <w:szCs w:val="21"/>
                <w:color w:val="auto"/>
                <w:vertAlign w:val="superscript"/>
              </w:rPr>
              <w:t>(1)</w:t>
            </w: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2,971</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7,048</w:t>
            </w:r>
          </w:p>
        </w:tc>
      </w:tr>
      <w:tr>
        <w:trPr>
          <w:trHeight w:val="235"/>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income (loss) (Non-GAAP measure)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4,297</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(2,117)</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(loss) per share, diluted</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r>
      <w:tr>
        <w:trPr>
          <w:trHeight w:val="213"/>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9"/>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income</w:t>
            </w: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r>
      <w:tr>
        <w:trPr>
          <w:trHeight w:val="216"/>
        </w:trPr>
        <w:tc>
          <w:tcPr>
            <w:tcW w:w="690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Stock-based compensation expense</w:t>
            </w:r>
            <w:r>
              <w:rPr>
                <w:rFonts w:ascii="Times New Roman" w:cs="Times New Roman" w:eastAsia="Times New Roman" w:hAnsi="Times New Roman"/>
                <w:sz w:val="21"/>
                <w:szCs w:val="21"/>
                <w:color w:val="auto"/>
                <w:vertAlign w:val="superscript"/>
              </w:rPr>
              <w:t>(1)</w:t>
            </w:r>
          </w:p>
        </w:tc>
        <w:tc>
          <w:tcPr>
            <w:tcW w:w="3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0.10</w:t>
            </w:r>
          </w:p>
        </w:tc>
      </w:tr>
      <w:tr>
        <w:trPr>
          <w:trHeight w:val="216"/>
        </w:trPr>
        <w:tc>
          <w:tcPr>
            <w:tcW w:w="690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Adjustment to diluted earnings per share</w:t>
            </w:r>
            <w:r>
              <w:rPr>
                <w:rFonts w:ascii="Times New Roman" w:cs="Times New Roman" w:eastAsia="Times New Roman" w:hAnsi="Times New Roman"/>
                <w:sz w:val="21"/>
                <w:szCs w:val="21"/>
                <w:color w:val="auto"/>
                <w:vertAlign w:val="superscript"/>
              </w:rPr>
              <w:t>(2)</w:t>
            </w:r>
          </w:p>
        </w:tc>
        <w:tc>
          <w:tcPr>
            <w:tcW w:w="3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earnings (loss) per share, diluted (non-GAAP)</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(0.03)</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83"/>
        </w:trPr>
        <w:tc>
          <w:tcPr>
            <w:tcW w:w="69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r>
      <w:tr>
        <w:trPr>
          <w:trHeight w:val="213"/>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shares to compute GAAP earnings (loss) per share, diluted</w:t>
            </w:r>
          </w:p>
        </w:tc>
        <w:tc>
          <w:tcPr>
            <w:tcW w:w="3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77,615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72,715</w:t>
            </w:r>
          </w:p>
        </w:tc>
      </w:tr>
      <w:tr>
        <w:trPr>
          <w:trHeight w:val="219"/>
        </w:trPr>
        <w:tc>
          <w:tcPr>
            <w:tcW w:w="690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Weighted-average shares to compute non-GAAP earnings (loss) per share, diluted</w:t>
            </w:r>
            <w:r>
              <w:rPr>
                <w:rFonts w:ascii="Times New Roman" w:cs="Times New Roman" w:eastAsia="Times New Roman" w:hAnsi="Times New Roman"/>
                <w:sz w:val="21"/>
                <w:szCs w:val="21"/>
                <w:color w:val="auto"/>
                <w:vertAlign w:val="superscript"/>
              </w:rPr>
              <w:t>(2)</w:t>
            </w: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77,615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72,715</w:t>
            </w:r>
          </w:p>
        </w:tc>
      </w:tr>
    </w:tbl>
    <w:p>
      <w:pPr>
        <w:spacing w:after="0" w:line="234" w:lineRule="exact"/>
        <w:rPr>
          <w:sz w:val="20"/>
          <w:szCs w:val="20"/>
          <w:color w:val="auto"/>
        </w:rPr>
      </w:pPr>
    </w:p>
    <w:p>
      <w:pPr>
        <w:ind w:left="180" w:hanging="172"/>
        <w:spacing w:after="0" w:line="244" w:lineRule="auto"/>
        <w:tabs>
          <w:tab w:leader="none" w:pos="163"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stock-based compensation expense to EBITDA as of March 31, 2026, and 2025 is made up of $1.7 million and $5.5 million, respectively, of stock-based compensation expense for the awarded RSUs, PSUs, and stock options, and $1.2 million and $1.5 million, respectively, of other sources of stock-based compensation expense. The other sources of stock-based compensation consist of accrued compensation, which the Company intends to settle in shares of the Company's common stock. However, the Company has the discretion to determine whether this compensation will ultimately be paid in stock or cash up until the date at which they are paid. Any change to the expected payment form would result in out-of-quarter adjustments to this add back to Adjusted Net Income (Loss).</w:t>
      </w:r>
    </w:p>
    <w:p>
      <w:pPr>
        <w:spacing w:after="0" w:line="149" w:lineRule="exact"/>
        <w:rPr>
          <w:rFonts w:ascii="Times New Roman" w:cs="Times New Roman" w:eastAsia="Times New Roman" w:hAnsi="Times New Roman"/>
          <w:sz w:val="19"/>
          <w:szCs w:val="19"/>
          <w:color w:val="auto"/>
          <w:vertAlign w:val="superscript"/>
        </w:rPr>
      </w:pPr>
    </w:p>
    <w:p>
      <w:pPr>
        <w:ind w:left="180" w:right="100" w:hanging="172"/>
        <w:spacing w:after="0" w:line="221" w:lineRule="auto"/>
        <w:tabs>
          <w:tab w:leader="none" w:pos="163"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For a period of net loss, potentially dilutive shares are not included in the calculation of diluted earnings (loss) per share, because to do so would be anti-dilutive. This is an adjustment used to reconcile GAAP earnings (loss) per share (excluding potentially dilutive shares) with non-GAAP earnings per share (including potentially dilutive shares).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765" w:right="339" w:bottom="1440" w:gutter="0" w:footer="0" w:header="0"/>
        </w:sectPr>
      </w:pPr>
    </w:p>
    <w:bookmarkStart w:id="12" w:name="page13"/>
    <w:bookmarkEnd w:id="12"/>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Gross Profit to Adjusted Gross Profit and Cash Gross Profit; Gross Margin to Adjusted Gross Margin and Cash Gross Margin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80" w:type="dxa"/>
            <w:vAlign w:val="bottom"/>
            <w:tcBorders>
              <w:top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240" w:type="dxa"/>
            <w:vAlign w:val="bottom"/>
            <w:tcBorders>
              <w:top w:val="single" w:sz="8" w:color="auto"/>
              <w:bottom w:val="single" w:sz="8" w:color="auto"/>
            </w:tcBorders>
            <w:gridSpan w:val="9"/>
          </w:tcPr>
          <w:p>
            <w:pPr>
              <w:jc w:val="center"/>
              <w:ind w:right="80"/>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10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6"/>
          </w:tcPr>
          <w:p>
            <w:pPr>
              <w:ind w:left="340"/>
              <w:spacing w:after="0"/>
              <w:rPr>
                <w:sz w:val="20"/>
                <w:szCs w:val="20"/>
                <w:color w:val="auto"/>
              </w:rPr>
            </w:pPr>
            <w:r>
              <w:rPr>
                <w:rFonts w:ascii="Times New Roman" w:cs="Times New Roman" w:eastAsia="Times New Roman" w:hAnsi="Times New Roman"/>
                <w:sz w:val="16"/>
                <w:szCs w:val="16"/>
                <w:color w:val="auto"/>
              </w:rPr>
              <w:t>March 31, 2026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3"/>
          </w:tcPr>
          <w:p>
            <w:pPr>
              <w:jc w:val="right"/>
              <w:ind w:right="479"/>
              <w:spacing w:after="0"/>
              <w:rPr>
                <w:sz w:val="20"/>
                <w:szCs w:val="20"/>
                <w:color w:val="auto"/>
              </w:rPr>
            </w:pPr>
            <w:r>
              <w:rPr>
                <w:rFonts w:ascii="Times New Roman" w:cs="Times New Roman" w:eastAsia="Times New Roman" w:hAnsi="Times New Roman"/>
                <w:sz w:val="16"/>
                <w:szCs w:val="16"/>
                <w:color w:val="auto"/>
              </w:rPr>
              <w:t>March 31, 2025</w:t>
            </w:r>
          </w:p>
        </w:tc>
        <w:tc>
          <w:tcPr>
            <w:tcW w:w="0" w:type="dxa"/>
            <w:vAlign w:val="bottom"/>
          </w:tcPr>
          <w:p>
            <w:pPr>
              <w:spacing w:after="0"/>
              <w:rPr>
                <w:sz w:val="1"/>
                <w:szCs w:val="1"/>
                <w:color w:val="auto"/>
              </w:rPr>
            </w:pPr>
          </w:p>
        </w:tc>
      </w:tr>
      <w:tr>
        <w:trPr>
          <w:trHeight w:val="209"/>
        </w:trPr>
        <w:tc>
          <w:tcPr>
            <w:tcW w:w="668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Margin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Margin</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gridSpan w:val="9"/>
          </w:tcPr>
          <w:p>
            <w:pPr>
              <w:jc w:val="center"/>
              <w:ind w:right="8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17,375</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36.4%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12,182</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39.8%</w:t>
            </w:r>
          </w:p>
        </w:tc>
        <w:tc>
          <w:tcPr>
            <w:tcW w:w="0" w:type="dxa"/>
            <w:vAlign w:val="bottom"/>
          </w:tcPr>
          <w:p>
            <w:pPr>
              <w:spacing w:after="0"/>
              <w:rPr>
                <w:sz w:val="1"/>
                <w:szCs w:val="1"/>
                <w:color w:val="auto"/>
              </w:rPr>
            </w:pPr>
          </w:p>
        </w:tc>
      </w:tr>
      <w:tr>
        <w:trPr>
          <w:trHeight w:val="213"/>
        </w:trPr>
        <w:tc>
          <w:tcPr>
            <w:tcW w:w="6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 — cost of sales</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8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8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07"/>
        </w:trPr>
        <w:tc>
          <w:tcPr>
            <w:tcW w:w="6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gross profit (Non-GAAP)</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17,591</w:t>
            </w: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36.9%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12,372</w:t>
            </w: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40.4%</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 — cost of sales</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2,596</w:t>
            </w:r>
          </w:p>
        </w:tc>
        <w:tc>
          <w:tcPr>
            <w:tcW w:w="8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w:t>
            </w:r>
          </w:p>
        </w:tc>
        <w:tc>
          <w:tcPr>
            <w:tcW w:w="8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12"/>
        </w:trPr>
        <w:tc>
          <w:tcPr>
            <w:tcW w:w="6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gross profit (Non-GAAP)</w:t>
            </w:r>
          </w:p>
        </w:tc>
        <w:tc>
          <w:tcPr>
            <w:tcW w:w="22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20,187</w:t>
            </w:r>
          </w:p>
        </w:tc>
        <w:tc>
          <w:tcPr>
            <w:tcW w:w="80" w:type="dxa"/>
            <w:vAlign w:val="bottom"/>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42.3%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13,875</w:t>
            </w:r>
          </w:p>
        </w:tc>
        <w:tc>
          <w:tcPr>
            <w:tcW w:w="80" w:type="dxa"/>
            <w:vAlign w:val="bottom"/>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45.3%</w:t>
            </w:r>
          </w:p>
        </w:tc>
        <w:tc>
          <w:tcPr>
            <w:tcW w:w="0" w:type="dxa"/>
            <w:vAlign w:val="bottom"/>
          </w:tcPr>
          <w:p>
            <w:pPr>
              <w:spacing w:after="0"/>
              <w:rPr>
                <w:sz w:val="1"/>
                <w:szCs w:val="1"/>
                <w:color w:val="auto"/>
              </w:rPr>
            </w:pPr>
          </w:p>
        </w:tc>
      </w:tr>
      <w:tr>
        <w:trPr>
          <w:trHeight w:val="20"/>
        </w:trPr>
        <w:tc>
          <w:tcPr>
            <w:tcW w:w="66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Cash Flows from Operations to Free Cash Flow and Free Cash Flow Margin</w:t>
            </w: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0"/>
        </w:trPr>
        <w:tc>
          <w:tcPr>
            <w:tcW w:w="6680" w:type="dxa"/>
            <w:vAlign w:val="bottom"/>
            <w:tcBorders>
              <w:bottom w:val="single" w:sz="8" w:color="auto"/>
            </w:tcBorders>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9"/>
          </w:tcPr>
          <w:p>
            <w:pPr>
              <w:jc w:val="center"/>
              <w:ind w:right="60"/>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6"/>
                <w:szCs w:val="16"/>
                <w:color w:val="auto"/>
              </w:rPr>
              <w:t>March 31, 2026</w:t>
            </w:r>
          </w:p>
        </w:tc>
        <w:tc>
          <w:tcPr>
            <w:tcW w:w="80" w:type="dxa"/>
            <w:vAlign w:val="bottom"/>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479"/>
              <w:spacing w:after="0"/>
              <w:rPr>
                <w:sz w:val="20"/>
                <w:szCs w:val="20"/>
                <w:color w:val="auto"/>
              </w:rPr>
            </w:pPr>
            <w:r>
              <w:rPr>
                <w:rFonts w:ascii="Times New Roman" w:cs="Times New Roman" w:eastAsia="Times New Roman" w:hAnsi="Times New Roman"/>
                <w:sz w:val="16"/>
                <w:szCs w:val="16"/>
                <w:color w:val="auto"/>
              </w:rPr>
              <w:t>March 31, 2025</w:t>
            </w:r>
          </w:p>
        </w:tc>
        <w:tc>
          <w:tcPr>
            <w:tcW w:w="0" w:type="dxa"/>
            <w:vAlign w:val="bottom"/>
          </w:tcPr>
          <w:p>
            <w:pPr>
              <w:spacing w:after="0"/>
              <w:rPr>
                <w:sz w:val="1"/>
                <w:szCs w:val="1"/>
                <w:color w:val="auto"/>
              </w:rPr>
            </w:pPr>
          </w:p>
        </w:tc>
      </w:tr>
      <w:tr>
        <w:trPr>
          <w:trHeight w:val="250"/>
        </w:trPr>
        <w:tc>
          <w:tcPr>
            <w:tcW w:w="6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40" w:type="dxa"/>
            <w:vAlign w:val="bottom"/>
            <w:gridSpan w:val="9"/>
          </w:tcPr>
          <w:p>
            <w:pPr>
              <w:jc w:val="center"/>
              <w:ind w:right="6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8,656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gridSpan w:val="3"/>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6,106</w:t>
            </w:r>
          </w:p>
        </w:tc>
        <w:tc>
          <w:tcPr>
            <w:tcW w:w="0" w:type="dxa"/>
            <w:vAlign w:val="bottom"/>
          </w:tcPr>
          <w:p>
            <w:pPr>
              <w:spacing w:after="0"/>
              <w:rPr>
                <w:sz w:val="1"/>
                <w:szCs w:val="1"/>
                <w:color w:val="auto"/>
              </w:rPr>
            </w:pPr>
          </w:p>
        </w:tc>
      </w:tr>
      <w:tr>
        <w:trPr>
          <w:trHeight w:val="213"/>
        </w:trPr>
        <w:tc>
          <w:tcPr>
            <w:tcW w:w="6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Capitalized software development costs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(2,132)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(2,214)</w:t>
            </w:r>
          </w:p>
        </w:tc>
        <w:tc>
          <w:tcPr>
            <w:tcW w:w="0" w:type="dxa"/>
            <w:vAlign w:val="bottom"/>
          </w:tcPr>
          <w:p>
            <w:pPr>
              <w:spacing w:after="0"/>
              <w:rPr>
                <w:sz w:val="1"/>
                <w:szCs w:val="1"/>
                <w:color w:val="auto"/>
              </w:rPr>
            </w:pPr>
          </w:p>
        </w:tc>
      </w:tr>
      <w:tr>
        <w:trPr>
          <w:trHeight w:val="213"/>
        </w:trPr>
        <w:tc>
          <w:tcPr>
            <w:tcW w:w="6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(145)</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237"/>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Free cash flow (Non-GAAP)</w:t>
            </w: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6,379</w:t>
            </w:r>
          </w:p>
        </w:tc>
        <w:tc>
          <w:tcPr>
            <w:tcW w:w="2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gridSpan w:val="3"/>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3,769</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47,742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30,616</w:t>
            </w:r>
          </w:p>
        </w:tc>
        <w:tc>
          <w:tcPr>
            <w:tcW w:w="0" w:type="dxa"/>
            <w:vAlign w:val="bottom"/>
          </w:tcPr>
          <w:p>
            <w:pPr>
              <w:spacing w:after="0"/>
              <w:rPr>
                <w:sz w:val="1"/>
                <w:szCs w:val="1"/>
                <w:color w:val="auto"/>
              </w:rPr>
            </w:pPr>
          </w:p>
        </w:tc>
      </w:tr>
      <w:tr>
        <w:trPr>
          <w:trHeight w:val="270"/>
        </w:trPr>
        <w:tc>
          <w:tcPr>
            <w:tcW w:w="6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cash flow margin</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18.1 %</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19.9 %</w:t>
            </w:r>
          </w:p>
        </w:tc>
        <w:tc>
          <w:tcPr>
            <w:tcW w:w="0" w:type="dxa"/>
            <w:vAlign w:val="bottom"/>
          </w:tcPr>
          <w:p>
            <w:pPr>
              <w:spacing w:after="0"/>
              <w:rPr>
                <w:sz w:val="1"/>
                <w:szCs w:val="1"/>
                <w:color w:val="auto"/>
              </w:rPr>
            </w:pPr>
          </w:p>
        </w:tc>
      </w:tr>
      <w:tr>
        <w:trPr>
          <w:trHeight w:val="210"/>
        </w:trPr>
        <w:tc>
          <w:tcPr>
            <w:tcW w:w="6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Free cash flow margin (Non-GAAP)</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12.3 %</w:t>
            </w:r>
          </w:p>
        </w:tc>
        <w:tc>
          <w:tcPr>
            <w:tcW w:w="0" w:type="dxa"/>
            <w:vAlign w:val="bottom"/>
          </w:tcPr>
          <w:p>
            <w:pPr>
              <w:spacing w:after="0"/>
              <w:rPr>
                <w:sz w:val="1"/>
                <w:szCs w:val="1"/>
                <w:color w:val="auto"/>
              </w:rPr>
            </w:pPr>
          </w:p>
        </w:tc>
      </w:tr>
      <w:tr>
        <w:trPr>
          <w:trHeight w:val="489"/>
        </w:trPr>
        <w:tc>
          <w:tcPr>
            <w:tcW w:w="78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Operating Expenses to Adjusted Operating Expenses and Cash Operating Expenses</w:t>
            </w: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9"/>
          </w:tcPr>
          <w:p>
            <w:pPr>
              <w:jc w:val="center"/>
              <w:ind w:left="39"/>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Borders>
              <w:bottom w:val="single" w:sz="8" w:color="auto"/>
            </w:tcBorders>
            <w:gridSpan w:val="6"/>
          </w:tcPr>
          <w:p>
            <w:pPr>
              <w:ind w:left="500"/>
              <w:spacing w:after="0"/>
              <w:rPr>
                <w:sz w:val="20"/>
                <w:szCs w:val="20"/>
                <w:color w:val="auto"/>
              </w:rPr>
            </w:pPr>
            <w:r>
              <w:rPr>
                <w:rFonts w:ascii="Times New Roman" w:cs="Times New Roman" w:eastAsia="Times New Roman" w:hAnsi="Times New Roman"/>
                <w:sz w:val="16"/>
                <w:szCs w:val="16"/>
                <w:color w:val="auto"/>
              </w:rPr>
              <w:t>March 31, 2026</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439"/>
              <w:spacing w:after="0"/>
              <w:rPr>
                <w:sz w:val="20"/>
                <w:szCs w:val="20"/>
                <w:color w:val="auto"/>
              </w:rPr>
            </w:pPr>
            <w:r>
              <w:rPr>
                <w:rFonts w:ascii="Times New Roman" w:cs="Times New Roman" w:eastAsia="Times New Roman" w:hAnsi="Times New Roman"/>
                <w:sz w:val="16"/>
                <w:szCs w:val="16"/>
                <w:color w:val="auto"/>
              </w:rPr>
              <w:t>March 31, 2025</w:t>
            </w:r>
          </w:p>
        </w:tc>
        <w:tc>
          <w:tcPr>
            <w:tcW w:w="0" w:type="dxa"/>
            <w:vAlign w:val="bottom"/>
          </w:tcPr>
          <w:p>
            <w:pPr>
              <w:spacing w:after="0"/>
              <w:rPr>
                <w:sz w:val="1"/>
                <w:szCs w:val="1"/>
                <w:color w:val="auto"/>
              </w:rPr>
            </w:pPr>
          </w:p>
        </w:tc>
      </w:tr>
      <w:tr>
        <w:trPr>
          <w:trHeight w:val="250"/>
        </w:trPr>
        <w:tc>
          <w:tcPr>
            <w:tcW w:w="6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40" w:type="dxa"/>
            <w:vAlign w:val="bottom"/>
            <w:gridSpan w:val="9"/>
          </w:tcPr>
          <w:p>
            <w:pPr>
              <w:jc w:val="center"/>
              <w:ind w:left="59"/>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15,920</w:t>
            </w:r>
          </w:p>
        </w:tc>
        <w:tc>
          <w:tcPr>
            <w:tcW w:w="20" w:type="dxa"/>
            <w:vAlign w:val="bottom"/>
            <w:shd w:val="clear" w:color="auto" w:fill="CCEEFF"/>
          </w:tcPr>
          <w:p>
            <w:pPr>
              <w:spacing w:after="0"/>
              <w:rPr>
                <w:sz w:val="19"/>
                <w:szCs w:val="19"/>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21,204</w:t>
            </w:r>
          </w:p>
        </w:tc>
        <w:tc>
          <w:tcPr>
            <w:tcW w:w="0" w:type="dxa"/>
            <w:vAlign w:val="bottom"/>
          </w:tcPr>
          <w:p>
            <w:pPr>
              <w:spacing w:after="0"/>
              <w:rPr>
                <w:sz w:val="1"/>
                <w:szCs w:val="1"/>
                <w:color w:val="auto"/>
              </w:rPr>
            </w:pPr>
          </w:p>
        </w:tc>
      </w:tr>
      <w:tr>
        <w:trPr>
          <w:trHeight w:val="213"/>
        </w:trPr>
        <w:tc>
          <w:tcPr>
            <w:tcW w:w="6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(2,755)</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(6,858)</w:t>
            </w:r>
          </w:p>
        </w:tc>
        <w:tc>
          <w:tcPr>
            <w:tcW w:w="0" w:type="dxa"/>
            <w:vAlign w:val="bottom"/>
          </w:tcPr>
          <w:p>
            <w:pPr>
              <w:spacing w:after="0"/>
              <w:rPr>
                <w:sz w:val="1"/>
                <w:szCs w:val="1"/>
                <w:color w:val="auto"/>
              </w:rPr>
            </w:pPr>
          </w:p>
        </w:tc>
      </w:tr>
      <w:tr>
        <w:trPr>
          <w:trHeight w:val="207"/>
        </w:trPr>
        <w:tc>
          <w:tcPr>
            <w:tcW w:w="6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operating expenses (Non-GAAP)</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13,165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14,346</w:t>
            </w:r>
          </w:p>
        </w:tc>
        <w:tc>
          <w:tcPr>
            <w:tcW w:w="0" w:type="dxa"/>
            <w:vAlign w:val="bottom"/>
          </w:tcPr>
          <w:p>
            <w:pPr>
              <w:spacing w:after="0"/>
              <w:rPr>
                <w:sz w:val="1"/>
                <w:szCs w:val="1"/>
                <w:color w:val="auto"/>
              </w:rPr>
            </w:pPr>
          </w:p>
        </w:tc>
      </w:tr>
      <w:tr>
        <w:trPr>
          <w:trHeight w:val="219"/>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(833)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0" w:type="dxa"/>
            <w:vAlign w:val="bottom"/>
          </w:tcPr>
          <w:p>
            <w:pPr>
              <w:spacing w:after="0"/>
              <w:rPr>
                <w:sz w:val="1"/>
                <w:szCs w:val="1"/>
                <w:color w:val="auto"/>
              </w:rPr>
            </w:pPr>
          </w:p>
        </w:tc>
      </w:tr>
      <w:tr>
        <w:trPr>
          <w:trHeight w:val="213"/>
        </w:trPr>
        <w:tc>
          <w:tcPr>
            <w:tcW w:w="6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Software R&amp;D capitalized costs</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2,042</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2,270</w:t>
            </w:r>
          </w:p>
        </w:tc>
        <w:tc>
          <w:tcPr>
            <w:tcW w:w="0" w:type="dxa"/>
            <w:vAlign w:val="bottom"/>
          </w:tcPr>
          <w:p>
            <w:pPr>
              <w:spacing w:after="0"/>
              <w:rPr>
                <w:sz w:val="1"/>
                <w:szCs w:val="1"/>
                <w:color w:val="auto"/>
              </w:rPr>
            </w:pPr>
          </w:p>
        </w:tc>
      </w:tr>
      <w:tr>
        <w:trPr>
          <w:trHeight w:val="237"/>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operating expenses (Non-GAAP)</w:t>
            </w: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14,374</w:t>
            </w: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15,783</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sectPr>
      <w:pgSz w:w="11900" w:h="16838" w:orient="portrait"/>
      <w:cols w:equalWidth="0" w:num="1">
        <w:col w:w="11080"/>
      </w:cols>
      <w:pgMar w:left="320" w:top="92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bullet"/>
      <w:start w:val="1"/>
    </w:lvl>
  </w:abstractNum>
  <w:abstractNum w:abstractNumId="3">
    <w:nsid w:val="507ED7AB"/>
    <w:multiLevelType w:val="hybridMultilevel"/>
    <w:lvl w:ilvl="0">
      <w:lvlJc w:val="left"/>
      <w:lvlText w:val="2"/>
      <w:numFmt w:val="bullet"/>
      <w:start w:val="1"/>
    </w:lvl>
  </w:abstractNum>
  <w:abstractNum w:abstractNumId="4">
    <w:nsid w:val="2EB141F2"/>
    <w:multiLevelType w:val="hybridMultilevel"/>
    <w:lvl w:ilvl="0">
      <w:lvlJc w:val="left"/>
      <w:lvlText w:val="1"/>
      <w:numFmt w:val="bullet"/>
      <w:start w:val="1"/>
    </w:lvl>
  </w:abstractNum>
  <w:abstractNum w:abstractNumId="5">
    <w:nsid w:val="41B71EFB"/>
    <w:multiLevelType w:val="hybridMultilevel"/>
    <w:lvl w:ilvl="0">
      <w:lvlJc w:val="left"/>
      <w:lvlText w:val="2"/>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2026-05-11T08:02:57Z</dcterms:created>
  <dcterms:modified xsi:type="dcterms:W3CDTF">2026-05-11T08:02:57Z</dcterms:modified>
</cp:coreProperties>
</file>