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wp:posOffset>
            </wp:positionH>
            <wp:positionV relativeFrom="paragraph">
              <wp:posOffset>309880</wp:posOffset>
            </wp:positionV>
            <wp:extent cx="6772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wp:posOffset>
            </wp:positionH>
            <wp:positionV relativeFrom="paragraph">
              <wp:posOffset>14605</wp:posOffset>
            </wp:positionV>
            <wp:extent cx="67722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5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36"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75"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2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001-08443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2173605</wp:posOffset>
            </wp:positionH>
            <wp:positionV relativeFrom="paragraph">
              <wp:posOffset>105410</wp:posOffset>
            </wp:positionV>
            <wp:extent cx="2802890" cy="8058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0289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TELOS CORPORATION</w:t>
      </w:r>
    </w:p>
    <w:p>
      <w:pPr>
        <w:spacing w:after="0" w:line="1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81" w:lineRule="exact"/>
        <w:rPr>
          <w:sz w:val="24"/>
          <w:szCs w:val="24"/>
          <w:color w:val="auto"/>
        </w:rPr>
      </w:pPr>
    </w:p>
    <w:tbl>
      <w:tblPr>
        <w:tblLayout w:type="fixed"/>
        <w:tblInd w:w="480" w:type="dxa"/>
        <w:tblCellMar>
          <w:top w:w="0" w:type="dxa"/>
          <w:left w:w="0" w:type="dxa"/>
          <w:bottom w:w="0" w:type="dxa"/>
          <w:right w:w="0" w:type="dxa"/>
        </w:tblCellMar>
      </w:tblPr>
      <w:tr>
        <w:trPr>
          <w:trHeight w:val="233"/>
        </w:trPr>
        <w:tc>
          <w:tcPr>
            <w:tcW w:w="5640" w:type="dxa"/>
            <w:vAlign w:val="bottom"/>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396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8"/>
              </w:rPr>
              <w:t>52-0880974</w:t>
            </w:r>
          </w:p>
        </w:tc>
      </w:tr>
      <w:tr>
        <w:trPr>
          <w:trHeight w:val="234"/>
        </w:trPr>
        <w:tc>
          <w:tcPr>
            <w:tcW w:w="564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96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79"/>
        </w:trPr>
        <w:tc>
          <w:tcPr>
            <w:tcW w:w="5640" w:type="dxa"/>
            <w:vAlign w:val="bottom"/>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9"/>
              </w:rPr>
              <w:t>19886 Ashburn Road, Ashburn, Virginia</w:t>
            </w:r>
          </w:p>
        </w:tc>
        <w:tc>
          <w:tcPr>
            <w:tcW w:w="396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8"/>
              </w:rPr>
              <w:t>20147-2358</w:t>
            </w:r>
          </w:p>
        </w:tc>
      </w:tr>
      <w:tr>
        <w:trPr>
          <w:trHeight w:val="234"/>
        </w:trPr>
        <w:tc>
          <w:tcPr>
            <w:tcW w:w="564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96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(703) 724-3800</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60"/>
          </w:cols>
          <w:pgMar w:left="320" w:top="227" w:right="419" w:bottom="1440" w:gutter="0" w:footer="0" w:header="0"/>
        </w:sectPr>
      </w:pPr>
    </w:p>
    <w:p>
      <w:pPr>
        <w:spacing w:after="0" w:line="50"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39" w:lineRule="exact"/>
        <w:rPr>
          <w:sz w:val="24"/>
          <w:szCs w:val="24"/>
          <w:color w:val="auto"/>
        </w:rPr>
      </w:pPr>
    </w:p>
    <w:p>
      <w:pPr>
        <w:sectPr>
          <w:pgSz w:w="11900" w:h="16838" w:orient="portrait"/>
          <w:cols w:equalWidth="0" w:num="3">
            <w:col w:w="4080" w:space="720"/>
            <w:col w:w="1920" w:space="720"/>
            <w:col w:w="3720"/>
          </w:cols>
          <w:pgMar w:left="320" w:top="227" w:right="419"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TLS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The Nasdaq Stock Market LLC</w:t>
      </w:r>
    </w:p>
    <w:p>
      <w:pPr>
        <w:spacing w:after="0" w:line="200" w:lineRule="exact"/>
        <w:rPr>
          <w:sz w:val="24"/>
          <w:szCs w:val="24"/>
          <w:color w:val="auto"/>
        </w:rPr>
      </w:pPr>
    </w:p>
    <w:p>
      <w:pPr>
        <w:sectPr>
          <w:pgSz w:w="11900" w:h="16838" w:orient="portrait"/>
          <w:cols w:equalWidth="0" w:num="3">
            <w:col w:w="4480" w:space="720"/>
            <w:col w:w="1900" w:space="720"/>
            <w:col w:w="3340"/>
          </w:cols>
          <w:pgMar w:left="320" w:top="227" w:right="419" w:bottom="1440" w:gutter="0" w:footer="0" w:header="0"/>
          <w:type w:val="continuous"/>
        </w:sectPr>
      </w:pPr>
    </w:p>
    <w:p>
      <w:pPr>
        <w:spacing w:after="0" w:line="32" w:lineRule="exact"/>
        <w:rPr>
          <w:sz w:val="24"/>
          <w:szCs w:val="24"/>
          <w:color w:val="auto"/>
        </w:rPr>
      </w:pPr>
    </w:p>
    <w:p>
      <w:pPr>
        <w:ind w:right="2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680" w:type="dxa"/>
        <w:tblCellMar>
          <w:top w:w="0" w:type="dxa"/>
          <w:left w:w="0" w:type="dxa"/>
          <w:bottom w:w="0" w:type="dxa"/>
          <w:right w:w="0" w:type="dxa"/>
        </w:tblCellMar>
      </w:tblPr>
      <w:tr>
        <w:trPr>
          <w:trHeight w:val="234"/>
        </w:trPr>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20" w:type="dxa"/>
            <w:vAlign w:val="bottom"/>
            <w:vMerge w:val="restart"/>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Accelerated filer</w:t>
            </w:r>
          </w:p>
        </w:tc>
        <w:tc>
          <w:tcPr>
            <w:tcW w:w="0" w:type="dxa"/>
            <w:vAlign w:val="bottom"/>
          </w:tcPr>
          <w:p>
            <w:pPr>
              <w:spacing w:after="0"/>
              <w:rPr>
                <w:sz w:val="1"/>
                <w:szCs w:val="1"/>
                <w:color w:val="auto"/>
              </w:rPr>
            </w:pPr>
          </w:p>
        </w:tc>
      </w:tr>
      <w:tr>
        <w:trPr>
          <w:trHeight w:val="211"/>
        </w:trPr>
        <w:tc>
          <w:tcPr>
            <w:tcW w:w="2020" w:type="dxa"/>
            <w:vAlign w:val="bottom"/>
            <w:vMerge w:val="continue"/>
          </w:tcPr>
          <w:p>
            <w:pPr>
              <w:spacing w:after="0"/>
              <w:rPr>
                <w:sz w:val="18"/>
                <w:szCs w:val="18"/>
                <w:color w:val="auto"/>
              </w:rPr>
            </w:pPr>
          </w:p>
        </w:tc>
        <w:tc>
          <w:tcPr>
            <w:tcW w:w="2620" w:type="dxa"/>
            <w:vAlign w:val="bottom"/>
            <w:vMerge w:val="continue"/>
          </w:tcPr>
          <w:p>
            <w:pPr>
              <w:spacing w:after="0"/>
              <w:rPr>
                <w:sz w:val="18"/>
                <w:szCs w:val="18"/>
                <w:color w:val="auto"/>
              </w:rPr>
            </w:pPr>
          </w:p>
        </w:tc>
        <w:tc>
          <w:tcPr>
            <w:tcW w:w="4700" w:type="dxa"/>
            <w:vAlign w:val="bottom"/>
          </w:tcPr>
          <w:p>
            <w:pPr>
              <w:ind w:left="4500"/>
              <w:spacing w:after="0" w:line="198" w:lineRule="exact"/>
              <w:rPr>
                <w:sz w:val="20"/>
                <w:szCs w:val="20"/>
                <w:color w:val="auto"/>
              </w:rPr>
            </w:pPr>
            <w:r>
              <w:rPr>
                <w:rFonts w:ascii="Wingdings" w:cs="Wingdings" w:eastAsia="Wingdings" w:hAnsi="Wingdings"/>
                <w:sz w:val="18"/>
                <w:szCs w:val="18"/>
                <w:b w:val="1"/>
                <w:bCs w:val="1"/>
                <w:color w:val="auto"/>
                <w:w w:val="94"/>
              </w:rPr>
              <w:t>x</w:t>
            </w:r>
          </w:p>
        </w:tc>
        <w:tc>
          <w:tcPr>
            <w:tcW w:w="0" w:type="dxa"/>
            <w:vAlign w:val="bottom"/>
          </w:tcPr>
          <w:p>
            <w:pPr>
              <w:spacing w:after="0"/>
              <w:rPr>
                <w:sz w:val="1"/>
                <w:szCs w:val="1"/>
                <w:color w:val="auto"/>
              </w:rPr>
            </w:pPr>
          </w:p>
        </w:tc>
      </w:tr>
      <w:tr>
        <w:trPr>
          <w:trHeight w:val="234"/>
        </w:trPr>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20" w:type="dxa"/>
            <w:vAlign w:val="bottom"/>
            <w:vMerge w:val="restart"/>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0" w:type="dxa"/>
            <w:vAlign w:val="bottom"/>
          </w:tcPr>
          <w:p>
            <w:pPr>
              <w:spacing w:after="0"/>
              <w:rPr>
                <w:sz w:val="1"/>
                <w:szCs w:val="1"/>
                <w:color w:val="auto"/>
              </w:rPr>
            </w:pPr>
          </w:p>
        </w:tc>
      </w:tr>
      <w:tr>
        <w:trPr>
          <w:trHeight w:val="211"/>
        </w:trPr>
        <w:tc>
          <w:tcPr>
            <w:tcW w:w="2020" w:type="dxa"/>
            <w:vAlign w:val="bottom"/>
            <w:vMerge w:val="continue"/>
          </w:tcPr>
          <w:p>
            <w:pPr>
              <w:spacing w:after="0"/>
              <w:rPr>
                <w:sz w:val="18"/>
                <w:szCs w:val="18"/>
                <w:color w:val="auto"/>
              </w:rPr>
            </w:pPr>
          </w:p>
        </w:tc>
        <w:tc>
          <w:tcPr>
            <w:tcW w:w="2620" w:type="dxa"/>
            <w:vAlign w:val="bottom"/>
            <w:vMerge w:val="continue"/>
          </w:tcPr>
          <w:p>
            <w:pPr>
              <w:spacing w:after="0"/>
              <w:rPr>
                <w:sz w:val="18"/>
                <w:szCs w:val="18"/>
                <w:color w:val="auto"/>
              </w:rPr>
            </w:pPr>
          </w:p>
        </w:tc>
        <w:tc>
          <w:tcPr>
            <w:tcW w:w="4700" w:type="dxa"/>
            <w:vAlign w:val="bottom"/>
          </w:tcPr>
          <w:p>
            <w:pPr>
              <w:ind w:left="4500"/>
              <w:spacing w:after="0" w:line="198" w:lineRule="exact"/>
              <w:rPr>
                <w:sz w:val="20"/>
                <w:szCs w:val="20"/>
                <w:color w:val="auto"/>
              </w:rPr>
            </w:pPr>
            <w:r>
              <w:rPr>
                <w:rFonts w:ascii="Wingdings" w:cs="Wingdings" w:eastAsia="Wingdings" w:hAnsi="Wingdings"/>
                <w:sz w:val="18"/>
                <w:szCs w:val="18"/>
                <w:b w:val="1"/>
                <w:bCs w:val="1"/>
                <w:color w:val="auto"/>
                <w:w w:val="94"/>
              </w:rPr>
              <w:t>x</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4700" w:type="dxa"/>
            <w:vAlign w:val="bottom"/>
          </w:tcPr>
          <w:p>
            <w:pPr>
              <w:ind w:left="2060"/>
              <w:spacing w:after="0" w:line="181" w:lineRule="exact"/>
              <w:rPr>
                <w:sz w:val="20"/>
                <w:szCs w:val="20"/>
                <w:color w:val="auto"/>
              </w:rPr>
            </w:pPr>
            <w:r>
              <w:rPr>
                <w:rFonts w:ascii="Times New Roman" w:cs="Times New Roman" w:eastAsia="Times New Roman" w:hAnsi="Times New Roman"/>
                <w:sz w:val="18"/>
                <w:szCs w:val="18"/>
                <w:color w:val="auto"/>
              </w:rPr>
              <w:t>Emerging growth company</w:t>
            </w:r>
          </w:p>
        </w:tc>
        <w:tc>
          <w:tcPr>
            <w:tcW w:w="0" w:type="dxa"/>
            <w:vAlign w:val="bottom"/>
          </w:tcPr>
          <w:p>
            <w:pPr>
              <w:spacing w:after="0"/>
              <w:rPr>
                <w:sz w:val="1"/>
                <w:szCs w:val="1"/>
                <w:color w:val="auto"/>
              </w:rPr>
            </w:pPr>
          </w:p>
        </w:tc>
      </w:tr>
      <w:tr>
        <w:trPr>
          <w:trHeight w:val="303"/>
        </w:trPr>
        <w:tc>
          <w:tcPr>
            <w:tcW w:w="20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700" w:type="dxa"/>
            <w:vAlign w:val="bottom"/>
          </w:tcPr>
          <w:p>
            <w:pPr>
              <w:ind w:left="450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bl>
    <w:p>
      <w:pPr>
        <w:spacing w:after="0" w:line="165" w:lineRule="exact"/>
        <w:rPr>
          <w:sz w:val="24"/>
          <w:szCs w:val="24"/>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ind w:right="1700"/>
        <w:spacing w:after="0" w:line="3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May 4, 2026, the registrant had outstanding 74,819,175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27" w:right="4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of Contents to First Quarter 2026 Form 10-Q</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35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0"/>
        </w:trPr>
        <w:tc>
          <w:tcPr>
            <w:tcW w:w="10240" w:type="dxa"/>
            <w:vAlign w:val="bottom"/>
            <w:gridSpan w:val="50"/>
          </w:tcPr>
          <w:p>
            <w:pPr>
              <w:spacing w:after="0" w:line="20" w:lineRule="exact"/>
              <w:rPr>
                <w:sz w:val="1"/>
                <w:szCs w:val="1"/>
                <w:color w:val="auto"/>
              </w:rPr>
            </w:pPr>
          </w:p>
        </w:tc>
        <w:tc>
          <w:tcPr>
            <w:tcW w:w="340" w:type="dxa"/>
            <w:vAlign w:val="bottom"/>
            <w:tcBorders>
              <w:top w:val="single" w:sz="8" w:color="auto"/>
            </w:tcBorders>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0220" w:type="dxa"/>
            <w:vAlign w:val="bottom"/>
            <w:gridSpan w:val="49"/>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0000FF"/>
              </w:rPr>
              <w:t>PART I - FINANCIAL INFORMATION</w:t>
            </w:r>
          </w:p>
        </w:tc>
        <w:tc>
          <w:tcPr>
            <w:tcW w:w="220" w:type="dxa"/>
            <w:vAlign w:val="bottom"/>
            <w:gridSpan w:val="4"/>
            <w:shd w:val="clear" w:color="auto" w:fill="CCEEFF"/>
          </w:tcPr>
          <w:p>
            <w:pPr>
              <w:jc w:val="center"/>
              <w:ind w:left="39"/>
              <w:spacing w:after="0" w:line="175" w:lineRule="exact"/>
              <w:rPr>
                <w:sz w:val="20"/>
                <w:szCs w:val="20"/>
                <w:color w:val="auto"/>
              </w:rPr>
            </w:pPr>
            <w:r>
              <w:rPr>
                <w:rFonts w:ascii="Times New Roman" w:cs="Times New Roman" w:eastAsia="Times New Roman" w:hAnsi="Times New Roman"/>
                <w:sz w:val="16"/>
                <w:szCs w:val="16"/>
                <w:color w:val="0000FF"/>
              </w:rPr>
              <w:t>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76"/>
        </w:trPr>
        <w:tc>
          <w:tcPr>
            <w:tcW w:w="20" w:type="dxa"/>
            <w:vAlign w:val="bottom"/>
            <w:tcBorders>
              <w:top w:val="single" w:sz="8" w:color="CCEEFF"/>
            </w:tcBorders>
          </w:tcPr>
          <w:p>
            <w:pPr>
              <w:spacing w:after="0"/>
              <w:rPr>
                <w:sz w:val="15"/>
                <w:szCs w:val="15"/>
                <w:color w:val="auto"/>
              </w:rPr>
            </w:pPr>
          </w:p>
        </w:tc>
        <w:tc>
          <w:tcPr>
            <w:tcW w:w="700" w:type="dxa"/>
            <w:vAlign w:val="bottom"/>
            <w:tcBorders>
              <w:top w:val="single" w:sz="8" w:color="0000FF"/>
            </w:tcBorders>
            <w:gridSpan w:val="3"/>
          </w:tcPr>
          <w:p>
            <w:pPr>
              <w:spacing w:after="0" w:line="175" w:lineRule="exact"/>
              <w:rPr>
                <w:sz w:val="20"/>
                <w:szCs w:val="20"/>
                <w:color w:val="auto"/>
              </w:rPr>
            </w:pPr>
            <w:r>
              <w:rPr>
                <w:rFonts w:ascii="Times New Roman" w:cs="Times New Roman" w:eastAsia="Times New Roman" w:hAnsi="Times New Roman"/>
                <w:sz w:val="16"/>
                <w:szCs w:val="16"/>
                <w:color w:val="0000FF"/>
              </w:rPr>
              <w:t>Item 1.</w:t>
            </w:r>
          </w:p>
        </w:tc>
        <w:tc>
          <w:tcPr>
            <w:tcW w:w="2120" w:type="dxa"/>
            <w:vAlign w:val="bottom"/>
            <w:tcBorders>
              <w:top w:val="single" w:sz="8" w:color="0000FF"/>
            </w:tcBorders>
            <w:gridSpan w:val="24"/>
          </w:tcPr>
          <w:p>
            <w:pPr>
              <w:ind w:left="120"/>
              <w:spacing w:after="0" w:line="175" w:lineRule="exact"/>
              <w:rPr>
                <w:sz w:val="20"/>
                <w:szCs w:val="20"/>
                <w:color w:val="auto"/>
              </w:rPr>
            </w:pPr>
            <w:r>
              <w:rPr>
                <w:rFonts w:ascii="Times New Roman" w:cs="Times New Roman" w:eastAsia="Times New Roman" w:hAnsi="Times New Roman"/>
                <w:sz w:val="16"/>
                <w:szCs w:val="16"/>
                <w:color w:val="0000FF"/>
              </w:rPr>
              <w:t>Financial Statements</w:t>
            </w:r>
          </w:p>
        </w:tc>
        <w:tc>
          <w:tcPr>
            <w:tcW w:w="7400" w:type="dxa"/>
            <w:vAlign w:val="bottom"/>
            <w:tcBorders>
              <w:top w:val="single" w:sz="8" w:color="CCEEFF"/>
            </w:tcBorders>
            <w:gridSpan w:val="22"/>
          </w:tcPr>
          <w:p>
            <w:pPr>
              <w:spacing w:after="0"/>
              <w:rPr>
                <w:sz w:val="15"/>
                <w:szCs w:val="15"/>
                <w:color w:val="auto"/>
              </w:rPr>
            </w:pPr>
          </w:p>
        </w:tc>
        <w:tc>
          <w:tcPr>
            <w:tcW w:w="120" w:type="dxa"/>
            <w:vAlign w:val="bottom"/>
            <w:tcBorders>
              <w:top w:val="single" w:sz="8" w:color="CCEEFF"/>
            </w:tcBorders>
            <w:gridSpan w:val="3"/>
          </w:tcPr>
          <w:p>
            <w:pPr>
              <w:spacing w:after="0"/>
              <w:rPr>
                <w:sz w:val="15"/>
                <w:szCs w:val="15"/>
                <w:color w:val="auto"/>
              </w:rPr>
            </w:pPr>
          </w:p>
        </w:tc>
        <w:tc>
          <w:tcPr>
            <w:tcW w:w="100" w:type="dxa"/>
            <w:vAlign w:val="bottom"/>
            <w:tcBorders>
              <w:top w:val="single" w:sz="8" w:color="0000FF"/>
            </w:tcBorders>
          </w:tcPr>
          <w:p>
            <w:pPr>
              <w:jc w:val="center"/>
              <w:spacing w:after="0" w:line="175" w:lineRule="exact"/>
              <w:rPr>
                <w:sz w:val="20"/>
                <w:szCs w:val="20"/>
                <w:color w:val="auto"/>
              </w:rPr>
            </w:pPr>
            <w:r>
              <w:rPr>
                <w:rFonts w:ascii="Times New Roman" w:cs="Times New Roman" w:eastAsia="Times New Roman" w:hAnsi="Times New Roman"/>
                <w:sz w:val="16"/>
                <w:szCs w:val="16"/>
                <w:color w:val="0000FF"/>
              </w:rPr>
              <w:t>3</w:t>
            </w: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360" w:type="dxa"/>
            <w:vAlign w:val="bottom"/>
            <w:tcBorders>
              <w:top w:val="single" w:sz="8" w:color="0000FF"/>
            </w:tcBorders>
            <w:gridSpan w:val="12"/>
          </w:tcPr>
          <w:p>
            <w:pPr>
              <w:spacing w:after="0" w:line="20" w:lineRule="exact"/>
              <w:rPr>
                <w:sz w:val="1"/>
                <w:szCs w:val="1"/>
                <w:color w:val="auto"/>
              </w:rPr>
            </w:pPr>
          </w:p>
        </w:tc>
        <w:tc>
          <w:tcPr>
            <w:tcW w:w="8160" w:type="dxa"/>
            <w:vAlign w:val="bottom"/>
            <w:gridSpan w:val="36"/>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0" w:type="dxa"/>
            <w:vAlign w:val="bottom"/>
            <w:gridSpan w:val="4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Consolidated Statements of Operations</w:t>
            </w:r>
          </w:p>
        </w:tc>
        <w:tc>
          <w:tcPr>
            <w:tcW w:w="220" w:type="dxa"/>
            <w:vAlign w:val="bottom"/>
            <w:gridSpan w:val="4"/>
            <w:shd w:val="clear" w:color="auto" w:fill="CCEEFF"/>
          </w:tcPr>
          <w:p>
            <w:pPr>
              <w:jc w:val="center"/>
              <w:ind w:left="39"/>
              <w:spacing w:after="0" w:line="175" w:lineRule="exact"/>
              <w:rPr>
                <w:sz w:val="20"/>
                <w:szCs w:val="20"/>
                <w:color w:val="auto"/>
              </w:rPr>
            </w:pPr>
            <w:r>
              <w:rPr>
                <w:rFonts w:ascii="Times New Roman" w:cs="Times New Roman" w:eastAsia="Times New Roman" w:hAnsi="Times New Roman"/>
                <w:sz w:val="16"/>
                <w:szCs w:val="16"/>
                <w:color w:val="0000FF"/>
              </w:rPr>
              <w:t>3</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1"/>
        </w:trPr>
        <w:tc>
          <w:tcPr>
            <w:tcW w:w="840" w:type="dxa"/>
            <w:vAlign w:val="bottom"/>
            <w:tcBorders>
              <w:top w:val="single" w:sz="8" w:color="CCEEFF"/>
            </w:tcBorders>
            <w:gridSpan w:val="5"/>
            <w:shd w:val="clear" w:color="auto" w:fill="CCEEFF"/>
          </w:tcPr>
          <w:p>
            <w:pPr>
              <w:spacing w:after="0" w:line="20" w:lineRule="exact"/>
              <w:rPr>
                <w:sz w:val="1"/>
                <w:szCs w:val="1"/>
                <w:color w:val="auto"/>
              </w:rPr>
            </w:pPr>
          </w:p>
        </w:tc>
        <w:tc>
          <w:tcPr>
            <w:tcW w:w="2540" w:type="dxa"/>
            <w:vAlign w:val="bottom"/>
            <w:tcBorders>
              <w:top w:val="single" w:sz="8" w:color="0000FF"/>
            </w:tcBorders>
            <w:gridSpan w:val="31"/>
            <w:shd w:val="clear" w:color="auto" w:fill="CCEEFF"/>
          </w:tcPr>
          <w:p>
            <w:pPr>
              <w:spacing w:after="0" w:line="20" w:lineRule="exact"/>
              <w:rPr>
                <w:sz w:val="1"/>
                <w:szCs w:val="1"/>
                <w:color w:val="auto"/>
              </w:rPr>
            </w:pPr>
          </w:p>
        </w:tc>
        <w:tc>
          <w:tcPr>
            <w:tcW w:w="6980" w:type="dxa"/>
            <w:vAlign w:val="bottom"/>
            <w:tcBorders>
              <w:top w:val="single" w:sz="8" w:color="CCEEFF"/>
            </w:tcBorders>
            <w:gridSpan w:val="17"/>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gridSpan w:val="4"/>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0" w:type="dxa"/>
            <w:vAlign w:val="bottom"/>
            <w:gridSpan w:val="45"/>
          </w:tcPr>
          <w:p>
            <w:pPr>
              <w:spacing w:after="0" w:line="175" w:lineRule="exact"/>
              <w:rPr>
                <w:sz w:val="20"/>
                <w:szCs w:val="20"/>
                <w:color w:val="auto"/>
              </w:rPr>
            </w:pPr>
            <w:r>
              <w:rPr>
                <w:rFonts w:ascii="Times New Roman" w:cs="Times New Roman" w:eastAsia="Times New Roman" w:hAnsi="Times New Roman"/>
                <w:sz w:val="16"/>
                <w:szCs w:val="16"/>
                <w:color w:val="0000FF"/>
              </w:rPr>
              <w:t>Consolidated Statements of Comprehensive Income (Loss</w:t>
            </w:r>
            <w:r>
              <w:rPr>
                <w:rFonts w:ascii="Times New Roman" w:cs="Times New Roman" w:eastAsia="Times New Roman" w:hAnsi="Times New Roman"/>
                <w:sz w:val="16"/>
                <w:szCs w:val="16"/>
                <w:color w:val="000000"/>
              </w:rPr>
              <w:t>)</w:t>
            </w:r>
          </w:p>
        </w:tc>
        <w:tc>
          <w:tcPr>
            <w:tcW w:w="220" w:type="dxa"/>
            <w:vAlign w:val="bottom"/>
            <w:gridSpan w:val="4"/>
          </w:tcPr>
          <w:p>
            <w:pPr>
              <w:jc w:val="center"/>
              <w:ind w:left="39"/>
              <w:spacing w:after="0" w:line="175" w:lineRule="exact"/>
              <w:rPr>
                <w:sz w:val="20"/>
                <w:szCs w:val="20"/>
                <w:color w:val="auto"/>
              </w:rPr>
            </w:pPr>
            <w:r>
              <w:rPr>
                <w:rFonts w:ascii="Times New Roman" w:cs="Times New Roman" w:eastAsia="Times New Roman" w:hAnsi="Times New Roman"/>
                <w:sz w:val="16"/>
                <w:szCs w:val="16"/>
                <w:color w:val="0000FF"/>
              </w:rPr>
              <w:t>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1"/>
        </w:trPr>
        <w:tc>
          <w:tcPr>
            <w:tcW w:w="840" w:type="dxa"/>
            <w:vAlign w:val="bottom"/>
            <w:gridSpan w:val="5"/>
          </w:tcPr>
          <w:p>
            <w:pPr>
              <w:spacing w:after="0" w:line="20" w:lineRule="exact"/>
              <w:rPr>
                <w:sz w:val="1"/>
                <w:szCs w:val="1"/>
                <w:color w:val="auto"/>
              </w:rPr>
            </w:pPr>
          </w:p>
        </w:tc>
        <w:tc>
          <w:tcPr>
            <w:tcW w:w="3780" w:type="dxa"/>
            <w:vAlign w:val="bottom"/>
            <w:tcBorders>
              <w:top w:val="single" w:sz="8" w:color="0000FF"/>
            </w:tcBorders>
            <w:gridSpan w:val="38"/>
          </w:tcPr>
          <w:p>
            <w:pPr>
              <w:spacing w:after="0" w:line="20" w:lineRule="exact"/>
              <w:rPr>
                <w:sz w:val="1"/>
                <w:szCs w:val="1"/>
                <w:color w:val="auto"/>
              </w:rPr>
            </w:pPr>
          </w:p>
        </w:tc>
        <w:tc>
          <w:tcPr>
            <w:tcW w:w="5740" w:type="dxa"/>
            <w:vAlign w:val="bottom"/>
            <w:gridSpan w:val="10"/>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0" w:type="dxa"/>
            <w:vAlign w:val="bottom"/>
            <w:gridSpan w:val="4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Consolidated Balance Sheets</w:t>
            </w:r>
          </w:p>
        </w:tc>
        <w:tc>
          <w:tcPr>
            <w:tcW w:w="220" w:type="dxa"/>
            <w:vAlign w:val="bottom"/>
            <w:gridSpan w:val="4"/>
            <w:shd w:val="clear" w:color="auto" w:fill="CCEEFF"/>
          </w:tcPr>
          <w:p>
            <w:pPr>
              <w:jc w:val="center"/>
              <w:ind w:left="39"/>
              <w:spacing w:after="0" w:line="175" w:lineRule="exact"/>
              <w:rPr>
                <w:sz w:val="20"/>
                <w:szCs w:val="20"/>
                <w:color w:val="auto"/>
              </w:rPr>
            </w:pPr>
            <w:r>
              <w:rPr>
                <w:rFonts w:ascii="Times New Roman" w:cs="Times New Roman" w:eastAsia="Times New Roman" w:hAnsi="Times New Roman"/>
                <w:sz w:val="16"/>
                <w:szCs w:val="16"/>
                <w:color w:val="0000FF"/>
              </w:rPr>
              <w:t>5</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0"/>
        </w:trPr>
        <w:tc>
          <w:tcPr>
            <w:tcW w:w="840" w:type="dxa"/>
            <w:vAlign w:val="bottom"/>
            <w:tcBorders>
              <w:top w:val="single" w:sz="8" w:color="CCEEFF"/>
            </w:tcBorders>
            <w:gridSpan w:val="5"/>
            <w:shd w:val="clear" w:color="auto" w:fill="CCEEFF"/>
          </w:tcPr>
          <w:p>
            <w:pPr>
              <w:spacing w:after="0" w:line="20" w:lineRule="exact"/>
              <w:rPr>
                <w:sz w:val="1"/>
                <w:szCs w:val="1"/>
                <w:color w:val="auto"/>
              </w:rPr>
            </w:pPr>
          </w:p>
        </w:tc>
        <w:tc>
          <w:tcPr>
            <w:tcW w:w="1880" w:type="dxa"/>
            <w:vAlign w:val="bottom"/>
            <w:tcBorders>
              <w:top w:val="single" w:sz="8" w:color="0000FF"/>
            </w:tcBorders>
            <w:gridSpan w:val="18"/>
            <w:shd w:val="clear" w:color="auto" w:fill="CCEEFF"/>
          </w:tcPr>
          <w:p>
            <w:pPr>
              <w:spacing w:after="0" w:line="20" w:lineRule="exact"/>
              <w:rPr>
                <w:sz w:val="1"/>
                <w:szCs w:val="1"/>
                <w:color w:val="auto"/>
              </w:rPr>
            </w:pPr>
          </w:p>
        </w:tc>
        <w:tc>
          <w:tcPr>
            <w:tcW w:w="7640" w:type="dxa"/>
            <w:vAlign w:val="bottom"/>
            <w:tcBorders>
              <w:top w:val="single" w:sz="8" w:color="CCEEFF"/>
            </w:tcBorders>
            <w:gridSpan w:val="30"/>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gridSpan w:val="4"/>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0" w:type="dxa"/>
            <w:vAlign w:val="bottom"/>
            <w:gridSpan w:val="45"/>
          </w:tcPr>
          <w:p>
            <w:pPr>
              <w:spacing w:after="0" w:line="175" w:lineRule="exact"/>
              <w:rPr>
                <w:sz w:val="20"/>
                <w:szCs w:val="20"/>
                <w:color w:val="auto"/>
              </w:rPr>
            </w:pPr>
            <w:r>
              <w:rPr>
                <w:rFonts w:ascii="Times New Roman" w:cs="Times New Roman" w:eastAsia="Times New Roman" w:hAnsi="Times New Roman"/>
                <w:sz w:val="16"/>
                <w:szCs w:val="16"/>
                <w:color w:val="0000FF"/>
              </w:rPr>
              <w:t>Consolidated Statements of Cash Flows</w:t>
            </w:r>
          </w:p>
        </w:tc>
        <w:tc>
          <w:tcPr>
            <w:tcW w:w="220" w:type="dxa"/>
            <w:vAlign w:val="bottom"/>
            <w:gridSpan w:val="4"/>
          </w:tcPr>
          <w:p>
            <w:pPr>
              <w:jc w:val="center"/>
              <w:ind w:left="39"/>
              <w:spacing w:after="0" w:line="175" w:lineRule="exact"/>
              <w:rPr>
                <w:sz w:val="20"/>
                <w:szCs w:val="20"/>
                <w:color w:val="auto"/>
              </w:rPr>
            </w:pPr>
            <w:r>
              <w:rPr>
                <w:rFonts w:ascii="Times New Roman" w:cs="Times New Roman" w:eastAsia="Times New Roman" w:hAnsi="Times New Roman"/>
                <w:sz w:val="16"/>
                <w:szCs w:val="16"/>
                <w:color w:val="0000FF"/>
              </w:rPr>
              <w:t>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
        </w:trPr>
        <w:tc>
          <w:tcPr>
            <w:tcW w:w="840" w:type="dxa"/>
            <w:vAlign w:val="bottom"/>
            <w:gridSpan w:val="5"/>
          </w:tcPr>
          <w:p>
            <w:pPr>
              <w:spacing w:after="0" w:line="20" w:lineRule="exact"/>
              <w:rPr>
                <w:sz w:val="1"/>
                <w:szCs w:val="1"/>
                <w:color w:val="auto"/>
              </w:rPr>
            </w:pPr>
          </w:p>
        </w:tc>
        <w:tc>
          <w:tcPr>
            <w:tcW w:w="2600" w:type="dxa"/>
            <w:vAlign w:val="bottom"/>
            <w:tcBorders>
              <w:top w:val="single" w:sz="8" w:color="0000FF"/>
            </w:tcBorders>
            <w:gridSpan w:val="33"/>
          </w:tcPr>
          <w:p>
            <w:pPr>
              <w:spacing w:after="0" w:line="20" w:lineRule="exact"/>
              <w:rPr>
                <w:sz w:val="1"/>
                <w:szCs w:val="1"/>
                <w:color w:val="auto"/>
              </w:rPr>
            </w:pPr>
          </w:p>
        </w:tc>
        <w:tc>
          <w:tcPr>
            <w:tcW w:w="6920" w:type="dxa"/>
            <w:vAlign w:val="bottom"/>
            <w:gridSpan w:val="15"/>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0" w:type="dxa"/>
            <w:vAlign w:val="bottom"/>
            <w:gridSpan w:val="4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Consolidated Statements of Changes in Stockholders’ Equity</w:t>
            </w:r>
          </w:p>
        </w:tc>
        <w:tc>
          <w:tcPr>
            <w:tcW w:w="220" w:type="dxa"/>
            <w:vAlign w:val="bottom"/>
            <w:gridSpan w:val="4"/>
            <w:shd w:val="clear" w:color="auto" w:fill="CCEEFF"/>
          </w:tcPr>
          <w:p>
            <w:pPr>
              <w:jc w:val="center"/>
              <w:ind w:left="39"/>
              <w:spacing w:after="0" w:line="175" w:lineRule="exact"/>
              <w:rPr>
                <w:sz w:val="20"/>
                <w:szCs w:val="20"/>
                <w:color w:val="auto"/>
              </w:rPr>
            </w:pPr>
            <w:r>
              <w:rPr>
                <w:rFonts w:ascii="Times New Roman" w:cs="Times New Roman" w:eastAsia="Times New Roman" w:hAnsi="Times New Roman"/>
                <w:sz w:val="16"/>
                <w:szCs w:val="16"/>
                <w:color w:val="0000FF"/>
              </w:rPr>
              <w:t>7</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75"/>
        </w:trPr>
        <w:tc>
          <w:tcPr>
            <w:tcW w:w="2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960" w:type="dxa"/>
            <w:vAlign w:val="bottom"/>
            <w:tcBorders>
              <w:top w:val="single" w:sz="8" w:color="0000FF"/>
            </w:tcBorders>
            <w:gridSpan w:val="42"/>
          </w:tcPr>
          <w:p>
            <w:pPr>
              <w:spacing w:after="0" w:line="175" w:lineRule="exact"/>
              <w:rPr>
                <w:sz w:val="20"/>
                <w:szCs w:val="20"/>
                <w:color w:val="auto"/>
              </w:rPr>
            </w:pPr>
            <w:r>
              <w:rPr>
                <w:rFonts w:ascii="Times New Roman" w:cs="Times New Roman" w:eastAsia="Times New Roman" w:hAnsi="Times New Roman"/>
                <w:sz w:val="16"/>
                <w:szCs w:val="16"/>
                <w:color w:val="0000FF"/>
              </w:rPr>
              <w:t>Notes to the Unaudited Consolidated Financial Statements</w:t>
            </w:r>
          </w:p>
        </w:tc>
        <w:tc>
          <w:tcPr>
            <w:tcW w:w="5440" w:type="dxa"/>
            <w:vAlign w:val="bottom"/>
            <w:tcBorders>
              <w:top w:val="single" w:sz="8" w:color="CCEEFF"/>
            </w:tcBorders>
            <w:gridSpan w:val="3"/>
          </w:tcPr>
          <w:p>
            <w:pPr>
              <w:spacing w:after="0"/>
              <w:rPr>
                <w:sz w:val="15"/>
                <w:szCs w:val="15"/>
                <w:color w:val="auto"/>
              </w:rPr>
            </w:pPr>
          </w:p>
        </w:tc>
        <w:tc>
          <w:tcPr>
            <w:tcW w:w="120" w:type="dxa"/>
            <w:vAlign w:val="bottom"/>
            <w:tcBorders>
              <w:top w:val="single" w:sz="8" w:color="CCEEFF"/>
            </w:tcBorders>
            <w:gridSpan w:val="3"/>
          </w:tcPr>
          <w:p>
            <w:pPr>
              <w:spacing w:after="0"/>
              <w:rPr>
                <w:sz w:val="15"/>
                <w:szCs w:val="15"/>
                <w:color w:val="auto"/>
              </w:rPr>
            </w:pPr>
          </w:p>
        </w:tc>
        <w:tc>
          <w:tcPr>
            <w:tcW w:w="100" w:type="dxa"/>
            <w:vAlign w:val="bottom"/>
            <w:tcBorders>
              <w:top w:val="single" w:sz="8" w:color="0000FF"/>
            </w:tcBorders>
          </w:tcPr>
          <w:p>
            <w:pPr>
              <w:jc w:val="center"/>
              <w:spacing w:after="0" w:line="175" w:lineRule="exact"/>
              <w:rPr>
                <w:sz w:val="20"/>
                <w:szCs w:val="20"/>
                <w:color w:val="auto"/>
              </w:rPr>
            </w:pPr>
            <w:r>
              <w:rPr>
                <w:rFonts w:ascii="Times New Roman" w:cs="Times New Roman" w:eastAsia="Times New Roman" w:hAnsi="Times New Roman"/>
                <w:sz w:val="16"/>
                <w:szCs w:val="16"/>
                <w:color w:val="0000FF"/>
              </w:rPr>
              <w:t>8</w:t>
            </w: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r>
      <w:tr>
        <w:trPr>
          <w:trHeight w:val="21"/>
        </w:trPr>
        <w:tc>
          <w:tcPr>
            <w:tcW w:w="840" w:type="dxa"/>
            <w:vAlign w:val="bottom"/>
            <w:gridSpan w:val="5"/>
          </w:tcPr>
          <w:p>
            <w:pPr>
              <w:spacing w:after="0" w:line="20" w:lineRule="exact"/>
              <w:rPr>
                <w:sz w:val="1"/>
                <w:szCs w:val="1"/>
                <w:color w:val="auto"/>
              </w:rPr>
            </w:pPr>
          </w:p>
        </w:tc>
        <w:tc>
          <w:tcPr>
            <w:tcW w:w="3800" w:type="dxa"/>
            <w:vAlign w:val="bottom"/>
            <w:tcBorders>
              <w:top w:val="single" w:sz="8" w:color="0000FF"/>
            </w:tcBorders>
            <w:gridSpan w:val="39"/>
          </w:tcPr>
          <w:p>
            <w:pPr>
              <w:spacing w:after="0" w:line="20" w:lineRule="exact"/>
              <w:rPr>
                <w:sz w:val="1"/>
                <w:szCs w:val="1"/>
                <w:color w:val="auto"/>
              </w:rPr>
            </w:pPr>
          </w:p>
        </w:tc>
        <w:tc>
          <w:tcPr>
            <w:tcW w:w="5720" w:type="dxa"/>
            <w:vAlign w:val="bottom"/>
            <w:gridSpan w:val="9"/>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3"/>
            <w:shd w:val="clear" w:color="auto" w:fill="CCEEFF"/>
          </w:tcPr>
          <w:p>
            <w:pPr>
              <w:ind w:left="460"/>
              <w:spacing w:after="0" w:line="175" w:lineRule="exact"/>
              <w:rPr>
                <w:sz w:val="20"/>
                <w:szCs w:val="20"/>
                <w:color w:val="auto"/>
              </w:rPr>
            </w:pPr>
            <w:r>
              <w:rPr>
                <w:rFonts w:ascii="Times New Roman" w:cs="Times New Roman" w:eastAsia="Times New Roman" w:hAnsi="Times New Roman"/>
                <w:sz w:val="16"/>
                <w:szCs w:val="16"/>
                <w:color w:val="0000FF"/>
                <w:w w:val="99"/>
              </w:rPr>
              <w:t>1.</w:t>
            </w:r>
          </w:p>
        </w:tc>
        <w:tc>
          <w:tcPr>
            <w:tcW w:w="8920" w:type="dxa"/>
            <w:vAlign w:val="bottom"/>
            <w:gridSpan w:val="43"/>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0000FF"/>
              </w:rPr>
              <w:t>Organization</w:t>
            </w:r>
          </w:p>
        </w:tc>
        <w:tc>
          <w:tcPr>
            <w:tcW w:w="220" w:type="dxa"/>
            <w:vAlign w:val="bottom"/>
            <w:gridSpan w:val="4"/>
            <w:shd w:val="clear" w:color="auto" w:fill="CCEEFF"/>
          </w:tcPr>
          <w:p>
            <w:pPr>
              <w:jc w:val="center"/>
              <w:ind w:left="39"/>
              <w:spacing w:after="0" w:line="175" w:lineRule="exact"/>
              <w:rPr>
                <w:sz w:val="20"/>
                <w:szCs w:val="20"/>
                <w:color w:val="auto"/>
              </w:rPr>
            </w:pPr>
            <w:r>
              <w:rPr>
                <w:rFonts w:ascii="Times New Roman" w:cs="Times New Roman" w:eastAsia="Times New Roman" w:hAnsi="Times New Roman"/>
                <w:sz w:val="16"/>
                <w:szCs w:val="16"/>
                <w:color w:val="0000FF"/>
              </w:rPr>
              <w:t>8</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1"/>
        </w:trPr>
        <w:tc>
          <w:tcPr>
            <w:tcW w:w="1180" w:type="dxa"/>
            <w:vAlign w:val="bottom"/>
            <w:tcBorders>
              <w:top w:val="single" w:sz="8" w:color="CCEEFF"/>
            </w:tcBorders>
            <w:gridSpan w:val="6"/>
            <w:shd w:val="clear" w:color="auto" w:fill="CCEEFF"/>
          </w:tcPr>
          <w:p>
            <w:pPr>
              <w:spacing w:after="0" w:line="20" w:lineRule="exact"/>
              <w:rPr>
                <w:sz w:val="1"/>
                <w:szCs w:val="1"/>
                <w:color w:val="auto"/>
              </w:rPr>
            </w:pPr>
          </w:p>
        </w:tc>
        <w:tc>
          <w:tcPr>
            <w:tcW w:w="1000" w:type="dxa"/>
            <w:vAlign w:val="bottom"/>
            <w:tcBorders>
              <w:top w:val="single" w:sz="8" w:color="0000FF"/>
            </w:tcBorders>
            <w:gridSpan w:val="10"/>
            <w:shd w:val="clear" w:color="auto" w:fill="CCEEFF"/>
          </w:tcPr>
          <w:p>
            <w:pPr>
              <w:spacing w:after="0" w:line="20" w:lineRule="exact"/>
              <w:rPr>
                <w:sz w:val="1"/>
                <w:szCs w:val="1"/>
                <w:color w:val="auto"/>
              </w:rPr>
            </w:pPr>
          </w:p>
        </w:tc>
        <w:tc>
          <w:tcPr>
            <w:tcW w:w="8180" w:type="dxa"/>
            <w:vAlign w:val="bottom"/>
            <w:tcBorders>
              <w:top w:val="single" w:sz="8" w:color="CCEEFF"/>
            </w:tcBorders>
            <w:gridSpan w:val="37"/>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gridSpan w:val="4"/>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3"/>
          </w:tcPr>
          <w:p>
            <w:pPr>
              <w:ind w:left="460"/>
              <w:spacing w:after="0" w:line="175" w:lineRule="exact"/>
              <w:rPr>
                <w:sz w:val="20"/>
                <w:szCs w:val="20"/>
                <w:color w:val="auto"/>
              </w:rPr>
            </w:pPr>
            <w:r>
              <w:rPr>
                <w:rFonts w:ascii="Times New Roman" w:cs="Times New Roman" w:eastAsia="Times New Roman" w:hAnsi="Times New Roman"/>
                <w:sz w:val="16"/>
                <w:szCs w:val="16"/>
                <w:color w:val="0000FF"/>
                <w:w w:val="99"/>
              </w:rPr>
              <w:t>2.</w:t>
            </w:r>
          </w:p>
        </w:tc>
        <w:tc>
          <w:tcPr>
            <w:tcW w:w="8920" w:type="dxa"/>
            <w:vAlign w:val="bottom"/>
            <w:gridSpan w:val="43"/>
          </w:tcPr>
          <w:p>
            <w:pPr>
              <w:ind w:left="20"/>
              <w:spacing w:after="0" w:line="175" w:lineRule="exact"/>
              <w:rPr>
                <w:sz w:val="20"/>
                <w:szCs w:val="20"/>
                <w:color w:val="auto"/>
              </w:rPr>
            </w:pPr>
            <w:r>
              <w:rPr>
                <w:rFonts w:ascii="Times New Roman" w:cs="Times New Roman" w:eastAsia="Times New Roman" w:hAnsi="Times New Roman"/>
                <w:sz w:val="16"/>
                <w:szCs w:val="16"/>
                <w:color w:val="0000FF"/>
              </w:rPr>
              <w:t>Significant Accounting Policies</w:t>
            </w:r>
          </w:p>
        </w:tc>
        <w:tc>
          <w:tcPr>
            <w:tcW w:w="220" w:type="dxa"/>
            <w:vAlign w:val="bottom"/>
            <w:gridSpan w:val="4"/>
          </w:tcPr>
          <w:p>
            <w:pPr>
              <w:jc w:val="center"/>
              <w:ind w:left="39"/>
              <w:spacing w:after="0" w:line="175" w:lineRule="exact"/>
              <w:rPr>
                <w:sz w:val="20"/>
                <w:szCs w:val="20"/>
                <w:color w:val="auto"/>
              </w:rPr>
            </w:pPr>
            <w:r>
              <w:rPr>
                <w:rFonts w:ascii="Times New Roman" w:cs="Times New Roman" w:eastAsia="Times New Roman" w:hAnsi="Times New Roman"/>
                <w:sz w:val="16"/>
                <w:szCs w:val="16"/>
                <w:color w:val="0000FF"/>
              </w:rPr>
              <w:t>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1"/>
        </w:trPr>
        <w:tc>
          <w:tcPr>
            <w:tcW w:w="1180" w:type="dxa"/>
            <w:vAlign w:val="bottom"/>
            <w:gridSpan w:val="6"/>
          </w:tcPr>
          <w:p>
            <w:pPr>
              <w:spacing w:after="0" w:line="20" w:lineRule="exact"/>
              <w:rPr>
                <w:sz w:val="1"/>
                <w:szCs w:val="1"/>
                <w:color w:val="auto"/>
              </w:rPr>
            </w:pPr>
          </w:p>
        </w:tc>
        <w:tc>
          <w:tcPr>
            <w:tcW w:w="2220" w:type="dxa"/>
            <w:vAlign w:val="bottom"/>
            <w:tcBorders>
              <w:top w:val="single" w:sz="8" w:color="0000FF"/>
            </w:tcBorders>
            <w:gridSpan w:val="31"/>
          </w:tcPr>
          <w:p>
            <w:pPr>
              <w:spacing w:after="0" w:line="20" w:lineRule="exact"/>
              <w:rPr>
                <w:sz w:val="1"/>
                <w:szCs w:val="1"/>
                <w:color w:val="auto"/>
              </w:rPr>
            </w:pPr>
          </w:p>
        </w:tc>
        <w:tc>
          <w:tcPr>
            <w:tcW w:w="6960" w:type="dxa"/>
            <w:vAlign w:val="bottom"/>
            <w:gridSpan w:val="16"/>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3"/>
            <w:shd w:val="clear" w:color="auto" w:fill="CCEEFF"/>
          </w:tcPr>
          <w:p>
            <w:pPr>
              <w:ind w:left="460"/>
              <w:spacing w:after="0" w:line="175" w:lineRule="exact"/>
              <w:rPr>
                <w:sz w:val="20"/>
                <w:szCs w:val="20"/>
                <w:color w:val="auto"/>
              </w:rPr>
            </w:pPr>
            <w:r>
              <w:rPr>
                <w:rFonts w:ascii="Times New Roman" w:cs="Times New Roman" w:eastAsia="Times New Roman" w:hAnsi="Times New Roman"/>
                <w:sz w:val="16"/>
                <w:szCs w:val="16"/>
                <w:color w:val="0000FF"/>
                <w:w w:val="99"/>
              </w:rPr>
              <w:t>3.</w:t>
            </w:r>
          </w:p>
        </w:tc>
        <w:tc>
          <w:tcPr>
            <w:tcW w:w="8920" w:type="dxa"/>
            <w:vAlign w:val="bottom"/>
            <w:gridSpan w:val="43"/>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0000FF"/>
              </w:rPr>
              <w:t>Revenue Recognition</w:t>
            </w:r>
          </w:p>
        </w:tc>
        <w:tc>
          <w:tcPr>
            <w:tcW w:w="340" w:type="dxa"/>
            <w:vAlign w:val="bottom"/>
            <w:gridSpan w:val="7"/>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10</w:t>
            </w:r>
          </w:p>
        </w:tc>
        <w:tc>
          <w:tcPr>
            <w:tcW w:w="660" w:type="dxa"/>
            <w:vAlign w:val="bottom"/>
            <w:shd w:val="clear" w:color="auto" w:fill="CCEEFF"/>
          </w:tcPr>
          <w:p>
            <w:pPr>
              <w:spacing w:after="0"/>
              <w:rPr>
                <w:sz w:val="15"/>
                <w:szCs w:val="15"/>
                <w:color w:val="auto"/>
              </w:rPr>
            </w:pPr>
          </w:p>
        </w:tc>
      </w:tr>
      <w:tr>
        <w:trPr>
          <w:trHeight w:val="21"/>
        </w:trPr>
        <w:tc>
          <w:tcPr>
            <w:tcW w:w="1180" w:type="dxa"/>
            <w:vAlign w:val="bottom"/>
            <w:tcBorders>
              <w:top w:val="single" w:sz="8" w:color="CCEEFF"/>
            </w:tcBorders>
            <w:gridSpan w:val="6"/>
            <w:shd w:val="clear" w:color="auto" w:fill="CCEEFF"/>
          </w:tcPr>
          <w:p>
            <w:pPr>
              <w:spacing w:after="0" w:line="20" w:lineRule="exact"/>
              <w:rPr>
                <w:sz w:val="1"/>
                <w:szCs w:val="1"/>
                <w:color w:val="auto"/>
              </w:rPr>
            </w:pPr>
          </w:p>
        </w:tc>
        <w:tc>
          <w:tcPr>
            <w:tcW w:w="1560" w:type="dxa"/>
            <w:vAlign w:val="bottom"/>
            <w:tcBorders>
              <w:top w:val="single" w:sz="8" w:color="0000FF"/>
            </w:tcBorders>
            <w:gridSpan w:val="18"/>
            <w:shd w:val="clear" w:color="auto" w:fill="CCEEFF"/>
          </w:tcPr>
          <w:p>
            <w:pPr>
              <w:spacing w:after="0" w:line="20" w:lineRule="exact"/>
              <w:rPr>
                <w:sz w:val="1"/>
                <w:szCs w:val="1"/>
                <w:color w:val="auto"/>
              </w:rPr>
            </w:pPr>
          </w:p>
        </w:tc>
        <w:tc>
          <w:tcPr>
            <w:tcW w:w="7580" w:type="dxa"/>
            <w:vAlign w:val="bottom"/>
            <w:tcBorders>
              <w:top w:val="single" w:sz="8" w:color="CCEEFF"/>
            </w:tcBorders>
            <w:gridSpan w:val="27"/>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3"/>
          </w:tcPr>
          <w:p>
            <w:pPr>
              <w:ind w:left="460"/>
              <w:spacing w:after="0" w:line="175" w:lineRule="exact"/>
              <w:rPr>
                <w:sz w:val="20"/>
                <w:szCs w:val="20"/>
                <w:color w:val="auto"/>
              </w:rPr>
            </w:pPr>
            <w:r>
              <w:rPr>
                <w:rFonts w:ascii="Times New Roman" w:cs="Times New Roman" w:eastAsia="Times New Roman" w:hAnsi="Times New Roman"/>
                <w:sz w:val="16"/>
                <w:szCs w:val="16"/>
                <w:color w:val="0000FF"/>
                <w:w w:val="99"/>
              </w:rPr>
              <w:t>4.</w:t>
            </w:r>
          </w:p>
        </w:tc>
        <w:tc>
          <w:tcPr>
            <w:tcW w:w="8920" w:type="dxa"/>
            <w:vAlign w:val="bottom"/>
            <w:gridSpan w:val="43"/>
          </w:tcPr>
          <w:p>
            <w:pPr>
              <w:ind w:left="20"/>
              <w:spacing w:after="0" w:line="175" w:lineRule="exact"/>
              <w:rPr>
                <w:sz w:val="20"/>
                <w:szCs w:val="20"/>
                <w:color w:val="auto"/>
              </w:rPr>
            </w:pPr>
            <w:r>
              <w:rPr>
                <w:rFonts w:ascii="Times New Roman" w:cs="Times New Roman" w:eastAsia="Times New Roman" w:hAnsi="Times New Roman"/>
                <w:sz w:val="16"/>
                <w:szCs w:val="16"/>
                <w:color w:val="0000FF"/>
              </w:rPr>
              <w:t>Accounts Receivable, Net</w:t>
            </w:r>
          </w:p>
        </w:tc>
        <w:tc>
          <w:tcPr>
            <w:tcW w:w="260" w:type="dxa"/>
            <w:vAlign w:val="bottom"/>
            <w:gridSpan w:val="6"/>
          </w:tcPr>
          <w:p>
            <w:pPr>
              <w:jc w:val="center"/>
              <w:spacing w:after="0" w:line="175" w:lineRule="exact"/>
              <w:rPr>
                <w:sz w:val="20"/>
                <w:szCs w:val="20"/>
                <w:color w:val="auto"/>
              </w:rPr>
            </w:pPr>
            <w:r>
              <w:rPr>
                <w:rFonts w:ascii="Times New Roman" w:cs="Times New Roman" w:eastAsia="Times New Roman" w:hAnsi="Times New Roman"/>
                <w:sz w:val="16"/>
                <w:szCs w:val="16"/>
                <w:color w:val="0000FF"/>
                <w:w w:val="87"/>
              </w:rPr>
              <w:t>11</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
        </w:trPr>
        <w:tc>
          <w:tcPr>
            <w:tcW w:w="1180" w:type="dxa"/>
            <w:vAlign w:val="bottom"/>
            <w:gridSpan w:val="6"/>
          </w:tcPr>
          <w:p>
            <w:pPr>
              <w:spacing w:after="0" w:line="20" w:lineRule="exact"/>
              <w:rPr>
                <w:sz w:val="1"/>
                <w:szCs w:val="1"/>
                <w:color w:val="auto"/>
              </w:rPr>
            </w:pPr>
          </w:p>
        </w:tc>
        <w:tc>
          <w:tcPr>
            <w:tcW w:w="1840" w:type="dxa"/>
            <w:vAlign w:val="bottom"/>
            <w:tcBorders>
              <w:top w:val="single" w:sz="8" w:color="0000FF"/>
            </w:tcBorders>
            <w:gridSpan w:val="26"/>
          </w:tcPr>
          <w:p>
            <w:pPr>
              <w:spacing w:after="0" w:line="20" w:lineRule="exact"/>
              <w:rPr>
                <w:sz w:val="1"/>
                <w:szCs w:val="1"/>
                <w:color w:val="auto"/>
              </w:rPr>
            </w:pPr>
          </w:p>
        </w:tc>
        <w:tc>
          <w:tcPr>
            <w:tcW w:w="7320" w:type="dxa"/>
            <w:vAlign w:val="bottom"/>
            <w:gridSpan w:val="20"/>
          </w:tcPr>
          <w:p>
            <w:pPr>
              <w:spacing w:after="0" w:line="20" w:lineRule="exact"/>
              <w:rPr>
                <w:sz w:val="1"/>
                <w:szCs w:val="1"/>
                <w:color w:val="auto"/>
              </w:rPr>
            </w:pPr>
          </w:p>
        </w:tc>
        <w:tc>
          <w:tcPr>
            <w:tcW w:w="140" w:type="dxa"/>
            <w:vAlign w:val="bottom"/>
            <w:tcBorders>
              <w:top w:val="single" w:sz="8" w:color="0000FF"/>
            </w:tcBorders>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3"/>
            <w:shd w:val="clear" w:color="auto" w:fill="CCEEFF"/>
          </w:tcPr>
          <w:p>
            <w:pPr>
              <w:ind w:left="460"/>
              <w:spacing w:after="0" w:line="175" w:lineRule="exact"/>
              <w:rPr>
                <w:sz w:val="20"/>
                <w:szCs w:val="20"/>
                <w:color w:val="auto"/>
              </w:rPr>
            </w:pPr>
            <w:r>
              <w:rPr>
                <w:rFonts w:ascii="Times New Roman" w:cs="Times New Roman" w:eastAsia="Times New Roman" w:hAnsi="Times New Roman"/>
                <w:sz w:val="16"/>
                <w:szCs w:val="16"/>
                <w:color w:val="0000FF"/>
                <w:w w:val="99"/>
              </w:rPr>
              <w:t>5.</w:t>
            </w:r>
          </w:p>
        </w:tc>
        <w:tc>
          <w:tcPr>
            <w:tcW w:w="8920" w:type="dxa"/>
            <w:vAlign w:val="bottom"/>
            <w:gridSpan w:val="43"/>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0000FF"/>
              </w:rPr>
              <w:t>Property and Equipment, Net</w:t>
            </w:r>
          </w:p>
        </w:tc>
        <w:tc>
          <w:tcPr>
            <w:tcW w:w="340" w:type="dxa"/>
            <w:vAlign w:val="bottom"/>
            <w:gridSpan w:val="7"/>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12</w:t>
            </w:r>
          </w:p>
        </w:tc>
        <w:tc>
          <w:tcPr>
            <w:tcW w:w="660" w:type="dxa"/>
            <w:vAlign w:val="bottom"/>
            <w:shd w:val="clear" w:color="auto" w:fill="CCEEFF"/>
          </w:tcPr>
          <w:p>
            <w:pPr>
              <w:spacing w:after="0"/>
              <w:rPr>
                <w:sz w:val="15"/>
                <w:szCs w:val="15"/>
                <w:color w:val="auto"/>
              </w:rPr>
            </w:pPr>
          </w:p>
        </w:tc>
      </w:tr>
      <w:tr>
        <w:trPr>
          <w:trHeight w:val="21"/>
        </w:trPr>
        <w:tc>
          <w:tcPr>
            <w:tcW w:w="1180" w:type="dxa"/>
            <w:vAlign w:val="bottom"/>
            <w:tcBorders>
              <w:top w:val="single" w:sz="8" w:color="CCEEFF"/>
            </w:tcBorders>
            <w:gridSpan w:val="6"/>
            <w:shd w:val="clear" w:color="auto" w:fill="CCEEFF"/>
          </w:tcPr>
          <w:p>
            <w:pPr>
              <w:spacing w:after="0" w:line="20" w:lineRule="exact"/>
              <w:rPr>
                <w:sz w:val="1"/>
                <w:szCs w:val="1"/>
                <w:color w:val="auto"/>
              </w:rPr>
            </w:pPr>
          </w:p>
        </w:tc>
        <w:tc>
          <w:tcPr>
            <w:tcW w:w="2060" w:type="dxa"/>
            <w:vAlign w:val="bottom"/>
            <w:tcBorders>
              <w:top w:val="single" w:sz="8" w:color="0000FF"/>
            </w:tcBorders>
            <w:gridSpan w:val="29"/>
            <w:shd w:val="clear" w:color="auto" w:fill="CCEEFF"/>
          </w:tcPr>
          <w:p>
            <w:pPr>
              <w:spacing w:after="0" w:line="20" w:lineRule="exact"/>
              <w:rPr>
                <w:sz w:val="1"/>
                <w:szCs w:val="1"/>
                <w:color w:val="auto"/>
              </w:rPr>
            </w:pPr>
          </w:p>
        </w:tc>
        <w:tc>
          <w:tcPr>
            <w:tcW w:w="7080" w:type="dxa"/>
            <w:vAlign w:val="bottom"/>
            <w:tcBorders>
              <w:top w:val="single" w:sz="8" w:color="CCEEFF"/>
            </w:tcBorders>
            <w:gridSpan w:val="16"/>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3"/>
          </w:tcPr>
          <w:p>
            <w:pPr>
              <w:ind w:left="460"/>
              <w:spacing w:after="0" w:line="175" w:lineRule="exact"/>
              <w:rPr>
                <w:sz w:val="20"/>
                <w:szCs w:val="20"/>
                <w:color w:val="auto"/>
              </w:rPr>
            </w:pPr>
            <w:r>
              <w:rPr>
                <w:rFonts w:ascii="Times New Roman" w:cs="Times New Roman" w:eastAsia="Times New Roman" w:hAnsi="Times New Roman"/>
                <w:sz w:val="16"/>
                <w:szCs w:val="16"/>
                <w:color w:val="0000FF"/>
                <w:w w:val="99"/>
              </w:rPr>
              <w:t>6.</w:t>
            </w:r>
          </w:p>
        </w:tc>
        <w:tc>
          <w:tcPr>
            <w:tcW w:w="8920" w:type="dxa"/>
            <w:vAlign w:val="bottom"/>
            <w:gridSpan w:val="43"/>
          </w:tcPr>
          <w:p>
            <w:pPr>
              <w:ind w:left="20"/>
              <w:spacing w:after="0" w:line="175" w:lineRule="exact"/>
              <w:rPr>
                <w:sz w:val="20"/>
                <w:szCs w:val="20"/>
                <w:color w:val="auto"/>
              </w:rPr>
            </w:pPr>
            <w:r>
              <w:rPr>
                <w:rFonts w:ascii="Times New Roman" w:cs="Times New Roman" w:eastAsia="Times New Roman" w:hAnsi="Times New Roman"/>
                <w:sz w:val="16"/>
                <w:szCs w:val="16"/>
                <w:color w:val="0000FF"/>
              </w:rPr>
              <w:t>Goodwill</w:t>
            </w:r>
          </w:p>
        </w:tc>
        <w:tc>
          <w:tcPr>
            <w:tcW w:w="340" w:type="dxa"/>
            <w:vAlign w:val="bottom"/>
            <w:gridSpan w:val="7"/>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12</w:t>
            </w:r>
          </w:p>
        </w:tc>
        <w:tc>
          <w:tcPr>
            <w:tcW w:w="660" w:type="dxa"/>
            <w:vAlign w:val="bottom"/>
          </w:tcPr>
          <w:p>
            <w:pPr>
              <w:spacing w:after="0"/>
              <w:rPr>
                <w:sz w:val="15"/>
                <w:szCs w:val="15"/>
                <w:color w:val="auto"/>
              </w:rPr>
            </w:pPr>
          </w:p>
        </w:tc>
      </w:tr>
      <w:tr>
        <w:trPr>
          <w:trHeight w:val="21"/>
        </w:trPr>
        <w:tc>
          <w:tcPr>
            <w:tcW w:w="1180" w:type="dxa"/>
            <w:vAlign w:val="bottom"/>
            <w:gridSpan w:val="6"/>
          </w:tcPr>
          <w:p>
            <w:pPr>
              <w:spacing w:after="0" w:line="20" w:lineRule="exact"/>
              <w:rPr>
                <w:sz w:val="1"/>
                <w:szCs w:val="1"/>
                <w:color w:val="auto"/>
              </w:rPr>
            </w:pPr>
          </w:p>
        </w:tc>
        <w:tc>
          <w:tcPr>
            <w:tcW w:w="760" w:type="dxa"/>
            <w:vAlign w:val="bottom"/>
            <w:tcBorders>
              <w:top w:val="single" w:sz="8" w:color="0000FF"/>
            </w:tcBorders>
            <w:gridSpan w:val="6"/>
          </w:tcPr>
          <w:p>
            <w:pPr>
              <w:spacing w:after="0" w:line="20" w:lineRule="exact"/>
              <w:rPr>
                <w:sz w:val="1"/>
                <w:szCs w:val="1"/>
                <w:color w:val="auto"/>
              </w:rPr>
            </w:pPr>
          </w:p>
        </w:tc>
        <w:tc>
          <w:tcPr>
            <w:tcW w:w="8380" w:type="dxa"/>
            <w:vAlign w:val="bottom"/>
            <w:gridSpan w:val="39"/>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3"/>
            <w:shd w:val="clear" w:color="auto" w:fill="CCEEFF"/>
          </w:tcPr>
          <w:p>
            <w:pPr>
              <w:ind w:left="460"/>
              <w:spacing w:after="0" w:line="175" w:lineRule="exact"/>
              <w:rPr>
                <w:sz w:val="20"/>
                <w:szCs w:val="20"/>
                <w:color w:val="auto"/>
              </w:rPr>
            </w:pPr>
            <w:r>
              <w:rPr>
                <w:rFonts w:ascii="Times New Roman" w:cs="Times New Roman" w:eastAsia="Times New Roman" w:hAnsi="Times New Roman"/>
                <w:sz w:val="16"/>
                <w:szCs w:val="16"/>
                <w:color w:val="0000FF"/>
                <w:w w:val="99"/>
              </w:rPr>
              <w:t>7.</w:t>
            </w:r>
          </w:p>
        </w:tc>
        <w:tc>
          <w:tcPr>
            <w:tcW w:w="8920" w:type="dxa"/>
            <w:vAlign w:val="bottom"/>
            <w:gridSpan w:val="43"/>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0000FF"/>
              </w:rPr>
              <w:t>Intangible Assets, Net</w:t>
            </w:r>
          </w:p>
        </w:tc>
        <w:tc>
          <w:tcPr>
            <w:tcW w:w="340" w:type="dxa"/>
            <w:vAlign w:val="bottom"/>
            <w:gridSpan w:val="7"/>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12</w:t>
            </w:r>
          </w:p>
        </w:tc>
        <w:tc>
          <w:tcPr>
            <w:tcW w:w="660" w:type="dxa"/>
            <w:vAlign w:val="bottom"/>
            <w:shd w:val="clear" w:color="auto" w:fill="CCEEFF"/>
          </w:tcPr>
          <w:p>
            <w:pPr>
              <w:spacing w:after="0"/>
              <w:rPr>
                <w:sz w:val="15"/>
                <w:szCs w:val="15"/>
                <w:color w:val="auto"/>
              </w:rPr>
            </w:pPr>
          </w:p>
        </w:tc>
      </w:tr>
      <w:tr>
        <w:trPr>
          <w:trHeight w:val="21"/>
        </w:trPr>
        <w:tc>
          <w:tcPr>
            <w:tcW w:w="1180" w:type="dxa"/>
            <w:vAlign w:val="bottom"/>
            <w:tcBorders>
              <w:top w:val="single" w:sz="8" w:color="CCEEFF"/>
            </w:tcBorders>
            <w:gridSpan w:val="6"/>
            <w:shd w:val="clear" w:color="auto" w:fill="CCEEFF"/>
          </w:tcPr>
          <w:p>
            <w:pPr>
              <w:spacing w:after="0" w:line="20" w:lineRule="exact"/>
              <w:rPr>
                <w:sz w:val="1"/>
                <w:szCs w:val="1"/>
                <w:color w:val="auto"/>
              </w:rPr>
            </w:pPr>
          </w:p>
        </w:tc>
        <w:tc>
          <w:tcPr>
            <w:tcW w:w="1600" w:type="dxa"/>
            <w:vAlign w:val="bottom"/>
            <w:tcBorders>
              <w:top w:val="single" w:sz="8" w:color="0000FF"/>
            </w:tcBorders>
            <w:gridSpan w:val="20"/>
            <w:shd w:val="clear" w:color="auto" w:fill="CCEEFF"/>
          </w:tcPr>
          <w:p>
            <w:pPr>
              <w:spacing w:after="0" w:line="20" w:lineRule="exact"/>
              <w:rPr>
                <w:sz w:val="1"/>
                <w:szCs w:val="1"/>
                <w:color w:val="auto"/>
              </w:rPr>
            </w:pPr>
          </w:p>
        </w:tc>
        <w:tc>
          <w:tcPr>
            <w:tcW w:w="7540" w:type="dxa"/>
            <w:vAlign w:val="bottom"/>
            <w:tcBorders>
              <w:top w:val="single" w:sz="8" w:color="CCEEFF"/>
            </w:tcBorders>
            <w:gridSpan w:val="25"/>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3"/>
          </w:tcPr>
          <w:p>
            <w:pPr>
              <w:ind w:left="460"/>
              <w:spacing w:after="0" w:line="175" w:lineRule="exact"/>
              <w:rPr>
                <w:sz w:val="20"/>
                <w:szCs w:val="20"/>
                <w:color w:val="auto"/>
              </w:rPr>
            </w:pPr>
            <w:r>
              <w:rPr>
                <w:rFonts w:ascii="Times New Roman" w:cs="Times New Roman" w:eastAsia="Times New Roman" w:hAnsi="Times New Roman"/>
                <w:sz w:val="16"/>
                <w:szCs w:val="16"/>
                <w:color w:val="0000FF"/>
                <w:w w:val="99"/>
              </w:rPr>
              <w:t>8.</w:t>
            </w:r>
          </w:p>
        </w:tc>
        <w:tc>
          <w:tcPr>
            <w:tcW w:w="8920" w:type="dxa"/>
            <w:vAlign w:val="bottom"/>
            <w:gridSpan w:val="43"/>
          </w:tcPr>
          <w:p>
            <w:pPr>
              <w:ind w:left="20"/>
              <w:spacing w:after="0" w:line="175" w:lineRule="exact"/>
              <w:rPr>
                <w:sz w:val="20"/>
                <w:szCs w:val="20"/>
                <w:color w:val="auto"/>
              </w:rPr>
            </w:pPr>
            <w:r>
              <w:rPr>
                <w:rFonts w:ascii="Times New Roman" w:cs="Times New Roman" w:eastAsia="Times New Roman" w:hAnsi="Times New Roman"/>
                <w:sz w:val="16"/>
                <w:szCs w:val="16"/>
                <w:color w:val="0000FF"/>
              </w:rPr>
              <w:t>Other Balance Sheet Components</w:t>
            </w:r>
          </w:p>
        </w:tc>
        <w:tc>
          <w:tcPr>
            <w:tcW w:w="340" w:type="dxa"/>
            <w:vAlign w:val="bottom"/>
            <w:gridSpan w:val="7"/>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13</w:t>
            </w:r>
          </w:p>
        </w:tc>
        <w:tc>
          <w:tcPr>
            <w:tcW w:w="660" w:type="dxa"/>
            <w:vAlign w:val="bottom"/>
          </w:tcPr>
          <w:p>
            <w:pPr>
              <w:spacing w:after="0"/>
              <w:rPr>
                <w:sz w:val="15"/>
                <w:szCs w:val="15"/>
                <w:color w:val="auto"/>
              </w:rPr>
            </w:pPr>
          </w:p>
        </w:tc>
      </w:tr>
      <w:tr>
        <w:trPr>
          <w:trHeight w:val="21"/>
        </w:trPr>
        <w:tc>
          <w:tcPr>
            <w:tcW w:w="1180" w:type="dxa"/>
            <w:vAlign w:val="bottom"/>
            <w:gridSpan w:val="6"/>
          </w:tcPr>
          <w:p>
            <w:pPr>
              <w:spacing w:after="0" w:line="20" w:lineRule="exact"/>
              <w:rPr>
                <w:sz w:val="1"/>
                <w:szCs w:val="1"/>
                <w:color w:val="auto"/>
              </w:rPr>
            </w:pPr>
          </w:p>
        </w:tc>
        <w:tc>
          <w:tcPr>
            <w:tcW w:w="2340" w:type="dxa"/>
            <w:vAlign w:val="bottom"/>
            <w:tcBorders>
              <w:top w:val="single" w:sz="8" w:color="0000FF"/>
            </w:tcBorders>
            <w:gridSpan w:val="33"/>
          </w:tcPr>
          <w:p>
            <w:pPr>
              <w:spacing w:after="0" w:line="20" w:lineRule="exact"/>
              <w:rPr>
                <w:sz w:val="1"/>
                <w:szCs w:val="1"/>
                <w:color w:val="auto"/>
              </w:rPr>
            </w:pPr>
          </w:p>
        </w:tc>
        <w:tc>
          <w:tcPr>
            <w:tcW w:w="6800" w:type="dxa"/>
            <w:vAlign w:val="bottom"/>
            <w:gridSpan w:val="12"/>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3"/>
            <w:shd w:val="clear" w:color="auto" w:fill="CCEEFF"/>
          </w:tcPr>
          <w:p>
            <w:pPr>
              <w:ind w:left="460"/>
              <w:spacing w:after="0" w:line="175" w:lineRule="exact"/>
              <w:rPr>
                <w:sz w:val="20"/>
                <w:szCs w:val="20"/>
                <w:color w:val="auto"/>
              </w:rPr>
            </w:pPr>
            <w:r>
              <w:rPr>
                <w:rFonts w:ascii="Times New Roman" w:cs="Times New Roman" w:eastAsia="Times New Roman" w:hAnsi="Times New Roman"/>
                <w:sz w:val="16"/>
                <w:szCs w:val="16"/>
                <w:color w:val="0000FF"/>
                <w:w w:val="99"/>
              </w:rPr>
              <w:t>9.</w:t>
            </w:r>
          </w:p>
        </w:tc>
        <w:tc>
          <w:tcPr>
            <w:tcW w:w="8920" w:type="dxa"/>
            <w:vAlign w:val="bottom"/>
            <w:gridSpan w:val="43"/>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0000FF"/>
              </w:rPr>
              <w:t>Revolving Credit Facility</w:t>
            </w:r>
          </w:p>
        </w:tc>
        <w:tc>
          <w:tcPr>
            <w:tcW w:w="340" w:type="dxa"/>
            <w:vAlign w:val="bottom"/>
            <w:gridSpan w:val="7"/>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13</w:t>
            </w:r>
          </w:p>
        </w:tc>
        <w:tc>
          <w:tcPr>
            <w:tcW w:w="660" w:type="dxa"/>
            <w:vAlign w:val="bottom"/>
            <w:shd w:val="clear" w:color="auto" w:fill="CCEEFF"/>
          </w:tcPr>
          <w:p>
            <w:pPr>
              <w:spacing w:after="0"/>
              <w:rPr>
                <w:sz w:val="15"/>
                <w:szCs w:val="15"/>
                <w:color w:val="auto"/>
              </w:rPr>
            </w:pPr>
          </w:p>
        </w:tc>
      </w:tr>
      <w:tr>
        <w:trPr>
          <w:trHeight w:val="20"/>
        </w:trPr>
        <w:tc>
          <w:tcPr>
            <w:tcW w:w="1180" w:type="dxa"/>
            <w:vAlign w:val="bottom"/>
            <w:tcBorders>
              <w:top w:val="single" w:sz="8" w:color="CCEEFF"/>
            </w:tcBorders>
            <w:gridSpan w:val="6"/>
            <w:shd w:val="clear" w:color="auto" w:fill="CCEEFF"/>
          </w:tcPr>
          <w:p>
            <w:pPr>
              <w:spacing w:after="0" w:line="20" w:lineRule="exact"/>
              <w:rPr>
                <w:sz w:val="1"/>
                <w:szCs w:val="1"/>
                <w:color w:val="auto"/>
              </w:rPr>
            </w:pPr>
          </w:p>
        </w:tc>
        <w:tc>
          <w:tcPr>
            <w:tcW w:w="1820" w:type="dxa"/>
            <w:vAlign w:val="bottom"/>
            <w:tcBorders>
              <w:top w:val="single" w:sz="8" w:color="0000FF"/>
            </w:tcBorders>
            <w:gridSpan w:val="25"/>
            <w:shd w:val="clear" w:color="auto" w:fill="CCEEFF"/>
          </w:tcPr>
          <w:p>
            <w:pPr>
              <w:spacing w:after="0" w:line="20" w:lineRule="exact"/>
              <w:rPr>
                <w:sz w:val="1"/>
                <w:szCs w:val="1"/>
                <w:color w:val="auto"/>
              </w:rPr>
            </w:pPr>
          </w:p>
        </w:tc>
        <w:tc>
          <w:tcPr>
            <w:tcW w:w="7320" w:type="dxa"/>
            <w:vAlign w:val="bottom"/>
            <w:tcBorders>
              <w:top w:val="single" w:sz="8" w:color="CCEEFF"/>
            </w:tcBorders>
            <w:gridSpan w:val="20"/>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0" w:type="dxa"/>
            <w:vAlign w:val="bottom"/>
            <w:gridSpan w:val="45"/>
          </w:tcPr>
          <w:p>
            <w:pPr>
              <w:ind w:left="340"/>
              <w:spacing w:after="0" w:line="175" w:lineRule="exact"/>
              <w:rPr>
                <w:sz w:val="20"/>
                <w:szCs w:val="20"/>
                <w:color w:val="auto"/>
              </w:rPr>
            </w:pPr>
            <w:r>
              <w:rPr>
                <w:rFonts w:ascii="Times New Roman" w:cs="Times New Roman" w:eastAsia="Times New Roman" w:hAnsi="Times New Roman"/>
                <w:sz w:val="16"/>
                <w:szCs w:val="16"/>
                <w:color w:val="0000FF"/>
              </w:rPr>
              <w:t>10. Stock-Based Compensation</w:t>
            </w:r>
          </w:p>
        </w:tc>
        <w:tc>
          <w:tcPr>
            <w:tcW w:w="340" w:type="dxa"/>
            <w:vAlign w:val="bottom"/>
            <w:gridSpan w:val="7"/>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14</w:t>
            </w:r>
          </w:p>
        </w:tc>
        <w:tc>
          <w:tcPr>
            <w:tcW w:w="660" w:type="dxa"/>
            <w:vAlign w:val="bottom"/>
          </w:tcPr>
          <w:p>
            <w:pPr>
              <w:spacing w:after="0"/>
              <w:rPr>
                <w:sz w:val="15"/>
                <w:szCs w:val="15"/>
                <w:color w:val="auto"/>
              </w:rPr>
            </w:pPr>
          </w:p>
        </w:tc>
      </w:tr>
      <w:tr>
        <w:trPr>
          <w:trHeight w:val="21"/>
        </w:trPr>
        <w:tc>
          <w:tcPr>
            <w:tcW w:w="1180" w:type="dxa"/>
            <w:vAlign w:val="bottom"/>
            <w:gridSpan w:val="6"/>
          </w:tcPr>
          <w:p>
            <w:pPr>
              <w:spacing w:after="0" w:line="20" w:lineRule="exact"/>
              <w:rPr>
                <w:sz w:val="1"/>
                <w:szCs w:val="1"/>
                <w:color w:val="auto"/>
              </w:rPr>
            </w:pPr>
          </w:p>
        </w:tc>
        <w:tc>
          <w:tcPr>
            <w:tcW w:w="2040" w:type="dxa"/>
            <w:vAlign w:val="bottom"/>
            <w:tcBorders>
              <w:top w:val="single" w:sz="8" w:color="0000FF"/>
            </w:tcBorders>
            <w:gridSpan w:val="28"/>
          </w:tcPr>
          <w:p>
            <w:pPr>
              <w:spacing w:after="0" w:line="20" w:lineRule="exact"/>
              <w:rPr>
                <w:sz w:val="1"/>
                <w:szCs w:val="1"/>
                <w:color w:val="auto"/>
              </w:rPr>
            </w:pPr>
          </w:p>
        </w:tc>
        <w:tc>
          <w:tcPr>
            <w:tcW w:w="7100" w:type="dxa"/>
            <w:vAlign w:val="bottom"/>
            <w:gridSpan w:val="17"/>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0" w:type="dxa"/>
            <w:vAlign w:val="bottom"/>
            <w:gridSpan w:val="45"/>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11. Share Repurchases</w:t>
            </w:r>
          </w:p>
        </w:tc>
        <w:tc>
          <w:tcPr>
            <w:tcW w:w="340" w:type="dxa"/>
            <w:vAlign w:val="bottom"/>
            <w:gridSpan w:val="7"/>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15</w:t>
            </w:r>
          </w:p>
        </w:tc>
        <w:tc>
          <w:tcPr>
            <w:tcW w:w="660" w:type="dxa"/>
            <w:vAlign w:val="bottom"/>
            <w:shd w:val="clear" w:color="auto" w:fill="CCEEFF"/>
          </w:tcPr>
          <w:p>
            <w:pPr>
              <w:spacing w:after="0"/>
              <w:rPr>
                <w:sz w:val="15"/>
                <w:szCs w:val="15"/>
                <w:color w:val="auto"/>
              </w:rPr>
            </w:pPr>
          </w:p>
        </w:tc>
      </w:tr>
      <w:tr>
        <w:trPr>
          <w:trHeight w:val="21"/>
        </w:trPr>
        <w:tc>
          <w:tcPr>
            <w:tcW w:w="1180" w:type="dxa"/>
            <w:vAlign w:val="bottom"/>
            <w:tcBorders>
              <w:top w:val="single" w:sz="8" w:color="CCEEFF"/>
            </w:tcBorders>
            <w:gridSpan w:val="6"/>
            <w:shd w:val="clear" w:color="auto" w:fill="CCEEFF"/>
          </w:tcPr>
          <w:p>
            <w:pPr>
              <w:spacing w:after="0" w:line="20" w:lineRule="exact"/>
              <w:rPr>
                <w:sz w:val="1"/>
                <w:szCs w:val="1"/>
                <w:color w:val="auto"/>
              </w:rPr>
            </w:pPr>
          </w:p>
        </w:tc>
        <w:tc>
          <w:tcPr>
            <w:tcW w:w="1460" w:type="dxa"/>
            <w:vAlign w:val="bottom"/>
            <w:tcBorders>
              <w:top w:val="single" w:sz="8" w:color="0000FF"/>
            </w:tcBorders>
            <w:gridSpan w:val="16"/>
            <w:shd w:val="clear" w:color="auto" w:fill="CCEEFF"/>
          </w:tcPr>
          <w:p>
            <w:pPr>
              <w:spacing w:after="0" w:line="20" w:lineRule="exact"/>
              <w:rPr>
                <w:sz w:val="1"/>
                <w:szCs w:val="1"/>
                <w:color w:val="auto"/>
              </w:rPr>
            </w:pPr>
          </w:p>
        </w:tc>
        <w:tc>
          <w:tcPr>
            <w:tcW w:w="7680" w:type="dxa"/>
            <w:vAlign w:val="bottom"/>
            <w:tcBorders>
              <w:top w:val="single" w:sz="8" w:color="CCEEFF"/>
            </w:tcBorders>
            <w:gridSpan w:val="29"/>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0" w:type="dxa"/>
            <w:vAlign w:val="bottom"/>
            <w:gridSpan w:val="45"/>
          </w:tcPr>
          <w:p>
            <w:pPr>
              <w:ind w:left="340"/>
              <w:spacing w:after="0" w:line="175" w:lineRule="exact"/>
              <w:rPr>
                <w:sz w:val="20"/>
                <w:szCs w:val="20"/>
                <w:color w:val="auto"/>
              </w:rPr>
            </w:pPr>
            <w:r>
              <w:rPr>
                <w:rFonts w:ascii="Times New Roman" w:cs="Times New Roman" w:eastAsia="Times New Roman" w:hAnsi="Times New Roman"/>
                <w:sz w:val="16"/>
                <w:szCs w:val="16"/>
                <w:color w:val="0000FF"/>
              </w:rPr>
              <w:t>12. Accumulated Other Comprehensive Loss</w:t>
            </w:r>
          </w:p>
        </w:tc>
        <w:tc>
          <w:tcPr>
            <w:tcW w:w="340" w:type="dxa"/>
            <w:vAlign w:val="bottom"/>
            <w:gridSpan w:val="7"/>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15</w:t>
            </w:r>
          </w:p>
        </w:tc>
        <w:tc>
          <w:tcPr>
            <w:tcW w:w="660" w:type="dxa"/>
            <w:vAlign w:val="bottom"/>
          </w:tcPr>
          <w:p>
            <w:pPr>
              <w:spacing w:after="0"/>
              <w:rPr>
                <w:sz w:val="15"/>
                <w:szCs w:val="15"/>
                <w:color w:val="auto"/>
              </w:rPr>
            </w:pPr>
          </w:p>
        </w:tc>
      </w:tr>
      <w:tr>
        <w:trPr>
          <w:trHeight w:val="21"/>
        </w:trPr>
        <w:tc>
          <w:tcPr>
            <w:tcW w:w="1180" w:type="dxa"/>
            <w:vAlign w:val="bottom"/>
            <w:gridSpan w:val="6"/>
          </w:tcPr>
          <w:p>
            <w:pPr>
              <w:spacing w:after="0" w:line="20" w:lineRule="exact"/>
              <w:rPr>
                <w:sz w:val="1"/>
                <w:szCs w:val="1"/>
                <w:color w:val="auto"/>
              </w:rPr>
            </w:pPr>
          </w:p>
        </w:tc>
        <w:tc>
          <w:tcPr>
            <w:tcW w:w="2920" w:type="dxa"/>
            <w:vAlign w:val="bottom"/>
            <w:tcBorders>
              <w:top w:val="single" w:sz="8" w:color="0000FF"/>
            </w:tcBorders>
            <w:gridSpan w:val="36"/>
          </w:tcPr>
          <w:p>
            <w:pPr>
              <w:spacing w:after="0" w:line="20" w:lineRule="exact"/>
              <w:rPr>
                <w:sz w:val="1"/>
                <w:szCs w:val="1"/>
                <w:color w:val="auto"/>
              </w:rPr>
            </w:pPr>
          </w:p>
        </w:tc>
        <w:tc>
          <w:tcPr>
            <w:tcW w:w="6220" w:type="dxa"/>
            <w:vAlign w:val="bottom"/>
            <w:gridSpan w:val="9"/>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0" w:type="dxa"/>
            <w:vAlign w:val="bottom"/>
            <w:gridSpan w:val="45"/>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13. Earnings (Loss) per Share</w:t>
            </w:r>
          </w:p>
        </w:tc>
        <w:tc>
          <w:tcPr>
            <w:tcW w:w="340" w:type="dxa"/>
            <w:vAlign w:val="bottom"/>
            <w:gridSpan w:val="7"/>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16</w:t>
            </w:r>
          </w:p>
        </w:tc>
        <w:tc>
          <w:tcPr>
            <w:tcW w:w="660" w:type="dxa"/>
            <w:vAlign w:val="bottom"/>
            <w:shd w:val="clear" w:color="auto" w:fill="CCEEFF"/>
          </w:tcPr>
          <w:p>
            <w:pPr>
              <w:spacing w:after="0"/>
              <w:rPr>
                <w:sz w:val="15"/>
                <w:szCs w:val="15"/>
                <w:color w:val="auto"/>
              </w:rPr>
            </w:pPr>
          </w:p>
        </w:tc>
      </w:tr>
      <w:tr>
        <w:trPr>
          <w:trHeight w:val="21"/>
        </w:trPr>
        <w:tc>
          <w:tcPr>
            <w:tcW w:w="1180" w:type="dxa"/>
            <w:vAlign w:val="bottom"/>
            <w:tcBorders>
              <w:top w:val="single" w:sz="8" w:color="CCEEFF"/>
            </w:tcBorders>
            <w:gridSpan w:val="6"/>
            <w:shd w:val="clear" w:color="auto" w:fill="CCEEFF"/>
          </w:tcPr>
          <w:p>
            <w:pPr>
              <w:spacing w:after="0" w:line="20" w:lineRule="exact"/>
              <w:rPr>
                <w:sz w:val="1"/>
                <w:szCs w:val="1"/>
                <w:color w:val="auto"/>
              </w:rPr>
            </w:pPr>
          </w:p>
        </w:tc>
        <w:tc>
          <w:tcPr>
            <w:tcW w:w="1920" w:type="dxa"/>
            <w:vAlign w:val="bottom"/>
            <w:tcBorders>
              <w:top w:val="single" w:sz="8" w:color="0000FF"/>
            </w:tcBorders>
            <w:gridSpan w:val="27"/>
            <w:shd w:val="clear" w:color="auto" w:fill="CCEEFF"/>
          </w:tcPr>
          <w:p>
            <w:pPr>
              <w:spacing w:after="0" w:line="20" w:lineRule="exact"/>
              <w:rPr>
                <w:sz w:val="1"/>
                <w:szCs w:val="1"/>
                <w:color w:val="auto"/>
              </w:rPr>
            </w:pPr>
          </w:p>
        </w:tc>
        <w:tc>
          <w:tcPr>
            <w:tcW w:w="7220" w:type="dxa"/>
            <w:vAlign w:val="bottom"/>
            <w:tcBorders>
              <w:top w:val="single" w:sz="8" w:color="CCEEFF"/>
            </w:tcBorders>
            <w:gridSpan w:val="18"/>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0" w:type="dxa"/>
            <w:vAlign w:val="bottom"/>
            <w:gridSpan w:val="45"/>
          </w:tcPr>
          <w:p>
            <w:pPr>
              <w:ind w:left="340"/>
              <w:spacing w:after="0" w:line="175" w:lineRule="exact"/>
              <w:rPr>
                <w:sz w:val="20"/>
                <w:szCs w:val="20"/>
                <w:color w:val="auto"/>
              </w:rPr>
            </w:pPr>
            <w:r>
              <w:rPr>
                <w:rFonts w:ascii="Times New Roman" w:cs="Times New Roman" w:eastAsia="Times New Roman" w:hAnsi="Times New Roman"/>
                <w:sz w:val="16"/>
                <w:szCs w:val="16"/>
                <w:color w:val="0000FF"/>
              </w:rPr>
              <w:t>14. Segment Information</w:t>
            </w:r>
          </w:p>
        </w:tc>
        <w:tc>
          <w:tcPr>
            <w:tcW w:w="340" w:type="dxa"/>
            <w:vAlign w:val="bottom"/>
            <w:gridSpan w:val="7"/>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16</w:t>
            </w:r>
          </w:p>
        </w:tc>
        <w:tc>
          <w:tcPr>
            <w:tcW w:w="660" w:type="dxa"/>
            <w:vAlign w:val="bottom"/>
          </w:tcPr>
          <w:p>
            <w:pPr>
              <w:spacing w:after="0"/>
              <w:rPr>
                <w:sz w:val="15"/>
                <w:szCs w:val="15"/>
                <w:color w:val="auto"/>
              </w:rPr>
            </w:pPr>
          </w:p>
        </w:tc>
      </w:tr>
      <w:tr>
        <w:trPr>
          <w:trHeight w:val="20"/>
        </w:trPr>
        <w:tc>
          <w:tcPr>
            <w:tcW w:w="1180" w:type="dxa"/>
            <w:vAlign w:val="bottom"/>
            <w:gridSpan w:val="6"/>
          </w:tcPr>
          <w:p>
            <w:pPr>
              <w:spacing w:after="0" w:line="20" w:lineRule="exact"/>
              <w:rPr>
                <w:sz w:val="1"/>
                <w:szCs w:val="1"/>
                <w:color w:val="auto"/>
              </w:rPr>
            </w:pPr>
          </w:p>
        </w:tc>
        <w:tc>
          <w:tcPr>
            <w:tcW w:w="1620" w:type="dxa"/>
            <w:vAlign w:val="bottom"/>
            <w:tcBorders>
              <w:top w:val="single" w:sz="8" w:color="0000FF"/>
            </w:tcBorders>
            <w:gridSpan w:val="21"/>
          </w:tcPr>
          <w:p>
            <w:pPr>
              <w:spacing w:after="0" w:line="20" w:lineRule="exact"/>
              <w:rPr>
                <w:sz w:val="1"/>
                <w:szCs w:val="1"/>
                <w:color w:val="auto"/>
              </w:rPr>
            </w:pPr>
          </w:p>
        </w:tc>
        <w:tc>
          <w:tcPr>
            <w:tcW w:w="7520" w:type="dxa"/>
            <w:vAlign w:val="bottom"/>
            <w:gridSpan w:val="24"/>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0" w:type="dxa"/>
            <w:vAlign w:val="bottom"/>
            <w:gridSpan w:val="45"/>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15. Supplemental Cash Flow Information</w:t>
            </w:r>
          </w:p>
        </w:tc>
        <w:tc>
          <w:tcPr>
            <w:tcW w:w="340" w:type="dxa"/>
            <w:vAlign w:val="bottom"/>
            <w:gridSpan w:val="7"/>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17</w:t>
            </w:r>
          </w:p>
        </w:tc>
        <w:tc>
          <w:tcPr>
            <w:tcW w:w="660" w:type="dxa"/>
            <w:vAlign w:val="bottom"/>
            <w:shd w:val="clear" w:color="auto" w:fill="CCEEFF"/>
          </w:tcPr>
          <w:p>
            <w:pPr>
              <w:spacing w:after="0"/>
              <w:rPr>
                <w:sz w:val="15"/>
                <w:szCs w:val="15"/>
                <w:color w:val="auto"/>
              </w:rPr>
            </w:pPr>
          </w:p>
        </w:tc>
      </w:tr>
      <w:tr>
        <w:trPr>
          <w:trHeight w:val="21"/>
        </w:trPr>
        <w:tc>
          <w:tcPr>
            <w:tcW w:w="1180" w:type="dxa"/>
            <w:vAlign w:val="bottom"/>
            <w:tcBorders>
              <w:top w:val="single" w:sz="8" w:color="CCEEFF"/>
            </w:tcBorders>
            <w:gridSpan w:val="6"/>
            <w:shd w:val="clear" w:color="auto" w:fill="CCEEFF"/>
          </w:tcPr>
          <w:p>
            <w:pPr>
              <w:spacing w:after="0" w:line="20" w:lineRule="exact"/>
              <w:rPr>
                <w:sz w:val="1"/>
                <w:szCs w:val="1"/>
                <w:color w:val="auto"/>
              </w:rPr>
            </w:pPr>
          </w:p>
        </w:tc>
        <w:tc>
          <w:tcPr>
            <w:tcW w:w="2680" w:type="dxa"/>
            <w:vAlign w:val="bottom"/>
            <w:tcBorders>
              <w:top w:val="single" w:sz="8" w:color="0000FF"/>
            </w:tcBorders>
            <w:gridSpan w:val="35"/>
            <w:shd w:val="clear" w:color="auto" w:fill="CCEEFF"/>
          </w:tcPr>
          <w:p>
            <w:pPr>
              <w:spacing w:after="0" w:line="20" w:lineRule="exact"/>
              <w:rPr>
                <w:sz w:val="1"/>
                <w:szCs w:val="1"/>
                <w:color w:val="auto"/>
              </w:rPr>
            </w:pPr>
          </w:p>
        </w:tc>
        <w:tc>
          <w:tcPr>
            <w:tcW w:w="6460" w:type="dxa"/>
            <w:vAlign w:val="bottom"/>
            <w:tcBorders>
              <w:top w:val="single" w:sz="8" w:color="CCEEFF"/>
            </w:tcBorders>
            <w:gridSpan w:val="10"/>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0" w:type="dxa"/>
            <w:vAlign w:val="bottom"/>
            <w:gridSpan w:val="45"/>
          </w:tcPr>
          <w:p>
            <w:pPr>
              <w:ind w:left="340"/>
              <w:spacing w:after="0" w:line="175" w:lineRule="exact"/>
              <w:rPr>
                <w:sz w:val="20"/>
                <w:szCs w:val="20"/>
                <w:color w:val="auto"/>
              </w:rPr>
            </w:pPr>
            <w:r>
              <w:rPr>
                <w:rFonts w:ascii="Times New Roman" w:cs="Times New Roman" w:eastAsia="Times New Roman" w:hAnsi="Times New Roman"/>
                <w:sz w:val="16"/>
                <w:szCs w:val="16"/>
                <w:color w:val="0000FF"/>
              </w:rPr>
              <w:t>16. Commitments, Contingencies and Subsequent Events</w:t>
            </w:r>
          </w:p>
        </w:tc>
        <w:tc>
          <w:tcPr>
            <w:tcW w:w="340" w:type="dxa"/>
            <w:vAlign w:val="bottom"/>
            <w:gridSpan w:val="7"/>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18</w:t>
            </w:r>
          </w:p>
        </w:tc>
        <w:tc>
          <w:tcPr>
            <w:tcW w:w="660" w:type="dxa"/>
            <w:vAlign w:val="bottom"/>
          </w:tcPr>
          <w:p>
            <w:pPr>
              <w:spacing w:after="0"/>
              <w:rPr>
                <w:sz w:val="15"/>
                <w:szCs w:val="15"/>
                <w:color w:val="auto"/>
              </w:rPr>
            </w:pPr>
          </w:p>
        </w:tc>
      </w:tr>
      <w:tr>
        <w:trPr>
          <w:trHeight w:val="21"/>
        </w:trPr>
        <w:tc>
          <w:tcPr>
            <w:tcW w:w="1180" w:type="dxa"/>
            <w:vAlign w:val="bottom"/>
            <w:gridSpan w:val="6"/>
          </w:tcPr>
          <w:p>
            <w:pPr>
              <w:spacing w:after="0" w:line="20" w:lineRule="exact"/>
              <w:rPr>
                <w:sz w:val="1"/>
                <w:szCs w:val="1"/>
                <w:color w:val="auto"/>
              </w:rPr>
            </w:pPr>
          </w:p>
        </w:tc>
        <w:tc>
          <w:tcPr>
            <w:tcW w:w="3700" w:type="dxa"/>
            <w:vAlign w:val="bottom"/>
            <w:tcBorders>
              <w:top w:val="single" w:sz="8" w:color="0000FF"/>
            </w:tcBorders>
            <w:gridSpan w:val="42"/>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2.</w:t>
            </w:r>
          </w:p>
        </w:tc>
        <w:tc>
          <w:tcPr>
            <w:tcW w:w="9520" w:type="dxa"/>
            <w:vAlign w:val="bottom"/>
            <w:gridSpan w:val="46"/>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340" w:type="dxa"/>
            <w:vAlign w:val="bottom"/>
            <w:gridSpan w:val="7"/>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19</w:t>
            </w:r>
          </w:p>
        </w:tc>
        <w:tc>
          <w:tcPr>
            <w:tcW w:w="660" w:type="dxa"/>
            <w:vAlign w:val="bottom"/>
            <w:shd w:val="clear" w:color="auto" w:fill="CCEEFF"/>
          </w:tcPr>
          <w:p>
            <w:pPr>
              <w:spacing w:after="0"/>
              <w:rPr>
                <w:sz w:val="17"/>
                <w:szCs w:val="17"/>
                <w:color w:val="auto"/>
              </w:rPr>
            </w:pPr>
          </w:p>
        </w:tc>
      </w:tr>
      <w:tr>
        <w:trPr>
          <w:trHeight w:val="175"/>
        </w:trPr>
        <w:tc>
          <w:tcPr>
            <w:tcW w:w="20" w:type="dxa"/>
            <w:vAlign w:val="bottom"/>
            <w:tcBorders>
              <w:top w:val="single" w:sz="8" w:color="CCEE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5820" w:type="dxa"/>
            <w:vAlign w:val="bottom"/>
            <w:tcBorders>
              <w:top w:val="single" w:sz="8" w:color="0000FF"/>
            </w:tcBorders>
            <w:gridSpan w:val="44"/>
          </w:tcPr>
          <w:p>
            <w:pPr>
              <w:spacing w:after="0" w:line="175" w:lineRule="exact"/>
              <w:rPr>
                <w:sz w:val="20"/>
                <w:szCs w:val="20"/>
                <w:color w:val="auto"/>
              </w:rPr>
            </w:pPr>
            <w:r>
              <w:rPr>
                <w:rFonts w:ascii="Times New Roman" w:cs="Times New Roman" w:eastAsia="Times New Roman" w:hAnsi="Times New Roman"/>
                <w:sz w:val="16"/>
                <w:szCs w:val="16"/>
                <w:color w:val="0000FF"/>
              </w:rPr>
              <w:t>Forward-Looking Statements</w:t>
            </w:r>
          </w:p>
        </w:tc>
        <w:tc>
          <w:tcPr>
            <w:tcW w:w="35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0000FF"/>
            </w:tcBorders>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19</w:t>
            </w:r>
          </w:p>
        </w:tc>
        <w:tc>
          <w:tcPr>
            <w:tcW w:w="8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r>
      <w:tr>
        <w:trPr>
          <w:trHeight w:val="20"/>
        </w:trPr>
        <w:tc>
          <w:tcPr>
            <w:tcW w:w="840" w:type="dxa"/>
            <w:vAlign w:val="bottom"/>
            <w:gridSpan w:val="5"/>
          </w:tcPr>
          <w:p>
            <w:pPr>
              <w:spacing w:after="0" w:line="20" w:lineRule="exact"/>
              <w:rPr>
                <w:sz w:val="1"/>
                <w:szCs w:val="1"/>
                <w:color w:val="auto"/>
              </w:rPr>
            </w:pPr>
          </w:p>
        </w:tc>
        <w:tc>
          <w:tcPr>
            <w:tcW w:w="1920" w:type="dxa"/>
            <w:vAlign w:val="bottom"/>
            <w:tcBorders>
              <w:top w:val="single" w:sz="8" w:color="0000FF"/>
            </w:tcBorders>
            <w:gridSpan w:val="20"/>
          </w:tcPr>
          <w:p>
            <w:pPr>
              <w:spacing w:after="0" w:line="20" w:lineRule="exact"/>
              <w:rPr>
                <w:sz w:val="1"/>
                <w:szCs w:val="1"/>
                <w:color w:val="auto"/>
              </w:rPr>
            </w:pPr>
          </w:p>
        </w:tc>
        <w:tc>
          <w:tcPr>
            <w:tcW w:w="7560" w:type="dxa"/>
            <w:vAlign w:val="bottom"/>
            <w:gridSpan w:val="26"/>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0" w:type="dxa"/>
            <w:vAlign w:val="bottom"/>
            <w:gridSpan w:val="4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Overview</w:t>
            </w:r>
          </w:p>
        </w:tc>
        <w:tc>
          <w:tcPr>
            <w:tcW w:w="340" w:type="dxa"/>
            <w:vAlign w:val="bottom"/>
            <w:gridSpan w:val="7"/>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19</w:t>
            </w:r>
          </w:p>
        </w:tc>
        <w:tc>
          <w:tcPr>
            <w:tcW w:w="660" w:type="dxa"/>
            <w:vAlign w:val="bottom"/>
            <w:shd w:val="clear" w:color="auto" w:fill="CCEEFF"/>
          </w:tcPr>
          <w:p>
            <w:pPr>
              <w:spacing w:after="0"/>
              <w:rPr>
                <w:sz w:val="15"/>
                <w:szCs w:val="15"/>
                <w:color w:val="auto"/>
              </w:rPr>
            </w:pPr>
          </w:p>
        </w:tc>
      </w:tr>
      <w:tr>
        <w:trPr>
          <w:trHeight w:val="20"/>
        </w:trPr>
        <w:tc>
          <w:tcPr>
            <w:tcW w:w="840" w:type="dxa"/>
            <w:vAlign w:val="bottom"/>
            <w:tcBorders>
              <w:top w:val="single" w:sz="8" w:color="CCEEFF"/>
            </w:tcBorders>
            <w:gridSpan w:val="5"/>
            <w:shd w:val="clear" w:color="auto" w:fill="CCEEFF"/>
          </w:tcPr>
          <w:p>
            <w:pPr>
              <w:spacing w:after="0" w:line="20" w:lineRule="exact"/>
              <w:rPr>
                <w:sz w:val="1"/>
                <w:szCs w:val="1"/>
                <w:color w:val="auto"/>
              </w:rPr>
            </w:pPr>
          </w:p>
        </w:tc>
        <w:tc>
          <w:tcPr>
            <w:tcW w:w="640" w:type="dxa"/>
            <w:vAlign w:val="bottom"/>
            <w:tcBorders>
              <w:top w:val="single" w:sz="8" w:color="0000FF"/>
            </w:tcBorders>
            <w:gridSpan w:val="4"/>
            <w:shd w:val="clear" w:color="auto" w:fill="CCEEFF"/>
          </w:tcPr>
          <w:p>
            <w:pPr>
              <w:spacing w:after="0" w:line="20" w:lineRule="exact"/>
              <w:rPr>
                <w:sz w:val="1"/>
                <w:szCs w:val="1"/>
                <w:color w:val="auto"/>
              </w:rPr>
            </w:pPr>
          </w:p>
        </w:tc>
        <w:tc>
          <w:tcPr>
            <w:tcW w:w="8840" w:type="dxa"/>
            <w:vAlign w:val="bottom"/>
            <w:tcBorders>
              <w:top w:val="single" w:sz="8" w:color="CCEEFF"/>
            </w:tcBorders>
            <w:gridSpan w:val="42"/>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0" w:type="dxa"/>
            <w:vAlign w:val="bottom"/>
            <w:gridSpan w:val="45"/>
          </w:tcPr>
          <w:p>
            <w:pPr>
              <w:spacing w:after="0" w:line="175" w:lineRule="exact"/>
              <w:rPr>
                <w:sz w:val="20"/>
                <w:szCs w:val="20"/>
                <w:color w:val="auto"/>
              </w:rPr>
            </w:pPr>
            <w:r>
              <w:rPr>
                <w:rFonts w:ascii="Times New Roman" w:cs="Times New Roman" w:eastAsia="Times New Roman" w:hAnsi="Times New Roman"/>
                <w:sz w:val="16"/>
                <w:szCs w:val="16"/>
                <w:color w:val="0000FF"/>
              </w:rPr>
              <w:t>Business Environment</w:t>
            </w:r>
          </w:p>
        </w:tc>
        <w:tc>
          <w:tcPr>
            <w:tcW w:w="340" w:type="dxa"/>
            <w:vAlign w:val="bottom"/>
            <w:gridSpan w:val="7"/>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19</w:t>
            </w:r>
          </w:p>
        </w:tc>
        <w:tc>
          <w:tcPr>
            <w:tcW w:w="660" w:type="dxa"/>
            <w:vAlign w:val="bottom"/>
          </w:tcPr>
          <w:p>
            <w:pPr>
              <w:spacing w:after="0"/>
              <w:rPr>
                <w:sz w:val="15"/>
                <w:szCs w:val="15"/>
                <w:color w:val="auto"/>
              </w:rPr>
            </w:pPr>
          </w:p>
        </w:tc>
      </w:tr>
      <w:tr>
        <w:trPr>
          <w:trHeight w:val="21"/>
        </w:trPr>
        <w:tc>
          <w:tcPr>
            <w:tcW w:w="840" w:type="dxa"/>
            <w:vAlign w:val="bottom"/>
            <w:gridSpan w:val="5"/>
          </w:tcPr>
          <w:p>
            <w:pPr>
              <w:spacing w:after="0" w:line="20" w:lineRule="exact"/>
              <w:rPr>
                <w:sz w:val="1"/>
                <w:szCs w:val="1"/>
                <w:color w:val="auto"/>
              </w:rPr>
            </w:pPr>
          </w:p>
        </w:tc>
        <w:tc>
          <w:tcPr>
            <w:tcW w:w="1480" w:type="dxa"/>
            <w:vAlign w:val="bottom"/>
            <w:tcBorders>
              <w:top w:val="single" w:sz="8" w:color="0000FF"/>
            </w:tcBorders>
            <w:gridSpan w:val="14"/>
          </w:tcPr>
          <w:p>
            <w:pPr>
              <w:spacing w:after="0" w:line="20" w:lineRule="exact"/>
              <w:rPr>
                <w:sz w:val="1"/>
                <w:szCs w:val="1"/>
                <w:color w:val="auto"/>
              </w:rPr>
            </w:pPr>
          </w:p>
        </w:tc>
        <w:tc>
          <w:tcPr>
            <w:tcW w:w="8000" w:type="dxa"/>
            <w:vAlign w:val="bottom"/>
            <w:gridSpan w:val="32"/>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0000FF"/>
            </w:tcBorders>
            <w:gridSpan w:val="10"/>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Financial Overview</w:t>
            </w:r>
          </w:p>
        </w:tc>
        <w:tc>
          <w:tcPr>
            <w:tcW w:w="8100" w:type="dxa"/>
            <w:vAlign w:val="bottom"/>
            <w:tcBorders>
              <w:bottom w:val="single" w:sz="8" w:color="CCEEFF"/>
            </w:tcBorders>
            <w:gridSpan w:val="35"/>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FF"/>
            </w:tcBorders>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20</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520" w:type="dxa"/>
            <w:vAlign w:val="bottom"/>
            <w:gridSpan w:val="46"/>
          </w:tcPr>
          <w:p>
            <w:pPr>
              <w:ind w:left="120"/>
              <w:spacing w:after="0" w:line="175" w:lineRule="exact"/>
              <w:rPr>
                <w:sz w:val="20"/>
                <w:szCs w:val="20"/>
                <w:color w:val="auto"/>
              </w:rPr>
            </w:pPr>
            <w:r>
              <w:rPr>
                <w:rFonts w:ascii="Times New Roman" w:cs="Times New Roman" w:eastAsia="Times New Roman" w:hAnsi="Times New Roman"/>
                <w:sz w:val="16"/>
                <w:szCs w:val="16"/>
                <w:color w:val="0000FF"/>
              </w:rPr>
              <w:t>Results of Operations</w:t>
            </w:r>
          </w:p>
        </w:tc>
        <w:tc>
          <w:tcPr>
            <w:tcW w:w="340" w:type="dxa"/>
            <w:vAlign w:val="bottom"/>
            <w:gridSpan w:val="7"/>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20</w:t>
            </w:r>
          </w:p>
        </w:tc>
        <w:tc>
          <w:tcPr>
            <w:tcW w:w="660" w:type="dxa"/>
            <w:vAlign w:val="bottom"/>
          </w:tcPr>
          <w:p>
            <w:pPr>
              <w:spacing w:after="0"/>
              <w:rPr>
                <w:sz w:val="15"/>
                <w:szCs w:val="15"/>
                <w:color w:val="auto"/>
              </w:rPr>
            </w:pPr>
          </w:p>
        </w:tc>
      </w:tr>
      <w:tr>
        <w:trPr>
          <w:trHeight w:val="20"/>
        </w:trPr>
        <w:tc>
          <w:tcPr>
            <w:tcW w:w="840" w:type="dxa"/>
            <w:vAlign w:val="bottom"/>
            <w:gridSpan w:val="5"/>
          </w:tcPr>
          <w:p>
            <w:pPr>
              <w:spacing w:after="0" w:line="20" w:lineRule="exact"/>
              <w:rPr>
                <w:sz w:val="1"/>
                <w:szCs w:val="1"/>
                <w:color w:val="auto"/>
              </w:rPr>
            </w:pPr>
          </w:p>
        </w:tc>
        <w:tc>
          <w:tcPr>
            <w:tcW w:w="1420" w:type="dxa"/>
            <w:vAlign w:val="bottom"/>
            <w:tcBorders>
              <w:top w:val="single" w:sz="8" w:color="0000FF"/>
            </w:tcBorders>
            <w:gridSpan w:val="13"/>
          </w:tcPr>
          <w:p>
            <w:pPr>
              <w:spacing w:after="0" w:line="20" w:lineRule="exact"/>
              <w:rPr>
                <w:sz w:val="1"/>
                <w:szCs w:val="1"/>
                <w:color w:val="auto"/>
              </w:rPr>
            </w:pPr>
          </w:p>
        </w:tc>
        <w:tc>
          <w:tcPr>
            <w:tcW w:w="8060" w:type="dxa"/>
            <w:vAlign w:val="bottom"/>
            <w:gridSpan w:val="33"/>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0" w:type="dxa"/>
            <w:vAlign w:val="bottom"/>
            <w:gridSpan w:val="4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Liquidity and Capital Resources</w:t>
            </w:r>
          </w:p>
        </w:tc>
        <w:tc>
          <w:tcPr>
            <w:tcW w:w="340" w:type="dxa"/>
            <w:vAlign w:val="bottom"/>
            <w:gridSpan w:val="7"/>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21</w:t>
            </w:r>
          </w:p>
        </w:tc>
        <w:tc>
          <w:tcPr>
            <w:tcW w:w="660" w:type="dxa"/>
            <w:vAlign w:val="bottom"/>
            <w:shd w:val="clear" w:color="auto" w:fill="CCEEFF"/>
          </w:tcPr>
          <w:p>
            <w:pPr>
              <w:spacing w:after="0"/>
              <w:rPr>
                <w:sz w:val="15"/>
                <w:szCs w:val="15"/>
                <w:color w:val="auto"/>
              </w:rPr>
            </w:pPr>
          </w:p>
        </w:tc>
      </w:tr>
      <w:tr>
        <w:trPr>
          <w:trHeight w:val="20"/>
        </w:trPr>
        <w:tc>
          <w:tcPr>
            <w:tcW w:w="840" w:type="dxa"/>
            <w:vAlign w:val="bottom"/>
            <w:tcBorders>
              <w:top w:val="single" w:sz="8" w:color="CCEEFF"/>
            </w:tcBorders>
            <w:gridSpan w:val="5"/>
            <w:shd w:val="clear" w:color="auto" w:fill="CCEEFF"/>
          </w:tcPr>
          <w:p>
            <w:pPr>
              <w:spacing w:after="0" w:line="20" w:lineRule="exact"/>
              <w:rPr>
                <w:sz w:val="1"/>
                <w:szCs w:val="1"/>
                <w:color w:val="auto"/>
              </w:rPr>
            </w:pPr>
          </w:p>
        </w:tc>
        <w:tc>
          <w:tcPr>
            <w:tcW w:w="2100" w:type="dxa"/>
            <w:vAlign w:val="bottom"/>
            <w:tcBorders>
              <w:top w:val="single" w:sz="8" w:color="0000FF"/>
            </w:tcBorders>
            <w:gridSpan w:val="25"/>
            <w:shd w:val="clear" w:color="auto" w:fill="CCEEFF"/>
          </w:tcPr>
          <w:p>
            <w:pPr>
              <w:spacing w:after="0" w:line="20" w:lineRule="exact"/>
              <w:rPr>
                <w:sz w:val="1"/>
                <w:szCs w:val="1"/>
                <w:color w:val="auto"/>
              </w:rPr>
            </w:pPr>
          </w:p>
        </w:tc>
        <w:tc>
          <w:tcPr>
            <w:tcW w:w="7380" w:type="dxa"/>
            <w:vAlign w:val="bottom"/>
            <w:tcBorders>
              <w:top w:val="single" w:sz="8" w:color="CCEEFF"/>
            </w:tcBorders>
            <w:gridSpan w:val="21"/>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0" w:type="dxa"/>
            <w:vAlign w:val="bottom"/>
            <w:gridSpan w:val="45"/>
          </w:tcPr>
          <w:p>
            <w:pPr>
              <w:spacing w:after="0" w:line="175" w:lineRule="exact"/>
              <w:rPr>
                <w:sz w:val="20"/>
                <w:szCs w:val="20"/>
                <w:color w:val="auto"/>
              </w:rPr>
            </w:pPr>
            <w:r>
              <w:rPr>
                <w:rFonts w:ascii="Times New Roman" w:cs="Times New Roman" w:eastAsia="Times New Roman" w:hAnsi="Times New Roman"/>
                <w:sz w:val="16"/>
                <w:szCs w:val="16"/>
                <w:color w:val="0000FF"/>
              </w:rPr>
              <w:t>Critical Accounting Policies and Estimates</w:t>
            </w:r>
          </w:p>
        </w:tc>
        <w:tc>
          <w:tcPr>
            <w:tcW w:w="340" w:type="dxa"/>
            <w:vAlign w:val="bottom"/>
            <w:gridSpan w:val="7"/>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22</w:t>
            </w:r>
          </w:p>
        </w:tc>
        <w:tc>
          <w:tcPr>
            <w:tcW w:w="660" w:type="dxa"/>
            <w:vAlign w:val="bottom"/>
          </w:tcPr>
          <w:p>
            <w:pPr>
              <w:spacing w:after="0"/>
              <w:rPr>
                <w:sz w:val="15"/>
                <w:szCs w:val="15"/>
                <w:color w:val="auto"/>
              </w:rPr>
            </w:pPr>
          </w:p>
        </w:tc>
      </w:tr>
      <w:tr>
        <w:trPr>
          <w:trHeight w:val="20"/>
        </w:trPr>
        <w:tc>
          <w:tcPr>
            <w:tcW w:w="840" w:type="dxa"/>
            <w:vAlign w:val="bottom"/>
            <w:gridSpan w:val="5"/>
          </w:tcPr>
          <w:p>
            <w:pPr>
              <w:spacing w:after="0" w:line="20" w:lineRule="exact"/>
              <w:rPr>
                <w:sz w:val="1"/>
                <w:szCs w:val="1"/>
                <w:color w:val="auto"/>
              </w:rPr>
            </w:pPr>
          </w:p>
        </w:tc>
        <w:tc>
          <w:tcPr>
            <w:tcW w:w="2780" w:type="dxa"/>
            <w:vAlign w:val="bottom"/>
            <w:tcBorders>
              <w:top w:val="single" w:sz="8" w:color="0000FF"/>
            </w:tcBorders>
            <w:gridSpan w:val="35"/>
          </w:tcPr>
          <w:p>
            <w:pPr>
              <w:spacing w:after="0" w:line="20" w:lineRule="exact"/>
              <w:rPr>
                <w:sz w:val="1"/>
                <w:szCs w:val="1"/>
                <w:color w:val="auto"/>
              </w:rPr>
            </w:pPr>
          </w:p>
        </w:tc>
        <w:tc>
          <w:tcPr>
            <w:tcW w:w="6700" w:type="dxa"/>
            <w:vAlign w:val="bottom"/>
            <w:gridSpan w:val="11"/>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70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3.</w:t>
            </w:r>
          </w:p>
        </w:tc>
        <w:tc>
          <w:tcPr>
            <w:tcW w:w="9520" w:type="dxa"/>
            <w:vAlign w:val="bottom"/>
            <w:gridSpan w:val="46"/>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340" w:type="dxa"/>
            <w:vAlign w:val="bottom"/>
            <w:gridSpan w:val="7"/>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22</w:t>
            </w:r>
          </w:p>
        </w:tc>
        <w:tc>
          <w:tcPr>
            <w:tcW w:w="66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gridSpan w:val="3"/>
            <w:shd w:val="clear" w:color="auto" w:fill="CCEEFF"/>
          </w:tcPr>
          <w:p>
            <w:pPr>
              <w:spacing w:after="0" w:line="20" w:lineRule="exact"/>
              <w:rPr>
                <w:sz w:val="1"/>
                <w:szCs w:val="1"/>
                <w:color w:val="auto"/>
              </w:rPr>
            </w:pPr>
          </w:p>
        </w:tc>
        <w:tc>
          <w:tcPr>
            <w:tcW w:w="3880" w:type="dxa"/>
            <w:vAlign w:val="bottom"/>
            <w:tcBorders>
              <w:top w:val="single" w:sz="8" w:color="0000FF"/>
            </w:tcBorders>
            <w:gridSpan w:val="40"/>
            <w:shd w:val="clear" w:color="auto" w:fill="CCEEFF"/>
          </w:tcPr>
          <w:p>
            <w:pPr>
              <w:spacing w:after="0" w:line="20" w:lineRule="exact"/>
              <w:rPr>
                <w:sz w:val="1"/>
                <w:szCs w:val="1"/>
                <w:color w:val="auto"/>
              </w:rPr>
            </w:pPr>
          </w:p>
        </w:tc>
        <w:tc>
          <w:tcPr>
            <w:tcW w:w="5600" w:type="dxa"/>
            <w:vAlign w:val="bottom"/>
            <w:tcBorders>
              <w:top w:val="single" w:sz="8" w:color="CCEEFF"/>
            </w:tcBorders>
            <w:gridSpan w:val="6"/>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0000FF"/>
              </w:rPr>
              <w:t>Item 4.</w:t>
            </w:r>
          </w:p>
        </w:tc>
        <w:tc>
          <w:tcPr>
            <w:tcW w:w="9520" w:type="dxa"/>
            <w:vAlign w:val="bottom"/>
            <w:gridSpan w:val="46"/>
          </w:tcPr>
          <w:p>
            <w:pPr>
              <w:ind w:left="120"/>
              <w:spacing w:after="0" w:line="175" w:lineRule="exact"/>
              <w:rPr>
                <w:sz w:val="20"/>
                <w:szCs w:val="20"/>
                <w:color w:val="auto"/>
              </w:rPr>
            </w:pPr>
            <w:r>
              <w:rPr>
                <w:rFonts w:ascii="Times New Roman" w:cs="Times New Roman" w:eastAsia="Times New Roman" w:hAnsi="Times New Roman"/>
                <w:sz w:val="16"/>
                <w:szCs w:val="16"/>
                <w:color w:val="0000FF"/>
              </w:rPr>
              <w:t>Controls and Procedures</w:t>
            </w:r>
          </w:p>
        </w:tc>
        <w:tc>
          <w:tcPr>
            <w:tcW w:w="340" w:type="dxa"/>
            <w:vAlign w:val="bottom"/>
            <w:gridSpan w:val="7"/>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22</w:t>
            </w:r>
          </w:p>
        </w:tc>
        <w:tc>
          <w:tcPr>
            <w:tcW w:w="6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0" w:type="dxa"/>
            <w:vAlign w:val="bottom"/>
            <w:tcBorders>
              <w:top w:val="single" w:sz="8" w:color="0000FF"/>
            </w:tcBorders>
            <w:gridSpan w:val="15"/>
          </w:tcPr>
          <w:p>
            <w:pPr>
              <w:spacing w:after="0" w:line="20" w:lineRule="exact"/>
              <w:rPr>
                <w:sz w:val="1"/>
                <w:szCs w:val="1"/>
                <w:color w:val="auto"/>
              </w:rPr>
            </w:pPr>
          </w:p>
        </w:tc>
        <w:tc>
          <w:tcPr>
            <w:tcW w:w="7880" w:type="dxa"/>
            <w:vAlign w:val="bottom"/>
            <w:gridSpan w:val="31"/>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560" w:type="dxa"/>
            <w:vAlign w:val="bottom"/>
            <w:tcBorders>
              <w:bottom w:val="single" w:sz="8" w:color="0000FF"/>
            </w:tcBorders>
            <w:gridSpan w:val="20"/>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0000FF"/>
                <w:w w:val="99"/>
              </w:rPr>
              <w:t>PART II - OTHER INFORMATION</w:t>
            </w:r>
          </w:p>
        </w:tc>
        <w:tc>
          <w:tcPr>
            <w:tcW w:w="7660" w:type="dxa"/>
            <w:vAlign w:val="bottom"/>
            <w:tcBorders>
              <w:bottom w:val="single" w:sz="8" w:color="CCEEFF"/>
            </w:tcBorders>
            <w:gridSpan w:val="29"/>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FF"/>
            </w:tcBorders>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23</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70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0000FF"/>
              </w:rPr>
              <w:t>Item 1.</w:t>
            </w:r>
          </w:p>
        </w:tc>
        <w:tc>
          <w:tcPr>
            <w:tcW w:w="9520" w:type="dxa"/>
            <w:vAlign w:val="bottom"/>
            <w:gridSpan w:val="46"/>
          </w:tcPr>
          <w:p>
            <w:pPr>
              <w:ind w:left="120"/>
              <w:spacing w:after="0" w:line="175" w:lineRule="exact"/>
              <w:rPr>
                <w:sz w:val="20"/>
                <w:szCs w:val="20"/>
                <w:color w:val="auto"/>
              </w:rPr>
            </w:pPr>
            <w:r>
              <w:rPr>
                <w:rFonts w:ascii="Times New Roman" w:cs="Times New Roman" w:eastAsia="Times New Roman" w:hAnsi="Times New Roman"/>
                <w:sz w:val="16"/>
                <w:szCs w:val="16"/>
                <w:color w:val="0000FF"/>
              </w:rPr>
              <w:t>Legal Proceedings</w:t>
            </w:r>
          </w:p>
        </w:tc>
        <w:tc>
          <w:tcPr>
            <w:tcW w:w="340" w:type="dxa"/>
            <w:vAlign w:val="bottom"/>
            <w:gridSpan w:val="7"/>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23</w:t>
            </w:r>
          </w:p>
        </w:tc>
        <w:tc>
          <w:tcPr>
            <w:tcW w:w="6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20" w:type="dxa"/>
            <w:vAlign w:val="bottom"/>
            <w:tcBorders>
              <w:top w:val="single" w:sz="8" w:color="0000FF"/>
            </w:tcBorders>
            <w:gridSpan w:val="9"/>
          </w:tcPr>
          <w:p>
            <w:pPr>
              <w:spacing w:after="0" w:line="20" w:lineRule="exact"/>
              <w:rPr>
                <w:sz w:val="1"/>
                <w:szCs w:val="1"/>
                <w:color w:val="auto"/>
              </w:rPr>
            </w:pPr>
          </w:p>
        </w:tc>
        <w:tc>
          <w:tcPr>
            <w:tcW w:w="8260" w:type="dxa"/>
            <w:vAlign w:val="bottom"/>
            <w:gridSpan w:val="37"/>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70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1A.</w:t>
            </w:r>
          </w:p>
        </w:tc>
        <w:tc>
          <w:tcPr>
            <w:tcW w:w="9520" w:type="dxa"/>
            <w:vAlign w:val="bottom"/>
            <w:gridSpan w:val="46"/>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0000FF"/>
              </w:rPr>
              <w:t>Risk Factors</w:t>
            </w:r>
          </w:p>
        </w:tc>
        <w:tc>
          <w:tcPr>
            <w:tcW w:w="340" w:type="dxa"/>
            <w:vAlign w:val="bottom"/>
            <w:gridSpan w:val="7"/>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23</w:t>
            </w:r>
          </w:p>
        </w:tc>
        <w:tc>
          <w:tcPr>
            <w:tcW w:w="66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gridSpan w:val="2"/>
            <w:shd w:val="clear" w:color="auto" w:fill="CCEEFF"/>
          </w:tcPr>
          <w:p>
            <w:pPr>
              <w:spacing w:after="0" w:line="20" w:lineRule="exact"/>
              <w:rPr>
                <w:sz w:val="1"/>
                <w:szCs w:val="1"/>
                <w:color w:val="auto"/>
              </w:rPr>
            </w:pPr>
          </w:p>
        </w:tc>
        <w:tc>
          <w:tcPr>
            <w:tcW w:w="240" w:type="dxa"/>
            <w:vAlign w:val="bottom"/>
            <w:tcBorders>
              <w:top w:val="single" w:sz="8" w:color="CCEEFF"/>
            </w:tcBorders>
            <w:gridSpan w:val="2"/>
            <w:shd w:val="clear" w:color="auto" w:fill="CCEEFF"/>
          </w:tcPr>
          <w:p>
            <w:pPr>
              <w:spacing w:after="0" w:line="20" w:lineRule="exact"/>
              <w:rPr>
                <w:sz w:val="1"/>
                <w:szCs w:val="1"/>
                <w:color w:val="auto"/>
              </w:rPr>
            </w:pPr>
          </w:p>
        </w:tc>
        <w:tc>
          <w:tcPr>
            <w:tcW w:w="820" w:type="dxa"/>
            <w:vAlign w:val="bottom"/>
            <w:tcBorders>
              <w:top w:val="single" w:sz="8" w:color="0000FF"/>
            </w:tcBorders>
            <w:gridSpan w:val="5"/>
            <w:shd w:val="clear" w:color="auto" w:fill="CCEEFF"/>
          </w:tcPr>
          <w:p>
            <w:pPr>
              <w:spacing w:after="0" w:line="20" w:lineRule="exact"/>
              <w:rPr>
                <w:sz w:val="1"/>
                <w:szCs w:val="1"/>
                <w:color w:val="auto"/>
              </w:rPr>
            </w:pPr>
          </w:p>
        </w:tc>
        <w:tc>
          <w:tcPr>
            <w:tcW w:w="8660" w:type="dxa"/>
            <w:vAlign w:val="bottom"/>
            <w:tcBorders>
              <w:top w:val="single" w:sz="8" w:color="CCEEFF"/>
            </w:tcBorders>
            <w:gridSpan w:val="41"/>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8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0000FF"/>
              </w:rPr>
              <w:t>Item 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0" w:type="dxa"/>
            <w:vAlign w:val="bottom"/>
            <w:gridSpan w:val="45"/>
          </w:tcPr>
          <w:p>
            <w:pPr>
              <w:spacing w:after="0" w:line="175" w:lineRule="exact"/>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340" w:type="dxa"/>
            <w:vAlign w:val="bottom"/>
            <w:gridSpan w:val="7"/>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23</w:t>
            </w:r>
          </w:p>
        </w:tc>
        <w:tc>
          <w:tcPr>
            <w:tcW w:w="6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920" w:type="dxa"/>
            <w:vAlign w:val="bottom"/>
            <w:tcBorders>
              <w:top w:val="single" w:sz="8" w:color="0000FF"/>
            </w:tcBorders>
            <w:gridSpan w:val="41"/>
          </w:tcPr>
          <w:p>
            <w:pPr>
              <w:spacing w:after="0" w:line="20" w:lineRule="exact"/>
              <w:rPr>
                <w:sz w:val="1"/>
                <w:szCs w:val="1"/>
                <w:color w:val="auto"/>
              </w:rPr>
            </w:pPr>
          </w:p>
        </w:tc>
        <w:tc>
          <w:tcPr>
            <w:tcW w:w="5560" w:type="dxa"/>
            <w:vAlign w:val="bottom"/>
            <w:gridSpan w:val="5"/>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70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3.</w:t>
            </w:r>
          </w:p>
        </w:tc>
        <w:tc>
          <w:tcPr>
            <w:tcW w:w="9520" w:type="dxa"/>
            <w:vAlign w:val="bottom"/>
            <w:gridSpan w:val="46"/>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0000FF"/>
              </w:rPr>
              <w:t>Defaults upon Senior Securities</w:t>
            </w:r>
          </w:p>
        </w:tc>
        <w:tc>
          <w:tcPr>
            <w:tcW w:w="340" w:type="dxa"/>
            <w:vAlign w:val="bottom"/>
            <w:gridSpan w:val="7"/>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23</w:t>
            </w:r>
          </w:p>
        </w:tc>
        <w:tc>
          <w:tcPr>
            <w:tcW w:w="66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gridSpan w:val="3"/>
            <w:shd w:val="clear" w:color="auto" w:fill="CCEEFF"/>
          </w:tcPr>
          <w:p>
            <w:pPr>
              <w:spacing w:after="0" w:line="20" w:lineRule="exact"/>
              <w:rPr>
                <w:sz w:val="1"/>
                <w:szCs w:val="1"/>
                <w:color w:val="auto"/>
              </w:rPr>
            </w:pPr>
          </w:p>
        </w:tc>
        <w:tc>
          <w:tcPr>
            <w:tcW w:w="2060" w:type="dxa"/>
            <w:vAlign w:val="bottom"/>
            <w:tcBorders>
              <w:top w:val="single" w:sz="8" w:color="0000FF"/>
            </w:tcBorders>
            <w:gridSpan w:val="24"/>
            <w:shd w:val="clear" w:color="auto" w:fill="CCEEFF"/>
          </w:tcPr>
          <w:p>
            <w:pPr>
              <w:spacing w:after="0" w:line="20" w:lineRule="exact"/>
              <w:rPr>
                <w:sz w:val="1"/>
                <w:szCs w:val="1"/>
                <w:color w:val="auto"/>
              </w:rPr>
            </w:pPr>
          </w:p>
        </w:tc>
        <w:tc>
          <w:tcPr>
            <w:tcW w:w="7420" w:type="dxa"/>
            <w:vAlign w:val="bottom"/>
            <w:tcBorders>
              <w:top w:val="single" w:sz="8" w:color="CCEEFF"/>
            </w:tcBorders>
            <w:gridSpan w:val="22"/>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0000FF"/>
              </w:rPr>
              <w:t>Item 4.</w:t>
            </w:r>
          </w:p>
        </w:tc>
        <w:tc>
          <w:tcPr>
            <w:tcW w:w="9520" w:type="dxa"/>
            <w:vAlign w:val="bottom"/>
            <w:gridSpan w:val="46"/>
          </w:tcPr>
          <w:p>
            <w:pPr>
              <w:ind w:left="120"/>
              <w:spacing w:after="0" w:line="175" w:lineRule="exact"/>
              <w:rPr>
                <w:sz w:val="20"/>
                <w:szCs w:val="20"/>
                <w:color w:val="auto"/>
              </w:rPr>
            </w:pPr>
            <w:r>
              <w:rPr>
                <w:rFonts w:ascii="Times New Roman" w:cs="Times New Roman" w:eastAsia="Times New Roman" w:hAnsi="Times New Roman"/>
                <w:sz w:val="16"/>
                <w:szCs w:val="16"/>
                <w:color w:val="0000FF"/>
              </w:rPr>
              <w:t>Mine Safety Disclosures</w:t>
            </w:r>
          </w:p>
        </w:tc>
        <w:tc>
          <w:tcPr>
            <w:tcW w:w="340" w:type="dxa"/>
            <w:vAlign w:val="bottom"/>
            <w:gridSpan w:val="7"/>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23</w:t>
            </w:r>
          </w:p>
        </w:tc>
        <w:tc>
          <w:tcPr>
            <w:tcW w:w="6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0" w:type="dxa"/>
            <w:vAlign w:val="bottom"/>
            <w:tcBorders>
              <w:top w:val="single" w:sz="8" w:color="0000FF"/>
            </w:tcBorders>
            <w:gridSpan w:val="15"/>
          </w:tcPr>
          <w:p>
            <w:pPr>
              <w:spacing w:after="0" w:line="20" w:lineRule="exact"/>
              <w:rPr>
                <w:sz w:val="1"/>
                <w:szCs w:val="1"/>
                <w:color w:val="auto"/>
              </w:rPr>
            </w:pPr>
          </w:p>
        </w:tc>
        <w:tc>
          <w:tcPr>
            <w:tcW w:w="7880" w:type="dxa"/>
            <w:vAlign w:val="bottom"/>
            <w:gridSpan w:val="31"/>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70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5.</w:t>
            </w:r>
          </w:p>
        </w:tc>
        <w:tc>
          <w:tcPr>
            <w:tcW w:w="9520" w:type="dxa"/>
            <w:vAlign w:val="bottom"/>
            <w:gridSpan w:val="46"/>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0000FF"/>
              </w:rPr>
              <w:t>Other Information</w:t>
            </w:r>
          </w:p>
        </w:tc>
        <w:tc>
          <w:tcPr>
            <w:tcW w:w="340" w:type="dxa"/>
            <w:vAlign w:val="bottom"/>
            <w:gridSpan w:val="7"/>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23</w:t>
            </w:r>
          </w:p>
        </w:tc>
        <w:tc>
          <w:tcPr>
            <w:tcW w:w="66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gridSpan w:val="3"/>
            <w:shd w:val="clear" w:color="auto" w:fill="CCEEFF"/>
          </w:tcPr>
          <w:p>
            <w:pPr>
              <w:spacing w:after="0" w:line="20" w:lineRule="exact"/>
              <w:rPr>
                <w:sz w:val="1"/>
                <w:szCs w:val="1"/>
                <w:color w:val="auto"/>
              </w:rPr>
            </w:pPr>
          </w:p>
        </w:tc>
        <w:tc>
          <w:tcPr>
            <w:tcW w:w="1200" w:type="dxa"/>
            <w:vAlign w:val="bottom"/>
            <w:tcBorders>
              <w:top w:val="single" w:sz="8" w:color="0000FF"/>
            </w:tcBorders>
            <w:gridSpan w:val="8"/>
            <w:shd w:val="clear" w:color="auto" w:fill="CCEEFF"/>
          </w:tcPr>
          <w:p>
            <w:pPr>
              <w:spacing w:after="0" w:line="20" w:lineRule="exact"/>
              <w:rPr>
                <w:sz w:val="1"/>
                <w:szCs w:val="1"/>
                <w:color w:val="auto"/>
              </w:rPr>
            </w:pPr>
          </w:p>
        </w:tc>
        <w:tc>
          <w:tcPr>
            <w:tcW w:w="8280" w:type="dxa"/>
            <w:vAlign w:val="bottom"/>
            <w:tcBorders>
              <w:top w:val="single" w:sz="8" w:color="CCEEFF"/>
            </w:tcBorders>
            <w:gridSpan w:val="38"/>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0000FF"/>
              </w:rPr>
              <w:t>Item 6.</w:t>
            </w:r>
          </w:p>
        </w:tc>
        <w:tc>
          <w:tcPr>
            <w:tcW w:w="9520" w:type="dxa"/>
            <w:vAlign w:val="bottom"/>
            <w:gridSpan w:val="46"/>
          </w:tcPr>
          <w:p>
            <w:pPr>
              <w:ind w:left="120"/>
              <w:spacing w:after="0" w:line="175" w:lineRule="exact"/>
              <w:rPr>
                <w:sz w:val="20"/>
                <w:szCs w:val="20"/>
                <w:color w:val="auto"/>
              </w:rPr>
            </w:pPr>
            <w:r>
              <w:rPr>
                <w:rFonts w:ascii="Times New Roman" w:cs="Times New Roman" w:eastAsia="Times New Roman" w:hAnsi="Times New Roman"/>
                <w:sz w:val="16"/>
                <w:szCs w:val="16"/>
                <w:color w:val="0000FF"/>
              </w:rPr>
              <w:t>Exhibits</w:t>
            </w:r>
          </w:p>
        </w:tc>
        <w:tc>
          <w:tcPr>
            <w:tcW w:w="340" w:type="dxa"/>
            <w:vAlign w:val="bottom"/>
            <w:gridSpan w:val="7"/>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24</w:t>
            </w:r>
          </w:p>
        </w:tc>
        <w:tc>
          <w:tcPr>
            <w:tcW w:w="6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40" w:type="dxa"/>
            <w:vAlign w:val="bottom"/>
            <w:tcBorders>
              <w:top w:val="single" w:sz="8" w:color="0000FF"/>
            </w:tcBorders>
            <w:gridSpan w:val="3"/>
          </w:tcPr>
          <w:p>
            <w:pPr>
              <w:spacing w:after="0" w:line="20" w:lineRule="exact"/>
              <w:rPr>
                <w:sz w:val="1"/>
                <w:szCs w:val="1"/>
                <w:color w:val="auto"/>
              </w:rPr>
            </w:pPr>
          </w:p>
        </w:tc>
        <w:tc>
          <w:tcPr>
            <w:tcW w:w="8940" w:type="dxa"/>
            <w:vAlign w:val="bottom"/>
            <w:gridSpan w:val="43"/>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520" w:type="dxa"/>
            <w:vAlign w:val="bottom"/>
            <w:gridSpan w:val="46"/>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0000FF"/>
              </w:rPr>
              <w:t>SIGNATURES</w:t>
            </w:r>
          </w:p>
        </w:tc>
        <w:tc>
          <w:tcPr>
            <w:tcW w:w="340" w:type="dxa"/>
            <w:vAlign w:val="bottom"/>
            <w:gridSpan w:val="7"/>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25</w:t>
            </w:r>
          </w:p>
        </w:tc>
        <w:tc>
          <w:tcPr>
            <w:tcW w:w="660" w:type="dxa"/>
            <w:vAlign w:val="bottom"/>
            <w:shd w:val="clear" w:color="auto" w:fill="CCEEFF"/>
          </w:tcPr>
          <w:p>
            <w:pPr>
              <w:spacing w:after="0"/>
              <w:rPr>
                <w:sz w:val="15"/>
                <w:szCs w:val="15"/>
                <w:color w:val="auto"/>
              </w:rPr>
            </w:pPr>
          </w:p>
        </w:tc>
      </w:tr>
      <w:tr>
        <w:trPr>
          <w:trHeight w:val="20"/>
        </w:trPr>
        <w:tc>
          <w:tcPr>
            <w:tcW w:w="840" w:type="dxa"/>
            <w:vAlign w:val="bottom"/>
            <w:tcBorders>
              <w:top w:val="single" w:sz="8" w:color="CCEEFF"/>
            </w:tcBorders>
            <w:gridSpan w:val="5"/>
            <w:shd w:val="clear" w:color="auto" w:fill="CCEEFF"/>
          </w:tcPr>
          <w:p>
            <w:pPr>
              <w:spacing w:after="0" w:line="20" w:lineRule="exact"/>
              <w:rPr>
                <w:sz w:val="1"/>
                <w:szCs w:val="1"/>
                <w:color w:val="auto"/>
              </w:rPr>
            </w:pPr>
          </w:p>
        </w:tc>
        <w:tc>
          <w:tcPr>
            <w:tcW w:w="1000" w:type="dxa"/>
            <w:vAlign w:val="bottom"/>
            <w:tcBorders>
              <w:top w:val="single" w:sz="8" w:color="0000FF"/>
            </w:tcBorders>
            <w:gridSpan w:val="6"/>
            <w:shd w:val="clear" w:color="auto" w:fill="CCEEFF"/>
          </w:tcPr>
          <w:p>
            <w:pPr>
              <w:spacing w:after="0" w:line="20" w:lineRule="exact"/>
              <w:rPr>
                <w:sz w:val="1"/>
                <w:szCs w:val="1"/>
                <w:color w:val="auto"/>
              </w:rPr>
            </w:pPr>
          </w:p>
        </w:tc>
        <w:tc>
          <w:tcPr>
            <w:tcW w:w="8480" w:type="dxa"/>
            <w:vAlign w:val="bottom"/>
            <w:tcBorders>
              <w:top w:val="single" w:sz="8" w:color="CCEEFF"/>
            </w:tcBorders>
            <w:gridSpan w:val="40"/>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372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520" w:type="dxa"/>
            <w:vAlign w:val="bottom"/>
            <w:tcBorders>
              <w:bottom w:val="single" w:sz="8" w:color="auto"/>
            </w:tcBorders>
          </w:tcPr>
          <w:p>
            <w:pPr>
              <w:spacing w:after="0"/>
              <w:rPr>
                <w:sz w:val="18"/>
                <w:szCs w:val="18"/>
                <w:color w:val="auto"/>
              </w:rPr>
            </w:pPr>
          </w:p>
        </w:tc>
      </w:tr>
      <w:tr>
        <w:trPr>
          <w:trHeight w:val="210"/>
        </w:trPr>
        <w:tc>
          <w:tcPr>
            <w:tcW w:w="70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March 31, 2026</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March 31, 2025</w:t>
            </w:r>
          </w:p>
        </w:tc>
        <w:tc>
          <w:tcPr>
            <w:tcW w:w="520" w:type="dxa"/>
            <w:vAlign w:val="bottom"/>
            <w:tcBorders>
              <w:bottom w:val="single" w:sz="8" w:color="auto"/>
            </w:tcBorders>
          </w:tcPr>
          <w:p>
            <w:pPr>
              <w:spacing w:after="0"/>
              <w:rPr>
                <w:sz w:val="18"/>
                <w:szCs w:val="18"/>
                <w:color w:val="auto"/>
              </w:rPr>
            </w:pPr>
          </w:p>
        </w:tc>
      </w:tr>
      <w:tr>
        <w:trPr>
          <w:trHeight w:val="216"/>
        </w:trPr>
        <w:tc>
          <w:tcPr>
            <w:tcW w:w="7000" w:type="dxa"/>
            <w:vAlign w:val="bottom"/>
          </w:tcPr>
          <w:p>
            <w:pPr>
              <w:spacing w:after="0"/>
              <w:rPr>
                <w:sz w:val="18"/>
                <w:szCs w:val="18"/>
                <w:color w:val="auto"/>
              </w:rPr>
            </w:pPr>
          </w:p>
        </w:tc>
        <w:tc>
          <w:tcPr>
            <w:tcW w:w="3720" w:type="dxa"/>
            <w:vAlign w:val="bottom"/>
            <w:gridSpan w:val="4"/>
          </w:tcPr>
          <w:p>
            <w:pPr>
              <w:jc w:val="right"/>
              <w:ind w:right="339"/>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52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16"/>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 – services</w:t>
            </w:r>
          </w:p>
        </w:tc>
        <w:tc>
          <w:tcPr>
            <w:tcW w:w="1560" w:type="dxa"/>
            <w:vAlign w:val="bottom"/>
            <w:shd w:val="clear" w:color="auto" w:fill="CCEEFF"/>
          </w:tcPr>
          <w:p>
            <w:pPr>
              <w:jc w:val="right"/>
              <w:ind w:right="13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42,061</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28,845</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Revenue – products</w:t>
            </w:r>
          </w:p>
        </w:tc>
        <w:tc>
          <w:tcPr>
            <w:tcW w:w="1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5,681</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1,771</w:t>
            </w:r>
          </w:p>
        </w:tc>
      </w:tr>
      <w:tr>
        <w:trPr>
          <w:trHeight w:val="21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5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47,742</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30,616</w:t>
            </w:r>
          </w:p>
        </w:tc>
      </w:tr>
      <w:tr>
        <w:trPr>
          <w:trHeight w:val="207"/>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sales – services (excluding depreciation and amortization)</w:t>
            </w:r>
          </w:p>
        </w:tc>
        <w:tc>
          <w:tcPr>
            <w:tcW w:w="15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23,239</w:t>
            </w: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15,491</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sales – products (excluding depreciation and amortization)</w:t>
            </w: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4,532</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2,596</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1,503</w:t>
            </w:r>
          </w:p>
        </w:tc>
      </w:tr>
      <w:tr>
        <w:trPr>
          <w:trHeight w:val="21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cost of sales</w:t>
            </w:r>
          </w:p>
        </w:tc>
        <w:tc>
          <w:tcPr>
            <w:tcW w:w="15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30,367</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18,434</w:t>
            </w:r>
          </w:p>
        </w:tc>
      </w:tr>
      <w:tr>
        <w:trPr>
          <w:trHeight w:val="207"/>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5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17,375</w:t>
            </w: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12,182</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5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14,563</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19,633</w:t>
            </w:r>
          </w:p>
        </w:tc>
      </w:tr>
      <w:tr>
        <w:trPr>
          <w:trHeight w:val="207"/>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5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15,920</w:t>
            </w:r>
          </w:p>
        </w:tc>
        <w:tc>
          <w:tcPr>
            <w:tcW w:w="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21,204</w:t>
            </w:r>
          </w:p>
        </w:tc>
      </w:tr>
      <w:tr>
        <w:trPr>
          <w:trHeight w:val="21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5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(9,022)</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5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07"/>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5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(8,608)</w:t>
            </w:r>
          </w:p>
        </w:tc>
      </w:tr>
      <w:tr>
        <w:trPr>
          <w:trHeight w:val="216"/>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15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2"/>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560" w:type="dxa"/>
            <w:vAlign w:val="bottom"/>
            <w:tcBorders>
              <w:bottom w:val="single" w:sz="8" w:color="auto"/>
            </w:tcBorders>
          </w:tcPr>
          <w:p>
            <w:pPr>
              <w:jc w:val="right"/>
              <w:ind w:right="13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18"/>
                <w:szCs w:val="18"/>
                <w:color w:val="auto"/>
              </w:rPr>
            </w:pPr>
          </w:p>
        </w:tc>
        <w:tc>
          <w:tcPr>
            <w:tcW w:w="1560" w:type="dxa"/>
            <w:vAlign w:val="bottom"/>
            <w:tcBorders>
              <w:bottom w:val="single" w:sz="8" w:color="auto"/>
            </w:tcBorders>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(8,604)</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37"/>
        </w:trPr>
        <w:tc>
          <w:tcPr>
            <w:tcW w:w="70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per share:</w:t>
            </w:r>
          </w:p>
        </w:tc>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560" w:type="dxa"/>
            <w:vAlign w:val="bottom"/>
            <w:shd w:val="clear" w:color="auto" w:fill="CCEEFF"/>
          </w:tcPr>
          <w:p>
            <w:pPr>
              <w:jc w:val="right"/>
              <w:ind w:right="13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560" w:type="dxa"/>
            <w:vAlign w:val="bottom"/>
          </w:tcPr>
          <w:p>
            <w:pPr>
              <w:jc w:val="right"/>
              <w:ind w:right="13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80" w:type="dxa"/>
            <w:vAlign w:val="bottom"/>
          </w:tcPr>
          <w:p>
            <w:pPr>
              <w:spacing w:after="0"/>
              <w:rPr>
                <w:sz w:val="18"/>
                <w:szCs w:val="18"/>
                <w:color w:val="auto"/>
              </w:rPr>
            </w:pPr>
          </w:p>
        </w:tc>
        <w:tc>
          <w:tcPr>
            <w:tcW w:w="1560" w:type="dxa"/>
            <w:vAlign w:val="bottom"/>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r>
      <w:tr>
        <w:trPr>
          <w:trHeight w:val="273"/>
        </w:trPr>
        <w:tc>
          <w:tcPr>
            <w:tcW w:w="70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number of shares outstanding:</w:t>
            </w:r>
          </w:p>
        </w:tc>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73,822</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72,715</w:t>
            </w:r>
          </w:p>
        </w:tc>
      </w:tr>
      <w:tr>
        <w:trPr>
          <w:trHeight w:val="210"/>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77,615</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72,715</w:t>
            </w:r>
          </w:p>
        </w:tc>
      </w:tr>
    </w:tbl>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358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520" w:type="dxa"/>
            <w:vAlign w:val="bottom"/>
            <w:tcBorders>
              <w:bottom w:val="single" w:sz="8" w:color="auto"/>
            </w:tcBorders>
          </w:tcPr>
          <w:p>
            <w:pPr>
              <w:spacing w:after="0"/>
              <w:rPr>
                <w:sz w:val="18"/>
                <w:szCs w:val="18"/>
                <w:color w:val="auto"/>
              </w:rPr>
            </w:pPr>
          </w:p>
        </w:tc>
      </w:tr>
      <w:tr>
        <w:trPr>
          <w:trHeight w:val="210"/>
        </w:trPr>
        <w:tc>
          <w:tcPr>
            <w:tcW w:w="69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March 31, 2026</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March 31, 2025</w:t>
            </w:r>
          </w:p>
        </w:tc>
        <w:tc>
          <w:tcPr>
            <w:tcW w:w="520" w:type="dxa"/>
            <w:vAlign w:val="bottom"/>
            <w:tcBorders>
              <w:bottom w:val="single" w:sz="8" w:color="auto"/>
            </w:tcBorders>
          </w:tcPr>
          <w:p>
            <w:pPr>
              <w:spacing w:after="0"/>
              <w:rPr>
                <w:sz w:val="18"/>
                <w:szCs w:val="18"/>
                <w:color w:val="auto"/>
              </w:rPr>
            </w:pPr>
          </w:p>
        </w:tc>
      </w:tr>
      <w:tr>
        <w:trPr>
          <w:trHeight w:val="216"/>
        </w:trPr>
        <w:tc>
          <w:tcPr>
            <w:tcW w:w="69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100" w:type="dxa"/>
            <w:vAlign w:val="bottom"/>
            <w:gridSpan w:val="3"/>
          </w:tcPr>
          <w:p>
            <w:pPr>
              <w:jc w:val="right"/>
              <w:ind w:right="103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Pr>
          <w:p>
            <w:pPr>
              <w:spacing w:after="0"/>
              <w:rPr>
                <w:sz w:val="18"/>
                <w:szCs w:val="18"/>
                <w:color w:val="auto"/>
              </w:rPr>
            </w:pPr>
          </w:p>
        </w:tc>
      </w:tr>
      <w:tr>
        <w:trPr>
          <w:trHeight w:val="23"/>
        </w:trPr>
        <w:tc>
          <w:tcPr>
            <w:tcW w:w="6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480" w:type="dxa"/>
            <w:vAlign w:val="bottom"/>
            <w:shd w:val="clear" w:color="auto" w:fill="CCEEFF"/>
          </w:tcPr>
          <w:p>
            <w:pPr>
              <w:jc w:val="right"/>
              <w:ind w:right="12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4"/>
              </w:rPr>
              <w:t>2,023</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(8,604)</w:t>
            </w:r>
          </w:p>
        </w:tc>
      </w:tr>
      <w:tr>
        <w:trPr>
          <w:trHeight w:val="21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9"/>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4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3"/>
        </w:trPr>
        <w:tc>
          <w:tcPr>
            <w:tcW w:w="6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Actuarial gain on pension liability adjustment</w:t>
            </w:r>
          </w:p>
        </w:tc>
        <w:tc>
          <w:tcPr>
            <w:tcW w:w="14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37"/>
        </w:trPr>
        <w:tc>
          <w:tcPr>
            <w:tcW w:w="6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480" w:type="dxa"/>
            <w:vAlign w:val="bottom"/>
            <w:tcBorders>
              <w:top w:val="single" w:sz="8" w:color="auto"/>
              <w:bottom w:val="single" w:sz="8" w:color="auto"/>
            </w:tcBorders>
            <w:shd w:val="clear" w:color="auto" w:fill="CCEEFF"/>
          </w:tcPr>
          <w:p>
            <w:pPr>
              <w:jc w:val="right"/>
              <w:ind w:right="12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4"/>
              </w:rPr>
              <w:t>2,015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(8,516)</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9"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March 31, 2026</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December 31, 2025</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40" w:type="dxa"/>
            <w:vAlign w:val="bottom"/>
            <w:gridSpan w:val="4"/>
          </w:tcPr>
          <w:p>
            <w:pPr>
              <w:jc w:val="right"/>
              <w:ind w:right="439"/>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 and share data)</w:t>
            </w: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50,230</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53,180</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10,565</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program expenses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10,006</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3,681</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3,662</w:t>
            </w:r>
          </w:p>
        </w:tc>
        <w:tc>
          <w:tcPr>
            <w:tcW w:w="0" w:type="dxa"/>
            <w:vAlign w:val="bottom"/>
          </w:tcPr>
          <w:p>
            <w:pPr>
              <w:spacing w:after="0"/>
              <w:rPr>
                <w:sz w:val="1"/>
                <w:szCs w:val="1"/>
                <w:color w:val="auto"/>
              </w:rPr>
            </w:pPr>
          </w:p>
        </w:tc>
      </w:tr>
      <w:tr>
        <w:trPr>
          <w:trHeight w:val="212"/>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95,625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94,413</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3,071</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right-of-use assets, net</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4,170</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3,006</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30,281</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4,543</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4,513</w:t>
            </w:r>
          </w:p>
        </w:tc>
        <w:tc>
          <w:tcPr>
            <w:tcW w:w="0" w:type="dxa"/>
            <w:vAlign w:val="bottom"/>
          </w:tcPr>
          <w:p>
            <w:pPr>
              <w:spacing w:after="0"/>
              <w:rPr>
                <w:sz w:val="1"/>
                <w:szCs w:val="1"/>
                <w:color w:val="auto"/>
              </w:rPr>
            </w:pPr>
          </w:p>
        </w:tc>
      </w:tr>
      <w:tr>
        <w:trPr>
          <w:trHeight w:val="212"/>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139,895</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139,864</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4,087</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6,900</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12,309</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Contract liabilities – current portion</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18,096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11,223</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Finance lease obligations – current portion</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Operating lease obligations – current portion</w:t>
            </w: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212"/>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36,982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36,784</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Contract liabilities – non-current portion</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Finance lease obligations – non-current portion</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5,608</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obligations – non-current portion</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12"/>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43,364</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43,914</w:t>
            </w:r>
          </w:p>
        </w:tc>
        <w:tc>
          <w:tcPr>
            <w:tcW w:w="0" w:type="dxa"/>
            <w:vAlign w:val="bottom"/>
          </w:tcPr>
          <w:p>
            <w:pPr>
              <w:spacing w:after="0"/>
              <w:rPr>
                <w:sz w:val="1"/>
                <w:szCs w:val="1"/>
                <w:color w:val="auto"/>
              </w:rPr>
            </w:pPr>
          </w:p>
        </w:tc>
      </w:tr>
      <w:tr>
        <w:trPr>
          <w:trHeight w:val="19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0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$0.001 par value, 250,000,000 shares authorized, 74,819,175 shares and 72,773,272</w:t>
            </w:r>
          </w:p>
        </w:tc>
        <w:tc>
          <w:tcPr>
            <w:tcW w:w="30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issued and outstanding as of March 31, 2026, and December 31, 2025, respectively</w:t>
            </w:r>
          </w:p>
        </w:tc>
        <w:tc>
          <w:tcPr>
            <w:tcW w:w="30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458,392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459,828</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3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(361,870)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(363,893)</w:t>
            </w:r>
          </w:p>
        </w:tc>
        <w:tc>
          <w:tcPr>
            <w:tcW w:w="0" w:type="dxa"/>
            <w:vAlign w:val="bottom"/>
          </w:tcPr>
          <w:p>
            <w:pPr>
              <w:spacing w:after="0"/>
              <w:rPr>
                <w:sz w:val="1"/>
                <w:szCs w:val="1"/>
                <w:color w:val="auto"/>
              </w:rPr>
            </w:pPr>
          </w:p>
        </w:tc>
      </w:tr>
      <w:tr>
        <w:trPr>
          <w:trHeight w:val="207"/>
        </w:trPr>
        <w:tc>
          <w:tcPr>
            <w:tcW w:w="7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96,531</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95,950</w:t>
            </w:r>
          </w:p>
        </w:tc>
        <w:tc>
          <w:tcPr>
            <w:tcW w:w="0" w:type="dxa"/>
            <w:vAlign w:val="bottom"/>
          </w:tcPr>
          <w:p>
            <w:pPr>
              <w:spacing w:after="0"/>
              <w:rPr>
                <w:sz w:val="1"/>
                <w:szCs w:val="1"/>
                <w:color w:val="auto"/>
              </w:rPr>
            </w:pPr>
          </w:p>
        </w:tc>
      </w:tr>
      <w:tr>
        <w:trPr>
          <w:trHeight w:val="237"/>
        </w:trPr>
        <w:tc>
          <w:tcPr>
            <w:tcW w:w="7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139,895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139,864</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372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520" w:type="dxa"/>
            <w:vAlign w:val="bottom"/>
            <w:tcBorders>
              <w:bottom w:val="single" w:sz="8" w:color="auto"/>
            </w:tcBorders>
          </w:tcPr>
          <w:p>
            <w:pPr>
              <w:spacing w:after="0"/>
              <w:rPr>
                <w:sz w:val="18"/>
                <w:szCs w:val="18"/>
                <w:color w:val="auto"/>
              </w:rPr>
            </w:pPr>
          </w:p>
        </w:tc>
      </w:tr>
      <w:tr>
        <w:trPr>
          <w:trHeight w:val="210"/>
        </w:trPr>
        <w:tc>
          <w:tcPr>
            <w:tcW w:w="70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March 31, 2026</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March 31, 2025</w:t>
            </w:r>
          </w:p>
        </w:tc>
        <w:tc>
          <w:tcPr>
            <w:tcW w:w="520" w:type="dxa"/>
            <w:vAlign w:val="bottom"/>
            <w:tcBorders>
              <w:bottom w:val="single" w:sz="8" w:color="auto"/>
            </w:tcBorders>
          </w:tcPr>
          <w:p>
            <w:pPr>
              <w:spacing w:after="0"/>
              <w:rPr>
                <w:sz w:val="18"/>
                <w:szCs w:val="18"/>
                <w:color w:val="auto"/>
              </w:rPr>
            </w:pPr>
          </w:p>
        </w:tc>
      </w:tr>
      <w:tr>
        <w:trPr>
          <w:trHeight w:val="216"/>
        </w:trPr>
        <w:tc>
          <w:tcPr>
            <w:tcW w:w="70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160" w:type="dxa"/>
            <w:vAlign w:val="bottom"/>
            <w:gridSpan w:val="3"/>
          </w:tcPr>
          <w:p>
            <w:pPr>
              <w:jc w:val="right"/>
              <w:ind w:right="109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1560" w:type="dxa"/>
            <w:vAlign w:val="bottom"/>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18"/>
                <w:szCs w:val="18"/>
                <w:color w:val="auto"/>
              </w:rPr>
            </w:pPr>
          </w:p>
        </w:tc>
        <w:tc>
          <w:tcPr>
            <w:tcW w:w="1560" w:type="dxa"/>
            <w:vAlign w:val="bottom"/>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(8,604)</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(loss) to cash flows from operations:</w:t>
            </w: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13"/>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2,971</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7,048</w:t>
            </w:r>
          </w:p>
        </w:tc>
      </w:tr>
      <w:tr>
        <w:trPr>
          <w:trHeight w:val="219"/>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3,429</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w:t>
            </w:r>
          </w:p>
        </w:tc>
      </w:tr>
      <w:tr>
        <w:trPr>
          <w:trHeight w:val="213"/>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on disposal of fixed assets</w:t>
            </w: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3"/>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Provision for (benefit from) deferred income tax</w:t>
            </w: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Provision for (recovery from) doubtful accounts</w:t>
            </w: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Changes in other operating assets and liabilities:</w:t>
            </w:r>
          </w:p>
        </w:tc>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9"/>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r>
      <w:tr>
        <w:trPr>
          <w:trHeight w:val="213"/>
        </w:trPr>
        <w:tc>
          <w:tcPr>
            <w:tcW w:w="7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Prepaid expenses, deferred program expenses, other current assets and other assets</w:t>
            </w: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(3,749)</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3,016</w:t>
            </w:r>
          </w:p>
        </w:tc>
      </w:tr>
      <w:tr>
        <w:trPr>
          <w:trHeight w:val="219"/>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3"/>
        </w:trPr>
        <w:tc>
          <w:tcPr>
            <w:tcW w:w="7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r>
      <w:tr>
        <w:trPr>
          <w:trHeight w:val="219"/>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Contract liabilities</w:t>
            </w: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6,699</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3"/>
        </w:trPr>
        <w:tc>
          <w:tcPr>
            <w:tcW w:w="7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Accrued liabilities and other liabilities</w:t>
            </w:r>
          </w:p>
        </w:tc>
        <w:tc>
          <w:tcPr>
            <w:tcW w:w="1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1,681</w:t>
            </w:r>
          </w:p>
        </w:tc>
      </w:tr>
      <w:tr>
        <w:trPr>
          <w:trHeight w:val="212"/>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5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8,656</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6,106</w:t>
            </w:r>
          </w:p>
        </w:tc>
      </w:tr>
      <w:tr>
        <w:trPr>
          <w:trHeight w:val="19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12"/>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5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(2,337)</w:t>
            </w:r>
          </w:p>
        </w:tc>
      </w:tr>
      <w:tr>
        <w:trPr>
          <w:trHeight w:val="19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under finance lease obligations</w:t>
            </w: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 of tax withholding related to net share settlement of equity awards</w:t>
            </w: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(6,619)</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Payments for debt issuance costs</w:t>
            </w:r>
          </w:p>
        </w:tc>
        <w:tc>
          <w:tcPr>
            <w:tcW w:w="1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5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(9,329)</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r>
      <w:tr>
        <w:trPr>
          <w:trHeight w:val="207"/>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5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(2,950)</w:t>
            </w: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3,213</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15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53,320</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54,717</w:t>
            </w:r>
          </w:p>
        </w:tc>
      </w:tr>
      <w:tr>
        <w:trPr>
          <w:trHeight w:val="207"/>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1560" w:type="dxa"/>
            <w:vAlign w:val="bottom"/>
            <w:tcBorders>
              <w:bottom w:val="single" w:sz="8" w:color="auto"/>
            </w:tcBorders>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50,370</w:t>
            </w:r>
          </w:p>
        </w:tc>
        <w:tc>
          <w:tcPr>
            <w:tcW w:w="80" w:type="dxa"/>
            <w:vAlign w:val="bottom"/>
          </w:tcPr>
          <w:p>
            <w:pPr>
              <w:spacing w:after="0"/>
              <w:rPr>
                <w:sz w:val="17"/>
                <w:szCs w:val="17"/>
                <w:color w:val="auto"/>
              </w:rPr>
            </w:pPr>
          </w:p>
        </w:tc>
        <w:tc>
          <w:tcPr>
            <w:tcW w:w="1560" w:type="dxa"/>
            <w:vAlign w:val="bottom"/>
            <w:tcBorders>
              <w:bottom w:val="single" w:sz="8" w:color="auto"/>
            </w:tcBorders>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57,930</w:t>
            </w:r>
          </w:p>
        </w:tc>
      </w:tr>
      <w:tr>
        <w:trPr>
          <w:trHeight w:val="23"/>
        </w:trPr>
        <w:tc>
          <w:tcPr>
            <w:tcW w:w="70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2220" w:type="dxa"/>
            <w:vAlign w:val="bottom"/>
            <w:gridSpan w:val="3"/>
            <w:vMerge w:val="restart"/>
          </w:tcPr>
          <w:p>
            <w:pPr>
              <w:jc w:val="right"/>
              <w:ind w:right="421"/>
              <w:spacing w:after="0"/>
              <w:rPr>
                <w:sz w:val="20"/>
                <w:szCs w:val="20"/>
                <w:color w:val="auto"/>
              </w:rPr>
            </w:pPr>
            <w:r>
              <w:rPr>
                <w:rFonts w:ascii="Times New Roman" w:cs="Times New Roman" w:eastAsia="Times New Roman" w:hAnsi="Times New Roman"/>
                <w:sz w:val="14"/>
                <w:szCs w:val="14"/>
                <w:color w:val="auto"/>
              </w:rPr>
              <w:t>Common Stock</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Accumulated</w:t>
            </w: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280" w:type="dxa"/>
            <w:vAlign w:val="bottom"/>
          </w:tcPr>
          <w:p>
            <w:pPr>
              <w:spacing w:after="0"/>
              <w:rPr>
                <w:sz w:val="9"/>
                <w:szCs w:val="9"/>
                <w:color w:val="auto"/>
              </w:rPr>
            </w:pPr>
          </w:p>
        </w:tc>
        <w:tc>
          <w:tcPr>
            <w:tcW w:w="222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3"/>
            <w:vMerge w:val="restart"/>
          </w:tcPr>
          <w:p>
            <w:pPr>
              <w:ind w:left="80"/>
              <w:spacing w:after="0" w:line="125" w:lineRule="exact"/>
              <w:rPr>
                <w:sz w:val="20"/>
                <w:szCs w:val="20"/>
                <w:color w:val="auto"/>
              </w:rPr>
            </w:pPr>
            <w:r>
              <w:rPr>
                <w:rFonts w:ascii="Times New Roman" w:cs="Times New Roman" w:eastAsia="Times New Roman" w:hAnsi="Times New Roman"/>
                <w:sz w:val="14"/>
                <w:szCs w:val="14"/>
                <w:color w:val="auto"/>
              </w:rPr>
              <w:t>Additional Paid-in</w:t>
            </w:r>
          </w:p>
        </w:tc>
        <w:tc>
          <w:tcPr>
            <w:tcW w:w="180" w:type="dxa"/>
            <w:vAlign w:val="bottom"/>
          </w:tcPr>
          <w:p>
            <w:pPr>
              <w:spacing w:after="0"/>
              <w:rPr>
                <w:sz w:val="9"/>
                <w:szCs w:val="9"/>
                <w:color w:val="auto"/>
              </w:rPr>
            </w:pPr>
          </w:p>
        </w:tc>
        <w:tc>
          <w:tcPr>
            <w:tcW w:w="1160" w:type="dxa"/>
            <w:vAlign w:val="bottom"/>
            <w:gridSpan w:val="2"/>
            <w:vMerge w:val="restart"/>
          </w:tcPr>
          <w:p>
            <w:pPr>
              <w:jc w:val="center"/>
              <w:ind w:right="260"/>
              <w:spacing w:after="0" w:line="125" w:lineRule="exact"/>
              <w:rPr>
                <w:sz w:val="20"/>
                <w:szCs w:val="20"/>
                <w:color w:val="auto"/>
              </w:rPr>
            </w:pPr>
            <w:r>
              <w:rPr>
                <w:rFonts w:ascii="Times New Roman" w:cs="Times New Roman" w:eastAsia="Times New Roman" w:hAnsi="Times New Roman"/>
                <w:sz w:val="14"/>
                <w:szCs w:val="14"/>
                <w:color w:val="auto"/>
              </w:rPr>
              <w:t>Other</w:t>
            </w: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vMerge w:val="restart"/>
          </w:tcPr>
          <w:p>
            <w:pPr>
              <w:jc w:val="right"/>
              <w:spacing w:after="0" w:line="125" w:lineRule="exact"/>
              <w:rPr>
                <w:sz w:val="20"/>
                <w:szCs w:val="20"/>
                <w:color w:val="auto"/>
              </w:rPr>
            </w:pPr>
            <w:r>
              <w:rPr>
                <w:rFonts w:ascii="Times New Roman" w:cs="Times New Roman" w:eastAsia="Times New Roman" w:hAnsi="Times New Roman"/>
                <w:sz w:val="14"/>
                <w:szCs w:val="14"/>
                <w:color w:val="auto"/>
              </w:rPr>
              <w:t>Total Stockholders’</w:t>
            </w: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80" w:type="dxa"/>
            <w:vAlign w:val="bottom"/>
            <w:vMerge w:val="restart"/>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280" w:type="dxa"/>
            <w:vAlign w:val="bottom"/>
          </w:tcPr>
          <w:p>
            <w:pPr>
              <w:spacing w:after="0"/>
              <w:rPr>
                <w:sz w:val="16"/>
                <w:szCs w:val="16"/>
                <w:color w:val="auto"/>
              </w:rPr>
            </w:pPr>
          </w:p>
        </w:tc>
        <w:tc>
          <w:tcPr>
            <w:tcW w:w="12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3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color w:val="auto"/>
              </w:rPr>
              <w:t>Capital</w:t>
            </w:r>
          </w:p>
        </w:tc>
        <w:tc>
          <w:tcPr>
            <w:tcW w:w="80" w:type="dxa"/>
            <w:vAlign w:val="bottom"/>
          </w:tcPr>
          <w:p>
            <w:pPr>
              <w:spacing w:after="0"/>
              <w:rPr>
                <w:sz w:val="16"/>
                <w:szCs w:val="16"/>
                <w:color w:val="auto"/>
              </w:rPr>
            </w:pPr>
          </w:p>
        </w:tc>
        <w:tc>
          <w:tcPr>
            <w:tcW w:w="1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80" w:type="dxa"/>
            <w:vAlign w:val="bottom"/>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18"/>
        </w:trPr>
        <w:tc>
          <w:tcPr>
            <w:tcW w:w="3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5"/>
          </w:tcPr>
          <w:p>
            <w:pPr>
              <w:ind w:left="6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72,773</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459,828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(363,893)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95,950</w:t>
            </w:r>
          </w:p>
        </w:tc>
        <w:tc>
          <w:tcPr>
            <w:tcW w:w="0" w:type="dxa"/>
            <w:vAlign w:val="bottom"/>
          </w:tcPr>
          <w:p>
            <w:pPr>
              <w:spacing w:after="0"/>
              <w:rPr>
                <w:sz w:val="1"/>
                <w:szCs w:val="1"/>
                <w:color w:val="auto"/>
              </w:rPr>
            </w:pPr>
          </w:p>
        </w:tc>
      </w:tr>
      <w:tr>
        <w:trPr>
          <w:trHeight w:val="213"/>
        </w:trPr>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 loss</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3"/>
        </w:trPr>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w:t>
            </w:r>
          </w:p>
        </w:tc>
        <w:tc>
          <w:tcPr>
            <w:tcW w:w="0" w:type="dxa"/>
            <w:vAlign w:val="bottom"/>
          </w:tcPr>
          <w:p>
            <w:pPr>
              <w:spacing w:after="0"/>
              <w:rPr>
                <w:sz w:val="1"/>
                <w:szCs w:val="1"/>
                <w:color w:val="auto"/>
              </w:rPr>
            </w:pPr>
          </w:p>
        </w:tc>
      </w:tr>
      <w:tr>
        <w:trPr>
          <w:trHeight w:val="165"/>
        </w:trPr>
        <w:tc>
          <w:tcPr>
            <w:tcW w:w="328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Restricted stock unit awards vested, net of</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shares withheld to cover tax withholding</w:t>
            </w:r>
          </w:p>
        </w:tc>
        <w:tc>
          <w:tcPr>
            <w:tcW w:w="12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w:t>
            </w:r>
          </w:p>
        </w:tc>
        <w:tc>
          <w:tcPr>
            <w:tcW w:w="0" w:type="dxa"/>
            <w:vAlign w:val="bottom"/>
          </w:tcPr>
          <w:p>
            <w:pPr>
              <w:spacing w:after="0"/>
              <w:rPr>
                <w:sz w:val="1"/>
                <w:szCs w:val="1"/>
                <w:color w:val="auto"/>
              </w:rPr>
            </w:pPr>
          </w:p>
        </w:tc>
      </w:tr>
      <w:tr>
        <w:trPr>
          <w:trHeight w:val="165"/>
        </w:trPr>
        <w:tc>
          <w:tcPr>
            <w:tcW w:w="328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Issuance of common stock for annual incentive</w:t>
            </w: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plan ("AIP") payment, net of shares withheld to</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cover tax withholding</w:t>
            </w:r>
          </w:p>
        </w:tc>
        <w:tc>
          <w:tcPr>
            <w:tcW w:w="12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common stock for 401K match</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0" w:type="dxa"/>
            <w:vAlign w:val="bottom"/>
          </w:tcPr>
          <w:p>
            <w:pPr>
              <w:spacing w:after="0"/>
              <w:rPr>
                <w:sz w:val="1"/>
                <w:szCs w:val="1"/>
                <w:color w:val="auto"/>
              </w:rPr>
            </w:pPr>
          </w:p>
        </w:tc>
      </w:tr>
      <w:tr>
        <w:trPr>
          <w:trHeight w:val="235"/>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2026</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74,819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21"/>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458,392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(361,870)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96,531</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72,515</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454,502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(327,347)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127,137</w:t>
            </w:r>
          </w:p>
        </w:tc>
        <w:tc>
          <w:tcPr>
            <w:tcW w:w="0" w:type="dxa"/>
            <w:vAlign w:val="bottom"/>
          </w:tcPr>
          <w:p>
            <w:pPr>
              <w:spacing w:after="0"/>
              <w:rPr>
                <w:sz w:val="1"/>
                <w:szCs w:val="1"/>
                <w:color w:val="auto"/>
              </w:rPr>
            </w:pPr>
          </w:p>
        </w:tc>
      </w:tr>
      <w:tr>
        <w:trPr>
          <w:trHeight w:val="213"/>
        </w:trPr>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(8,604)</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 gain</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3"/>
        </w:trPr>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Actuarial gain on pension liability adjustment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65"/>
        </w:trPr>
        <w:tc>
          <w:tcPr>
            <w:tcW w:w="328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Restricted stock unit awards vested, net of</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shares withheld to cover tax withholding</w:t>
            </w:r>
          </w:p>
        </w:tc>
        <w:tc>
          <w:tcPr>
            <w:tcW w:w="12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5,534</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Issuance of common stock for 401K match</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0" w:type="dxa"/>
            <w:vAlign w:val="bottom"/>
          </w:tcPr>
          <w:p>
            <w:pPr>
              <w:spacing w:after="0"/>
              <w:rPr>
                <w:sz w:val="1"/>
                <w:szCs w:val="1"/>
                <w:color w:val="auto"/>
              </w:rPr>
            </w:pPr>
          </w:p>
        </w:tc>
      </w:tr>
      <w:tr>
        <w:trPr>
          <w:trHeight w:val="207"/>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2025</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73,319</w:t>
            </w:r>
          </w:p>
        </w:tc>
        <w:tc>
          <w:tcPr>
            <w:tcW w:w="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721"/>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461,994</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(335,951)</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126,114</w:t>
            </w: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3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ORGANIZATION</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Telos Corporation, together with its subsidiaries (collectively, the "Company," "we," "our" or "Telos"), a Maryland corporation, is a leading provider of cyber, cloud and enterprise security solutions for the world's most security-conscious organizations. We own all of the issued and outstanding shares of Xacta Corporation and ubIQuity.com, inc. (a holding company for Xacta Corporation), and Teloworks, Inc. ("Teloworks"), and 100% ownership interest in Telos Identity Management Solutions, LLC ("Telos ID").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SIGNIFICANT ACCOUNTING POLICIES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 of Consolidation</w:t>
      </w:r>
    </w:p>
    <w:p>
      <w:pPr>
        <w:spacing w:after="0" w:line="17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 xml:space="preserve">The accompanying unaudited consolidated financial statements include the accounts of Telos and its subsidiaries (see </w:t>
      </w:r>
      <w:r>
        <w:rPr>
          <w:rFonts w:ascii="Times New Roman" w:cs="Times New Roman" w:eastAsia="Times New Roman" w:hAnsi="Times New Roman"/>
          <w:sz w:val="18"/>
          <w:szCs w:val="18"/>
          <w:u w:val="single" w:color="auto"/>
          <w:color w:val="0000FF"/>
        </w:rPr>
        <w:t>Note 1 – Organization</w:t>
      </w:r>
      <w:r>
        <w:rPr>
          <w:rFonts w:ascii="Times New Roman" w:cs="Times New Roman" w:eastAsia="Times New Roman" w:hAnsi="Times New Roman"/>
          <w:sz w:val="18"/>
          <w:szCs w:val="18"/>
          <w:color w:val="auto"/>
        </w:rPr>
        <w:t>), all of whose issued and outstanding share capital is wholly owned directly and indirectly by Telos Corporation. All intercompany transactions have been eliminated in consolidation.</w:t>
      </w:r>
    </w:p>
    <w:p>
      <w:pPr>
        <w:spacing w:after="0" w:line="1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unaudited consolidated financial statements have been prepared in accordance with accounting principles generally accepted in the United States of America ("U.S. GAAP"), and the rules and regulations of the U.S. Securities and Exchange Commission ("SEC").</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for Interim Periods</w:t>
      </w:r>
    </w:p>
    <w:p>
      <w:pPr>
        <w:spacing w:after="0" w:line="17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for the annual financial statements prepared in accordance with U.S. GAAP have been condensed or omitted for the interim periods presented. We believe that the unaudited interim financial statements include all adjustments (which are normal and recurring) necessary to state fairly our financial position and the results of operations and cash flows for the periods presented.</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results of operations for the interim periods presented are not necessarily indicative of results that may be expected for the year or future periods. The financial statements should be read in conjunction with our audited consolidated financial statements and the notes thereto for the year ended December 31, 2025, included in our Annual Report on Form 10-K for the fiscal year then ended. We have continued to follow the accounting policies set forth in those financial statements.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7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preparation of these unaudited consolidated financial statements, in conformity with U.S. GAAP, requires management to make estimates and assumptions that affect the reported amounts of revenue, expenses, assets and liabilities, and disclosure of contingent assets and liabilities. The Company regularly assesses these estimates; however, actual results could differ from those estimates. We base our estimates on historical experience, currently available information, and various other assumptions that we believe are reasonable under the circumstances.</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Management evaluates these estimates and assumptions on an ongoing basis, including those relating to revenue recognition on cost estimation on certain contracts, allowance for credit losses, inventory obsolescence, valuation allowance for deferred tax assets, income taxes, certain assumptions related to share-based compensation, valuation of intangible assets and goodwill, restructuring expenses accruals, and contingencies. Actual results could differ from those estimates. The impact of changes in estimates is recorded in the period in which they become known.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Expenses</w:t>
      </w:r>
    </w:p>
    <w:p>
      <w:pPr>
        <w:spacing w:after="0" w:line="17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As disclosed in the Company's recent Annual Report on Form 10-K for the year ended December 31, 2025, in the fourth quarter of 2025, the Company committed to a restructuring plan as part of its efforts to streamline operations and to align people, roles and projects to our strategic priorities ("2025 restructuring"). The 2025 restructuring plan reduced the Company's workforce, with a portion of the affected employees separating from the business during the current quarter and the remainder expected to separate by the third quarter of 2026. The Company continues to evaluate the 2025 restructuring plan and may incur incremental restructuring charges through the remainder of 2026 to the extent such charges are determined to be probable and estimable. The Company incurred $1.5 million in cumulative restructuring expenses related to the 2025 restructuring plan.</w:t>
      </w:r>
    </w:p>
    <w:p>
      <w:pPr>
        <w:spacing w:after="0" w:line="13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At each reporting date, the Company evaluates its restructuring expense accrual to determine if the liabilities reported are still appropriate. Any changes in the estimated costs of executing the approved restructuring plan are reflected in the Company's unaudited consolidated statement of operations.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2: Summary of Changes in Restructuring Expenses Accrual</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160" w:type="dxa"/>
            <w:vAlign w:val="bottom"/>
            <w:tcBorders>
              <w:top w:val="single" w:sz="8" w:color="auto"/>
            </w:tcBorders>
          </w:tcPr>
          <w:p>
            <w:pPr>
              <w:spacing w:after="0"/>
              <w:rPr>
                <w:sz w:val="14"/>
                <w:szCs w:val="14"/>
                <w:color w:val="auto"/>
              </w:rPr>
            </w:pPr>
          </w:p>
        </w:tc>
        <w:tc>
          <w:tcPr>
            <w:tcW w:w="2080" w:type="dxa"/>
            <w:vAlign w:val="bottom"/>
            <w:tcBorders>
              <w:top w:val="single" w:sz="8" w:color="auto"/>
            </w:tcBorders>
            <w:gridSpan w:val="2"/>
          </w:tcPr>
          <w:p>
            <w:pPr>
              <w:jc w:val="center"/>
              <w:spacing w:after="0" w:line="161" w:lineRule="exact"/>
              <w:rPr>
                <w:sz w:val="20"/>
                <w:szCs w:val="20"/>
                <w:color w:val="auto"/>
              </w:rPr>
            </w:pPr>
            <w:r>
              <w:rPr>
                <w:rFonts w:ascii="Times New Roman" w:cs="Times New Roman" w:eastAsia="Times New Roman" w:hAnsi="Times New Roman"/>
                <w:sz w:val="16"/>
                <w:szCs w:val="16"/>
                <w:color w:val="auto"/>
              </w:rPr>
              <w:t>Severance and related benefit</w:t>
            </w:r>
          </w:p>
        </w:tc>
      </w:tr>
      <w:tr>
        <w:trPr>
          <w:trHeight w:val="216"/>
        </w:trPr>
        <w:tc>
          <w:tcPr>
            <w:tcW w:w="9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281"/>
              <w:spacing w:after="0" w:line="216" w:lineRule="exact"/>
              <w:rPr>
                <w:sz w:val="20"/>
                <w:szCs w:val="20"/>
                <w:color w:val="auto"/>
              </w:rPr>
            </w:pPr>
            <w:r>
              <w:rPr>
                <w:rFonts w:ascii="Times New Roman" w:cs="Times New Roman" w:eastAsia="Times New Roman" w:hAnsi="Times New Roman"/>
                <w:sz w:val="16"/>
                <w:szCs w:val="16"/>
                <w:color w:val="auto"/>
                <w:w w:val="90"/>
              </w:rPr>
              <w:t>costs</w:t>
            </w:r>
            <w:r>
              <w:rPr>
                <w:rFonts w:ascii="Times New Roman" w:cs="Times New Roman" w:eastAsia="Times New Roman" w:hAnsi="Times New Roman"/>
                <w:sz w:val="21"/>
                <w:szCs w:val="21"/>
                <w:color w:val="auto"/>
                <w:w w:val="90"/>
                <w:vertAlign w:val="superscript"/>
              </w:rPr>
              <w:t>(1)</w:t>
            </w:r>
          </w:p>
        </w:tc>
      </w:tr>
      <w:tr>
        <w:trPr>
          <w:trHeight w:val="213"/>
        </w:trPr>
        <w:tc>
          <w:tcPr>
            <w:tcW w:w="9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jc w:val="center"/>
              <w:ind w:right="281"/>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3"/>
        </w:trPr>
        <w:tc>
          <w:tcPr>
            <w:tcW w:w="9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16"/>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w:t>
            </w:r>
          </w:p>
        </w:tc>
      </w:tr>
      <w:tr>
        <w:trPr>
          <w:trHeight w:val="213"/>
        </w:trPr>
        <w:tc>
          <w:tcPr>
            <w:tcW w:w="9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Cash payments</w:t>
            </w:r>
          </w:p>
        </w:tc>
        <w:tc>
          <w:tcPr>
            <w:tcW w:w="3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w:t>
            </w:r>
          </w:p>
        </w:tc>
      </w:tr>
      <w:tr>
        <w:trPr>
          <w:trHeight w:val="237"/>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2026</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right="80" w:firstLine="8"/>
        <w:spacing w:after="0" w:line="282" w:lineRule="auto"/>
        <w:tabs>
          <w:tab w:leader="none" w:pos="204"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Restructuring-related liabilities are reported as part of "Accrued liabilities" in the Company's unaudited consolidated balance sheets, see </w:t>
      </w:r>
      <w:r>
        <w:rPr>
          <w:rFonts w:ascii="Times New Roman" w:cs="Times New Roman" w:eastAsia="Times New Roman" w:hAnsi="Times New Roman"/>
          <w:sz w:val="14"/>
          <w:szCs w:val="14"/>
          <w:u w:val="single" w:color="auto"/>
          <w:color w:val="0000FF"/>
        </w:rPr>
        <w:t>Note 8 - Other Balance Sheet Components</w:t>
      </w:r>
      <w:r>
        <w:rPr>
          <w:rFonts w:ascii="Times New Roman" w:cs="Times New Roman" w:eastAsia="Times New Roman" w:hAnsi="Times New Roman"/>
          <w:sz w:val="14"/>
          <w:szCs w:val="14"/>
          <w:color w:val="auto"/>
        </w:rPr>
        <w:t xml:space="preserve"> for further details.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7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Company adopted all applicable standards effective as of December 31, 2025, within these unaudited consolidated financial statements, with no material impact as a result of the adoption.</w:t>
      </w:r>
    </w:p>
    <w:p>
      <w:pPr>
        <w:spacing w:after="0" w:line="10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(Topic 220): Disaggregation of Income Statement Expenses." This standard requires additional disclosure of certain amounts included in the expense captions presented on the statement of operations, as well as disclosures about selling expenses. The ASU is effective on a prospective basis, with the option for retrospective application. All public business entities are required to adopt the guidance in annual reporting periods beginning after December 15, 2026, and interim reporting periods beginning after December 15, 2027, with early adoption permitted. We are in the process of assessing the impact of the adoption of this ASU on our unaudited consolidated financial statements.</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Receivables and Contract Assets.” This standard provides simplified guidance on measuring credit losses for accounts receivable and contract assets. The update introduces a practical expedient and an accounting policy election to ease the process. All entities can elect the practical expedient to assume that the current economic conditions at the balance sheet date will remain constant through the life of the current receivables and contract assets. Entities that elect the practical expedient and the accounting policy election should apply the amendments in this ASU prospectively. The ASU was effective for annual reporting periods beginning after December 15, 2025, and interim reporting periods within those annual reporting periods, with early adoption permitted. We adopted the standard in the first quarter of 2026 and the adoption did not have a material impact on our unaudited consolidated financial statements.</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(Subtopic 350-40): Targeted Improvements to the Accounting of Internal-Use Software." This standard provides a simplified, consistent way to track expenses related to software developed for internal use. The amendments in this standard removed all references to project stages; instead, a company can capitalize software costs once both conditions are met: the entity's management has authorized and committed to funding the project, and it is probable that the project will be completed and the software will be used as intended. The amendments will be effective for annual reporting periods, including interim periods within those years, beginning after December 15, 2027, with early adoption permitted. We are currently assessing the impact of adopting this ASU on our unaudited consolidated financial statements.</w:t>
      </w:r>
    </w:p>
    <w:p>
      <w:pPr>
        <w:spacing w:after="0" w:line="13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which was intended to improve the navigability of the guidance in ASC 270 and clarify when it applies. Public entities are required to adopt the guidance for interim reporting periods within annual reporting period beginning after December 15, 2027, with early adoption permitted. We are currently assessing the impact of adopting this ASU on our unaudited consolidated financial statements.</w:t>
      </w:r>
    </w:p>
    <w:p>
      <w:pPr>
        <w:spacing w:after="0" w:line="12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December 2025, the FASB issued ASU 2025-12, "Codification Improvement." This ASU includes a number of improvements that span a wide range of topics, which includes amendments on the following provisions, among other things, (1) clarify diluted earnings per share ("EPS") calculation when a loss from continuing operation exists; (2) revising the calculation of the reference amount for beneficial interests to prevent double counting credit losses; (3) clarify the permissible methods to account for treasury stock retirements; and (4) clarify the guidance for transfers of receivables from contracts with customers. The standard will be effective for annual reporting periods beginning after December 31, 2026, and interim reporting periods within those annual reporting periods, with early adoption permitted. We are currently assessing the impact of adopting this ASU on our unaudited consolidated financial statements.</w:t>
      </w:r>
    </w:p>
    <w:p>
      <w:pPr>
        <w:spacing w:after="0" w:line="13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addition, from time to time, new accounting standards are issued by the Financial Accounting Standards Board or other standard-setting bodies and are adopted by the Company as of the specified accounting date. Unless otherwise discussed, the Company believes that issued standards not yet effective will not have a material effect on its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REVENUE RECOGNITION</w:t>
      </w:r>
    </w:p>
    <w:p>
      <w:pPr>
        <w:spacing w:after="0" w:line="17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majority of our revenue is recognized over time, as control is transferred continuously to our customers, who receive and consume benefits as we perform. Revenue transferred to customers over time accounted for 71% and 79% of our revenue for the three months ended March 31, 2026, and 2025, respectively. For performance obligations in which control does not continuously transfer to the customer, we recognize revenue when each performance obligation is fully satisfied. This coincides with the point in time the customer obtains control of the product or service, which typically occurs upon customer acceptance or receipt of the product or service, given that we maintain control of the product or service until that point. Revenue transferred to customers at a point in time accounted for 29% and 21% of our revenue for the three months ended March 31, 2026, and 2025, respectively. The change in revenue mix for the three months ended March 31, 2026, as compared to the prior period, was primarily driven by an increase in product sales volume from a successful ramp-up of a significant program.</w:t>
      </w:r>
    </w:p>
    <w:p>
      <w:pPr>
        <w:spacing w:after="0" w:line="13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contracts may include various types of variable considerations and may include estimated amounts in the transaction price, based on all of the information available to us, and to the extent it is probable that a significant reversal of cumulative revenue recognized will not occur when any uncertainty associated with the variable consideration is resolved. We evaluate and include these estimated amounts of variable consideration in the transaction price and as performance on these contracts is complete, we adjust our revenue when deemed necessary. No revenue adjustments were recorded during the three months ended March 31, 2026, and 2025.</w:t>
      </w:r>
    </w:p>
    <w:p>
      <w:pPr>
        <w:spacing w:after="0" w:line="12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We provide for anticipated losses on contracts during the period when the loss is determined by recording an expense for the total expected costs that exceed the total estimated revenue for a performance obligation. No contract loss was recorded during the three months ended March 31, 2026. We recorded an immaterial contract loss during the three months ended March 31, 2025.</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Revenues</w:t>
      </w:r>
    </w:p>
    <w:p>
      <w:pPr>
        <w:spacing w:after="0" w:line="17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In addition to our segment reporting, as further discussed in </w:t>
      </w:r>
      <w:r>
        <w:rPr>
          <w:rFonts w:ascii="Times New Roman" w:cs="Times New Roman" w:eastAsia="Times New Roman" w:hAnsi="Times New Roman"/>
          <w:sz w:val="18"/>
          <w:szCs w:val="18"/>
          <w:u w:val="single" w:color="auto"/>
          <w:color w:val="0000FF"/>
        </w:rPr>
        <w:t>Note 14 – Segment Information</w:t>
      </w:r>
      <w:r>
        <w:rPr>
          <w:rFonts w:ascii="Times New Roman" w:cs="Times New Roman" w:eastAsia="Times New Roman" w:hAnsi="Times New Roman"/>
          <w:sz w:val="18"/>
          <w:szCs w:val="18"/>
          <w:color w:val="auto"/>
        </w:rPr>
        <w:t>, we disaggregate our revenues by customer and contract types. We treat sales to U.S. customers as sales within the U.S. regardless of where the services are performed. Substantially most of our revenues are generated from U.S. customers, while international customers are de minimis; as such, the financial information by geographic location is not presented.</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3.1: Revenue by Customer Type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20" w:type="dxa"/>
            <w:vAlign w:val="bottom"/>
            <w:tcBorders>
              <w:top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3160" w:type="dxa"/>
            <w:vAlign w:val="bottom"/>
            <w:tcBorders>
              <w:top w:val="single" w:sz="8" w:color="auto"/>
              <w:bottom w:val="single" w:sz="8" w:color="auto"/>
            </w:tcBorders>
            <w:gridSpan w:val="9"/>
          </w:tcPr>
          <w:p>
            <w:pPr>
              <w:jc w:val="center"/>
              <w:ind w:right="120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8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6"/>
                <w:szCs w:val="16"/>
                <w:color w:val="auto"/>
              </w:rPr>
              <w:t>March 31, 2026</w:t>
            </w:r>
          </w:p>
        </w:tc>
        <w:tc>
          <w:tcPr>
            <w:tcW w:w="9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6"/>
                <w:szCs w:val="16"/>
                <w:color w:val="auto"/>
              </w:rPr>
              <w:t>March 31, 2025</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gridSpan w:val="2"/>
          </w:tcPr>
          <w:p>
            <w:pPr>
              <w:spacing w:after="0"/>
              <w:rPr>
                <w:sz w:val="18"/>
                <w:szCs w:val="18"/>
                <w:color w:val="auto"/>
              </w:rPr>
            </w:pPr>
          </w:p>
        </w:tc>
        <w:tc>
          <w:tcPr>
            <w:tcW w:w="560" w:type="dxa"/>
            <w:vAlign w:val="bottom"/>
            <w:tcBorders>
              <w:bottom w:val="single" w:sz="8" w:color="auto"/>
            </w:tcBorders>
            <w:gridSpan w:val="2"/>
          </w:tcPr>
          <w:p>
            <w:pPr>
              <w:spacing w:after="0"/>
              <w:rPr>
                <w:sz w:val="18"/>
                <w:szCs w:val="18"/>
                <w:color w:val="auto"/>
              </w:rPr>
            </w:pPr>
          </w:p>
        </w:tc>
        <w:tc>
          <w:tcPr>
            <w:tcW w:w="90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Amount</w:t>
            </w:r>
          </w:p>
        </w:tc>
        <w:tc>
          <w:tcPr>
            <w:tcW w:w="100" w:type="dxa"/>
            <w:vAlign w:val="bottom"/>
            <w:gridSpan w:val="2"/>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160" w:type="dxa"/>
            <w:vAlign w:val="bottom"/>
            <w:gridSpan w:val="9"/>
          </w:tcPr>
          <w:p>
            <w:pPr>
              <w:jc w:val="center"/>
              <w:ind w:right="12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w:t>
            </w:r>
          </w:p>
        </w:tc>
        <w:tc>
          <w:tcPr>
            <w:tcW w:w="3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44,204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93 %</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89 %</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State &amp; local, and commercial</w:t>
            </w: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3,538</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7 %</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37"/>
        </w:trPr>
        <w:tc>
          <w:tcPr>
            <w:tcW w:w="5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300" w:type="dxa"/>
            <w:vAlign w:val="bottom"/>
            <w:tcBorders>
              <w:bottom w:val="single" w:sz="8" w:color="auto"/>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47,742</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100 %</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30,616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Table 3.2: Revenue by Contract Type</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5120" w:type="dxa"/>
            <w:vAlign w:val="bottom"/>
            <w:tcBorders>
              <w:bottom w:val="single" w:sz="8" w:color="auto"/>
            </w:tcBorders>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9"/>
          </w:tcPr>
          <w:p>
            <w:pPr>
              <w:jc w:val="center"/>
              <w:ind w:right="116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6"/>
                <w:szCs w:val="16"/>
                <w:color w:val="auto"/>
              </w:rPr>
              <w:t>March 31, 2026</w:t>
            </w: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6"/>
                <w:szCs w:val="16"/>
                <w:color w:val="auto"/>
              </w:rPr>
              <w:t>March 31, 2025</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gridSpan w:val="2"/>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160" w:type="dxa"/>
            <w:vAlign w:val="bottom"/>
            <w:gridSpan w:val="9"/>
          </w:tcPr>
          <w:p>
            <w:pPr>
              <w:jc w:val="center"/>
              <w:ind w:right="116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Firm fixed-price</w:t>
            </w:r>
          </w:p>
        </w:tc>
        <w:tc>
          <w:tcPr>
            <w:tcW w:w="3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37,461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79 %</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65 %</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Time-and-materials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18 %</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plus fixed fee</w:t>
            </w: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3 %</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7 %</w:t>
            </w:r>
          </w:p>
        </w:tc>
        <w:tc>
          <w:tcPr>
            <w:tcW w:w="0" w:type="dxa"/>
            <w:vAlign w:val="bottom"/>
          </w:tcPr>
          <w:p>
            <w:pPr>
              <w:spacing w:after="0"/>
              <w:rPr>
                <w:sz w:val="1"/>
                <w:szCs w:val="1"/>
                <w:color w:val="auto"/>
              </w:rPr>
            </w:pPr>
          </w:p>
        </w:tc>
      </w:tr>
      <w:tr>
        <w:trPr>
          <w:trHeight w:val="210"/>
        </w:trPr>
        <w:tc>
          <w:tcPr>
            <w:tcW w:w="5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4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47,742</w:t>
            </w:r>
          </w:p>
        </w:tc>
        <w:tc>
          <w:tcPr>
            <w:tcW w:w="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rPr>
              <w:t>100 %</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30,616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majority of the Company's revenue was derived under prime contracts and subcontracts with agencies and departments of the U.S. federal government.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customer accounted for 10% or more of the Company's revenue during the three months ended March 31, 2026, and 2025.</w:t>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3.3: Revenue Concentration Greater than 10% of Total Revenue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3720" w:type="dxa"/>
            <w:vAlign w:val="bottom"/>
            <w:tcBorders>
              <w:top w:val="single" w:sz="8" w:color="auto"/>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520" w:type="dxa"/>
            <w:vAlign w:val="bottom"/>
            <w:tcBorders>
              <w:top w:val="single" w:sz="8" w:color="auto"/>
              <w:bottom w:val="single" w:sz="8" w:color="auto"/>
            </w:tcBorders>
          </w:tcPr>
          <w:p>
            <w:pPr>
              <w:spacing w:after="0"/>
              <w:rPr>
                <w:sz w:val="18"/>
                <w:szCs w:val="18"/>
                <w:color w:val="auto"/>
              </w:rPr>
            </w:pPr>
          </w:p>
        </w:tc>
      </w:tr>
      <w:tr>
        <w:trPr>
          <w:trHeight w:val="209"/>
        </w:trPr>
        <w:tc>
          <w:tcPr>
            <w:tcW w:w="70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March 31, 2026</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March 31, 2025</w:t>
            </w:r>
          </w:p>
        </w:tc>
        <w:tc>
          <w:tcPr>
            <w:tcW w:w="520" w:type="dxa"/>
            <w:vAlign w:val="bottom"/>
            <w:tcBorders>
              <w:bottom w:val="single" w:sz="8" w:color="auto"/>
            </w:tcBorders>
          </w:tcPr>
          <w:p>
            <w:pPr>
              <w:spacing w:after="0"/>
              <w:rPr>
                <w:sz w:val="18"/>
                <w:szCs w:val="18"/>
                <w:color w:val="auto"/>
              </w:rPr>
            </w:pPr>
          </w:p>
        </w:tc>
      </w:tr>
      <w:tr>
        <w:trPr>
          <w:trHeight w:val="19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government:</w:t>
            </w:r>
          </w:p>
        </w:tc>
        <w:tc>
          <w:tcPr>
            <w:tcW w:w="1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Security Solutions segment</w:t>
            </w:r>
          </w:p>
        </w:tc>
        <w:tc>
          <w:tcPr>
            <w:tcW w:w="1560" w:type="dxa"/>
            <w:vAlign w:val="bottom"/>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42,432</w:t>
            </w:r>
          </w:p>
        </w:tc>
        <w:tc>
          <w:tcPr>
            <w:tcW w:w="80" w:type="dxa"/>
            <w:vAlign w:val="bottom"/>
          </w:tcPr>
          <w:p>
            <w:pPr>
              <w:spacing w:after="0"/>
              <w:rPr>
                <w:sz w:val="18"/>
                <w:szCs w:val="18"/>
                <w:color w:val="auto"/>
              </w:rPr>
            </w:pPr>
          </w:p>
        </w:tc>
        <w:tc>
          <w:tcPr>
            <w:tcW w:w="1560" w:type="dxa"/>
            <w:vAlign w:val="bottom"/>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22,652</w:t>
            </w:r>
          </w:p>
        </w:tc>
      </w:tr>
      <w:tr>
        <w:trPr>
          <w:trHeight w:val="216"/>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Secure Networks segment</w:t>
            </w:r>
          </w:p>
        </w:tc>
        <w:tc>
          <w:tcPr>
            <w:tcW w:w="15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4,649</w:t>
            </w:r>
          </w:p>
        </w:tc>
      </w:tr>
      <w:tr>
        <w:trPr>
          <w:trHeight w:val="212"/>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560" w:type="dxa"/>
            <w:vAlign w:val="bottom"/>
            <w:tcBorders>
              <w:bottom w:val="single" w:sz="8" w:color="auto"/>
            </w:tcBorders>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44,204</w:t>
            </w:r>
          </w:p>
        </w:tc>
        <w:tc>
          <w:tcPr>
            <w:tcW w:w="80" w:type="dxa"/>
            <w:vAlign w:val="bottom"/>
          </w:tcPr>
          <w:p>
            <w:pPr>
              <w:spacing w:after="0"/>
              <w:rPr>
                <w:sz w:val="18"/>
                <w:szCs w:val="18"/>
                <w:color w:val="auto"/>
              </w:rPr>
            </w:pPr>
          </w:p>
        </w:tc>
        <w:tc>
          <w:tcPr>
            <w:tcW w:w="1560" w:type="dxa"/>
            <w:vAlign w:val="bottom"/>
            <w:tcBorders>
              <w:bottom w:val="single" w:sz="8" w:color="auto"/>
            </w:tcBorders>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27,301</w:t>
            </w:r>
          </w:p>
        </w:tc>
      </w:tr>
      <w:tr>
        <w:trPr>
          <w:trHeight w:val="20"/>
        </w:trPr>
        <w:tc>
          <w:tcPr>
            <w:tcW w:w="70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3.4: Contract Balances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40" w:type="dxa"/>
            <w:vAlign w:val="bottom"/>
            <w:tcBorders>
              <w:top w:val="single" w:sz="8" w:color="auto"/>
            </w:tcBorders>
          </w:tcPr>
          <w:p>
            <w:pPr>
              <w:spacing w:after="0"/>
              <w:rPr>
                <w:sz w:val="18"/>
                <w:szCs w:val="18"/>
                <w:color w:val="auto"/>
              </w:rPr>
            </w:pPr>
          </w:p>
        </w:tc>
        <w:tc>
          <w:tcPr>
            <w:tcW w:w="2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Balance Sheet Presentation</w:t>
            </w: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color w:val="auto"/>
              </w:rPr>
              <w:t>March 31, 2026</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December 31, 2025</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Billed accounts receivables </w:t>
            </w:r>
            <w:r>
              <w:rPr>
                <w:rFonts w:ascii="Times New Roman" w:cs="Times New Roman" w:eastAsia="Times New Roman" w:hAnsi="Times New Roman"/>
                <w:sz w:val="21"/>
                <w:szCs w:val="21"/>
                <w:color w:val="auto"/>
                <w:vertAlign w:val="superscript"/>
              </w:rPr>
              <w:t>(1)</w:t>
            </w:r>
          </w:p>
        </w:tc>
        <w:tc>
          <w:tcPr>
            <w:tcW w:w="25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Accounts receivable, net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9,375</w:t>
            </w:r>
          </w:p>
        </w:tc>
        <w:tc>
          <w:tcPr>
            <w:tcW w:w="0" w:type="dxa"/>
            <w:vAlign w:val="bottom"/>
          </w:tcPr>
          <w:p>
            <w:pPr>
              <w:spacing w:after="0"/>
              <w:rPr>
                <w:sz w:val="1"/>
                <w:szCs w:val="1"/>
                <w:color w:val="auto"/>
              </w:rPr>
            </w:pPr>
          </w:p>
        </w:tc>
      </w:tr>
      <w:tr>
        <w:trPr>
          <w:trHeight w:val="213"/>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25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Accounts receivable, net</w:t>
            </w: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6,962</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assets</w:t>
            </w:r>
          </w:p>
        </w:tc>
        <w:tc>
          <w:tcPr>
            <w:tcW w:w="25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Accounts receivable, net</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0" w:type="dxa"/>
            <w:vAlign w:val="bottom"/>
          </w:tcPr>
          <w:p>
            <w:pPr>
              <w:spacing w:after="0"/>
              <w:rPr>
                <w:sz w:val="1"/>
                <w:szCs w:val="1"/>
                <w:color w:val="auto"/>
              </w:rPr>
            </w:pPr>
          </w:p>
        </w:tc>
      </w:tr>
      <w:tr>
        <w:trPr>
          <w:trHeight w:val="213"/>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liabilities – current</w:t>
            </w:r>
          </w:p>
        </w:tc>
        <w:tc>
          <w:tcPr>
            <w:tcW w:w="25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Contract liabilities – current portion</w:t>
            </w: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18,096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11,223</w:t>
            </w:r>
          </w:p>
        </w:tc>
        <w:tc>
          <w:tcPr>
            <w:tcW w:w="0" w:type="dxa"/>
            <w:vAlign w:val="bottom"/>
          </w:tcPr>
          <w:p>
            <w:pPr>
              <w:spacing w:after="0"/>
              <w:rPr>
                <w:sz w:val="1"/>
                <w:szCs w:val="1"/>
                <w:color w:val="auto"/>
              </w:rPr>
            </w:pPr>
          </w:p>
        </w:tc>
      </w:tr>
      <w:tr>
        <w:trPr>
          <w:trHeight w:val="165"/>
        </w:trPr>
        <w:tc>
          <w:tcPr>
            <w:tcW w:w="44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Contract liabilities – non-current</w:t>
            </w:r>
          </w:p>
        </w:tc>
        <w:tc>
          <w:tcPr>
            <w:tcW w:w="2580" w:type="dxa"/>
            <w:vAlign w:val="bottom"/>
            <w:gridSpan w:val="2"/>
            <w:shd w:val="clear" w:color="auto" w:fill="CCEEFF"/>
          </w:tcPr>
          <w:p>
            <w:pPr>
              <w:jc w:val="center"/>
              <w:ind w:right="60"/>
              <w:spacing w:after="0" w:line="165" w:lineRule="exact"/>
              <w:rPr>
                <w:sz w:val="20"/>
                <w:szCs w:val="20"/>
                <w:color w:val="auto"/>
              </w:rPr>
            </w:pPr>
            <w:r>
              <w:rPr>
                <w:rFonts w:ascii="Times New Roman" w:cs="Times New Roman" w:eastAsia="Times New Roman" w:hAnsi="Times New Roman"/>
                <w:sz w:val="16"/>
                <w:szCs w:val="16"/>
                <w:color w:val="auto"/>
              </w:rPr>
              <w:t>Contract liabilities – non-current</w:t>
            </w:r>
          </w:p>
        </w:tc>
        <w:tc>
          <w:tcPr>
            <w:tcW w:w="300" w:type="dxa"/>
            <w:vAlign w:val="bottom"/>
            <w:shd w:val="clear" w:color="auto" w:fill="CCEEFF"/>
          </w:tcPr>
          <w:p>
            <w:pPr>
              <w:spacing w:after="0"/>
              <w:rPr>
                <w:sz w:val="14"/>
                <w:szCs w:val="14"/>
                <w:color w:val="auto"/>
              </w:rPr>
            </w:pPr>
          </w:p>
        </w:tc>
        <w:tc>
          <w:tcPr>
            <w:tcW w:w="1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portion</w:t>
            </w:r>
          </w:p>
        </w:tc>
        <w:tc>
          <w:tcPr>
            <w:tcW w:w="300" w:type="dxa"/>
            <w:vAlign w:val="bottom"/>
            <w:shd w:val="clear" w:color="auto" w:fill="CCEEFF"/>
          </w:tcPr>
          <w:p>
            <w:pPr>
              <w:spacing w:after="0"/>
              <w:rPr>
                <w:sz w:val="18"/>
                <w:szCs w:val="18"/>
                <w:color w:val="auto"/>
              </w:rPr>
            </w:pPr>
          </w:p>
        </w:tc>
        <w:tc>
          <w:tcPr>
            <w:tcW w:w="1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160" w:hanging="152"/>
        <w:spacing w:after="0"/>
        <w:tabs>
          <w:tab w:leader="none" w:pos="16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Net of allowance for credit losses.</w:t>
      </w:r>
    </w:p>
    <w:p>
      <w:pPr>
        <w:spacing w:after="0" w:line="14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changes in the Company's contract assets and contract liabilities during the current period were primarily the result of the timing differences between the Company's performance, invoicing and customer payments. Revenue recognized for the three months ended March 31, 2026, and 2025, which was included in the contract liabilities balance at December 31, 2025, and 2024, was $4.8 million and $2.4 million, respectively.</w:t>
      </w:r>
    </w:p>
    <w:p>
      <w:pPr>
        <w:spacing w:after="0" w:line="1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March 31, 2026, we had approximately $61.9 million of remaining performance obligations, which we also refer to as funded backlog. We expect to recognize approximately 98% of our remaining performance obligations over the next 12 months, and the balance thereafter.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ACCOUNTS RECEIVABLE, NET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4: Details of Accounts Receivable, Net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March 31, 2026</w:t>
            </w:r>
          </w:p>
        </w:tc>
        <w:tc>
          <w:tcPr>
            <w:tcW w:w="5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December 31, 2025</w:t>
            </w:r>
          </w:p>
        </w:tc>
      </w:tr>
      <w:tr>
        <w:trPr>
          <w:trHeight w:val="216"/>
        </w:trPr>
        <w:tc>
          <w:tcPr>
            <w:tcW w:w="70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0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Billed accounts receivable</w:t>
            </w:r>
          </w:p>
        </w:tc>
        <w:tc>
          <w:tcPr>
            <w:tcW w:w="1560" w:type="dxa"/>
            <w:vAlign w:val="bottom"/>
            <w:shd w:val="clear" w:color="auto" w:fill="CCEEFF"/>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10,009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9,416</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6,962</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assets</w:t>
            </w: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r>
      <w:tr>
        <w:trPr>
          <w:trHeight w:val="216"/>
        </w:trPr>
        <w:tc>
          <w:tcPr>
            <w:tcW w:w="700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Allowance for credit losses </w:t>
            </w:r>
            <w:r>
              <w:rPr>
                <w:rFonts w:ascii="Times New Roman" w:cs="Times New Roman" w:eastAsia="Times New Roman" w:hAnsi="Times New Roman"/>
                <w:sz w:val="21"/>
                <w:szCs w:val="21"/>
                <w:color w:val="auto"/>
                <w:vertAlign w:val="superscript"/>
              </w:rPr>
              <w:t>(1)</w:t>
            </w:r>
          </w:p>
        </w:tc>
        <w:tc>
          <w:tcPr>
            <w:tcW w:w="1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32"/>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560" w:type="dxa"/>
            <w:vAlign w:val="bottom"/>
            <w:tcBorders>
              <w:bottom w:val="single" w:sz="8" w:color="auto"/>
            </w:tcBorders>
            <w:shd w:val="clear" w:color="auto" w:fill="CCEEFF"/>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16,425</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160" w:hanging="152"/>
        <w:spacing w:after="0"/>
        <w:tabs>
          <w:tab w:leader="none" w:pos="16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recoveries from credit losses, net of provision.</w:t>
      </w:r>
    </w:p>
    <w:p>
      <w:pPr>
        <w:spacing w:after="0" w:line="15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Because our primary customer base includes agencies of the U.S. federal government, we have a concentration of credit risk associated with our accounts receivable, as 88% and 85% of our billed and unbilled accounts receivable as of March 31, 2026, and December 31, 2025, respectively, were with U.S. federal government customers. While we acknowledge the potential material and adverse risk of such a significant concentration of credit risk, our past experience collecting substantially all of such receivables provides us with an informed basis that such risk, if any, is manageable. We perform ongoing credit evaluations of all of our customers and generally do not require collateral or other guarantees from our customers. We maintain allowances for potential losses, where appropriate.</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March 10, 2026, we entered into a new Factoring Agreement with an unrelated third-party (the "Factor"). Under this Factoring Agreement, we may offer eligible accounts receivable arising from our U.S. government prime contracts or subcontracts for sale (the "Purchased Receivables") to the Factor, and the Factor may purchase such receivables at its sole discretion, on a non-recourse basis. These transactions are accounted for as a "true sale" as we have surrendered control over the receivables, and is not obligated to repay all or any portion of the advance amount if any portion of the accounts receivable is not paid by the customers due to an inability to pay. The total amount of Purchased Receivables is subject to a maximum limit of $10.0 million of outstanding Purchased Receivables at any given time. The initial term of the Factoring Agreement expires on March 10, 2027, and automatically renews annually thereafter unless terminated in writing by the parties. There were no accounts receivables sold during the three months ended March 31, 2026.</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PROPERTY AND EQUIPMENT, NET</w:t>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Table 5.1: Details of Property and Equipment, Net</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March 31, 2026</w:t>
            </w: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December 31, 2025</w:t>
            </w: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Gross Carrying</w:t>
            </w:r>
          </w:p>
        </w:tc>
        <w:tc>
          <w:tcPr>
            <w:tcW w:w="120" w:type="dxa"/>
            <w:vAlign w:val="bottom"/>
          </w:tcPr>
          <w:p>
            <w:pPr>
              <w:spacing w:after="0"/>
              <w:rPr>
                <w:sz w:val="12"/>
                <w:szCs w:val="12"/>
                <w:color w:val="auto"/>
              </w:rPr>
            </w:pPr>
          </w:p>
        </w:tc>
        <w:tc>
          <w:tcPr>
            <w:tcW w:w="130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Gross Carrying</w:t>
            </w:r>
          </w:p>
        </w:tc>
        <w:tc>
          <w:tcPr>
            <w:tcW w:w="100" w:type="dxa"/>
            <w:vAlign w:val="bottom"/>
          </w:tcPr>
          <w:p>
            <w:pPr>
              <w:spacing w:after="0"/>
              <w:rPr>
                <w:sz w:val="12"/>
                <w:szCs w:val="12"/>
                <w:color w:val="auto"/>
              </w:rPr>
            </w:pPr>
          </w:p>
        </w:tc>
        <w:tc>
          <w:tcPr>
            <w:tcW w:w="134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color w:val="auto"/>
              </w:rPr>
              <w:t>Depreciation and</w:t>
            </w:r>
          </w:p>
        </w:tc>
        <w:tc>
          <w:tcPr>
            <w:tcW w:w="100" w:type="dxa"/>
            <w:vAlign w:val="bottom"/>
          </w:tcPr>
          <w:p>
            <w:pPr>
              <w:spacing w:after="0"/>
              <w:rPr>
                <w:sz w:val="12"/>
                <w:szCs w:val="12"/>
                <w:color w:val="auto"/>
              </w:rPr>
            </w:pPr>
          </w:p>
        </w:tc>
        <w:tc>
          <w:tcPr>
            <w:tcW w:w="12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Net Carrying Value</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color w:val="auto"/>
              </w:rPr>
              <w:t>Depreciation and</w:t>
            </w:r>
          </w:p>
        </w:tc>
        <w:tc>
          <w:tcPr>
            <w:tcW w:w="120" w:type="dxa"/>
            <w:vAlign w:val="bottom"/>
          </w:tcPr>
          <w:p>
            <w:pPr>
              <w:spacing w:after="0"/>
              <w:rPr>
                <w:sz w:val="12"/>
                <w:szCs w:val="12"/>
                <w:color w:val="auto"/>
              </w:rPr>
            </w:pPr>
          </w:p>
        </w:tc>
        <w:tc>
          <w:tcPr>
            <w:tcW w:w="1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99"/>
              </w:rPr>
              <w:t>Net Carrying Value</w:t>
            </w: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Amount</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Amortization</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Amount</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Amortization</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5"/>
          </w:tcPr>
          <w:p>
            <w:pPr>
              <w:ind w:left="8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and equipment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17,315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(14,727)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w:t>
            </w:r>
          </w:p>
        </w:tc>
        <w:tc>
          <w:tcPr>
            <w:tcW w:w="0" w:type="dxa"/>
            <w:vAlign w:val="bottom"/>
          </w:tcPr>
          <w:p>
            <w:pPr>
              <w:spacing w:after="0"/>
              <w:rPr>
                <w:sz w:val="1"/>
                <w:szCs w:val="1"/>
                <w:color w:val="auto"/>
              </w:rPr>
            </w:pPr>
          </w:p>
        </w:tc>
      </w:tr>
      <w:tr>
        <w:trPr>
          <w:trHeight w:val="196"/>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3,419</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(2,936)</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3,419</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(2,896)</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0" w:type="dxa"/>
            <w:vAlign w:val="bottom"/>
          </w:tcPr>
          <w:p>
            <w:pPr>
              <w:spacing w:after="0"/>
              <w:rPr>
                <w:sz w:val="1"/>
                <w:szCs w:val="1"/>
                <w:color w:val="auto"/>
              </w:rPr>
            </w:pPr>
          </w:p>
        </w:tc>
      </w:tr>
      <w:tr>
        <w:trPr>
          <w:trHeight w:val="221"/>
        </w:trPr>
        <w:tc>
          <w:tcPr>
            <w:tcW w:w="2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20,734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20,694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3,071</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5.2: Depreciation and Amortization Expense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3820" w:type="dxa"/>
            <w:vAlign w:val="bottom"/>
            <w:tcBorders>
              <w:top w:val="single" w:sz="8" w:color="auto"/>
              <w:bottom w:val="single" w:sz="8" w:color="auto"/>
            </w:tcBorders>
            <w:gridSpan w:val="4"/>
          </w:tcPr>
          <w:p>
            <w:pPr>
              <w:jc w:val="center"/>
              <w:ind w:left="339"/>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420" w:type="dxa"/>
            <w:vAlign w:val="bottom"/>
            <w:tcBorders>
              <w:top w:val="single" w:sz="8" w:color="auto"/>
              <w:bottom w:val="single" w:sz="8" w:color="auto"/>
            </w:tcBorders>
          </w:tcPr>
          <w:p>
            <w:pPr>
              <w:spacing w:after="0"/>
              <w:rPr>
                <w:sz w:val="18"/>
                <w:szCs w:val="18"/>
                <w:color w:val="auto"/>
              </w:rPr>
            </w:pPr>
          </w:p>
        </w:tc>
      </w:tr>
      <w:tr>
        <w:trPr>
          <w:trHeight w:val="209"/>
        </w:trPr>
        <w:tc>
          <w:tcPr>
            <w:tcW w:w="700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March 31, 2026</w:t>
            </w:r>
          </w:p>
        </w:tc>
        <w:tc>
          <w:tcPr>
            <w:tcW w:w="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March 31, 2025</w:t>
            </w:r>
          </w:p>
        </w:tc>
        <w:tc>
          <w:tcPr>
            <w:tcW w:w="420" w:type="dxa"/>
            <w:vAlign w:val="bottom"/>
            <w:tcBorders>
              <w:bottom w:val="single" w:sz="8" w:color="auto"/>
            </w:tcBorders>
          </w:tcPr>
          <w:p>
            <w:pPr>
              <w:spacing w:after="0"/>
              <w:rPr>
                <w:sz w:val="18"/>
                <w:szCs w:val="18"/>
                <w:color w:val="auto"/>
              </w:rPr>
            </w:pPr>
          </w:p>
        </w:tc>
      </w:tr>
      <w:tr>
        <w:trPr>
          <w:trHeight w:val="216"/>
        </w:trPr>
        <w:tc>
          <w:tcPr>
            <w:tcW w:w="7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180" w:type="dxa"/>
            <w:vAlign w:val="bottom"/>
            <w:gridSpan w:val="3"/>
          </w:tcPr>
          <w:p>
            <w:pPr>
              <w:jc w:val="center"/>
              <w:ind w:right="113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640" w:type="dxa"/>
            <w:vAlign w:val="bottom"/>
            <w:shd w:val="clear" w:color="auto" w:fill="CCEEFF"/>
          </w:tcPr>
          <w:p>
            <w:pPr>
              <w:jc w:val="right"/>
              <w:ind w:right="14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4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GOODWILL</w:t>
      </w:r>
    </w:p>
    <w:p>
      <w:pPr>
        <w:spacing w:after="0" w:line="17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goodwill balance was $3.0 million as of March 31, 2026, and December 31, 2025, allocated to the Security Solutions segment. Goodwill is subject to annual impairment tests and if triggering events are present in the interim before the annual tests, we will assess impairment. No impairment charges were recorded for the three months ended March 31, 2026, and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INTANGIBLE ASSETS, NET</w:t>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Table 7.1: Details of Intangible Assets, Net</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6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March 31, 2026</w:t>
            </w: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December 31, 2025</w:t>
            </w: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r>
      <w:tr>
        <w:trPr>
          <w:trHeight w:val="139"/>
        </w:trPr>
        <w:tc>
          <w:tcPr>
            <w:tcW w:w="2680" w:type="dxa"/>
            <w:vAlign w:val="bottom"/>
          </w:tcPr>
          <w:p>
            <w:pPr>
              <w:spacing w:after="0"/>
              <w:rPr>
                <w:sz w:val="12"/>
                <w:szCs w:val="12"/>
                <w:color w:val="auto"/>
              </w:rPr>
            </w:pPr>
          </w:p>
        </w:tc>
        <w:tc>
          <w:tcPr>
            <w:tcW w:w="1320" w:type="dxa"/>
            <w:vAlign w:val="bottom"/>
          </w:tcPr>
          <w:p>
            <w:pPr>
              <w:jc w:val="center"/>
              <w:ind w:left="128"/>
              <w:spacing w:after="0" w:line="139" w:lineRule="exact"/>
              <w:rPr>
                <w:sz w:val="20"/>
                <w:szCs w:val="20"/>
                <w:color w:val="auto"/>
              </w:rPr>
            </w:pPr>
            <w:r>
              <w:rPr>
                <w:rFonts w:ascii="Times New Roman" w:cs="Times New Roman" w:eastAsia="Times New Roman" w:hAnsi="Times New Roman"/>
                <w:sz w:val="14"/>
                <w:szCs w:val="14"/>
                <w:color w:val="auto"/>
              </w:rPr>
              <w:t>Estimated Useful</w:t>
            </w:r>
          </w:p>
        </w:tc>
        <w:tc>
          <w:tcPr>
            <w:tcW w:w="120" w:type="dxa"/>
            <w:vAlign w:val="bottom"/>
          </w:tcPr>
          <w:p>
            <w:pPr>
              <w:spacing w:after="0"/>
              <w:rPr>
                <w:sz w:val="12"/>
                <w:szCs w:val="12"/>
                <w:color w:val="auto"/>
              </w:rPr>
            </w:pPr>
          </w:p>
        </w:tc>
        <w:tc>
          <w:tcPr>
            <w:tcW w:w="110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Gross Carrying</w:t>
            </w: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12"/>
                <w:szCs w:val="12"/>
                <w:color w:val="auto"/>
              </w:rPr>
            </w:pPr>
          </w:p>
        </w:tc>
        <w:tc>
          <w:tcPr>
            <w:tcW w:w="1000" w:type="dxa"/>
            <w:vAlign w:val="bottom"/>
          </w:tcPr>
          <w:p>
            <w:pPr>
              <w:jc w:val="right"/>
              <w:ind w:right="109"/>
              <w:spacing w:after="0" w:line="139" w:lineRule="exact"/>
              <w:rPr>
                <w:sz w:val="20"/>
                <w:szCs w:val="20"/>
                <w:color w:val="auto"/>
              </w:rPr>
            </w:pPr>
            <w:r>
              <w:rPr>
                <w:rFonts w:ascii="Times New Roman" w:cs="Times New Roman" w:eastAsia="Times New Roman" w:hAnsi="Times New Roman"/>
                <w:sz w:val="14"/>
                <w:szCs w:val="14"/>
                <w:color w:val="auto"/>
              </w:rPr>
              <w:t>Net Carrying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Gross Carrying</w:t>
            </w:r>
          </w:p>
        </w:tc>
        <w:tc>
          <w:tcPr>
            <w:tcW w:w="140" w:type="dxa"/>
            <w:vAlign w:val="bottom"/>
          </w:tcPr>
          <w:p>
            <w:pPr>
              <w:spacing w:after="0"/>
              <w:rPr>
                <w:sz w:val="12"/>
                <w:szCs w:val="12"/>
                <w:color w:val="auto"/>
              </w:rPr>
            </w:pPr>
          </w:p>
        </w:tc>
        <w:tc>
          <w:tcPr>
            <w:tcW w:w="1080" w:type="dxa"/>
            <w:vAlign w:val="bottom"/>
            <w:gridSpan w:val="2"/>
          </w:tcPr>
          <w:p>
            <w:pPr>
              <w:ind w:left="40"/>
              <w:spacing w:after="0" w:line="139" w:lineRule="exact"/>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12"/>
                <w:szCs w:val="12"/>
                <w:color w:val="auto"/>
              </w:rPr>
            </w:pPr>
          </w:p>
        </w:tc>
        <w:tc>
          <w:tcPr>
            <w:tcW w:w="1000" w:type="dxa"/>
            <w:vAlign w:val="bottom"/>
          </w:tcPr>
          <w:p>
            <w:pPr>
              <w:jc w:val="right"/>
              <w:ind w:right="108"/>
              <w:spacing w:after="0" w:line="139" w:lineRule="exact"/>
              <w:rPr>
                <w:sz w:val="20"/>
                <w:szCs w:val="20"/>
                <w:color w:val="auto"/>
              </w:rPr>
            </w:pPr>
            <w:r>
              <w:rPr>
                <w:rFonts w:ascii="Times New Roman" w:cs="Times New Roman" w:eastAsia="Times New Roman" w:hAnsi="Times New Roman"/>
                <w:sz w:val="14"/>
                <w:szCs w:val="14"/>
                <w:color w:val="auto"/>
              </w:rPr>
              <w:t>Net Carrying</w:t>
            </w:r>
          </w:p>
        </w:tc>
      </w:tr>
      <w:tr>
        <w:trPr>
          <w:trHeight w:val="192"/>
        </w:trPr>
        <w:tc>
          <w:tcPr>
            <w:tcW w:w="2680" w:type="dxa"/>
            <w:vAlign w:val="bottom"/>
          </w:tcPr>
          <w:p>
            <w:pPr>
              <w:spacing w:after="0"/>
              <w:rPr>
                <w:sz w:val="16"/>
                <w:szCs w:val="16"/>
                <w:color w:val="auto"/>
              </w:rPr>
            </w:pPr>
          </w:p>
        </w:tc>
        <w:tc>
          <w:tcPr>
            <w:tcW w:w="132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Life</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Amount</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Amortization</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Value</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Amount</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Amortization</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Value</w:t>
            </w:r>
          </w:p>
        </w:tc>
      </w:tr>
      <w:tr>
        <w:trPr>
          <w:trHeight w:val="235"/>
        </w:trPr>
        <w:tc>
          <w:tcPr>
            <w:tcW w:w="2680" w:type="dxa"/>
            <w:vAlign w:val="bottom"/>
          </w:tcPr>
          <w:p>
            <w:pPr>
              <w:spacing w:after="0"/>
              <w:rPr>
                <w:sz w:val="20"/>
                <w:szCs w:val="20"/>
                <w:color w:val="auto"/>
              </w:rPr>
            </w:pPr>
          </w:p>
        </w:tc>
        <w:tc>
          <w:tcPr>
            <w:tcW w:w="1320" w:type="dxa"/>
            <w:vAlign w:val="bottom"/>
          </w:tcPr>
          <w:p>
            <w:pPr>
              <w:jc w:val="center"/>
              <w:ind w:left="128"/>
              <w:spacing w:after="0"/>
              <w:rPr>
                <w:sz w:val="20"/>
                <w:szCs w:val="20"/>
                <w:color w:val="auto"/>
              </w:rPr>
            </w:pPr>
            <w:r>
              <w:rPr>
                <w:rFonts w:ascii="Times New Roman" w:cs="Times New Roman" w:eastAsia="Times New Roman" w:hAnsi="Times New Roman"/>
                <w:sz w:val="14"/>
                <w:szCs w:val="14"/>
                <w:i w:val="1"/>
                <w:iCs w:val="1"/>
                <w:color w:val="auto"/>
              </w:rPr>
              <w:t>(in years)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gridSpan w:val="5"/>
          </w:tcPr>
          <w:p>
            <w:pPr>
              <w:ind w:left="68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1"/>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Acquired technology</w:t>
            </w:r>
          </w:p>
        </w:tc>
        <w:tc>
          <w:tcPr>
            <w:tcW w:w="1320" w:type="dxa"/>
            <w:vAlign w:val="bottom"/>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1,626</w:t>
            </w:r>
          </w:p>
        </w:tc>
      </w:tr>
      <w:tr>
        <w:trPr>
          <w:trHeight w:val="195"/>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relationship</w:t>
            </w:r>
          </w:p>
        </w:tc>
        <w:tc>
          <w:tcPr>
            <w:tcW w:w="132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Software development costs</w:t>
            </w:r>
          </w:p>
        </w:tc>
        <w:tc>
          <w:tcPr>
            <w:tcW w:w="1320" w:type="dxa"/>
            <w:vAlign w:val="bottom"/>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rPr>
              <w:t>2 - 5</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43,913</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(26,068)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17,845</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43,411</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(23,576)</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19,835</w:t>
            </w:r>
          </w:p>
        </w:tc>
      </w:tr>
      <w:tr>
        <w:trPr>
          <w:trHeight w:val="189"/>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Subtotal</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47,583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(28,225)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19,358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47,081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21,461</w:t>
            </w:r>
          </w:p>
        </w:tc>
      </w:tr>
      <w:tr>
        <w:trPr>
          <w:trHeight w:val="20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In-process software development costs </w:t>
            </w:r>
            <w:r>
              <w:rPr>
                <w:rFonts w:ascii="Times New Roman" w:cs="Times New Roman" w:eastAsia="Times New Roman" w:hAnsi="Times New Roman"/>
                <w:sz w:val="9"/>
                <w:szCs w:val="9"/>
                <w:color w:val="auto"/>
              </w:rPr>
              <w:t>(1)</w:t>
            </w: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8,820</w:t>
            </w:r>
          </w:p>
        </w:tc>
      </w:tr>
      <w:tr>
        <w:trPr>
          <w:trHeight w:val="203"/>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3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58,033</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(28,225)</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29,808</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55,901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(25,620)</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30,281</w:t>
            </w:r>
          </w:p>
        </w:tc>
      </w:tr>
      <w:tr>
        <w:trPr>
          <w:trHeight w:val="21"/>
        </w:trPr>
        <w:tc>
          <w:tcPr>
            <w:tcW w:w="2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left="180" w:hanging="154"/>
        <w:spacing w:after="0"/>
        <w:tabs>
          <w:tab w:leader="none" w:pos="18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In-process software development costs are costs for software that is not yet available for its intended use or general release to customers as of the balance sheet date, thus not yet amortized.</w:t>
      </w: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7.2: Amortization Expense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3760" w:type="dxa"/>
            <w:vAlign w:val="bottom"/>
            <w:tcBorders>
              <w:top w:val="single" w:sz="8" w:color="auto"/>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480" w:type="dxa"/>
            <w:vAlign w:val="bottom"/>
            <w:tcBorders>
              <w:top w:val="single" w:sz="8" w:color="auto"/>
              <w:bottom w:val="single" w:sz="8" w:color="auto"/>
            </w:tcBorders>
          </w:tcPr>
          <w:p>
            <w:pPr>
              <w:spacing w:after="0"/>
              <w:rPr>
                <w:sz w:val="18"/>
                <w:szCs w:val="18"/>
                <w:color w:val="auto"/>
              </w:rPr>
            </w:pPr>
          </w:p>
        </w:tc>
      </w:tr>
      <w:tr>
        <w:trPr>
          <w:trHeight w:val="209"/>
        </w:trPr>
        <w:tc>
          <w:tcPr>
            <w:tcW w:w="700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March 31, 2026</w:t>
            </w:r>
          </w:p>
        </w:tc>
        <w:tc>
          <w:tcPr>
            <w:tcW w:w="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March 31, 2025</w:t>
            </w:r>
          </w:p>
        </w:tc>
        <w:tc>
          <w:tcPr>
            <w:tcW w:w="480" w:type="dxa"/>
            <w:vAlign w:val="bottom"/>
            <w:tcBorders>
              <w:bottom w:val="single" w:sz="8" w:color="auto"/>
            </w:tcBorders>
          </w:tcPr>
          <w:p>
            <w:pPr>
              <w:spacing w:after="0"/>
              <w:rPr>
                <w:sz w:val="18"/>
                <w:szCs w:val="18"/>
                <w:color w:val="auto"/>
              </w:rPr>
            </w:pPr>
          </w:p>
        </w:tc>
      </w:tr>
      <w:tr>
        <w:trPr>
          <w:trHeight w:val="216"/>
        </w:trPr>
        <w:tc>
          <w:tcPr>
            <w:tcW w:w="7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gridSpan w:val="3"/>
          </w:tcPr>
          <w:p>
            <w:pPr>
              <w:jc w:val="right"/>
              <w:ind w:right="113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expense related to:</w:t>
            </w:r>
          </w:p>
        </w:tc>
        <w:tc>
          <w:tcPr>
            <w:tcW w:w="1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700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Software development costs - cost of sales </w:t>
            </w:r>
            <w:r>
              <w:rPr>
                <w:rFonts w:ascii="Times New Roman" w:cs="Times New Roman" w:eastAsia="Times New Roman" w:hAnsi="Times New Roman"/>
                <w:sz w:val="21"/>
                <w:szCs w:val="21"/>
                <w:color w:val="auto"/>
                <w:vertAlign w:val="superscript"/>
              </w:rPr>
              <w:t>(1)</w:t>
            </w:r>
          </w:p>
        </w:tc>
        <w:tc>
          <w:tcPr>
            <w:tcW w:w="1600" w:type="dxa"/>
            <w:vAlign w:val="bottom"/>
          </w:tcPr>
          <w:p>
            <w:pPr>
              <w:jc w:val="right"/>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2,492</w:t>
            </w:r>
          </w:p>
        </w:tc>
        <w:tc>
          <w:tcPr>
            <w:tcW w:w="80" w:type="dxa"/>
            <w:vAlign w:val="bottom"/>
          </w:tcPr>
          <w:p>
            <w:pPr>
              <w:spacing w:after="0"/>
              <w:rPr>
                <w:sz w:val="18"/>
                <w:szCs w:val="18"/>
                <w:color w:val="auto"/>
              </w:rPr>
            </w:pPr>
          </w:p>
        </w:tc>
        <w:tc>
          <w:tcPr>
            <w:tcW w:w="1600" w:type="dxa"/>
            <w:vAlign w:val="bottom"/>
          </w:tcPr>
          <w:p>
            <w:pPr>
              <w:jc w:val="right"/>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w:t>
            </w:r>
          </w:p>
        </w:tc>
      </w:tr>
      <w:tr>
        <w:trPr>
          <w:trHeight w:val="213"/>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intangible assets - general and administrative</w:t>
            </w:r>
          </w:p>
        </w:tc>
        <w:tc>
          <w:tcPr>
            <w:tcW w:w="16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12"/>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0" w:type="dxa"/>
            <w:vAlign w:val="bottom"/>
            <w:tcBorders>
              <w:bottom w:val="single" w:sz="8" w:color="auto"/>
            </w:tcBorders>
          </w:tcPr>
          <w:p>
            <w:pPr>
              <w:jc w:val="right"/>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2,605</w:t>
            </w:r>
          </w:p>
        </w:tc>
        <w:tc>
          <w:tcPr>
            <w:tcW w:w="80" w:type="dxa"/>
            <w:vAlign w:val="bottom"/>
          </w:tcPr>
          <w:p>
            <w:pPr>
              <w:spacing w:after="0"/>
              <w:rPr>
                <w:sz w:val="18"/>
                <w:szCs w:val="18"/>
                <w:color w:val="auto"/>
              </w:rPr>
            </w:pPr>
          </w:p>
        </w:tc>
        <w:tc>
          <w:tcPr>
            <w:tcW w:w="1600" w:type="dxa"/>
            <w:vAlign w:val="bottom"/>
            <w:tcBorders>
              <w:bottom w:val="single" w:sz="8" w:color="auto"/>
            </w:tcBorders>
          </w:tcPr>
          <w:p>
            <w:pPr>
              <w:jc w:val="right"/>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1,524</w:t>
            </w:r>
          </w:p>
        </w:tc>
      </w:tr>
      <w:tr>
        <w:trPr>
          <w:trHeight w:val="20"/>
        </w:trPr>
        <w:tc>
          <w:tcPr>
            <w:tcW w:w="70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right="380" w:firstLine="8"/>
        <w:spacing w:after="0" w:line="302" w:lineRule="auto"/>
        <w:tabs>
          <w:tab w:leader="none" w:pos="145"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Amortization expense for software development costs related to assets to be sold, leased, or otherwise marketed is charged under cost of sales on the unaudited consolidated statements of operations.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OTHER BALANCE SHEET COMPONENTS</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8.1: Details of Other Current Assets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March 31, 2026</w:t>
            </w:r>
          </w:p>
        </w:tc>
        <w:tc>
          <w:tcPr>
            <w:tcW w:w="4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December 31, 2025</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 net</w:t>
            </w:r>
          </w:p>
        </w:tc>
        <w:tc>
          <w:tcPr>
            <w:tcW w:w="1600" w:type="dxa"/>
            <w:vAlign w:val="bottom"/>
            <w:shd w:val="clear" w:color="auto" w:fill="CCEEFF"/>
          </w:tcPr>
          <w:p>
            <w:pPr>
              <w:jc w:val="right"/>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costs</w:t>
            </w:r>
          </w:p>
        </w:tc>
        <w:tc>
          <w:tcPr>
            <w:tcW w:w="16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 - other</w:t>
            </w:r>
          </w:p>
        </w:tc>
        <w:tc>
          <w:tcPr>
            <w:tcW w:w="16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0" w:type="dxa"/>
            <w:vAlign w:val="bottom"/>
          </w:tcPr>
          <w:p>
            <w:pPr>
              <w:spacing w:after="0"/>
              <w:rPr>
                <w:sz w:val="1"/>
                <w:szCs w:val="1"/>
                <w:color w:val="auto"/>
              </w:rPr>
            </w:pPr>
          </w:p>
        </w:tc>
      </w:tr>
      <w:tr>
        <w:trPr>
          <w:trHeight w:val="237"/>
        </w:trPr>
        <w:tc>
          <w:tcPr>
            <w:tcW w:w="70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1600" w:type="dxa"/>
            <w:vAlign w:val="bottom"/>
            <w:tcBorders>
              <w:top w:val="single" w:sz="8" w:color="auto"/>
              <w:bottom w:val="single" w:sz="8" w:color="auto"/>
            </w:tcBorders>
            <w:shd w:val="clear" w:color="auto" w:fill="CCEEFF"/>
          </w:tcPr>
          <w:p>
            <w:pPr>
              <w:jc w:val="right"/>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3,662</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Table 8.2: Details of Other Assets</w:t>
            </w: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7000" w:type="dxa"/>
            <w:vAlign w:val="bottom"/>
            <w:tcBorders>
              <w:bottom w:val="single" w:sz="8" w:color="auto"/>
            </w:tcBorders>
            <w:vMerge w:val="continue"/>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March 31, 2026</w:t>
            </w:r>
          </w:p>
        </w:tc>
        <w:tc>
          <w:tcPr>
            <w:tcW w:w="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December 31, 2025</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Investment </w:t>
            </w:r>
            <w:r>
              <w:rPr>
                <w:rFonts w:ascii="Times New Roman" w:cs="Times New Roman" w:eastAsia="Times New Roman" w:hAnsi="Times New Roman"/>
                <w:sz w:val="21"/>
                <w:szCs w:val="21"/>
                <w:color w:val="auto"/>
                <w:vertAlign w:val="superscript"/>
              </w:rPr>
              <w:t>(1)</w:t>
            </w:r>
          </w:p>
        </w:tc>
        <w:tc>
          <w:tcPr>
            <w:tcW w:w="1600" w:type="dxa"/>
            <w:vAlign w:val="bottom"/>
            <w:shd w:val="clear" w:color="auto" w:fill="CCEEFF"/>
          </w:tcPr>
          <w:p>
            <w:pPr>
              <w:jc w:val="right"/>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 and deferred commission – long-term portion</w:t>
            </w:r>
          </w:p>
        </w:tc>
        <w:tc>
          <w:tcPr>
            <w:tcW w:w="16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6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34"/>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1600" w:type="dxa"/>
            <w:vAlign w:val="bottom"/>
            <w:tcBorders>
              <w:bottom w:val="single" w:sz="8" w:color="auto"/>
            </w:tcBorders>
            <w:shd w:val="clear" w:color="auto" w:fill="CCEEFF"/>
          </w:tcPr>
          <w:p>
            <w:pPr>
              <w:jc w:val="right"/>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4,543</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4,513</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right="40" w:firstLine="8"/>
        <w:spacing w:after="0" w:line="265" w:lineRule="auto"/>
        <w:tabs>
          <w:tab w:leader="none" w:pos="145"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 March 2024, we made a $3.0 million investment in a privately held company via a simple agreement for future equity ("SAFE"). In October 2025, the Company's SAFE investment was settled into 8,964,262 shares of Series A common stock at a settlement price of $0.42 per share, based on the valuation cap in the original agreement, resulting in 3.8% ownership with no significant influence over the privately-held company. Upon settlement of the SAFE, the investment was remeasured to its fair value of $3.8 million. The SAFE investment was settled into equitable shares of the privately-held company's common stock. The investment does not have a readily determinable fair value and the Company elected the measurement alternative to value its investment. The fair value of this investment was based on non-marketable observable inputs, which represent Level 3 measurement within the fair value hierarchy. The investment was carried at cost less impairment, if any, and subsequently measured to fair value upon observable price changes in an orderly transaction for the identical or similar investment of the same issuer, with any gains or losses recorded within "other income" on the unaudited consolidated statement of operations. We did not note any changes in the fair value during the three months ended March 31, 2026, and 2025.</w:t>
      </w: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8.3: Details of Accrued Liabilities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March 31, 2026</w:t>
            </w:r>
          </w:p>
        </w:tc>
        <w:tc>
          <w:tcPr>
            <w:tcW w:w="4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December 31, 2025</w:t>
            </w:r>
          </w:p>
        </w:tc>
      </w:tr>
      <w:tr>
        <w:trPr>
          <w:trHeight w:val="216"/>
        </w:trPr>
        <w:tc>
          <w:tcPr>
            <w:tcW w:w="7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0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project expenses</w:t>
            </w:r>
          </w:p>
        </w:tc>
        <w:tc>
          <w:tcPr>
            <w:tcW w:w="1600" w:type="dxa"/>
            <w:vAlign w:val="bottom"/>
            <w:shd w:val="clear" w:color="auto" w:fill="CCEEFF"/>
          </w:tcPr>
          <w:p>
            <w:pPr>
              <w:jc w:val="right"/>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4,289</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expenses accrual</w:t>
            </w:r>
          </w:p>
        </w:tc>
        <w:tc>
          <w:tcPr>
            <w:tcW w:w="16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w:t>
            </w:r>
          </w:p>
        </w:tc>
      </w:tr>
      <w:tr>
        <w:trPr>
          <w:trHeight w:val="207"/>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1600" w:type="dxa"/>
            <w:vAlign w:val="bottom"/>
            <w:tcBorders>
              <w:bottom w:val="single" w:sz="8" w:color="auto"/>
            </w:tcBorders>
          </w:tcPr>
          <w:p>
            <w:pPr>
              <w:jc w:val="right"/>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6,614</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6,900</w:t>
            </w:r>
          </w:p>
        </w:tc>
      </w:tr>
      <w:tr>
        <w:trPr>
          <w:trHeight w:val="23"/>
        </w:trPr>
        <w:tc>
          <w:tcPr>
            <w:tcW w:w="70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REVOLVING CREDIT FACILITY</w:t>
      </w:r>
    </w:p>
    <w:p>
      <w:pPr>
        <w:spacing w:after="0" w:line="17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December 30, 2022, we entered into a Credit Agreement (the "Credit Agreement"), by and among the Company, as borrower, Xacta Corporation, ubIQuity.com, inc., Teloworks, Inc., and Telos Identity Management Solutions, LLC, as guarantors, the lenders party thereto (the "Lenders"), and JPMorgan Chase Bank N.A. ("JPMorgan Chase"), as administrative agent for the Lenders (in such capacity, the "Agent"). The Credit Agreement provided for a $30.0 million senior secured revolving credit facility, with the option of issuing letters of credit thereunder with a sub-limit of $5.0 million, and with an uncommitted expansion feature of up to $30.0 million of additional revolver capacity (the "Loan"). The Loan is subject to acceleration in the event of customary events of default. The Company has not drawn any amount under the Loan.</w:t>
      </w:r>
    </w:p>
    <w:p>
      <w:pPr>
        <w:spacing w:after="0" w:line="1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Until December 30, 2025, borrowings under the Credit Agreement accrued interest, at our option, at one of three variable rates, plus a specified margin. We can elect to borrow at (i) the Alternative Base Rate, plus 0.9%; (ii) Adjusted Daily Simple Secured Overnight Financing Rate ("SOFR"), plus 1.9%; or (iii) Adjusted Term SOFR, plus 1.9%, as such capitalized terms are defined and calculated in the Credit Agreement. The Company may elect to convert borrowings from one type of borrowing to another type per the terms of the Credit Agreement. After the occurrence and during the continuance of any event of default, the interest rate may increase by an additional 2.0%. We are obligated to pay accrued interest (i) with respect to amounts accruing interest based on the Alternative Base Rate, each calendar quarter and on the maturity date, (ii) with respect to amounts accruing interest based on Adjusted Daily Simple SOFR, on each one-month anniversary of the borrowing and on the maturity date, and (iii) with respect to amounts accruing interest based on Adjusted Term SOFR, at the end of the period specified per the Credit Agreement and on the maturity date. Upon five, three, or one day's prior notice, as applicable, we may prepay any portion or the entire amount of the Loan.</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Loan under the Credit Agreement is collateralized by substantially all of the Company's assets, including the Company's pledge of its domestic and material foreign subsidiary equity interests.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Loan has various covenants that may, among other things, affect our ability to create, incur, assume or suffer any indebtedness, merge into or consolidate with another entity, acquire entity interests, sell or transfer certain assets, enter into certain arrangements (such as sale and leaseback and swap agreements) or restrictive agreements, pay dividends and make certain restricted payments, and amend material documents related to any subordinated indebtedness and corporate agreements. The Credit Agreement also requires certain financial covenants to maintain a Senior Leverage Ratio on the last day of any fiscal quarter, no greater than 3 to 1. We were in compliance with all covenants as of March 31, 2026.</w:t>
      </w:r>
    </w:p>
    <w:p>
      <w:pPr>
        <w:spacing w:after="0" w:line="1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occurrence of an event of default under the Credit Agreement could result in the Loan and other obligations becoming immediately due and payable and allow the Lenders to exercise all rights and remedies available to them under the Credit Agreement.</w:t>
      </w:r>
    </w:p>
    <w:p>
      <w:pPr>
        <w:spacing w:after="0" w:line="108"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On April 12, 2023, the Credit Agreement was amended to exclude from collateral the (i) amount collectible from a third party related to an Accounts Receivable Purchase Agreement and (ii) receivables generated by the Company from the sale of goods supplied to this third party in an amount not to exceed $25.0 million.</w:t>
      </w:r>
    </w:p>
    <w:p>
      <w:pPr>
        <w:spacing w:after="0" w:line="12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December 30, 2025, the Company entered into a Second Amendment to Credit Agreement (the "Second Amendment") with JPMorgan Chase. The Second Amendment modified the Credit Agreement to, among other modifications, (a) established the Applicable Rate for borrowings under the revolving credit facility at 1.25% for ABR Loans and 2.25% for Term Benchmark/RFR Loans, with a commitment fee rate of 0.25%, (b) established the Revolving Commitment under the Credit Agreement at $15.0 million with an expansion feature of up to $15.0 million of additional credit capacity, (c) extended the Revolving Credit Maturity Date to December 30, 2026, and (d) required the Company and its subsidiaries to maintain at least $5.0 million of unrestricted cash and Permitted Investments with JPMorgan Chase at all times. Except as modified by the Second Amendment, the terms and conditions of the Credit Agreement remain in full force and effect.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STOCK-BASED COMPENSATION</w:t>
      </w:r>
    </w:p>
    <w:p>
      <w:pPr>
        <w:spacing w:after="0" w:line="17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May 7, 2026, the Company's stockholders approved Amendment No. 2 to the Amended and Restated 2016 Omnibus Long-Term Incentive Plan ("2016 LTIP") that increased the number of shares available for issuance under the 2016 LTIP by an additional 5,380,000 shares.</w:t>
      </w:r>
    </w:p>
    <w:p>
      <w:pPr>
        <w:spacing w:after="0" w:line="108"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As of March 31, 2026, approximately 0.5 million shares of our common stock were available for future grants under the 2016 LTIP. There were no income tax benefits recognized on the share-based compensation expense (as reflected on the table below) for the three months ended March 31, 2026, and 2025.</w:t>
      </w:r>
    </w:p>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10.1: Details of Stock Compensation Expense by Statements of Operations Line Item</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3760" w:type="dxa"/>
            <w:vAlign w:val="bottom"/>
            <w:tcBorders>
              <w:top w:val="single" w:sz="8" w:color="auto"/>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480" w:type="dxa"/>
            <w:vAlign w:val="bottom"/>
            <w:tcBorders>
              <w:top w:val="single" w:sz="8" w:color="auto"/>
              <w:bottom w:val="single" w:sz="8" w:color="auto"/>
            </w:tcBorders>
          </w:tcPr>
          <w:p>
            <w:pPr>
              <w:spacing w:after="0"/>
              <w:rPr>
                <w:sz w:val="18"/>
                <w:szCs w:val="18"/>
                <w:color w:val="auto"/>
              </w:rPr>
            </w:pPr>
          </w:p>
        </w:tc>
      </w:tr>
      <w:tr>
        <w:trPr>
          <w:trHeight w:val="209"/>
        </w:trPr>
        <w:tc>
          <w:tcPr>
            <w:tcW w:w="700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March 31, 2026</w:t>
            </w:r>
          </w:p>
        </w:tc>
        <w:tc>
          <w:tcPr>
            <w:tcW w:w="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March 31, 2025</w:t>
            </w:r>
          </w:p>
        </w:tc>
        <w:tc>
          <w:tcPr>
            <w:tcW w:w="480" w:type="dxa"/>
            <w:vAlign w:val="bottom"/>
            <w:tcBorders>
              <w:bottom w:val="single" w:sz="8" w:color="auto"/>
            </w:tcBorders>
          </w:tcPr>
          <w:p>
            <w:pPr>
              <w:spacing w:after="0"/>
              <w:rPr>
                <w:sz w:val="18"/>
                <w:szCs w:val="18"/>
                <w:color w:val="auto"/>
              </w:rPr>
            </w:pPr>
          </w:p>
        </w:tc>
      </w:tr>
      <w:tr>
        <w:trPr>
          <w:trHeight w:val="216"/>
        </w:trPr>
        <w:tc>
          <w:tcPr>
            <w:tcW w:w="7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gridSpan w:val="3"/>
          </w:tcPr>
          <w:p>
            <w:pPr>
              <w:jc w:val="right"/>
              <w:ind w:right="113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4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 – services</w:t>
            </w:r>
          </w:p>
        </w:tc>
        <w:tc>
          <w:tcPr>
            <w:tcW w:w="1600" w:type="dxa"/>
            <w:vAlign w:val="bottom"/>
            <w:shd w:val="clear" w:color="auto" w:fill="CCEEFF"/>
          </w:tcPr>
          <w:p>
            <w:pPr>
              <w:jc w:val="right"/>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40"/>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6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4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6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80" w:type="dxa"/>
            <w:vAlign w:val="bottom"/>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6,818</w:t>
            </w:r>
          </w:p>
        </w:tc>
      </w:tr>
      <w:tr>
        <w:trPr>
          <w:trHeight w:val="207"/>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600" w:type="dxa"/>
            <w:vAlign w:val="bottom"/>
            <w:tcBorders>
              <w:bottom w:val="single" w:sz="8" w:color="auto"/>
            </w:tcBorders>
          </w:tcPr>
          <w:p>
            <w:pPr>
              <w:jc w:val="right"/>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2,971</w:t>
            </w:r>
          </w:p>
        </w:tc>
        <w:tc>
          <w:tcPr>
            <w:tcW w:w="80" w:type="dxa"/>
            <w:vAlign w:val="bottom"/>
          </w:tcPr>
          <w:p>
            <w:pPr>
              <w:spacing w:after="0"/>
              <w:rPr>
                <w:sz w:val="17"/>
                <w:szCs w:val="17"/>
                <w:color w:val="auto"/>
              </w:rPr>
            </w:pPr>
          </w:p>
        </w:tc>
        <w:tc>
          <w:tcPr>
            <w:tcW w:w="1600" w:type="dxa"/>
            <w:vAlign w:val="bottom"/>
            <w:tcBorders>
              <w:bottom w:val="single" w:sz="8" w:color="auto"/>
            </w:tcBorders>
          </w:tcPr>
          <w:p>
            <w:pPr>
              <w:jc w:val="right"/>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7,048</w:t>
            </w:r>
          </w:p>
        </w:tc>
      </w:tr>
      <w:tr>
        <w:trPr>
          <w:trHeight w:val="23"/>
        </w:trPr>
        <w:tc>
          <w:tcPr>
            <w:tcW w:w="70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10.2: Restricted Stock Activity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39"/>
              <w:spacing w:after="0" w:line="161" w:lineRule="exact"/>
              <w:rPr>
                <w:sz w:val="20"/>
                <w:szCs w:val="20"/>
                <w:color w:val="auto"/>
              </w:rPr>
            </w:pPr>
            <w:r>
              <w:rPr>
                <w:rFonts w:ascii="Times New Roman" w:cs="Times New Roman" w:eastAsia="Times New Roman" w:hAnsi="Times New Roman"/>
                <w:sz w:val="16"/>
                <w:szCs w:val="16"/>
                <w:color w:val="auto"/>
              </w:rPr>
              <w:t>Weighted-Average</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5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auto"/>
              </w:rPr>
              <w:t>Service-Based</w:t>
            </w: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Performance-Based</w:t>
            </w:r>
          </w:p>
        </w:tc>
        <w:tc>
          <w:tcPr>
            <w:tcW w:w="146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Total 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color w:val="auto"/>
              </w:rPr>
              <w:t>Grant Date Fair</w:t>
            </w:r>
          </w:p>
        </w:tc>
        <w:tc>
          <w:tcPr>
            <w:tcW w:w="0" w:type="dxa"/>
            <w:vAlign w:val="bottom"/>
          </w:tcPr>
          <w:p>
            <w:pPr>
              <w:spacing w:after="0"/>
              <w:rPr>
                <w:sz w:val="1"/>
                <w:szCs w:val="1"/>
                <w:color w:val="auto"/>
              </w:rPr>
            </w:pPr>
          </w:p>
        </w:tc>
      </w:tr>
      <w:tr>
        <w:trPr>
          <w:trHeight w:val="213"/>
        </w:trPr>
        <w:tc>
          <w:tcPr>
            <w:tcW w:w="516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Value</w:t>
            </w:r>
          </w:p>
        </w:tc>
        <w:tc>
          <w:tcPr>
            <w:tcW w:w="0" w:type="dxa"/>
            <w:vAlign w:val="bottom"/>
          </w:tcPr>
          <w:p>
            <w:pPr>
              <w:spacing w:after="0"/>
              <w:rPr>
                <w:sz w:val="1"/>
                <w:szCs w:val="1"/>
                <w:color w:val="auto"/>
              </w:rPr>
            </w:pPr>
          </w:p>
        </w:tc>
      </w:tr>
      <w:tr>
        <w:trPr>
          <w:trHeight w:val="212"/>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outstanding units as of December 31, 2025</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2,182,836</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10,861,854</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13,044,690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991,756</w:t>
            </w:r>
          </w:p>
        </w:tc>
        <w:tc>
          <w:tcPr>
            <w:tcW w:w="8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991,756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(991,756)</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(2,420,691)</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(3,412,447)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(27,255)</w:t>
            </w:r>
          </w:p>
        </w:tc>
        <w:tc>
          <w:tcPr>
            <w:tcW w:w="8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0" w:type="dxa"/>
            <w:vAlign w:val="bottom"/>
          </w:tcPr>
          <w:p>
            <w:pPr>
              <w:spacing w:after="0"/>
              <w:rPr>
                <w:sz w:val="1"/>
                <w:szCs w:val="1"/>
                <w:color w:val="auto"/>
              </w:rPr>
            </w:pPr>
          </w:p>
        </w:tc>
      </w:tr>
      <w:tr>
        <w:trPr>
          <w:trHeight w:val="237"/>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outstanding units as of March 31, 2026</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2,155,581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8,441,163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10,596,744</w:t>
            </w:r>
          </w:p>
        </w:tc>
        <w:tc>
          <w:tcPr>
            <w:tcW w:w="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March 31, 2026, and 2025, the intrinsic value of the restricted stock units with time-base vesting ("RSUs") and restricted stock units with performance-based vesting ("PSUs") outstanding, exercisable, and vested or expected to vest was $44.4 million and $29.5 million, respectively. There were approximately $6.8 million of total compensation costs related to stock-based awards not yet recognized as of March 31, 2026, which is expected to be recognized on a straight-line basis over a weighted-average remaining vesting period of 0.4 years.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10.3: Stock Option Activity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jc w:val="center"/>
              <w:ind w:right="80"/>
              <w:spacing w:after="0" w:line="161" w:lineRule="exact"/>
              <w:rPr>
                <w:sz w:val="20"/>
                <w:szCs w:val="20"/>
                <w:color w:val="auto"/>
              </w:rPr>
            </w:pPr>
            <w:r>
              <w:rPr>
                <w:rFonts w:ascii="Times New Roman" w:cs="Times New Roman" w:eastAsia="Times New Roman" w:hAnsi="Times New Roman"/>
                <w:sz w:val="16"/>
                <w:szCs w:val="16"/>
                <w:color w:val="auto"/>
              </w:rPr>
              <w:t>Weighted-Average</w:t>
            </w:r>
          </w:p>
        </w:tc>
        <w:tc>
          <w:tcPr>
            <w:tcW w:w="1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46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Stock Options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rPr>
              <w:t>Weighted-Average</w:t>
            </w:r>
          </w:p>
        </w:tc>
        <w:tc>
          <w:tcPr>
            <w:tcW w:w="154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w w:val="99"/>
              </w:rPr>
              <w:t>Remaining</w:t>
            </w:r>
          </w:p>
        </w:tc>
        <w:tc>
          <w:tcPr>
            <w:tcW w:w="100" w:type="dxa"/>
            <w:vAlign w:val="bottom"/>
          </w:tcPr>
          <w:p>
            <w:pPr>
              <w:spacing w:after="0"/>
              <w:rPr>
                <w:sz w:val="14"/>
                <w:szCs w:val="14"/>
                <w:color w:val="auto"/>
              </w:rPr>
            </w:pPr>
          </w:p>
        </w:tc>
        <w:tc>
          <w:tcPr>
            <w:tcW w:w="13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Aggregate Intrinsic</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54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6"/>
                <w:szCs w:val="16"/>
                <w:color w:val="auto"/>
              </w:rPr>
              <w:t>Contractual Term (in</w:t>
            </w:r>
          </w:p>
        </w:tc>
        <w:tc>
          <w:tcPr>
            <w:tcW w:w="1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160" w:type="dxa"/>
            <w:vAlign w:val="bottom"/>
          </w:tcPr>
          <w:p>
            <w:pPr>
              <w:spacing w:after="0"/>
              <w:rPr>
                <w:sz w:val="18"/>
                <w:szCs w:val="18"/>
                <w:color w:val="auto"/>
              </w:rPr>
            </w:pPr>
          </w:p>
        </w:tc>
        <w:tc>
          <w:tcPr>
            <w:tcW w:w="14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Outstanding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Exercise Price</w:t>
            </w: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years)</w:t>
            </w:r>
          </w:p>
        </w:tc>
        <w:tc>
          <w:tcPr>
            <w:tcW w:w="100" w:type="dxa"/>
            <w:vAlign w:val="bottom"/>
          </w:tcPr>
          <w:p>
            <w:pPr>
              <w:spacing w:after="0"/>
              <w:rPr>
                <w:sz w:val="18"/>
                <w:szCs w:val="18"/>
                <w:color w:val="auto"/>
              </w:rPr>
            </w:pPr>
          </w:p>
        </w:tc>
        <w:tc>
          <w:tcPr>
            <w:tcW w:w="13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212"/>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option balance as of December 31, 2025</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227,000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749,100</w:t>
            </w: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 cancelled, or expired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option balance as of March 31, 2026</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227,000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542,530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Exercisable stock option as of March 31, 2026</w:t>
            </w: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542,530</w:t>
            </w:r>
          </w:p>
        </w:tc>
        <w:tc>
          <w:tcPr>
            <w:tcW w:w="0" w:type="dxa"/>
            <w:vAlign w:val="bottom"/>
          </w:tcPr>
          <w:p>
            <w:pPr>
              <w:spacing w:after="0" w:line="20" w:lineRule="exact"/>
              <w:rPr>
                <w:sz w:val="1"/>
                <w:szCs w:val="1"/>
                <w:color w:val="auto"/>
              </w:rPr>
            </w:pPr>
          </w:p>
        </w:tc>
      </w:tr>
      <w:tr>
        <w:trPr>
          <w:trHeight w:val="184"/>
        </w:trPr>
        <w:tc>
          <w:tcPr>
            <w:tcW w:w="5160" w:type="dxa"/>
            <w:vAlign w:val="bottom"/>
            <w:vMerge w:val="continue"/>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227,000</w:t>
            </w:r>
          </w:p>
        </w:tc>
        <w:tc>
          <w:tcPr>
            <w:tcW w:w="20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stock option awards and the quoted closing price of the Company's common stock as of March 31, 2026.</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fair value of the stock options is expensed on a straight-line basis over the vesting period of one year, including the stock options granted to directors, as the next annual stockholders meeting is expected to occur at the same approximate time each year.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there were no unrecognized compensation costs related to non-vested stock options.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SHARE REPURCHASES</w:t>
      </w:r>
    </w:p>
    <w:p>
      <w:pPr>
        <w:spacing w:after="0" w:line="17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May 24, 2022, the Company announced that the Board of Directors ("Board") approved a new share repurchase program ("SRP") authorizing the Company to repurchase up to $50.0 million of its common stock. On March 12, 2026, the Board further authorized the Company to repurchase up to an additional $25.0 million of its common stock under its existing repurchase program. Pursuant to this authorization, the Company may repurchase shares of its common stock on a discretionary basis from time to time through open market purchases. The repurchase program has no expiration date and may be modified, suspended, or terminated at any time. As of March 31, 2026, there was approximately $47.9 million of the authorization remaining for future common stock repurchases under the SRP.</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11: Share Repurchase Program Activity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2620" w:type="dxa"/>
            <w:vAlign w:val="bottom"/>
            <w:tcBorders>
              <w:top w:val="single" w:sz="8" w:color="auto"/>
              <w:bottom w:val="single" w:sz="8" w:color="auto"/>
            </w:tcBorders>
            <w:gridSpan w:val="7"/>
          </w:tcPr>
          <w:p>
            <w:pPr>
              <w:jc w:val="right"/>
              <w:ind w:right="639"/>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4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tcBorders>
              <w:bottom w:val="single" w:sz="8" w:color="auto"/>
            </w:tcBorders>
            <w:gridSpan w:val="3"/>
          </w:tcPr>
          <w:p>
            <w:pPr>
              <w:jc w:val="right"/>
              <w:ind w:right="441"/>
              <w:spacing w:after="0"/>
              <w:rPr>
                <w:sz w:val="20"/>
                <w:szCs w:val="20"/>
                <w:color w:val="auto"/>
              </w:rPr>
            </w:pPr>
            <w:r>
              <w:rPr>
                <w:rFonts w:ascii="Times New Roman" w:cs="Times New Roman" w:eastAsia="Times New Roman" w:hAnsi="Times New Roman"/>
                <w:sz w:val="16"/>
                <w:szCs w:val="16"/>
                <w:color w:val="auto"/>
              </w:rPr>
              <w:t>March 31, 2026</w:t>
            </w: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March 31, 2025</w:t>
            </w:r>
          </w:p>
        </w:tc>
        <w:tc>
          <w:tcPr>
            <w:tcW w:w="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780" w:type="dxa"/>
            <w:vAlign w:val="bottom"/>
            <w:gridSpan w:val="8"/>
          </w:tcPr>
          <w:p>
            <w:pPr>
              <w:jc w:val="right"/>
              <w:ind w:right="219"/>
              <w:spacing w:after="0"/>
              <w:rPr>
                <w:sz w:val="20"/>
                <w:szCs w:val="20"/>
                <w:color w:val="auto"/>
              </w:rPr>
            </w:pPr>
            <w:r>
              <w:rPr>
                <w:rFonts w:ascii="Times New Roman" w:cs="Times New Roman" w:eastAsia="Times New Roman" w:hAnsi="Times New Roman"/>
                <w:sz w:val="14"/>
                <w:szCs w:val="14"/>
                <w:i w:val="1"/>
                <w:iCs w:val="1"/>
                <w:color w:val="auto"/>
              </w:rPr>
              <w:t>(in thousands, except per share and share data)</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6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Amounts paid for shares repurchased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8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Number of shares repurchased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517,136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Average per share price paid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98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09"/>
        </w:trPr>
        <w:tc>
          <w:tcPr>
            <w:tcW w:w="6700" w:type="dxa"/>
            <w:vAlign w:val="bottom"/>
          </w:tcPr>
          <w:p>
            <w:pPr>
              <w:spacing w:after="0"/>
              <w:rPr>
                <w:sz w:val="20"/>
                <w:szCs w:val="20"/>
                <w:color w:val="auto"/>
              </w:rPr>
            </w:pPr>
            <w:r>
              <w:rPr>
                <w:rFonts w:ascii="Times New Roman" w:cs="Times New Roman" w:eastAsia="Times New Roman" w:hAnsi="Times New Roman"/>
                <w:sz w:val="9"/>
                <w:szCs w:val="9"/>
                <w:color w:val="auto"/>
              </w:rPr>
              <w:t xml:space="preserve">(1) </w:t>
            </w:r>
            <w:r>
              <w:rPr>
                <w:rFonts w:ascii="Times New Roman" w:cs="Times New Roman" w:eastAsia="Times New Roman" w:hAnsi="Times New Roman"/>
                <w:sz w:val="14"/>
                <w:szCs w:val="14"/>
                <w:color w:val="auto"/>
              </w:rPr>
              <w:t>Includes commissions paid for repurchases on the open market.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12. ACCUMULATED OTHER COMPREHENSIVE LOSS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Table 12: Details of Changes in Accumulated Other Comprehensive Loss by Category</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61"/>
              <w:spacing w:after="0" w:line="158" w:lineRule="exact"/>
              <w:rPr>
                <w:sz w:val="20"/>
                <w:szCs w:val="20"/>
                <w:color w:val="auto"/>
              </w:rPr>
            </w:pPr>
            <w:r>
              <w:rPr>
                <w:rFonts w:ascii="Times New Roman" w:cs="Times New Roman" w:eastAsia="Times New Roman" w:hAnsi="Times New Roman"/>
                <w:sz w:val="16"/>
                <w:szCs w:val="16"/>
                <w:color w:val="auto"/>
              </w:rPr>
              <w:t>Foreign currency</w:t>
            </w:r>
          </w:p>
        </w:tc>
        <w:tc>
          <w:tcPr>
            <w:tcW w:w="80" w:type="dxa"/>
            <w:vAlign w:val="bottom"/>
          </w:tcPr>
          <w:p>
            <w:pPr>
              <w:spacing w:after="0"/>
              <w:rPr>
                <w:sz w:val="13"/>
                <w:szCs w:val="13"/>
                <w:color w:val="auto"/>
              </w:rPr>
            </w:pPr>
          </w:p>
        </w:tc>
        <w:tc>
          <w:tcPr>
            <w:tcW w:w="14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auto"/>
              </w:rPr>
              <w:t>Pension liability</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201"/>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8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Total</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16"/>
                <w:szCs w:val="16"/>
                <w:color w:val="auto"/>
                <w:w w:val="99"/>
              </w:rPr>
              <w:t>adjustment</w:t>
            </w:r>
          </w:p>
        </w:tc>
        <w:tc>
          <w:tcPr>
            <w:tcW w:w="80" w:type="dxa"/>
            <w:vAlign w:val="bottom"/>
          </w:tcPr>
          <w:p>
            <w:pPr>
              <w:spacing w:after="0"/>
              <w:rPr>
                <w:sz w:val="18"/>
                <w:szCs w:val="18"/>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9"/>
              </w:rPr>
              <w:t>adjustment</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920" w:type="dxa"/>
            <w:vAlign w:val="bottom"/>
            <w:gridSpan w:val="2"/>
            <w:shd w:val="clear" w:color="auto" w:fill="CCEEFF"/>
          </w:tcPr>
          <w:p>
            <w:pPr>
              <w:jc w:val="right"/>
              <w:ind w:right="66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120" w:type="dxa"/>
            <w:vAlign w:val="bottom"/>
            <w:gridSpan w:val="3"/>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comprehensive loss before reclassification, net of tax</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35"/>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March 31, 2026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6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9"/>
        </w:trPr>
        <w:tc>
          <w:tcPr>
            <w:tcW w:w="6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EARNINGS (LOSS) PER SHARE</w:t>
      </w:r>
    </w:p>
    <w:p>
      <w:pPr>
        <w:spacing w:after="0" w:line="17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Basic EPS is computed by dividing net income (loss) by the basic weighted-average number of common shares outstanding for the period. Diluted EPS is calculated to give effect to all potentially dilutive common stock equivalents that were outstanding during the reporting period. The dilutive effects of outstanding common stock equivalents are determined using the treasury-stock and if-converted method, only in periods in which such effect would have been dilutive for the period.</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13: Weighted-Average Number of Shares Outstanding –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6"/>
          <w:szCs w:val="16"/>
          <w:color w:val="auto"/>
        </w:rPr>
        <w:t>For the 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15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March 31, 2026</w:t>
            </w:r>
          </w:p>
        </w:tc>
        <w:tc>
          <w:tcPr>
            <w:tcW w:w="5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March 31, 2025</w:t>
            </w:r>
          </w:p>
        </w:tc>
      </w:tr>
      <w:tr>
        <w:trPr>
          <w:trHeight w:val="216"/>
        </w:trPr>
        <w:tc>
          <w:tcPr>
            <w:tcW w:w="70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40" w:type="dxa"/>
            <w:vAlign w:val="bottom"/>
            <w:gridSpan w:val="3"/>
          </w:tcPr>
          <w:p>
            <w:pPr>
              <w:ind w:left="1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4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16"/>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weighted-average number of shares outstanding</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73,822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72,715</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Dilutive effect of unvested restricted stock units and stock options</w:t>
            </w:r>
          </w:p>
        </w:tc>
        <w:tc>
          <w:tcPr>
            <w:tcW w:w="1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3,793</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weighted-average number of shares outstanding</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77,615</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72,715</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For a period of net loss, potentially dilutive securities are not included in the calculation of diluted net earnings (loss) per share, because to do so would be anti-dilutive. For the three months ended March 31, 2025, the diluted earnings per share calculation excludes 627,612 of potentially dilutive securities that were anti-dilutive.</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and 2025, outstanding PSUs aggregating 6,235,000 and 10,604,187, respectively, have been excluded from the calculation of potentially dilutive securities above because the issuance of shares is contingent upon the satisfaction of certain conditions, which were not satisfied by the end of the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SEGMENT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our business in two reportable and operating segments: Security Solutions and Secure Networks.</w:t>
      </w:r>
    </w:p>
    <w:p>
      <w:pPr>
        <w:spacing w:after="0" w:line="168" w:lineRule="exact"/>
        <w:rPr>
          <w:sz w:val="20"/>
          <w:szCs w:val="20"/>
          <w:color w:val="auto"/>
        </w:rPr>
      </w:pPr>
    </w:p>
    <w:p>
      <w:pPr>
        <w:ind w:left="660" w:right="200" w:hanging="328"/>
        <w:spacing w:after="0" w:line="23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Security Solutions segment is primarily focused on cybersecurity, cloud and identity solutions, and secure messaging through Xacta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Telos Automated Message Handling System ("AMHS") and Telos ID offerings.</w:t>
      </w:r>
    </w:p>
    <w:p>
      <w:pPr>
        <w:spacing w:after="0" w:line="14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Secure Networks segment provides secure networking architectures and solutions to our customers through secure mobility solutions, and network management and defense services.</w:t>
      </w:r>
    </w:p>
    <w:p>
      <w:pPr>
        <w:spacing w:after="0" w:line="1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measure each segment's profitability based on gross profit. The Chief Executive Officer ("CEO"), whom we identified as the chief operating decision maker ("CODM"), evaluates the segment's performance based on metrics, such as segment revenue and gross profit, to align with our strategies and objectives, and provide a framework for the timely and rational allocation of resources between the segments.</w:t>
      </w:r>
    </w:p>
    <w:p>
      <w:pPr>
        <w:spacing w:after="0" w:line="12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account for inter-segment sales and transfers as if the sales or transfers were to third parties, that is, at current market prices, if any. There were no inter-segment sales and transfers during the three months ended March 31, 2026, and 2025. Interest income, interest expense, other income and expense items, and income taxes, as reported in the consolidated financial statements, are not part of the segment profitability measure and are primarily recorded at the corporate level.</w:t>
      </w:r>
    </w:p>
    <w:p>
      <w:pPr>
        <w:spacing w:after="0" w:line="12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Management does not utilize total assets by segment to evaluate segment performance or allocate resources. As a result, assets are not tracked by segment, and therefore, total assets by segment are not disclosed.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14: Results of Operations by Business Segment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8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420" w:type="dxa"/>
            <w:vAlign w:val="bottom"/>
            <w:tcBorders>
              <w:top w:val="single" w:sz="8" w:color="auto"/>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March 31, 2026</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March 31, 2025</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80" w:type="dxa"/>
            <w:vAlign w:val="bottom"/>
          </w:tcPr>
          <w:p>
            <w:pPr>
              <w:spacing w:after="0"/>
              <w:rPr>
                <w:sz w:val="18"/>
                <w:szCs w:val="18"/>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Security Solutions</w:t>
            </w:r>
          </w:p>
        </w:tc>
        <w:tc>
          <w:tcPr>
            <w:tcW w:w="80" w:type="dxa"/>
            <w:vAlign w:val="bottom"/>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Secure Networks</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color w:val="auto"/>
              </w:rPr>
              <w:t>Total</w:t>
            </w:r>
          </w:p>
        </w:tc>
        <w:tc>
          <w:tcPr>
            <w:tcW w:w="80" w:type="dxa"/>
            <w:vAlign w:val="bottom"/>
          </w:tcPr>
          <w:p>
            <w:pPr>
              <w:spacing w:after="0"/>
              <w:rPr>
                <w:sz w:val="18"/>
                <w:szCs w:val="18"/>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Security Solutions</w:t>
            </w:r>
          </w:p>
        </w:tc>
        <w:tc>
          <w:tcPr>
            <w:tcW w:w="80" w:type="dxa"/>
            <w:vAlign w:val="bottom"/>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Secure Networks</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3"/>
          </w:tcPr>
          <w:p>
            <w:pPr>
              <w:jc w:val="center"/>
              <w:ind w:left="3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47,742</w:t>
            </w: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30,616</w:t>
            </w:r>
          </w:p>
        </w:tc>
        <w:tc>
          <w:tcPr>
            <w:tcW w:w="0" w:type="dxa"/>
            <w:vAlign w:val="bottom"/>
          </w:tcPr>
          <w:p>
            <w:pPr>
              <w:spacing w:after="0"/>
              <w:rPr>
                <w:sz w:val="1"/>
                <w:szCs w:val="1"/>
                <w:color w:val="auto"/>
              </w:rPr>
            </w:pPr>
          </w:p>
        </w:tc>
      </w:tr>
      <w:tr>
        <w:trPr>
          <w:trHeight w:val="19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4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Depreciation and amortization </w:t>
            </w:r>
            <w:r>
              <w:rPr>
                <w:rFonts w:ascii="Times New Roman" w:cs="Times New Roman" w:eastAsia="Times New Roman" w:hAnsi="Times New Roman"/>
                <w:sz w:val="21"/>
                <w:szCs w:val="21"/>
                <w:color w:val="auto"/>
                <w:vertAlign w:val="superscript"/>
              </w:rPr>
              <w:t>(1)</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0" w:type="dxa"/>
            <w:vAlign w:val="bottom"/>
          </w:tcPr>
          <w:p>
            <w:pPr>
              <w:spacing w:after="0"/>
              <w:rPr>
                <w:sz w:val="1"/>
                <w:szCs w:val="1"/>
                <w:color w:val="auto"/>
              </w:rPr>
            </w:pPr>
          </w:p>
        </w:tc>
      </w:tr>
      <w:tr>
        <w:trPr>
          <w:trHeight w:val="216"/>
        </w:trPr>
        <w:tc>
          <w:tcPr>
            <w:tcW w:w="33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Stock-based compensation expense </w:t>
            </w:r>
            <w:r>
              <w:rPr>
                <w:rFonts w:ascii="Times New Roman" w:cs="Times New Roman" w:eastAsia="Times New Roman" w:hAnsi="Times New Roman"/>
                <w:sz w:val="21"/>
                <w:szCs w:val="21"/>
                <w:color w:val="auto"/>
                <w:vertAlign w:val="superscript"/>
              </w:rPr>
              <w:t>(1)</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1"/>
                <w:szCs w:val="21"/>
                <w:color w:val="auto"/>
                <w:vertAlign w:val="superscript"/>
              </w:rPr>
              <w:t>(2)</w:t>
            </w: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26,320</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27,555</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13,088</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3,653</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16,741</w:t>
            </w:r>
          </w:p>
        </w:tc>
        <w:tc>
          <w:tcPr>
            <w:tcW w:w="0" w:type="dxa"/>
            <w:vAlign w:val="bottom"/>
          </w:tcPr>
          <w:p>
            <w:pPr>
              <w:spacing w:after="0"/>
              <w:rPr>
                <w:sz w:val="1"/>
                <w:szCs w:val="1"/>
                <w:color w:val="auto"/>
              </w:rPr>
            </w:pPr>
          </w:p>
        </w:tc>
      </w:tr>
      <w:tr>
        <w:trPr>
          <w:trHeight w:val="207"/>
        </w:trPr>
        <w:tc>
          <w:tcPr>
            <w:tcW w:w="33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cost of sales</w:t>
            </w: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29,107</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30,367</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14,758</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3,676</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18,434</w:t>
            </w:r>
          </w:p>
        </w:tc>
        <w:tc>
          <w:tcPr>
            <w:tcW w:w="0" w:type="dxa"/>
            <w:vAlign w:val="bottom"/>
          </w:tcPr>
          <w:p>
            <w:pPr>
              <w:spacing w:after="0"/>
              <w:rPr>
                <w:sz w:val="1"/>
                <w:szCs w:val="1"/>
                <w:color w:val="auto"/>
              </w:rPr>
            </w:pPr>
          </w:p>
        </w:tc>
      </w:tr>
      <w:tr>
        <w:trPr>
          <w:trHeight w:val="237"/>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17,375</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12,182</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38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0" w:type="dxa"/>
            <w:vAlign w:val="bottom"/>
          </w:tcPr>
          <w:p>
            <w:pPr>
              <w:spacing w:after="0"/>
              <w:rPr>
                <w:sz w:val="1"/>
                <w:szCs w:val="1"/>
                <w:color w:val="auto"/>
              </w:rPr>
            </w:pPr>
          </w:p>
        </w:tc>
      </w:tr>
      <w:tr>
        <w:trPr>
          <w:trHeight w:val="213"/>
        </w:trPr>
        <w:tc>
          <w:tcPr>
            <w:tcW w:w="3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4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14,563</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19,633</w:t>
            </w:r>
          </w:p>
        </w:tc>
        <w:tc>
          <w:tcPr>
            <w:tcW w:w="0" w:type="dxa"/>
            <w:vAlign w:val="bottom"/>
          </w:tcPr>
          <w:p>
            <w:pPr>
              <w:spacing w:after="0"/>
              <w:rPr>
                <w:sz w:val="1"/>
                <w:szCs w:val="1"/>
                <w:color w:val="auto"/>
              </w:rPr>
            </w:pPr>
          </w:p>
        </w:tc>
      </w:tr>
      <w:tr>
        <w:trPr>
          <w:trHeight w:val="212"/>
        </w:trPr>
        <w:tc>
          <w:tcPr>
            <w:tcW w:w="3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21,204</w:t>
            </w:r>
          </w:p>
        </w:tc>
        <w:tc>
          <w:tcPr>
            <w:tcW w:w="0" w:type="dxa"/>
            <w:vAlign w:val="bottom"/>
          </w:tcPr>
          <w:p>
            <w:pPr>
              <w:spacing w:after="0"/>
              <w:rPr>
                <w:sz w:val="1"/>
                <w:szCs w:val="1"/>
                <w:color w:val="auto"/>
              </w:rPr>
            </w:pPr>
          </w:p>
        </w:tc>
      </w:tr>
      <w:tr>
        <w:trPr>
          <w:trHeight w:val="207"/>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(9,022)</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0" w:type="dxa"/>
            <w:vAlign w:val="bottom"/>
          </w:tcPr>
          <w:p>
            <w:pPr>
              <w:spacing w:after="0"/>
              <w:rPr>
                <w:sz w:val="1"/>
                <w:szCs w:val="1"/>
                <w:color w:val="auto"/>
              </w:rPr>
            </w:pPr>
          </w:p>
        </w:tc>
      </w:tr>
      <w:tr>
        <w:trPr>
          <w:trHeight w:val="213"/>
        </w:trPr>
        <w:tc>
          <w:tcPr>
            <w:tcW w:w="3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4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12"/>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(8,608)</w:t>
            </w:r>
          </w:p>
        </w:tc>
        <w:tc>
          <w:tcPr>
            <w:tcW w:w="0" w:type="dxa"/>
            <w:vAlign w:val="bottom"/>
          </w:tcPr>
          <w:p>
            <w:pPr>
              <w:spacing w:after="0"/>
              <w:rPr>
                <w:sz w:val="1"/>
                <w:szCs w:val="1"/>
                <w:color w:val="auto"/>
              </w:rPr>
            </w:pPr>
          </w:p>
        </w:tc>
      </w:tr>
      <w:tr>
        <w:trPr>
          <w:trHeight w:val="213"/>
        </w:trPr>
        <w:tc>
          <w:tcPr>
            <w:tcW w:w="3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4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7"/>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(8,604)</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160" w:hanging="152"/>
        <w:spacing w:after="0"/>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significant segment expense categories and amounts align with the segment-level information regularly provided by the CODM.</w:t>
      </w:r>
    </w:p>
    <w:p>
      <w:pPr>
        <w:spacing w:after="0" w:line="135" w:lineRule="exact"/>
        <w:rPr>
          <w:rFonts w:ascii="Times New Roman" w:cs="Times New Roman" w:eastAsia="Times New Roman" w:hAnsi="Times New Roman"/>
          <w:sz w:val="19"/>
          <w:szCs w:val="19"/>
          <w:color w:val="auto"/>
          <w:vertAlign w:val="superscript"/>
        </w:rPr>
      </w:pPr>
    </w:p>
    <w:p>
      <w:pPr>
        <w:ind w:right="340" w:firstLine="8"/>
        <w:spacing w:after="0" w:line="302" w:lineRule="auto"/>
        <w:tabs>
          <w:tab w:leader="none" w:pos="145"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Other segment items for each reportable segment include direct labor, direct subcontractor costs, direct materials and inventory, other direct non-labor costs, fringes, overhead, and facility costs.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SUPPLEMENTAL CASH FLOW INFORMATION</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15.1: Details of Cash, Cash Equivalents, and Restricted Cash</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March 31, 2026</w:t>
            </w:r>
          </w:p>
        </w:tc>
        <w:tc>
          <w:tcPr>
            <w:tcW w:w="5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December 31, 2025</w:t>
            </w:r>
          </w:p>
        </w:tc>
      </w:tr>
      <w:tr>
        <w:trPr>
          <w:trHeight w:val="216"/>
        </w:trPr>
        <w:tc>
          <w:tcPr>
            <w:tcW w:w="70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0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560" w:type="dxa"/>
            <w:vAlign w:val="bottom"/>
            <w:shd w:val="clear" w:color="auto" w:fill="CCEEFF"/>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50,230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53,180</w:t>
            </w:r>
          </w:p>
        </w:tc>
      </w:tr>
      <w:tr>
        <w:trPr>
          <w:trHeight w:val="216"/>
        </w:trPr>
        <w:tc>
          <w:tcPr>
            <w:tcW w:w="700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Restricted cash </w:t>
            </w:r>
            <w:r>
              <w:rPr>
                <w:rFonts w:ascii="Times New Roman" w:cs="Times New Roman" w:eastAsia="Times New Roman" w:hAnsi="Times New Roman"/>
                <w:sz w:val="21"/>
                <w:szCs w:val="21"/>
                <w:color w:val="auto"/>
                <w:vertAlign w:val="superscript"/>
              </w:rPr>
              <w:t>(1)</w:t>
            </w:r>
          </w:p>
        </w:tc>
        <w:tc>
          <w:tcPr>
            <w:tcW w:w="1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32"/>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1560" w:type="dxa"/>
            <w:vAlign w:val="bottom"/>
            <w:tcBorders>
              <w:bottom w:val="single" w:sz="8" w:color="auto"/>
            </w:tcBorders>
            <w:shd w:val="clear" w:color="auto" w:fill="CCEEFF"/>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50,370</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53,320</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160" w:hanging="152"/>
        <w:spacing w:after="0"/>
        <w:tabs>
          <w:tab w:leader="none" w:pos="1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Restricted cash consists of a commercial money market account held as a deposit on the Ashburn lease and is included within "Other assets" on the unaudited consolidated balance sheets.</w:t>
      </w:r>
    </w:p>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15.2: Supplemental Cash Flow Information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3760" w:type="dxa"/>
            <w:vAlign w:val="bottom"/>
            <w:tcBorders>
              <w:top w:val="single" w:sz="8" w:color="auto"/>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480" w:type="dxa"/>
            <w:vAlign w:val="bottom"/>
            <w:tcBorders>
              <w:top w:val="single" w:sz="8" w:color="auto"/>
              <w:bottom w:val="single" w:sz="8" w:color="auto"/>
            </w:tcBorders>
          </w:tcPr>
          <w:p>
            <w:pPr>
              <w:spacing w:after="0"/>
              <w:rPr>
                <w:sz w:val="18"/>
                <w:szCs w:val="18"/>
                <w:color w:val="auto"/>
              </w:rPr>
            </w:pPr>
          </w:p>
        </w:tc>
      </w:tr>
      <w:tr>
        <w:trPr>
          <w:trHeight w:val="209"/>
        </w:trPr>
        <w:tc>
          <w:tcPr>
            <w:tcW w:w="700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March 31, 2026</w:t>
            </w:r>
          </w:p>
        </w:tc>
        <w:tc>
          <w:tcPr>
            <w:tcW w:w="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March 31, 2025</w:t>
            </w:r>
          </w:p>
        </w:tc>
        <w:tc>
          <w:tcPr>
            <w:tcW w:w="480" w:type="dxa"/>
            <w:vAlign w:val="bottom"/>
            <w:tcBorders>
              <w:bottom w:val="single" w:sz="8" w:color="auto"/>
            </w:tcBorders>
          </w:tcPr>
          <w:p>
            <w:pPr>
              <w:spacing w:after="0"/>
              <w:rPr>
                <w:sz w:val="18"/>
                <w:szCs w:val="18"/>
                <w:color w:val="auto"/>
              </w:rPr>
            </w:pPr>
          </w:p>
        </w:tc>
      </w:tr>
      <w:tr>
        <w:trPr>
          <w:trHeight w:val="216"/>
        </w:trPr>
        <w:tc>
          <w:tcPr>
            <w:tcW w:w="7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gridSpan w:val="3"/>
          </w:tcPr>
          <w:p>
            <w:pPr>
              <w:jc w:val="right"/>
              <w:ind w:right="113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1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w:t>
            </w:r>
          </w:p>
        </w:tc>
        <w:tc>
          <w:tcPr>
            <w:tcW w:w="1600" w:type="dxa"/>
            <w:vAlign w:val="bottom"/>
          </w:tcPr>
          <w:p>
            <w:pPr>
              <w:jc w:val="right"/>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tcPr>
          <w:p>
            <w:pPr>
              <w:spacing w:after="0"/>
              <w:rPr>
                <w:sz w:val="18"/>
                <w:szCs w:val="18"/>
                <w:color w:val="auto"/>
              </w:rPr>
            </w:pPr>
          </w:p>
        </w:tc>
        <w:tc>
          <w:tcPr>
            <w:tcW w:w="1600" w:type="dxa"/>
            <w:vAlign w:val="bottom"/>
          </w:tcPr>
          <w:p>
            <w:pPr>
              <w:jc w:val="right"/>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16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expenditure activity in accounts payable and other accrued liabilities</w:t>
            </w:r>
          </w:p>
        </w:tc>
        <w:tc>
          <w:tcPr>
            <w:tcW w:w="1600" w:type="dxa"/>
            <w:vAlign w:val="bottom"/>
          </w:tcPr>
          <w:p>
            <w:pPr>
              <w:jc w:val="right"/>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18"/>
                <w:szCs w:val="18"/>
                <w:color w:val="auto"/>
              </w:rPr>
            </w:pPr>
          </w:p>
        </w:tc>
        <w:tc>
          <w:tcPr>
            <w:tcW w:w="1600" w:type="dxa"/>
            <w:vAlign w:val="bottom"/>
          </w:tcPr>
          <w:p>
            <w:pPr>
              <w:jc w:val="right"/>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for 401K match</w:t>
            </w:r>
          </w:p>
        </w:tc>
        <w:tc>
          <w:tcPr>
            <w:tcW w:w="16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w:t>
            </w:r>
          </w:p>
        </w:tc>
      </w:tr>
      <w:tr>
        <w:trPr>
          <w:trHeight w:val="210"/>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for AIP payment</w:t>
            </w:r>
          </w:p>
        </w:tc>
        <w:tc>
          <w:tcPr>
            <w:tcW w:w="16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3,987</w:t>
            </w: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COMMITMENTS, CONTINGENCIES AND SUBSEQUENT EVENTS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be a party to litigation or claims arising in the ordinary course of business, including those relating to employment matters, relationships with clients and contractors, intellectual property disputes, and other business matters. These legal proceedings typically seek various remedies, including claims for monetary damages in varying amounts or unspecified amounts. Although the outcome of any such matter is inherently uncertain and may be materially adverse, based on current information, management believes that the outcome of any such known matters will not have a material adverse effect on the Company's business or its unaudited consolidated financial statements as of March 31, 2026.</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 Government Contracts</w:t>
      </w:r>
    </w:p>
    <w:p>
      <w:pPr>
        <w:spacing w:after="0" w:line="17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As a U.S. federal government contractor, we are subject to various audits and investigations by the U.S. federal government to determine whether our operations are being conducted in accordance with applicable regulatory requirements. U.S. federal government investigations of our operations, whether relating to government contracts or conducted for other reasons, could result in administrative, civil, or criminal liabilities, including repayments, fines or penalties being imposed upon us, suspension, proposed debarment, debarment from eligibility for future U.S. federal government contracting, or suspension of export privileges. Suspension or debarment could have a material adverse effect on us because of our dependence on contracts with the U.S. federal government. U.S. federal government investigations often take years to complete and many result in no adverse action against us. We also provide products and services to customers outside the United States, which are subject to U.S. and foreign laws and regulations and foreign procurement policies and practices. Our compliance with local regulations or applicable U.S. federal government regulations may also be audited or investigated.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Events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April 29, 2026, the Company announced that John Wood, the President, CEO and Chairman of the Board, was taking a medical leave of absence. Effective April 28, 2026, Mark Griffin, Executive Vice President, Security Solutions, Mark Bendza, Executive Vice President and Chief Financial Officer, and Hutch Robbins, Executive Vice President and General Counsel (under the oversight of and reporting to the Company’s Board) have assumed the responsibilities of the Chief Executive Officer on an interim basis. Fred Schaufeld has been appointed by the Board of Directors to serve as its Chairman on an interim basis effective immediately. The Board and executive leadership team are working closely to ensure continuity of the Company’s operations during Mr. Wood’s absence. The Company does not anticipate material disruption to its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780"/>
        <w:spacing w:after="0" w:line="409"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Any statements contained herein that are not statements of historical fact may be deemed to be forward-looking statements. Without limiting the foregoing, the words "believes," "anticipates," "plans," "expects," and similar expressions are intended to identify forward-looking statements. Several important factors could cause the Company's actual results to differ materially from those indicated by such forward-looking statements. These factors include, without limitation, those set forth in the risk factors section included in the Company's Form 10-K for the year ended December 31, 2025, as filed with the Securities and Exchange Commission on March 16, 2026.</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Telos Corporation empowers and protects the world’s most security-conscious organizations with efficient, adaptable, and secure solutions that safeguard people, systems, and information. We deliver advanced capabilities across cyber governance, risk, and compliance ("GRC") with Xacta®; identity and biometric solutions; secure networks and communications; and TSA PreCheck® enrollment services. Our primary customers include the U.S. federal government, large commercial organizations, state and local governments, and global enterprises. Telos helps customers stay ahead of evolving threats, accelerate compliance, and achieve mission success. Driven by purpose and guided by our core values, we build trusted partnerships, deliver superior solutions, and help create a more secure, interconnected world.</w:t>
      </w:r>
    </w:p>
    <w:p>
      <w:pPr>
        <w:spacing w:after="0" w:line="133"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8"/>
          <w:szCs w:val="18"/>
          <w:color w:val="auto"/>
        </w:rPr>
        <w:t>Recently, Telos launched Xacta.ai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the artificial intelligence ("AI") capability at the core of the Xacta cyber GRC platform, dramatically reducing compliance time and effort. Xacta.ai delivers expert-level guidance and real-time insights, empowering organizations to move from reactive compliance to proactive risk management.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Federal Government</w:t>
      </w:r>
    </w:p>
    <w:p>
      <w:pPr>
        <w:spacing w:after="0" w:line="17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consolidated revenue is largely attributable to prime contracts or to subcontracts with prime contractors engaged in work for the U.S. federal government, with the remaining revenue attributable to state and local governments, and commercial markets. We generated approximately 93% and 89% of our total revenues from contracts with U.S. government agencies in the first quarter of fiscal year ("FY") 2026 and 2025, respectively. Our business performance is affected by the overall level of U.S. government spending and the alignment of our offerings and capabilities with the budget priorities of the U.S. government. While certain administration priorities, such as cybersecurity, national security and AI, present greater opportunity for our products and services, turmoil within the federal government, including personnel and leadership turnover and budgetary uncertainty, has had the effect of lengthening our sales cycle in certain cases. We continuously monitor U.S. federal budget, legislative, and contracting trends and activities, and align our capabilities in response to these developments.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Macroeconomic Conditions</w:t>
      </w:r>
    </w:p>
    <w:p>
      <w:pPr>
        <w:spacing w:after="0" w:line="1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During the current quarter, the global economy has continued to experience volatility arising from geopolitical developments and broader economic and financial factors, specifically including the ongoing conflict in Iran and the Middle East. This volatility has resulted in, and may be expected to continue to result in, rising energy prices, supply chain disruptions, and inflationary pressures, among other consequences. However, in part due to the importance of our offerings to our customers, the type of solutions we provide, and the nature of our largest customers, to date our business has not been materially impacted by these consequences. If global volatility continues to increase and the conflict in the Middle East is prolonged or intensifies, the economic uncertainty inherent in such global instability may affect our results of operations. Management continues to monitor this evolving geopolitical situation.</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75"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Several key highlights of our financial performance in the first quarter of 2026 are described below. More details are presented in our "Results of Operations" section.</w:t>
      </w:r>
    </w:p>
    <w:p>
      <w:pPr>
        <w:spacing w:after="0" w:line="108"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55.9% due to 78.1% growth in Security Solutions, driven primarily by the expansion of multiple large programs in Telos ID.</w:t>
      </w:r>
    </w:p>
    <w:p>
      <w:pPr>
        <w:spacing w:after="0" w:line="171"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decreased by $5.3 million, or 24.9%, year-over-year due to lower stock-based compensation and ongoing disciplined cost management.</w:t>
      </w:r>
    </w:p>
    <w:p>
      <w:pPr>
        <w:spacing w:after="0" w:line="10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expanded by $10.6 million, from a net loss of $8.6 million in the first quarter of 2025 to a net income of $2.0 million in the current quarter.</w:t>
      </w:r>
    </w:p>
    <w:p>
      <w:pPr>
        <w:spacing w:after="0" w:line="10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 improved by $2.6 million year-over-year from a $6.1 million inflow to an $8.7 million inflow, or 18.1% of revenue, primarily due to improved revenue and profitability.</w:t>
      </w:r>
    </w:p>
    <w:p>
      <w:pPr>
        <w:spacing w:after="0" w:line="10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million was deployed to repurchase approximately 0.5 million shares of the Company’s common stock at an average share price of $4.25 per share.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1: Consolidated Results of Operations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3120" w:type="dxa"/>
            <w:vAlign w:val="bottom"/>
            <w:tcBorders>
              <w:top w:val="single" w:sz="8" w:color="auto"/>
              <w:bottom w:val="single" w:sz="8" w:color="auto"/>
            </w:tcBorders>
            <w:gridSpan w:val="6"/>
          </w:tcPr>
          <w:p>
            <w:pPr>
              <w:jc w:val="center"/>
              <w:ind w:left="1159"/>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1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r>
      <w:tr>
        <w:trPr>
          <w:trHeight w:val="209"/>
        </w:trPr>
        <w:tc>
          <w:tcPr>
            <w:tcW w:w="6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March 31, 2026</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March 31, 2025</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Dollar Change</w:t>
            </w:r>
          </w:p>
        </w:tc>
      </w:tr>
      <w:tr>
        <w:trPr>
          <w:trHeight w:val="216"/>
        </w:trPr>
        <w:tc>
          <w:tcPr>
            <w:tcW w:w="6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47,742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30,616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17,126</w:t>
            </w:r>
          </w:p>
        </w:tc>
      </w:tr>
      <w:tr>
        <w:trPr>
          <w:trHeight w:val="213"/>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30,367</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18,434</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11,933</w:t>
            </w:r>
          </w:p>
        </w:tc>
      </w:tr>
      <w:tr>
        <w:trPr>
          <w:trHeight w:val="212"/>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17,375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12,182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5,193</w:t>
            </w:r>
          </w:p>
        </w:tc>
      </w:tr>
      <w:tr>
        <w:trPr>
          <w:trHeight w:val="214"/>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Gross margin</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36.4 %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39.8 %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15,920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21,204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(5,284)</w:t>
            </w:r>
          </w:p>
        </w:tc>
      </w:tr>
      <w:tr>
        <w:trPr>
          <w:trHeight w:val="214"/>
        </w:trPr>
        <w:tc>
          <w:tcPr>
            <w:tcW w:w="6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i w:val="1"/>
                <w:iCs w:val="1"/>
                <w:color w:val="auto"/>
              </w:rPr>
              <w:t>Operating expenses as percentage of revenue</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33.3 %</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69.3 %</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1"/>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1,455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(9,022)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10,477</w:t>
            </w:r>
          </w:p>
        </w:tc>
      </w:tr>
      <w:tr>
        <w:trPr>
          <w:trHeight w:val="213"/>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18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1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(147)</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07"/>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80" w:type="dxa"/>
            <w:vAlign w:val="bottom"/>
          </w:tcPr>
          <w:p>
            <w:pPr>
              <w:spacing w:after="0"/>
              <w:rPr>
                <w:sz w:val="17"/>
                <w:szCs w:val="17"/>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2,041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(8,608)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10,649</w:t>
            </w:r>
          </w:p>
        </w:tc>
      </w:tr>
      <w:tr>
        <w:trPr>
          <w:trHeight w:val="216"/>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2"/>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(8,604)</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10,627</w:t>
            </w:r>
          </w:p>
        </w:tc>
      </w:tr>
      <w:tr>
        <w:trPr>
          <w:trHeight w:val="20"/>
        </w:trPr>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business segments have different factors driving revenue fluctuations and profitability. The discussion of the changes in our revenue and profitability is covered in greater detail in the following section, "Segment Results." We generate revenue from the delivery of products and services to our customers. Cost of sales, for both products and services, consists of labor, materials, subcontracting costs and an allocation of indirect costs.</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Operating expenses decreased by $5.3 million, or 24.9%, in the first quarter of 2026, compared to the same period in 2025. Research and development ("R&amp;D") expenses slightly declined by $0.2 million, or 13.6%, in the first quarter of 2026, compared to the same period in 2025. Selling, general and administrative ("SG&amp;A") expenses decreased by $5.1 million, or 25.8%, in the first quarter of 2026, compared to the same period in 2025, primarily due to lower stock-based compensation expenses. Excluding stock-based compensation, reductions in R&amp;D and SG&amp;A expenses were due to ongoing cost discipline and restructuring. As a percentage of revenue, overall operating expenses were 33.3% and 69.3% for the three months ended March 31, 2026, and 2025, respectively.</w:t>
      </w:r>
    </w:p>
    <w:p>
      <w:pPr>
        <w:spacing w:after="0" w:line="13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Other income increased by 24.2% in the first quarter of 2026, compared to the same period in 2025, primarily due to the refund in the current quarter of a prior year VAT claim that was previously determined to be uncollectible.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accounting policies of each business segment are the same as those followed by the Company as a whole. Management evaluates business segment performance based on gross profit.</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2: Security Solutions Segment - Financial Results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3120" w:type="dxa"/>
            <w:vAlign w:val="bottom"/>
            <w:tcBorders>
              <w:top w:val="single" w:sz="8" w:color="auto"/>
              <w:bottom w:val="single" w:sz="8" w:color="auto"/>
            </w:tcBorders>
            <w:gridSpan w:val="6"/>
          </w:tcPr>
          <w:p>
            <w:pPr>
              <w:jc w:val="center"/>
              <w:ind w:left="1159"/>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1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March 31, 2026</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March 31, 2025</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Dollar Change</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45,970</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25,818</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20,152</w:t>
            </w:r>
          </w:p>
        </w:tc>
        <w:tc>
          <w:tcPr>
            <w:tcW w:w="0" w:type="dxa"/>
            <w:vAlign w:val="bottom"/>
          </w:tcPr>
          <w:p>
            <w:pPr>
              <w:spacing w:after="0"/>
              <w:rPr>
                <w:sz w:val="1"/>
                <w:szCs w:val="1"/>
                <w:color w:val="auto"/>
              </w:rPr>
            </w:pPr>
          </w:p>
        </w:tc>
      </w:tr>
      <w:tr>
        <w:trPr>
          <w:trHeight w:val="207"/>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sales (excluding depreciation and amortization)</w:t>
            </w:r>
          </w:p>
        </w:tc>
        <w:tc>
          <w:tcPr>
            <w:tcW w:w="180" w:type="dxa"/>
            <w:vAlign w:val="bottom"/>
          </w:tcPr>
          <w:p>
            <w:pPr>
              <w:spacing w:after="0"/>
              <w:rPr>
                <w:sz w:val="17"/>
                <w:szCs w:val="17"/>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26,514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13,257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13,257</w:t>
            </w:r>
          </w:p>
        </w:tc>
        <w:tc>
          <w:tcPr>
            <w:tcW w:w="0" w:type="dxa"/>
            <w:vAlign w:val="bottom"/>
          </w:tcPr>
          <w:p>
            <w:pPr>
              <w:spacing w:after="0"/>
              <w:rPr>
                <w:sz w:val="1"/>
                <w:szCs w:val="1"/>
                <w:color w:val="auto"/>
              </w:rPr>
            </w:pPr>
          </w:p>
        </w:tc>
      </w:tr>
      <w:tr>
        <w:trPr>
          <w:trHeight w:val="21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2,593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1,501</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0" w:type="dxa"/>
            <w:vAlign w:val="bottom"/>
          </w:tcPr>
          <w:p>
            <w:pPr>
              <w:spacing w:after="0"/>
              <w:rPr>
                <w:sz w:val="1"/>
                <w:szCs w:val="1"/>
                <w:color w:val="auto"/>
              </w:rPr>
            </w:pPr>
          </w:p>
        </w:tc>
      </w:tr>
      <w:tr>
        <w:trPr>
          <w:trHeight w:val="207"/>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cost of sales</w:t>
            </w: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29,107</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14,758</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14,349</w:t>
            </w: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16,863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11,060</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5,803</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Gross margin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36.7 %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42.8 %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For the quarter ended March 31, 2026, the Security Solutions segment revenue increased by 78.1%, compared to the same period in 2025, due to the expansion of multiple large programs in Telos ID.</w:t>
      </w:r>
    </w:p>
    <w:p>
      <w:pPr>
        <w:spacing w:after="0" w:line="10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For the quarter ended March 31, 2026, the Security Solutions segment gross profit increased by 52.5%, compared with the same period in 2025, due to higher segment revenues. Segment gross margin decreased from 42.8% in 2025 to 36.7% in 2026, primarily due to revenue mix and higher non-cash infrastructure costs.</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3: Secure Networks Segment - Financial Results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3120" w:type="dxa"/>
            <w:vAlign w:val="bottom"/>
            <w:tcBorders>
              <w:top w:val="single" w:sz="8" w:color="auto"/>
              <w:bottom w:val="single" w:sz="8" w:color="auto"/>
            </w:tcBorders>
            <w:gridSpan w:val="5"/>
          </w:tcPr>
          <w:p>
            <w:pPr>
              <w:jc w:val="center"/>
              <w:ind w:left="1179"/>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March 31, 2026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March 31, 2025</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Dollar Change</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1,772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4,798</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(3,026)</w:t>
            </w:r>
          </w:p>
        </w:tc>
        <w:tc>
          <w:tcPr>
            <w:tcW w:w="0" w:type="dxa"/>
            <w:vAlign w:val="bottom"/>
          </w:tcPr>
          <w:p>
            <w:pPr>
              <w:spacing w:after="0"/>
              <w:rPr>
                <w:sz w:val="1"/>
                <w:szCs w:val="1"/>
                <w:color w:val="auto"/>
              </w:rPr>
            </w:pPr>
          </w:p>
        </w:tc>
      </w:tr>
      <w:tr>
        <w:trPr>
          <w:trHeight w:val="207"/>
        </w:trPr>
        <w:tc>
          <w:tcPr>
            <w:tcW w:w="6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sales (excluding depreciation and amortization)</w:t>
            </w:r>
          </w:p>
        </w:tc>
        <w:tc>
          <w:tcPr>
            <w:tcW w:w="180" w:type="dxa"/>
            <w:vAlign w:val="bottom"/>
          </w:tcPr>
          <w:p>
            <w:pPr>
              <w:spacing w:after="0"/>
              <w:rPr>
                <w:sz w:val="17"/>
                <w:szCs w:val="17"/>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1,257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3,674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(2,417)</w:t>
            </w:r>
          </w:p>
        </w:tc>
        <w:tc>
          <w:tcPr>
            <w:tcW w:w="0" w:type="dxa"/>
            <w:vAlign w:val="bottom"/>
          </w:tcPr>
          <w:p>
            <w:pPr>
              <w:spacing w:after="0"/>
              <w:rPr>
                <w:sz w:val="1"/>
                <w:szCs w:val="1"/>
                <w:color w:val="auto"/>
              </w:rPr>
            </w:pPr>
          </w:p>
        </w:tc>
      </w:tr>
      <w:tr>
        <w:trPr>
          <w:trHeight w:val="219"/>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7"/>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1,260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3,676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(2,416)</w:t>
            </w:r>
          </w:p>
        </w:tc>
        <w:tc>
          <w:tcPr>
            <w:tcW w:w="0" w:type="dxa"/>
            <w:vAlign w:val="bottom"/>
          </w:tcPr>
          <w:p>
            <w:pPr>
              <w:spacing w:after="0"/>
              <w:rPr>
                <w:sz w:val="1"/>
                <w:szCs w:val="1"/>
                <w:color w:val="auto"/>
              </w:rPr>
            </w:pPr>
          </w:p>
        </w:tc>
      </w:tr>
      <w:tr>
        <w:trPr>
          <w:trHeight w:val="237"/>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1,122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Gross margin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28.9 %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23.4 %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the quarter ended March 31, 2026, the Secure Networks segment revenue decreased by 63.1%, compared to the same period in 2025, primarily due to the continued ramp down of several programs within the portfolio without corresponding new business wins to backfill completed programs.</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 the quarter ended March 31, 2026, the Secure Networks segment gross profit decreased by 54.4%, compared with the same period in 2025, due to lower revenue. By contrast, segment gross margin expanded from 23.4% in the first quarter of 2025 to 28.9% in the first quarter of 2026, primarily due to program mix.</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Our primary sources of liquidity are cash on hand, future operating cash flows, and, if needed, sale of receivables under the Factoring Agreement and/or borrowings under our $15.0 million revolving credit facility with a maturity date of December 30, 2026, and with an available expansion feature of up to $15.0 million of additional revolver facility. A variety of factors related to sources and uses of cash, such as timeliness of accounts receivable collections, vendor credit terms, or significant collateral requirements, ultimately impact our liquidity.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we had cash and cash equivalents of $50.2 million and our working capital was $58.6 million.</w:t>
      </w:r>
    </w:p>
    <w:p>
      <w:pPr>
        <w:spacing w:after="0" w:line="17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place a strong emphasis on liquidity management. This focus gives us the flexibility for capital deployment while preserving a strong balance sheet to position us for future opportunities. We believe we have adequate funds on hand to execute our financial and operating strategy. Our overall financial position and liquidity are strong. Although no assurances can be given, we believe available cash balances and access to our revolving credit facility and Factoring Agreement are sufficient to maintain the liquidity we require to meet our operating, investing and financing needs for the next 12 months.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4: Net Change in Cash, Cash Equivalents, and Restricted Cash</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3720" w:type="dxa"/>
            <w:vAlign w:val="bottom"/>
            <w:tcBorders>
              <w:top w:val="single" w:sz="8" w:color="auto"/>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520" w:type="dxa"/>
            <w:vAlign w:val="bottom"/>
            <w:tcBorders>
              <w:top w:val="single" w:sz="8" w:color="auto"/>
              <w:bottom w:val="single" w:sz="8" w:color="auto"/>
            </w:tcBorders>
          </w:tcPr>
          <w:p>
            <w:pPr>
              <w:spacing w:after="0"/>
              <w:rPr>
                <w:sz w:val="18"/>
                <w:szCs w:val="18"/>
                <w:color w:val="auto"/>
              </w:rPr>
            </w:pPr>
          </w:p>
        </w:tc>
      </w:tr>
      <w:tr>
        <w:trPr>
          <w:trHeight w:val="209"/>
        </w:trPr>
        <w:tc>
          <w:tcPr>
            <w:tcW w:w="70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March 31, 2026</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March 31, 2025</w:t>
            </w:r>
          </w:p>
        </w:tc>
        <w:tc>
          <w:tcPr>
            <w:tcW w:w="520" w:type="dxa"/>
            <w:vAlign w:val="bottom"/>
            <w:tcBorders>
              <w:bottom w:val="single" w:sz="8" w:color="auto"/>
            </w:tcBorders>
          </w:tcPr>
          <w:p>
            <w:pPr>
              <w:spacing w:after="0"/>
              <w:rPr>
                <w:sz w:val="18"/>
                <w:szCs w:val="18"/>
                <w:color w:val="auto"/>
              </w:rPr>
            </w:pPr>
          </w:p>
        </w:tc>
      </w:tr>
      <w:tr>
        <w:trPr>
          <w:trHeight w:val="216"/>
        </w:trPr>
        <w:tc>
          <w:tcPr>
            <w:tcW w:w="70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160" w:type="dxa"/>
            <w:vAlign w:val="bottom"/>
            <w:gridSpan w:val="3"/>
          </w:tcPr>
          <w:p>
            <w:pPr>
              <w:jc w:val="right"/>
              <w:ind w:right="109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560" w:type="dxa"/>
            <w:vAlign w:val="bottom"/>
            <w:shd w:val="clear" w:color="auto" w:fill="CCEEFF"/>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8,656</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6,106</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5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(2,277)</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(2,337)</w:t>
            </w: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5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(9,329)</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r>
      <w:tr>
        <w:trPr>
          <w:trHeight w:val="212"/>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560" w:type="dxa"/>
            <w:vAlign w:val="bottom"/>
            <w:tcBorders>
              <w:bottom w:val="single" w:sz="8" w:color="auto"/>
            </w:tcBorders>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(2,950)</w:t>
            </w:r>
          </w:p>
        </w:tc>
        <w:tc>
          <w:tcPr>
            <w:tcW w:w="80" w:type="dxa"/>
            <w:vAlign w:val="bottom"/>
          </w:tcPr>
          <w:p>
            <w:pPr>
              <w:spacing w:after="0"/>
              <w:rPr>
                <w:sz w:val="18"/>
                <w:szCs w:val="18"/>
                <w:color w:val="auto"/>
              </w:rPr>
            </w:pPr>
          </w:p>
        </w:tc>
        <w:tc>
          <w:tcPr>
            <w:tcW w:w="1560" w:type="dxa"/>
            <w:vAlign w:val="bottom"/>
            <w:tcBorders>
              <w:bottom w:val="single" w:sz="8" w:color="auto"/>
            </w:tcBorders>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3,213</w:t>
            </w:r>
          </w:p>
        </w:tc>
      </w:tr>
      <w:tr>
        <w:trPr>
          <w:trHeight w:val="21"/>
        </w:trPr>
        <w:tc>
          <w:tcPr>
            <w:tcW w:w="70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2026, was $8.7 million, an increase of $2.6 million compared to the same period in 2025. The change is attributable to favorable changes in working capital, primarily driven by the timing of receipts from customers, and the timing of payments to vendors, coupled with higher cash earnings (i.e., net income (loss), excluding non-cash items that do not impact cash flows from operating activities).</w:t>
      </w:r>
    </w:p>
    <w:p>
      <w:pPr>
        <w:spacing w:after="0" w:line="12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2026, slightly decreased by $0.1 million, compared to the same period of the prior year, primarily due to decreases in capital expenditures.</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Net cash used in financing activities for the three months ended March 31, 2026, increased by $8.8 million, compared to the same period in 2025. This is primarily attributable to the repurchases of common stock under the share repurchase program (see </w:t>
      </w:r>
      <w:r>
        <w:rPr>
          <w:rFonts w:ascii="Times New Roman" w:cs="Times New Roman" w:eastAsia="Times New Roman" w:hAnsi="Times New Roman"/>
          <w:sz w:val="18"/>
          <w:szCs w:val="18"/>
          <w:u w:val="single" w:color="auto"/>
          <w:color w:val="0000FF"/>
        </w:rPr>
        <w:t>Note 11 – Share Repurchases</w:t>
      </w:r>
      <w:r>
        <w:rPr>
          <w:rFonts w:ascii="Times New Roman" w:cs="Times New Roman" w:eastAsia="Times New Roman" w:hAnsi="Times New Roman"/>
          <w:sz w:val="18"/>
          <w:szCs w:val="18"/>
          <w:color w:val="auto"/>
        </w:rPr>
        <w:t>) amounting to $2.2 million in the first quarter of 2026 , with no similar activity in 2025, and an increase in payment of tax withholding related to net share settlement of equity awards by $6.5 million in fiscal year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us to make estimates, judgments, and assumptions that affect the amounts reported. Actual results could differ from those estimates. The 2025 Form 10-K, as filed with the SEC on March 16, 2026, includes a summary of the critical accounting policies we believe are the most important to aid in understanding our financial results. There have been no changes to those critical accounting policies that have had a material impact on our reported amounts of assets, liabilities, revenues, or expenses during the three months ended March 31, 2026.</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are exposed to a variety of financial risks, such as interest rate risk, foreign currency translation risk, and counterparty risk, which can affect our operations and profitability. The Company's market risk disclosure set forth on "Part II, Item 7A – Quantitative and Qualitative Disclosure about Market Risk," on the 2025 Form 10-K, as filed with the SEC on March 16, 2026, have not changed materially during the three months period ended March 31,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Rules 13a-15(e) and 15d-15(e) under the Securities Exchange Act of 1934, as amended (the "Exchange Act")), which are designed to ensure that information required to be disclosed by the Company in reports that it files or submits under the Exchange Act, including this Report, are recorded, processed, summarized and reported within the time periods specified in the SEC's rules and forms. These disclosure controls and procedures include controls and procedures designed to ensure that information required to be disclosed by the Company under the Exchange Act is accumulated and communicated to the Company's management, including its principal executive officer and principal financial officer, as appropriate to allow timely decisions regarding required disclosure.</w:t>
      </w:r>
    </w:p>
    <w:p>
      <w:pPr>
        <w:spacing w:after="0" w:line="1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management, including the Company's principal executive officer and principal financial officer, has evaluated the effectiveness of the Company's disclosure controls and procedures as of the end of the period covered by this Report and, based on that evaluation, the Company's principal executive officer and principal financial officer concluded that the Company’s disclosure controls and procedures were effective at the reasonable assurance level as of March 31, 2026.</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quarter ended March 31, 2026, identified in connection with management’s evaluation required by paragraph (d) of Rules 13a-15 and 15d-15 under the Exchange Act, that have materially affected, or are reasonably likely to materially affect, the Company’s internal control over financial reporting.</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 xml:space="preserve">Information regarding legal proceedings is included under </w:t>
      </w:r>
      <w:r>
        <w:rPr>
          <w:rFonts w:ascii="Times New Roman" w:cs="Times New Roman" w:eastAsia="Times New Roman" w:hAnsi="Times New Roman"/>
          <w:sz w:val="18"/>
          <w:szCs w:val="18"/>
          <w:u w:val="single" w:color="auto"/>
          <w:color w:val="0000FF"/>
        </w:rPr>
        <w:t>Note 16 – Commitments, Contingencies and Subsequent Events</w:t>
      </w:r>
      <w:r>
        <w:rPr>
          <w:rFonts w:ascii="Times New Roman" w:cs="Times New Roman" w:eastAsia="Times New Roman" w:hAnsi="Times New Roman"/>
          <w:sz w:val="18"/>
          <w:szCs w:val="18"/>
          <w:color w:val="auto"/>
        </w:rPr>
        <w:t xml:space="preserve"> and to the unaudited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the risk factors previously disclosed under "Part I, Item 1A – Risk Factors" in our Annual Report on Form 10-K for the year ended December 31,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left="260" w:right="8640" w:hanging="252"/>
        <w:spacing w:after="0" w:line="438" w:lineRule="auto"/>
        <w:tabs>
          <w:tab w:leader="none" w:pos="26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Unregistered Sales of Securities: None.</w:t>
      </w:r>
    </w:p>
    <w:p>
      <w:pPr>
        <w:ind w:left="260" w:right="9760" w:hanging="252"/>
        <w:spacing w:after="0" w:line="438" w:lineRule="auto"/>
        <w:tabs>
          <w:tab w:leader="none" w:pos="27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Proceeds: None.</w:t>
      </w: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Issuers Purchase of Equity Securities</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Common Stock Purchase Activity During the Three Months Ended March 31, 2026</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jc w:val="right"/>
              <w:spacing w:after="0" w:line="161" w:lineRule="exact"/>
              <w:rPr>
                <w:sz w:val="20"/>
                <w:szCs w:val="20"/>
                <w:color w:val="auto"/>
              </w:rPr>
            </w:pPr>
            <w:r>
              <w:rPr>
                <w:rFonts w:ascii="Times New Roman" w:cs="Times New Roman" w:eastAsia="Times New Roman" w:hAnsi="Times New Roman"/>
                <w:sz w:val="16"/>
                <w:szCs w:val="16"/>
                <w:color w:val="auto"/>
              </w:rPr>
              <w:t>Total Number of Shares</w:t>
            </w:r>
          </w:p>
        </w:tc>
        <w:tc>
          <w:tcPr>
            <w:tcW w:w="8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gridSpan w:val="2"/>
          </w:tcPr>
          <w:p>
            <w:pPr>
              <w:jc w:val="right"/>
              <w:spacing w:after="0" w:line="161" w:lineRule="exact"/>
              <w:rPr>
                <w:sz w:val="20"/>
                <w:szCs w:val="20"/>
                <w:color w:val="auto"/>
              </w:rPr>
            </w:pPr>
            <w:r>
              <w:rPr>
                <w:rFonts w:ascii="Times New Roman" w:cs="Times New Roman" w:eastAsia="Times New Roman" w:hAnsi="Times New Roman"/>
                <w:sz w:val="16"/>
                <w:szCs w:val="16"/>
                <w:color w:val="auto"/>
              </w:rPr>
              <w:t>Maximum Dollar Value</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color w:val="auto"/>
              </w:rPr>
              <w:t>Total Number of Shares</w:t>
            </w:r>
          </w:p>
        </w:tc>
        <w:tc>
          <w:tcPr>
            <w:tcW w:w="17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w w:val="99"/>
              </w:rPr>
              <w:t>Average Price Paid per</w:t>
            </w:r>
          </w:p>
        </w:tc>
        <w:tc>
          <w:tcPr>
            <w:tcW w:w="1660" w:type="dxa"/>
            <w:vAlign w:val="bottom"/>
          </w:tcPr>
          <w:p>
            <w:pPr>
              <w:jc w:val="right"/>
              <w:ind w:right="99"/>
              <w:spacing w:after="0" w:line="162" w:lineRule="exact"/>
              <w:rPr>
                <w:sz w:val="20"/>
                <w:szCs w:val="20"/>
                <w:color w:val="auto"/>
              </w:rPr>
            </w:pPr>
            <w:r>
              <w:rPr>
                <w:rFonts w:ascii="Times New Roman" w:cs="Times New Roman" w:eastAsia="Times New Roman" w:hAnsi="Times New Roman"/>
                <w:sz w:val="16"/>
                <w:szCs w:val="16"/>
                <w:color w:val="auto"/>
              </w:rPr>
              <w:t>Purchased as Part of</w:t>
            </w:r>
          </w:p>
        </w:tc>
        <w:tc>
          <w:tcPr>
            <w:tcW w:w="80" w:type="dxa"/>
            <w:vAlign w:val="bottom"/>
          </w:tcPr>
          <w:p>
            <w:pPr>
              <w:spacing w:after="0"/>
              <w:rPr>
                <w:sz w:val="14"/>
                <w:szCs w:val="14"/>
                <w:color w:val="auto"/>
              </w:rPr>
            </w:pPr>
          </w:p>
        </w:tc>
        <w:tc>
          <w:tcPr>
            <w:tcW w:w="1680" w:type="dxa"/>
            <w:vAlign w:val="bottom"/>
            <w:gridSpan w:val="2"/>
          </w:tcPr>
          <w:p>
            <w:pPr>
              <w:jc w:val="right"/>
              <w:ind w:right="19"/>
              <w:spacing w:after="0" w:line="162" w:lineRule="exact"/>
              <w:rPr>
                <w:sz w:val="20"/>
                <w:szCs w:val="20"/>
                <w:color w:val="auto"/>
              </w:rPr>
            </w:pPr>
            <w:r>
              <w:rPr>
                <w:rFonts w:ascii="Times New Roman" w:cs="Times New Roman" w:eastAsia="Times New Roman" w:hAnsi="Times New Roman"/>
                <w:sz w:val="16"/>
                <w:szCs w:val="16"/>
                <w:color w:val="auto"/>
              </w:rPr>
              <w:t>of Shares that May Yet</w:t>
            </w:r>
          </w:p>
        </w:tc>
        <w:tc>
          <w:tcPr>
            <w:tcW w:w="0" w:type="dxa"/>
            <w:vAlign w:val="bottom"/>
          </w:tcPr>
          <w:p>
            <w:pPr>
              <w:spacing w:after="0"/>
              <w:rPr>
                <w:sz w:val="1"/>
                <w:szCs w:val="1"/>
                <w:color w:val="auto"/>
              </w:rPr>
            </w:pPr>
          </w:p>
        </w:tc>
      </w:tr>
      <w:tr>
        <w:trPr>
          <w:trHeight w:val="162"/>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Period</w:t>
            </w:r>
          </w:p>
        </w:tc>
        <w:tc>
          <w:tcPr>
            <w:tcW w:w="1740" w:type="dxa"/>
            <w:vAlign w:val="bottom"/>
            <w:gridSpan w:val="2"/>
            <w:vMerge w:val="continue"/>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1660" w:type="dxa"/>
            <w:vAlign w:val="bottom"/>
          </w:tcPr>
          <w:p>
            <w:pPr>
              <w:jc w:val="right"/>
              <w:ind w:right="79"/>
              <w:spacing w:after="0" w:line="162" w:lineRule="exact"/>
              <w:rPr>
                <w:sz w:val="20"/>
                <w:szCs w:val="20"/>
                <w:color w:val="auto"/>
              </w:rPr>
            </w:pPr>
            <w:r>
              <w:rPr>
                <w:rFonts w:ascii="Times New Roman" w:cs="Times New Roman" w:eastAsia="Times New Roman" w:hAnsi="Times New Roman"/>
                <w:sz w:val="16"/>
                <w:szCs w:val="16"/>
                <w:color w:val="auto"/>
              </w:rPr>
              <w:t>Publicly Announced</w:t>
            </w:r>
          </w:p>
        </w:tc>
        <w:tc>
          <w:tcPr>
            <w:tcW w:w="80" w:type="dxa"/>
            <w:vAlign w:val="bottom"/>
          </w:tcPr>
          <w:p>
            <w:pPr>
              <w:spacing w:after="0"/>
              <w:rPr>
                <w:sz w:val="14"/>
                <w:szCs w:val="14"/>
                <w:color w:val="auto"/>
              </w:rPr>
            </w:pPr>
          </w:p>
        </w:tc>
        <w:tc>
          <w:tcPr>
            <w:tcW w:w="16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Be Purchased Under the</w:t>
            </w:r>
          </w:p>
        </w:tc>
        <w:tc>
          <w:tcPr>
            <w:tcW w:w="0" w:type="dxa"/>
            <w:vAlign w:val="bottom"/>
          </w:tcPr>
          <w:p>
            <w:pPr>
              <w:spacing w:after="0"/>
              <w:rPr>
                <w:sz w:val="1"/>
                <w:szCs w:val="1"/>
                <w:color w:val="auto"/>
              </w:rPr>
            </w:pPr>
          </w:p>
        </w:tc>
      </w:tr>
      <w:tr>
        <w:trPr>
          <w:trHeight w:val="216"/>
        </w:trPr>
        <w:tc>
          <w:tcPr>
            <w:tcW w:w="4320" w:type="dxa"/>
            <w:vAlign w:val="bottom"/>
            <w:gridSpan w:val="2"/>
            <w:vMerge w:val="continue"/>
          </w:tcPr>
          <w:p>
            <w:pPr>
              <w:spacing w:after="0"/>
              <w:rPr>
                <w:sz w:val="18"/>
                <w:szCs w:val="18"/>
                <w:color w:val="auto"/>
              </w:rPr>
            </w:pPr>
          </w:p>
        </w:tc>
        <w:tc>
          <w:tcPr>
            <w:tcW w:w="1740" w:type="dxa"/>
            <w:vAlign w:val="bottom"/>
            <w:gridSpan w:val="2"/>
          </w:tcPr>
          <w:p>
            <w:pPr>
              <w:jc w:val="center"/>
              <w:ind w:right="60"/>
              <w:spacing w:after="0" w:line="216" w:lineRule="exact"/>
              <w:rPr>
                <w:sz w:val="20"/>
                <w:szCs w:val="20"/>
                <w:color w:val="auto"/>
              </w:rPr>
            </w:pPr>
            <w:r>
              <w:rPr>
                <w:rFonts w:ascii="Times New Roman" w:cs="Times New Roman" w:eastAsia="Times New Roman" w:hAnsi="Times New Roman"/>
                <w:sz w:val="16"/>
                <w:szCs w:val="16"/>
                <w:color w:val="auto"/>
                <w:w w:val="97"/>
              </w:rPr>
              <w:t xml:space="preserve">Purchased </w:t>
            </w:r>
            <w:r>
              <w:rPr>
                <w:rFonts w:ascii="Times New Roman" w:cs="Times New Roman" w:eastAsia="Times New Roman" w:hAnsi="Times New Roman"/>
                <w:sz w:val="21"/>
                <w:szCs w:val="21"/>
                <w:color w:val="auto"/>
                <w:w w:val="97"/>
                <w:vertAlign w:val="superscript"/>
              </w:rPr>
              <w:t>(1)</w:t>
            </w:r>
          </w:p>
        </w:tc>
        <w:tc>
          <w:tcPr>
            <w:tcW w:w="340" w:type="dxa"/>
            <w:vAlign w:val="bottom"/>
          </w:tcPr>
          <w:p>
            <w:pPr>
              <w:spacing w:after="0"/>
              <w:rPr>
                <w:sz w:val="18"/>
                <w:szCs w:val="18"/>
                <w:color w:val="auto"/>
              </w:rPr>
            </w:pPr>
          </w:p>
        </w:tc>
        <w:tc>
          <w:tcPr>
            <w:tcW w:w="1420" w:type="dxa"/>
            <w:vAlign w:val="bottom"/>
            <w:gridSpan w:val="2"/>
          </w:tcPr>
          <w:p>
            <w:pPr>
              <w:jc w:val="center"/>
              <w:ind w:right="420"/>
              <w:spacing w:after="0" w:line="216" w:lineRule="exact"/>
              <w:rPr>
                <w:sz w:val="20"/>
                <w:szCs w:val="20"/>
                <w:color w:val="auto"/>
              </w:rPr>
            </w:pPr>
            <w:r>
              <w:rPr>
                <w:rFonts w:ascii="Times New Roman" w:cs="Times New Roman" w:eastAsia="Times New Roman" w:hAnsi="Times New Roman"/>
                <w:sz w:val="16"/>
                <w:szCs w:val="16"/>
                <w:color w:val="auto"/>
                <w:w w:val="91"/>
              </w:rPr>
              <w:t xml:space="preserve">Share </w:t>
            </w:r>
            <w:r>
              <w:rPr>
                <w:rFonts w:ascii="Times New Roman" w:cs="Times New Roman" w:eastAsia="Times New Roman" w:hAnsi="Times New Roman"/>
                <w:sz w:val="21"/>
                <w:szCs w:val="21"/>
                <w:color w:val="auto"/>
                <w:w w:val="91"/>
                <w:vertAlign w:val="superscript"/>
              </w:rPr>
              <w:t>(1)</w:t>
            </w:r>
          </w:p>
        </w:tc>
        <w:tc>
          <w:tcPr>
            <w:tcW w:w="1660" w:type="dxa"/>
            <w:vAlign w:val="bottom"/>
          </w:tcPr>
          <w:p>
            <w:pPr>
              <w:jc w:val="right"/>
              <w:ind w:right="99"/>
              <w:spacing w:after="0" w:line="216" w:lineRule="exact"/>
              <w:rPr>
                <w:sz w:val="20"/>
                <w:szCs w:val="20"/>
                <w:color w:val="auto"/>
              </w:rPr>
            </w:pPr>
            <w:r>
              <w:rPr>
                <w:rFonts w:ascii="Times New Roman" w:cs="Times New Roman" w:eastAsia="Times New Roman" w:hAnsi="Times New Roman"/>
                <w:sz w:val="16"/>
                <w:szCs w:val="16"/>
                <w:color w:val="auto"/>
              </w:rPr>
              <w:t xml:space="preserve">Repurchase Plans </w:t>
            </w:r>
            <w:r>
              <w:rPr>
                <w:rFonts w:ascii="Times New Roman" w:cs="Times New Roman" w:eastAsia="Times New Roman" w:hAnsi="Times New Roman"/>
                <w:sz w:val="21"/>
                <w:szCs w:val="21"/>
                <w:color w:val="auto"/>
                <w:vertAlign w:val="superscript"/>
              </w:rPr>
              <w:t>(1)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499"/>
              <w:spacing w:after="0" w:line="216" w:lineRule="exact"/>
              <w:rPr>
                <w:sz w:val="20"/>
                <w:szCs w:val="20"/>
                <w:color w:val="auto"/>
              </w:rPr>
            </w:pPr>
            <w:r>
              <w:rPr>
                <w:rFonts w:ascii="Times New Roman" w:cs="Times New Roman" w:eastAsia="Times New Roman" w:hAnsi="Times New Roman"/>
                <w:sz w:val="16"/>
                <w:szCs w:val="16"/>
                <w:color w:val="auto"/>
              </w:rPr>
              <w:t xml:space="preserve">Plans </w:t>
            </w:r>
            <w:r>
              <w:rPr>
                <w:rFonts w:ascii="Times New Roman" w:cs="Times New Roman" w:eastAsia="Times New Roman" w:hAnsi="Times New Roman"/>
                <w:sz w:val="21"/>
                <w:szCs w:val="21"/>
                <w:color w:val="auto"/>
                <w:vertAlign w:val="superscript"/>
              </w:rPr>
              <w:t>(1)</w:t>
            </w:r>
          </w:p>
        </w:tc>
        <w:tc>
          <w:tcPr>
            <w:tcW w:w="0" w:type="dxa"/>
            <w:vAlign w:val="bottom"/>
          </w:tcPr>
          <w:p>
            <w:pPr>
              <w:spacing w:after="0"/>
              <w:rPr>
                <w:sz w:val="1"/>
                <w:szCs w:val="1"/>
                <w:color w:val="auto"/>
              </w:rPr>
            </w:pPr>
          </w:p>
        </w:tc>
      </w:tr>
      <w:tr>
        <w:trPr>
          <w:trHeight w:val="209"/>
        </w:trPr>
        <w:tc>
          <w:tcPr>
            <w:tcW w:w="4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 2026 - January 31, 2026</w:t>
            </w:r>
          </w:p>
        </w:tc>
        <w:tc>
          <w:tcPr>
            <w:tcW w:w="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25,088,723</w:t>
            </w:r>
          </w:p>
        </w:tc>
        <w:tc>
          <w:tcPr>
            <w:tcW w:w="0" w:type="dxa"/>
            <w:vAlign w:val="bottom"/>
          </w:tcPr>
          <w:p>
            <w:pPr>
              <w:spacing w:after="0"/>
              <w:rPr>
                <w:sz w:val="1"/>
                <w:szCs w:val="1"/>
                <w:color w:val="auto"/>
              </w:rPr>
            </w:pPr>
          </w:p>
        </w:tc>
      </w:tr>
      <w:tr>
        <w:trPr>
          <w:trHeight w:val="21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February 1, 2026 - February 28, 2026</w:t>
            </w: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25,088,723</w:t>
            </w:r>
          </w:p>
        </w:tc>
        <w:tc>
          <w:tcPr>
            <w:tcW w:w="0" w:type="dxa"/>
            <w:vAlign w:val="bottom"/>
          </w:tcPr>
          <w:p>
            <w:pPr>
              <w:spacing w:after="0"/>
              <w:rPr>
                <w:sz w:val="1"/>
                <w:szCs w:val="1"/>
                <w:color w:val="auto"/>
              </w:rPr>
            </w:pPr>
          </w:p>
        </w:tc>
      </w:tr>
      <w:tr>
        <w:trPr>
          <w:trHeight w:val="219"/>
        </w:trPr>
        <w:tc>
          <w:tcPr>
            <w:tcW w:w="432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March 1, 2026 - March 31, 2026</w:t>
            </w:r>
            <w:r>
              <w:rPr>
                <w:rFonts w:ascii="Times New Roman" w:cs="Times New Roman" w:eastAsia="Times New Roman" w:hAnsi="Times New Roman"/>
                <w:sz w:val="21"/>
                <w:szCs w:val="21"/>
                <w:color w:val="auto"/>
                <w:vertAlign w:val="superscript"/>
              </w:rPr>
              <w:t>(1)</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517,136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517,136</w:t>
            </w:r>
          </w:p>
        </w:tc>
        <w:tc>
          <w:tcPr>
            <w:tcW w:w="42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47,890,350</w:t>
            </w:r>
          </w:p>
        </w:tc>
        <w:tc>
          <w:tcPr>
            <w:tcW w:w="0" w:type="dxa"/>
            <w:vAlign w:val="bottom"/>
          </w:tcPr>
          <w:p>
            <w:pPr>
              <w:spacing w:after="0"/>
              <w:rPr>
                <w:sz w:val="1"/>
                <w:szCs w:val="1"/>
                <w:color w:val="auto"/>
              </w:rPr>
            </w:pPr>
          </w:p>
        </w:tc>
      </w:tr>
      <w:tr>
        <w:trPr>
          <w:trHeight w:val="21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517,136</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517,136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20" w:firstLine="8"/>
        <w:spacing w:after="0" w:line="267" w:lineRule="auto"/>
        <w:tabs>
          <w:tab w:leader="none" w:pos="145" w:val="left"/>
        </w:tabs>
        <w:numPr>
          <w:ilvl w:val="0"/>
          <w:numId w:val="1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On May 24, 2022, the Board of Directors ("Board) authorized a Share Repurchase Program, pursuant to which the Company can repurchase up to $50.0 million of issued and outstanding common stock. On March 12, 2026, the Board authorized an increase to the existing stock purchase program whereby the Company may purchase, at management's discretion, up to an additional $25.0 million of its common stock. The repurchase program has no expiration date and may be modified, suspended, or terminated at any time. For the first quarter of 2026, the Company repurchased 517,136 shares of common stock under the program for an aggregate price of $2.2 million on the open market.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71" w:lineRule="exact"/>
        <w:rPr>
          <w:rFonts w:ascii="Times New Roman" w:cs="Times New Roman" w:eastAsia="Times New Roman" w:hAnsi="Times New Roman"/>
          <w:sz w:val="18"/>
          <w:szCs w:val="18"/>
          <w:color w:val="auto"/>
        </w:rPr>
      </w:pPr>
    </w:p>
    <w:p>
      <w:pPr>
        <w:ind w:right="240" w:firstLine="8"/>
        <w:spacing w:after="0" w:line="282" w:lineRule="auto"/>
        <w:tabs>
          <w:tab w:leader="none" w:pos="24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40" w:type="dxa"/>
            <w:vAlign w:val="bottom"/>
            <w:gridSpan w:val="6"/>
            <w:vMerge w:val="restart"/>
          </w:tcPr>
          <w:p>
            <w:pPr>
              <w:ind w:left="44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4"/>
        </w:trPr>
        <w:tc>
          <w:tcPr>
            <w:tcW w:w="12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640" w:type="dxa"/>
            <w:vAlign w:val="bottom"/>
            <w:tcBorders>
              <w:bottom w:val="single" w:sz="8" w:color="auto"/>
            </w:tcBorders>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780" w:type="dxa"/>
            <w:vAlign w:val="bottom"/>
            <w:gridSpan w:val="4"/>
            <w:shd w:val="clear" w:color="auto" w:fill="CCEEFF"/>
          </w:tcPr>
          <w:p>
            <w:pPr>
              <w:jc w:val="center"/>
              <w:ind w:left="419"/>
              <w:spacing w:after="0" w:line="171" w:lineRule="exact"/>
              <w:rPr>
                <w:rFonts w:ascii="Times New Roman" w:cs="Times New Roman" w:eastAsia="Times New Roman" w:hAnsi="Times New Roman"/>
                <w:sz w:val="16"/>
                <w:szCs w:val="16"/>
                <w:color w:val="0000FF"/>
                <w:w w:val="99"/>
              </w:rPr>
            </w:pPr>
            <w:hyperlink r:id="rId36">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w:t>
              </w:r>
            </w:hyperlink>
          </w:p>
        </w:tc>
        <w:tc>
          <w:tcPr>
            <w:tcW w:w="480" w:type="dxa"/>
            <w:vAlign w:val="bottom"/>
            <w:shd w:val="clear" w:color="auto" w:fill="CCEEFF"/>
          </w:tcPr>
          <w:p>
            <w:pPr>
              <w:spacing w:after="0"/>
              <w:rPr>
                <w:sz w:val="14"/>
                <w:szCs w:val="14"/>
                <w:color w:val="auto"/>
              </w:rPr>
            </w:pPr>
          </w:p>
        </w:tc>
        <w:tc>
          <w:tcPr>
            <w:tcW w:w="3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9640" w:type="dxa"/>
            <w:vAlign w:val="bottom"/>
            <w:gridSpan w:val="6"/>
            <w:shd w:val="clear" w:color="auto" w:fill="CCEEFF"/>
          </w:tcPr>
          <w:p>
            <w:pPr>
              <w:spacing w:after="0" w:line="171" w:lineRule="exact"/>
              <w:rPr>
                <w:rFonts w:ascii="Times New Roman" w:cs="Times New Roman" w:eastAsia="Times New Roman" w:hAnsi="Times New Roman"/>
                <w:sz w:val="16"/>
                <w:szCs w:val="16"/>
                <w:color w:val="0000FF"/>
              </w:rPr>
            </w:pPr>
            <w:hyperlink r:id="rId36">
              <w:r>
                <w:rPr>
                  <w:rFonts w:ascii="Times New Roman" w:cs="Times New Roman" w:eastAsia="Times New Roman" w:hAnsi="Times New Roman"/>
                  <w:sz w:val="16"/>
                  <w:szCs w:val="16"/>
                  <w:color w:val="0000FF"/>
                </w:rPr>
                <w:t>Amendment No. 2 to the Telos Corporation Amended and Restated 2016 Omnibus Long-Term Incentive Plan (incorporated by reference to Exhibit</w:t>
              </w:r>
            </w:hyperlink>
          </w:p>
        </w:tc>
        <w:tc>
          <w:tcPr>
            <w:tcW w:w="0" w:type="dxa"/>
            <w:vAlign w:val="bottom"/>
          </w:tcPr>
          <w:p>
            <w:pPr>
              <w:spacing w:after="0"/>
              <w:rPr>
                <w:sz w:val="1"/>
                <w:szCs w:val="1"/>
                <w:color w:val="auto"/>
              </w:rPr>
            </w:pPr>
          </w:p>
        </w:tc>
      </w:tr>
      <w:tr>
        <w:trPr>
          <w:trHeight w:val="142"/>
        </w:trPr>
        <w:tc>
          <w:tcPr>
            <w:tcW w:w="5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16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560" w:type="dxa"/>
            <w:vAlign w:val="bottom"/>
            <w:tcBorders>
              <w:top w:val="single" w:sz="8" w:color="0000FF"/>
            </w:tcBorders>
            <w:gridSpan w:val="5"/>
            <w:shd w:val="clear" w:color="auto" w:fill="CCEEFF"/>
          </w:tcPr>
          <w:p>
            <w:pPr>
              <w:spacing w:after="0" w:line="142" w:lineRule="exact"/>
              <w:rPr>
                <w:rFonts w:ascii="Times New Roman" w:cs="Times New Roman" w:eastAsia="Times New Roman" w:hAnsi="Times New Roman"/>
                <w:sz w:val="16"/>
                <w:szCs w:val="16"/>
                <w:color w:val="0000FF"/>
              </w:rPr>
            </w:pPr>
            <w:hyperlink r:id="rId36">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FF"/>
                </w:rPr>
                <w:t xml:space="preserve"> filed with the Company's Current Report on Form 8-K on May 7, 2026.</w:t>
              </w:r>
            </w:hyperlink>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960" w:type="dxa"/>
            <w:vAlign w:val="bottom"/>
            <w:tcBorders>
              <w:top w:val="single" w:sz="8" w:color="0000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80" w:type="dxa"/>
            <w:vAlign w:val="bottom"/>
            <w:gridSpan w:val="4"/>
          </w:tcPr>
          <w:p>
            <w:pPr>
              <w:jc w:val="center"/>
              <w:ind w:left="419"/>
              <w:spacing w:after="0" w:line="175" w:lineRule="exact"/>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1</w:t>
            </w:r>
          </w:p>
        </w:tc>
        <w:tc>
          <w:tcPr>
            <w:tcW w:w="480" w:type="dxa"/>
            <w:vAlign w:val="bottom"/>
          </w:tcPr>
          <w:p>
            <w:pPr>
              <w:spacing w:after="0"/>
              <w:rPr>
                <w:sz w:val="15"/>
                <w:szCs w:val="15"/>
                <w:color w:val="auto"/>
              </w:rPr>
            </w:pPr>
          </w:p>
        </w:tc>
        <w:tc>
          <w:tcPr>
            <w:tcW w:w="3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9640" w:type="dxa"/>
            <w:vAlign w:val="bottom"/>
            <w:gridSpan w:val="6"/>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60" w:type="dxa"/>
            <w:vAlign w:val="bottom"/>
            <w:tcBorders>
              <w:top w:val="single" w:sz="8" w:color="0000FF"/>
            </w:tcBorders>
          </w:tcPr>
          <w:p>
            <w:pPr>
              <w:spacing w:after="0" w:line="20" w:lineRule="exact"/>
              <w:rPr>
                <w:sz w:val="1"/>
                <w:szCs w:val="1"/>
                <w:color w:val="auto"/>
              </w:rPr>
            </w:pPr>
          </w:p>
        </w:tc>
        <w:tc>
          <w:tcPr>
            <w:tcW w:w="1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0" w:type="dxa"/>
            <w:vAlign w:val="bottom"/>
            <w:gridSpan w:val="4"/>
            <w:shd w:val="clear" w:color="auto" w:fill="CCEEFF"/>
          </w:tcPr>
          <w:p>
            <w:pPr>
              <w:jc w:val="center"/>
              <w:ind w:left="419"/>
              <w:spacing w:after="0" w:line="175" w:lineRule="exact"/>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2</w:t>
            </w: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5"/>
                <w:szCs w:val="15"/>
                <w:color w:val="auto"/>
              </w:rPr>
            </w:pPr>
          </w:p>
        </w:tc>
        <w:tc>
          <w:tcPr>
            <w:tcW w:w="9640" w:type="dxa"/>
            <w:vAlign w:val="bottom"/>
            <w:gridSpan w:val="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960" w:type="dxa"/>
            <w:vAlign w:val="bottom"/>
            <w:tcBorders>
              <w:top w:val="single" w:sz="8" w:color="0000FF"/>
            </w:tcBorders>
            <w:shd w:val="clear" w:color="auto" w:fill="CCEEFF"/>
          </w:tcPr>
          <w:p>
            <w:pPr>
              <w:spacing w:after="0" w:line="20" w:lineRule="exact"/>
              <w:rPr>
                <w:sz w:val="1"/>
                <w:szCs w:val="1"/>
                <w:color w:val="auto"/>
              </w:rPr>
            </w:pPr>
          </w:p>
        </w:tc>
        <w:tc>
          <w:tcPr>
            <w:tcW w:w="1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0" w:type="dxa"/>
            <w:vAlign w:val="bottom"/>
          </w:tcPr>
          <w:p>
            <w:pPr>
              <w:spacing w:after="0"/>
              <w:rPr>
                <w:sz w:val="15"/>
                <w:szCs w:val="15"/>
                <w:color w:val="auto"/>
              </w:rPr>
            </w:pPr>
          </w:p>
        </w:tc>
        <w:tc>
          <w:tcPr>
            <w:tcW w:w="280" w:type="dxa"/>
            <w:vAlign w:val="bottom"/>
            <w:gridSpan w:val="3"/>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32</w:t>
            </w:r>
          </w:p>
        </w:tc>
        <w:tc>
          <w:tcPr>
            <w:tcW w:w="480" w:type="dxa"/>
            <w:vAlign w:val="bottom"/>
          </w:tcPr>
          <w:p>
            <w:pPr>
              <w:spacing w:after="0"/>
              <w:rPr>
                <w:sz w:val="15"/>
                <w:szCs w:val="15"/>
                <w:color w:val="auto"/>
              </w:rPr>
            </w:pPr>
          </w:p>
        </w:tc>
        <w:tc>
          <w:tcPr>
            <w:tcW w:w="3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9640" w:type="dxa"/>
            <w:vAlign w:val="bottom"/>
            <w:gridSpan w:val="6"/>
          </w:tcPr>
          <w:p>
            <w:pPr>
              <w:spacing w:after="0" w:line="175" w:lineRule="exact"/>
              <w:rPr>
                <w:sz w:val="20"/>
                <w:szCs w:val="20"/>
                <w:color w:val="auto"/>
              </w:rPr>
            </w:pPr>
            <w:r>
              <w:rPr>
                <w:rFonts w:ascii="Times New Roman" w:cs="Times New Roman" w:eastAsia="Times New Roman" w:hAnsi="Times New Roman"/>
                <w:sz w:val="16"/>
                <w:szCs w:val="16"/>
                <w:color w:val="0000FF"/>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60" w:type="dxa"/>
            <w:vAlign w:val="bottom"/>
            <w:tcBorders>
              <w:top w:val="single" w:sz="8" w:color="0000FF"/>
            </w:tcBorders>
          </w:tcPr>
          <w:p>
            <w:pPr>
              <w:spacing w:after="0" w:line="20" w:lineRule="exact"/>
              <w:rPr>
                <w:sz w:val="1"/>
                <w:szCs w:val="1"/>
                <w:color w:val="auto"/>
              </w:rPr>
            </w:pPr>
          </w:p>
        </w:tc>
        <w:tc>
          <w:tcPr>
            <w:tcW w:w="1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260" w:type="dxa"/>
            <w:vAlign w:val="bottom"/>
            <w:gridSpan w:val="5"/>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101.INS</w:t>
            </w:r>
          </w:p>
        </w:tc>
        <w:tc>
          <w:tcPr>
            <w:tcW w:w="3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9640" w:type="dxa"/>
            <w:vAlign w:val="bottom"/>
            <w:gridSpan w:val="6"/>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XBRL Instance Document - the instance document does not appear in the Interactive Data File because its XBRL tags are embedded within the</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document</w:t>
            </w:r>
          </w:p>
        </w:tc>
        <w:tc>
          <w:tcPr>
            <w:tcW w:w="0" w:type="dxa"/>
            <w:vAlign w:val="bottom"/>
          </w:tcPr>
          <w:p>
            <w:pPr>
              <w:spacing w:after="0"/>
              <w:rPr>
                <w:sz w:val="1"/>
                <w:szCs w:val="1"/>
                <w:color w:val="auto"/>
              </w:rPr>
            </w:pPr>
          </w:p>
        </w:tc>
      </w:tr>
      <w:tr>
        <w:trPr>
          <w:trHeight w:val="213"/>
        </w:trPr>
        <w:tc>
          <w:tcPr>
            <w:tcW w:w="126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rPr>
              <w:t>101.SCH</w:t>
            </w: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96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0" w:type="dxa"/>
            <w:vAlign w:val="bottom"/>
          </w:tcPr>
          <w:p>
            <w:pPr>
              <w:spacing w:after="0"/>
              <w:rPr>
                <w:sz w:val="1"/>
                <w:szCs w:val="1"/>
                <w:color w:val="auto"/>
              </w:rPr>
            </w:pPr>
          </w:p>
        </w:tc>
      </w:tr>
      <w:tr>
        <w:trPr>
          <w:trHeight w:val="219"/>
        </w:trPr>
        <w:tc>
          <w:tcPr>
            <w:tcW w:w="126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101.CAL</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96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213"/>
        </w:trPr>
        <w:tc>
          <w:tcPr>
            <w:tcW w:w="126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rPr>
              <w:t>101.DEF</w:t>
            </w: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96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c>
          <w:tcPr>
            <w:tcW w:w="0" w:type="dxa"/>
            <w:vAlign w:val="bottom"/>
          </w:tcPr>
          <w:p>
            <w:pPr>
              <w:spacing w:after="0"/>
              <w:rPr>
                <w:sz w:val="1"/>
                <w:szCs w:val="1"/>
                <w:color w:val="auto"/>
              </w:rPr>
            </w:pPr>
          </w:p>
        </w:tc>
      </w:tr>
      <w:tr>
        <w:trPr>
          <w:trHeight w:val="219"/>
        </w:trPr>
        <w:tc>
          <w:tcPr>
            <w:tcW w:w="126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101.LAB</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96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c>
          <w:tcPr>
            <w:tcW w:w="0" w:type="dxa"/>
            <w:vAlign w:val="bottom"/>
          </w:tcPr>
          <w:p>
            <w:pPr>
              <w:spacing w:after="0"/>
              <w:rPr>
                <w:sz w:val="1"/>
                <w:szCs w:val="1"/>
                <w:color w:val="auto"/>
              </w:rPr>
            </w:pPr>
          </w:p>
        </w:tc>
      </w:tr>
      <w:tr>
        <w:trPr>
          <w:trHeight w:val="213"/>
        </w:trPr>
        <w:tc>
          <w:tcPr>
            <w:tcW w:w="126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rPr>
              <w:t>101.PRE</w:t>
            </w: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96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0" w:type="dxa"/>
            <w:vAlign w:val="bottom"/>
          </w:tcPr>
          <w:p>
            <w:pPr>
              <w:spacing w:after="0"/>
              <w:rPr>
                <w:sz w:val="1"/>
                <w:szCs w:val="1"/>
                <w:color w:val="auto"/>
              </w:rPr>
            </w:pPr>
          </w:p>
        </w:tc>
      </w:tr>
      <w:tr>
        <w:trPr>
          <w:trHeight w:val="219"/>
        </w:trPr>
        <w:tc>
          <w:tcPr>
            <w:tcW w:w="780" w:type="dxa"/>
            <w:vAlign w:val="bottom"/>
            <w:gridSpan w:val="4"/>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w w:val="99"/>
              </w:rPr>
              <w:t>104</w:t>
            </w:r>
          </w:p>
        </w:tc>
        <w:tc>
          <w:tcPr>
            <w:tcW w:w="48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96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Cover Page Interactive Data File - the cover page iXBRL tags are embedded within the Inline XBRL document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ind w:left="1280" w:hanging="685"/>
        <w:spacing w:after="0"/>
        <w:tabs>
          <w:tab w:leader="none" w:pos="12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Constitute a management contract or compensatory plan or arrangement</w:t>
      </w:r>
    </w:p>
    <w:p>
      <w:pPr>
        <w:spacing w:after="0" w:line="32" w:lineRule="exact"/>
        <w:rPr>
          <w:sz w:val="20"/>
          <w:szCs w:val="20"/>
          <w:color w:val="auto"/>
        </w:rPr>
      </w:pPr>
    </w:p>
    <w:p>
      <w:pPr>
        <w:ind w:left="1280" w:hanging="690"/>
        <w:spacing w:after="0"/>
        <w:tabs>
          <w:tab w:leader="none" w:pos="12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ind w:left="1280" w:hanging="682"/>
        <w:spacing w:after="0"/>
        <w:tabs>
          <w:tab w:leader="none" w:pos="12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 Mark Griffin</w:t>
            </w: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11, 2026</w:t>
            </w:r>
          </w:p>
        </w:tc>
      </w:tr>
      <w:tr>
        <w:trPr>
          <w:trHeight w:val="218"/>
        </w:trPr>
        <w:tc>
          <w:tcPr>
            <w:tcW w:w="5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Mark Griffin</w:t>
            </w:r>
          </w:p>
        </w:tc>
        <w:tc>
          <w:tcPr>
            <w:tcW w:w="80" w:type="dxa"/>
            <w:vAlign w:val="bottom"/>
          </w:tcPr>
          <w:p>
            <w:pPr>
              <w:spacing w:after="0"/>
              <w:rPr>
                <w:sz w:val="18"/>
                <w:szCs w:val="18"/>
                <w:color w:val="auto"/>
              </w:rPr>
            </w:pPr>
          </w:p>
        </w:tc>
        <w:tc>
          <w:tcPr>
            <w:tcW w:w="5880" w:type="dxa"/>
            <w:vAlign w:val="bottom"/>
            <w:tcBorders>
              <w:top w:val="single" w:sz="8" w:color="auto"/>
            </w:tcBorders>
          </w:tcPr>
          <w:p>
            <w:pPr>
              <w:spacing w:after="0"/>
              <w:rPr>
                <w:sz w:val="18"/>
                <w:szCs w:val="18"/>
                <w:color w:val="auto"/>
              </w:rPr>
            </w:pPr>
          </w:p>
        </w:tc>
      </w:tr>
      <w:tr>
        <w:trPr>
          <w:trHeight w:val="180"/>
        </w:trPr>
        <w:tc>
          <w:tcPr>
            <w:tcW w:w="53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Security Solutions (Principal Executive</w:t>
            </w:r>
          </w:p>
        </w:tc>
        <w:tc>
          <w:tcPr>
            <w:tcW w:w="5880" w:type="dxa"/>
            <w:vAlign w:val="bottom"/>
          </w:tcPr>
          <w:p>
            <w:pPr>
              <w:spacing w:after="0"/>
              <w:rPr>
                <w:sz w:val="15"/>
                <w:szCs w:val="15"/>
                <w:color w:val="auto"/>
              </w:rPr>
            </w:pPr>
          </w:p>
        </w:tc>
      </w:tr>
      <w:tr>
        <w:trPr>
          <w:trHeight w:val="234"/>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5880" w:type="dxa"/>
            <w:vAlign w:val="bottom"/>
          </w:tcPr>
          <w:p>
            <w:pPr>
              <w:spacing w:after="0"/>
              <w:rPr>
                <w:sz w:val="20"/>
                <w:szCs w:val="20"/>
                <w:color w:val="auto"/>
              </w:rPr>
            </w:pPr>
          </w:p>
        </w:tc>
      </w:tr>
      <w:tr>
        <w:trPr>
          <w:trHeight w:val="765"/>
        </w:trPr>
        <w:tc>
          <w:tcPr>
            <w:tcW w:w="5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 Mark Bendza</w:t>
            </w: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11, 2026</w:t>
            </w:r>
          </w:p>
        </w:tc>
      </w:tr>
      <w:tr>
        <w:trPr>
          <w:trHeight w:val="218"/>
        </w:trPr>
        <w:tc>
          <w:tcPr>
            <w:tcW w:w="5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Mark Bendza</w:t>
            </w:r>
          </w:p>
        </w:tc>
        <w:tc>
          <w:tcPr>
            <w:tcW w:w="80" w:type="dxa"/>
            <w:vAlign w:val="bottom"/>
          </w:tcPr>
          <w:p>
            <w:pPr>
              <w:spacing w:after="0"/>
              <w:rPr>
                <w:sz w:val="18"/>
                <w:szCs w:val="18"/>
                <w:color w:val="auto"/>
              </w:rPr>
            </w:pPr>
          </w:p>
        </w:tc>
        <w:tc>
          <w:tcPr>
            <w:tcW w:w="5880" w:type="dxa"/>
            <w:vAlign w:val="bottom"/>
            <w:tcBorders>
              <w:top w:val="single" w:sz="8" w:color="auto"/>
            </w:tcBorders>
          </w:tcPr>
          <w:p>
            <w:pPr>
              <w:spacing w:after="0"/>
              <w:rPr>
                <w:sz w:val="18"/>
                <w:szCs w:val="18"/>
                <w:color w:val="auto"/>
              </w:rPr>
            </w:pPr>
          </w:p>
        </w:tc>
      </w:tr>
      <w:tr>
        <w:trPr>
          <w:trHeight w:val="234"/>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5880" w:type="dxa"/>
            <w:vAlign w:val="bottom"/>
          </w:tcPr>
          <w:p>
            <w:pPr>
              <w:spacing w:after="0"/>
              <w:rPr>
                <w:sz w:val="20"/>
                <w:szCs w:val="20"/>
                <w:color w:val="auto"/>
              </w:rPr>
            </w:pPr>
          </w:p>
        </w:tc>
      </w:tr>
      <w:tr>
        <w:trPr>
          <w:trHeight w:val="769"/>
        </w:trPr>
        <w:tc>
          <w:tcPr>
            <w:tcW w:w="5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 DJ Terreri</w:t>
            </w: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11, 2026</w:t>
            </w:r>
          </w:p>
        </w:tc>
      </w:tr>
      <w:tr>
        <w:trPr>
          <w:trHeight w:val="218"/>
        </w:trPr>
        <w:tc>
          <w:tcPr>
            <w:tcW w:w="5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DJ Terreri</w:t>
            </w:r>
          </w:p>
        </w:tc>
        <w:tc>
          <w:tcPr>
            <w:tcW w:w="80" w:type="dxa"/>
            <w:vAlign w:val="bottom"/>
          </w:tcPr>
          <w:p>
            <w:pPr>
              <w:spacing w:after="0"/>
              <w:rPr>
                <w:sz w:val="18"/>
                <w:szCs w:val="18"/>
                <w:color w:val="auto"/>
              </w:rPr>
            </w:pPr>
          </w:p>
        </w:tc>
        <w:tc>
          <w:tcPr>
            <w:tcW w:w="5880" w:type="dxa"/>
            <w:vAlign w:val="bottom"/>
            <w:tcBorders>
              <w:top w:val="single" w:sz="8" w:color="auto"/>
            </w:tcBorders>
          </w:tcPr>
          <w:p>
            <w:pPr>
              <w:spacing w:after="0"/>
              <w:rPr>
                <w:sz w:val="18"/>
                <w:szCs w:val="18"/>
                <w:color w:val="auto"/>
              </w:rPr>
            </w:pPr>
          </w:p>
        </w:tc>
      </w:tr>
      <w:tr>
        <w:trPr>
          <w:trHeight w:val="234"/>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Controller and Chief Accounting Officer (Principal Accounting Officer)</w:t>
            </w:r>
          </w:p>
        </w:tc>
        <w:tc>
          <w:tcPr>
            <w:tcW w:w="5880" w:type="dxa"/>
            <w:vAlign w:val="bottom"/>
          </w:tcPr>
          <w:p>
            <w:pPr>
              <w:spacing w:after="0"/>
              <w:rPr>
                <w:sz w:val="20"/>
                <w:szCs w:val="20"/>
                <w:color w:val="auto"/>
              </w:rPr>
            </w:pPr>
          </w:p>
        </w:tc>
      </w:tr>
      <w:tr>
        <w:trPr>
          <w:trHeight w:val="986"/>
        </w:trPr>
        <w:tc>
          <w:tcPr>
            <w:tcW w:w="5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8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25</w:t>
            </w:r>
          </w:p>
        </w:tc>
      </w:tr>
    </w:tbl>
    <w:p>
      <w:pPr>
        <w:sectPr>
          <w:pgSz w:w="11900" w:h="16838" w:orient="portrait"/>
          <w:cols w:equalWidth="0" w:num="1">
            <w:col w:w="11240"/>
          </w:cols>
          <w:pgMar w:left="320" w:top="119"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ind w:right="474"/>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I, Mark Griffin, certify that:</w:t>
      </w:r>
    </w:p>
    <w:p>
      <w:pPr>
        <w:spacing w:after="0" w:line="185" w:lineRule="exact"/>
        <w:rPr>
          <w:sz w:val="20"/>
          <w:szCs w:val="20"/>
          <w:color w:val="auto"/>
        </w:rPr>
      </w:pPr>
    </w:p>
    <w:p>
      <w:pPr>
        <w:ind w:left="326" w:hanging="326"/>
        <w:spacing w:after="0"/>
        <w:tabs>
          <w:tab w:leader="none" w:pos="32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Telos Corporation;</w:t>
      </w:r>
    </w:p>
    <w:p>
      <w:pPr>
        <w:spacing w:after="0" w:line="184" w:lineRule="exact"/>
        <w:rPr>
          <w:rFonts w:ascii="Times New Roman" w:cs="Times New Roman" w:eastAsia="Times New Roman" w:hAnsi="Times New Roman"/>
          <w:sz w:val="18"/>
          <w:szCs w:val="18"/>
          <w:color w:val="auto"/>
        </w:rPr>
      </w:pPr>
    </w:p>
    <w:p>
      <w:pPr>
        <w:ind w:left="326" w:right="20" w:hanging="326"/>
        <w:spacing w:after="0" w:line="266" w:lineRule="auto"/>
        <w:tabs>
          <w:tab w:leader="none" w:pos="32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326" w:right="180" w:hanging="326"/>
        <w:spacing w:after="0" w:line="282" w:lineRule="auto"/>
        <w:tabs>
          <w:tab w:leader="none" w:pos="32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26" w:right="160" w:hanging="326"/>
        <w:spacing w:after="0" w:line="276" w:lineRule="auto"/>
        <w:tabs>
          <w:tab w:leader="none" w:pos="32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32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66" w:lineRule="exact"/>
        <w:rPr>
          <w:rFonts w:ascii="Times New Roman" w:cs="Times New Roman" w:eastAsia="Times New Roman" w:hAnsi="Times New Roman"/>
          <w:sz w:val="17"/>
          <w:szCs w:val="17"/>
          <w:color w:val="auto"/>
        </w:rPr>
      </w:pPr>
    </w:p>
    <w:p>
      <w:pPr>
        <w:ind w:left="6" w:right="440" w:firstLine="399"/>
        <w:spacing w:after="0" w:line="266" w:lineRule="auto"/>
        <w:tabs>
          <w:tab w:leader="none" w:pos="80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6" w:right="140" w:firstLine="399"/>
        <w:spacing w:after="0" w:line="266" w:lineRule="auto"/>
        <w:tabs>
          <w:tab w:leader="none" w:pos="80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6" w:right="260" w:firstLine="399"/>
        <w:spacing w:after="0" w:line="282" w:lineRule="auto"/>
        <w:tabs>
          <w:tab w:leader="none" w:pos="80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6" w:right="260" w:firstLine="399"/>
        <w:spacing w:after="0" w:line="266" w:lineRule="auto"/>
        <w:tabs>
          <w:tab w:leader="none" w:pos="80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326" w:right="120" w:hanging="326"/>
        <w:spacing w:after="0" w:line="312" w:lineRule="auto"/>
        <w:tabs>
          <w:tab w:leader="none" w:pos="32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to the audit committee of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6" w:right="460" w:firstLine="399"/>
        <w:spacing w:after="0" w:line="282" w:lineRule="auto"/>
        <w:tabs>
          <w:tab w:leader="none" w:pos="80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 w:right="180" w:firstLine="399"/>
        <w:spacing w:after="0" w:line="282" w:lineRule="auto"/>
        <w:tabs>
          <w:tab w:leader="none" w:pos="80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left="860"/>
        <w:spacing w:after="0"/>
        <w:rPr>
          <w:sz w:val="20"/>
          <w:szCs w:val="20"/>
          <w:color w:val="auto"/>
        </w:rPr>
      </w:pPr>
      <w:r>
        <w:rPr>
          <w:rFonts w:ascii="Times New Roman" w:cs="Times New Roman" w:eastAsia="Times New Roman" w:hAnsi="Times New Roman"/>
          <w:sz w:val="18"/>
          <w:szCs w:val="18"/>
          <w:color w:val="auto"/>
        </w:rPr>
        <w:t>Date: May 11, 2026</w:t>
      </w:r>
    </w:p>
    <w:p>
      <w:pPr>
        <w:spacing w:after="0" w:line="279" w:lineRule="exact"/>
        <w:rPr>
          <w:sz w:val="20"/>
          <w:szCs w:val="20"/>
          <w:color w:val="auto"/>
        </w:rPr>
      </w:pPr>
    </w:p>
    <w:p>
      <w:pPr>
        <w:ind w:left="4846"/>
        <w:spacing w:after="0"/>
        <w:rPr>
          <w:sz w:val="20"/>
          <w:szCs w:val="20"/>
          <w:color w:val="auto"/>
        </w:rPr>
      </w:pPr>
      <w:r>
        <w:rPr>
          <w:rFonts w:ascii="Times New Roman" w:cs="Times New Roman" w:eastAsia="Times New Roman" w:hAnsi="Times New Roman"/>
          <w:sz w:val="18"/>
          <w:szCs w:val="18"/>
          <w:color w:val="auto"/>
        </w:rPr>
        <w:t>/s/ Mark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3068955</wp:posOffset>
            </wp:positionH>
            <wp:positionV relativeFrom="paragraph">
              <wp:posOffset>17145</wp:posOffset>
            </wp:positionV>
            <wp:extent cx="33775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4846"/>
        <w:spacing w:after="0"/>
        <w:rPr>
          <w:sz w:val="20"/>
          <w:szCs w:val="20"/>
          <w:color w:val="auto"/>
        </w:rPr>
      </w:pPr>
      <w:r>
        <w:rPr>
          <w:rFonts w:ascii="Times New Roman" w:cs="Times New Roman" w:eastAsia="Times New Roman" w:hAnsi="Times New Roman"/>
          <w:sz w:val="18"/>
          <w:szCs w:val="18"/>
          <w:color w:val="auto"/>
        </w:rPr>
        <w:t>Mark Griffin</w:t>
      </w:r>
    </w:p>
    <w:p>
      <w:pPr>
        <w:spacing w:after="0" w:line="11" w:lineRule="exact"/>
        <w:rPr>
          <w:sz w:val="20"/>
          <w:szCs w:val="20"/>
          <w:color w:val="auto"/>
        </w:rPr>
      </w:pPr>
    </w:p>
    <w:p>
      <w:pPr>
        <w:ind w:left="4846"/>
        <w:spacing w:after="0"/>
        <w:rPr>
          <w:sz w:val="20"/>
          <w:szCs w:val="20"/>
          <w:color w:val="auto"/>
        </w:rPr>
      </w:pPr>
      <w:r>
        <w:rPr>
          <w:rFonts w:ascii="Times New Roman" w:cs="Times New Roman" w:eastAsia="Times New Roman" w:hAnsi="Times New Roman"/>
          <w:sz w:val="18"/>
          <w:szCs w:val="18"/>
          <w:color w:val="auto"/>
        </w:rPr>
        <w:t>Executive Vice President, Security Solutions (Principal Executive</w:t>
      </w:r>
    </w:p>
    <w:p>
      <w:pPr>
        <w:ind w:left="4846"/>
        <w:spacing w:after="0"/>
        <w:rPr>
          <w:sz w:val="20"/>
          <w:szCs w:val="20"/>
          <w:color w:val="auto"/>
        </w:rPr>
      </w:pPr>
      <w:r>
        <w:rPr>
          <w:rFonts w:ascii="Times New Roman" w:cs="Times New Roman" w:eastAsia="Times New Roman" w:hAnsi="Times New Roman"/>
          <w:sz w:val="18"/>
          <w:szCs w:val="18"/>
          <w:color w:val="auto"/>
        </w:rPr>
        <w:t>Officer)</w:t>
      </w:r>
    </w:p>
    <w:p>
      <w:pPr>
        <w:sectPr>
          <w:pgSz w:w="11900" w:h="16838" w:orient="portrait"/>
          <w:cols w:equalWidth="0" w:num="1">
            <w:col w:w="10746"/>
          </w:cols>
          <w:pgMar w:left="814" w:top="941"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Bendza, certify that:</w:t>
      </w:r>
    </w:p>
    <w:p>
      <w:pPr>
        <w:spacing w:after="0" w:line="185" w:lineRule="exact"/>
        <w:rPr>
          <w:sz w:val="20"/>
          <w:szCs w:val="20"/>
          <w:color w:val="auto"/>
        </w:rPr>
      </w:pPr>
    </w:p>
    <w:p>
      <w:pPr>
        <w:ind w:left="360" w:hanging="326"/>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Telos Corporation;</w:t>
      </w:r>
    </w:p>
    <w:p>
      <w:pPr>
        <w:spacing w:after="0" w:line="184" w:lineRule="exact"/>
        <w:rPr>
          <w:rFonts w:ascii="Times New Roman" w:cs="Times New Roman" w:eastAsia="Times New Roman" w:hAnsi="Times New Roman"/>
          <w:sz w:val="18"/>
          <w:szCs w:val="18"/>
          <w:color w:val="auto"/>
        </w:rPr>
      </w:pPr>
    </w:p>
    <w:p>
      <w:pPr>
        <w:ind w:left="360" w:right="20" w:hanging="326"/>
        <w:spacing w:after="0" w:line="266" w:lineRule="auto"/>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360" w:right="180" w:hanging="326"/>
        <w:spacing w:after="0" w:line="282" w:lineRule="auto"/>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60" w:right="160" w:hanging="326"/>
        <w:spacing w:after="0" w:line="276" w:lineRule="auto"/>
        <w:tabs>
          <w:tab w:leader="none" w:pos="3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3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66" w:lineRule="exact"/>
        <w:rPr>
          <w:rFonts w:ascii="Times New Roman" w:cs="Times New Roman" w:eastAsia="Times New Roman" w:hAnsi="Times New Roman"/>
          <w:sz w:val="17"/>
          <w:szCs w:val="17"/>
          <w:color w:val="auto"/>
        </w:rPr>
      </w:pPr>
    </w:p>
    <w:p>
      <w:pPr>
        <w:ind w:left="40" w:right="440" w:firstLine="399"/>
        <w:spacing w:after="0" w:line="266" w:lineRule="auto"/>
        <w:tabs>
          <w:tab w:leader="none" w:pos="84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40" w:right="140" w:firstLine="399"/>
        <w:spacing w:after="0" w:line="266" w:lineRule="auto"/>
        <w:tabs>
          <w:tab w:leader="none" w:pos="83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40" w:right="260" w:firstLine="399"/>
        <w:spacing w:after="0" w:line="282" w:lineRule="auto"/>
        <w:tabs>
          <w:tab w:leader="none" w:pos="84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40" w:right="260" w:firstLine="399"/>
        <w:spacing w:after="0" w:line="266" w:lineRule="auto"/>
        <w:tabs>
          <w:tab w:leader="none" w:pos="83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360" w:right="120" w:hanging="326"/>
        <w:spacing w:after="0" w:line="312" w:lineRule="auto"/>
        <w:tabs>
          <w:tab w:leader="none" w:pos="3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to the audit committee of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40" w:right="460" w:firstLine="399"/>
        <w:spacing w:after="0" w:line="282" w:lineRule="auto"/>
        <w:tabs>
          <w:tab w:leader="none" w:pos="84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40" w:right="180" w:firstLine="399"/>
        <w:spacing w:after="0" w:line="282" w:lineRule="auto"/>
        <w:tabs>
          <w:tab w:leader="none" w:pos="83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left="860"/>
        <w:spacing w:after="0"/>
        <w:rPr>
          <w:sz w:val="20"/>
          <w:szCs w:val="20"/>
          <w:color w:val="auto"/>
        </w:rPr>
      </w:pPr>
      <w:r>
        <w:rPr>
          <w:rFonts w:ascii="Times New Roman" w:cs="Times New Roman" w:eastAsia="Times New Roman" w:hAnsi="Times New Roman"/>
          <w:sz w:val="18"/>
          <w:szCs w:val="18"/>
          <w:color w:val="auto"/>
        </w:rPr>
        <w:t>Date: May 11, 2026</w:t>
      </w:r>
    </w:p>
    <w:p>
      <w:pPr>
        <w:spacing w:after="0" w:line="27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 Mark Bendza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3090545</wp:posOffset>
            </wp:positionH>
            <wp:positionV relativeFrom="paragraph">
              <wp:posOffset>17145</wp:posOffset>
            </wp:positionV>
            <wp:extent cx="33775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Mark Bendza</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ectPr>
          <w:pgSz w:w="11900" w:h="16838" w:orient="portrait"/>
          <w:cols w:equalWidth="0" w:num="1">
            <w:col w:w="10780"/>
          </w:cols>
          <w:pgMar w:left="780" w:top="873"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53"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Telos Corporation (the "Company") on Form 10-Q for the period ended March 31, 2026, as filed with the Securities and Exchange Commission on the date hereof (the "Report"), we, Mark Griffin and Mark Bendza, certify, pursuant to 18 U.S.C. § 1350, as adopted pursuant to § 906 of the Sarbanes-Oxley Act of 2002, that to our knowledge:</w:t>
      </w:r>
    </w:p>
    <w:p>
      <w:pPr>
        <w:spacing w:after="0" w:line="122" w:lineRule="exact"/>
        <w:rPr>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620" w:right="140" w:hanging="6288"/>
        <w:spacing w:after="0" w:line="516" w:lineRule="auto"/>
        <w:tabs>
          <w:tab w:leader="none" w:pos="64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11, 2026</w:t>
      </w:r>
    </w:p>
    <w:p>
      <w:pPr>
        <w:spacing w:after="0" w:line="1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Mark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17145</wp:posOffset>
            </wp:positionV>
            <wp:extent cx="29400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Mark Griffin</w:t>
      </w:r>
    </w:p>
    <w:p>
      <w:pPr>
        <w:spacing w:after="0" w:line="1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Executive Vice President, Security Solutions (Principal</w:t>
      </w:r>
    </w:p>
    <w:p>
      <w:pPr>
        <w:ind w:left="662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 May 11, 2026</w:t>
      </w:r>
    </w:p>
    <w:p>
      <w:pPr>
        <w:spacing w:after="0" w:line="29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Mark Bendza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17145</wp:posOffset>
            </wp:positionV>
            <wp:extent cx="29400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Mark Bendza</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sectPr>
      <w:pgSz w:w="11900" w:h="16838" w:orient="portrait"/>
      <w:cols w:equalWidth="0" w:num="1">
        <w:col w:w="11240"/>
      </w:cols>
      <w:pgMar w:left="320" w:top="8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lowerLetter"/>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36" Type="http://schemas.openxmlformats.org/officeDocument/2006/relationships/hyperlink" Target="https://www.sec.gov/Archives/edgar/data/320121/000032012126000016/amendmentno2totheamended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2026-05-11T15:21:40Z</dcterms:created>
  <dcterms:modified xsi:type="dcterms:W3CDTF">2026-05-11T15:21:40Z</dcterms:modified>
</cp:coreProperties>
</file>