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i w:val="1"/>
          <w:iCs w:val="1"/>
          <w:u w:val="single" w:color="auto"/>
          <w:color w:val="auto"/>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184785</wp:posOffset>
            </wp:positionH>
            <wp:positionV relativeFrom="paragraph">
              <wp:posOffset>306070</wp:posOffset>
            </wp:positionV>
            <wp:extent cx="67722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200" w:lineRule="exact"/>
        <w:rPr>
          <w:sz w:val="24"/>
          <w:szCs w:val="24"/>
          <w:color w:val="auto"/>
        </w:rPr>
      </w:pPr>
    </w:p>
    <w:p>
      <w:pPr>
        <w:spacing w:after="0" w:line="27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SECURITIES AND EXCHANGE COMMISSION</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184785</wp:posOffset>
            </wp:positionH>
            <wp:positionV relativeFrom="paragraph">
              <wp:posOffset>14605</wp:posOffset>
            </wp:positionV>
            <wp:extent cx="67722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258"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334" w:lineRule="exact"/>
        <w:rPr>
          <w:sz w:val="24"/>
          <w:szCs w:val="24"/>
          <w:color w:val="auto"/>
        </w:rPr>
      </w:pPr>
    </w:p>
    <w:p>
      <w:pPr>
        <w:ind w:left="360" w:hanging="334"/>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22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quarterly period ended: March 31, 2023</w:t>
      </w:r>
    </w:p>
    <w:p>
      <w:pPr>
        <w:spacing w:after="0" w:line="175" w:lineRule="exact"/>
        <w:rPr>
          <w:sz w:val="24"/>
          <w:szCs w:val="24"/>
          <w:color w:val="auto"/>
        </w:rPr>
      </w:pPr>
    </w:p>
    <w:p>
      <w:pPr>
        <w:ind w:left="360" w:hanging="334"/>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221" w:lineRule="exact"/>
        <w:rPr>
          <w:rFonts w:ascii="MS PGothic" w:cs="MS PGothic" w:eastAsia="MS PGothic" w:hAnsi="MS PGothic"/>
          <w:sz w:val="18"/>
          <w:szCs w:val="18"/>
          <w:color w:val="auto"/>
        </w:rPr>
      </w:pPr>
    </w:p>
    <w:p>
      <w:pPr>
        <w:ind w:left="424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001-08443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2173605</wp:posOffset>
            </wp:positionH>
            <wp:positionV relativeFrom="paragraph">
              <wp:posOffset>102870</wp:posOffset>
            </wp:positionV>
            <wp:extent cx="2802890" cy="8058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02890" cy="8058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TELOS CORPORATION</w:t>
      </w:r>
    </w:p>
    <w:p>
      <w:pPr>
        <w:spacing w:after="0" w:line="125"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pacing w:after="0" w:line="181" w:lineRule="exact"/>
        <w:rPr>
          <w:sz w:val="24"/>
          <w:szCs w:val="24"/>
          <w:color w:val="auto"/>
        </w:rPr>
      </w:pPr>
    </w:p>
    <w:tbl>
      <w:tblPr>
        <w:tblLayout w:type="fixed"/>
        <w:tblInd w:w="480" w:type="dxa"/>
        <w:tblCellMar>
          <w:top w:w="0" w:type="dxa"/>
          <w:left w:w="0" w:type="dxa"/>
          <w:bottom w:w="0" w:type="dxa"/>
          <w:right w:w="0" w:type="dxa"/>
        </w:tblCellMar>
      </w:tblPr>
      <w:tr>
        <w:trPr>
          <w:trHeight w:val="233"/>
        </w:trPr>
        <w:tc>
          <w:tcPr>
            <w:tcW w:w="5640" w:type="dxa"/>
            <w:vAlign w:val="bottom"/>
          </w:tcPr>
          <w:p>
            <w:pPr>
              <w:jc w:val="center"/>
              <w:ind w:right="1270"/>
              <w:spacing w:after="0"/>
              <w:rPr>
                <w:sz w:val="20"/>
                <w:szCs w:val="20"/>
                <w:color w:val="auto"/>
              </w:rPr>
            </w:pPr>
            <w:r>
              <w:rPr>
                <w:rFonts w:ascii="Arial" w:cs="Arial" w:eastAsia="Arial" w:hAnsi="Arial"/>
                <w:sz w:val="18"/>
                <w:szCs w:val="18"/>
                <w:b w:val="1"/>
                <w:bCs w:val="1"/>
                <w:color w:val="auto"/>
                <w:w w:val="96"/>
              </w:rPr>
              <w:t>Maryland</w:t>
            </w:r>
          </w:p>
        </w:tc>
        <w:tc>
          <w:tcPr>
            <w:tcW w:w="3960" w:type="dxa"/>
            <w:vAlign w:val="bottom"/>
          </w:tcPr>
          <w:p>
            <w:pPr>
              <w:jc w:val="center"/>
              <w:ind w:left="1250"/>
              <w:spacing w:after="0"/>
              <w:rPr>
                <w:sz w:val="20"/>
                <w:szCs w:val="20"/>
                <w:color w:val="auto"/>
              </w:rPr>
            </w:pPr>
            <w:r>
              <w:rPr>
                <w:rFonts w:ascii="Arial" w:cs="Arial" w:eastAsia="Arial" w:hAnsi="Arial"/>
                <w:sz w:val="18"/>
                <w:szCs w:val="18"/>
                <w:b w:val="1"/>
                <w:bCs w:val="1"/>
                <w:color w:val="auto"/>
                <w:w w:val="89"/>
              </w:rPr>
              <w:t>52-0880974</w:t>
            </w:r>
          </w:p>
        </w:tc>
      </w:tr>
      <w:tr>
        <w:trPr>
          <w:trHeight w:val="230"/>
        </w:trPr>
        <w:tc>
          <w:tcPr>
            <w:tcW w:w="5640" w:type="dxa"/>
            <w:vAlign w:val="bottom"/>
          </w:tcPr>
          <w:p>
            <w:pPr>
              <w:jc w:val="center"/>
              <w:ind w:right="127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960" w:type="dxa"/>
            <w:vAlign w:val="bottom"/>
          </w:tcPr>
          <w:p>
            <w:pPr>
              <w:jc w:val="center"/>
              <w:ind w:left="1250"/>
              <w:spacing w:after="0"/>
              <w:rPr>
                <w:sz w:val="20"/>
                <w:szCs w:val="20"/>
                <w:color w:val="auto"/>
              </w:rPr>
            </w:pPr>
            <w:r>
              <w:rPr>
                <w:rFonts w:ascii="Arial" w:cs="Arial" w:eastAsia="Arial" w:hAnsi="Arial"/>
                <w:sz w:val="18"/>
                <w:szCs w:val="18"/>
                <w:color w:val="auto"/>
                <w:w w:val="94"/>
              </w:rPr>
              <w:t>(I.R.S. Employer Identification No.)</w:t>
            </w:r>
          </w:p>
        </w:tc>
      </w:tr>
      <w:tr>
        <w:trPr>
          <w:trHeight w:val="283"/>
        </w:trPr>
        <w:tc>
          <w:tcPr>
            <w:tcW w:w="5640" w:type="dxa"/>
            <w:vAlign w:val="bottom"/>
          </w:tcPr>
          <w:p>
            <w:pPr>
              <w:jc w:val="center"/>
              <w:ind w:right="1270"/>
              <w:spacing w:after="0"/>
              <w:rPr>
                <w:sz w:val="20"/>
                <w:szCs w:val="20"/>
                <w:color w:val="auto"/>
              </w:rPr>
            </w:pPr>
            <w:r>
              <w:rPr>
                <w:rFonts w:ascii="Arial" w:cs="Arial" w:eastAsia="Arial" w:hAnsi="Arial"/>
                <w:sz w:val="18"/>
                <w:szCs w:val="18"/>
                <w:b w:val="1"/>
                <w:bCs w:val="1"/>
                <w:color w:val="auto"/>
                <w:w w:val="91"/>
              </w:rPr>
              <w:t>19886 Ashburn Road, Ashburn, Virginia</w:t>
            </w:r>
          </w:p>
        </w:tc>
        <w:tc>
          <w:tcPr>
            <w:tcW w:w="3960" w:type="dxa"/>
            <w:vAlign w:val="bottom"/>
          </w:tcPr>
          <w:p>
            <w:pPr>
              <w:jc w:val="center"/>
              <w:ind w:left="1250"/>
              <w:spacing w:after="0"/>
              <w:rPr>
                <w:sz w:val="20"/>
                <w:szCs w:val="20"/>
                <w:color w:val="auto"/>
              </w:rPr>
            </w:pPr>
            <w:r>
              <w:rPr>
                <w:rFonts w:ascii="Arial" w:cs="Arial" w:eastAsia="Arial" w:hAnsi="Arial"/>
                <w:sz w:val="18"/>
                <w:szCs w:val="18"/>
                <w:b w:val="1"/>
                <w:bCs w:val="1"/>
                <w:color w:val="auto"/>
                <w:w w:val="89"/>
              </w:rPr>
              <w:t>20147-2358</w:t>
            </w:r>
          </w:p>
        </w:tc>
      </w:tr>
      <w:tr>
        <w:trPr>
          <w:trHeight w:val="230"/>
        </w:trPr>
        <w:tc>
          <w:tcPr>
            <w:tcW w:w="5640" w:type="dxa"/>
            <w:vAlign w:val="bottom"/>
          </w:tcPr>
          <w:p>
            <w:pPr>
              <w:jc w:val="center"/>
              <w:ind w:right="1270"/>
              <w:spacing w:after="0"/>
              <w:rPr>
                <w:sz w:val="20"/>
                <w:szCs w:val="20"/>
                <w:color w:val="auto"/>
              </w:rPr>
            </w:pPr>
            <w:r>
              <w:rPr>
                <w:rFonts w:ascii="Arial" w:cs="Arial" w:eastAsia="Arial" w:hAnsi="Arial"/>
                <w:sz w:val="18"/>
                <w:szCs w:val="18"/>
                <w:color w:val="auto"/>
                <w:w w:val="92"/>
              </w:rPr>
              <w:t>(Address of principal executive offices)</w:t>
            </w:r>
          </w:p>
        </w:tc>
        <w:tc>
          <w:tcPr>
            <w:tcW w:w="3960" w:type="dxa"/>
            <w:vAlign w:val="bottom"/>
          </w:tcPr>
          <w:p>
            <w:pPr>
              <w:jc w:val="center"/>
              <w:ind w:left="1250"/>
              <w:spacing w:after="0"/>
              <w:rPr>
                <w:sz w:val="20"/>
                <w:szCs w:val="20"/>
                <w:color w:val="auto"/>
              </w:rPr>
            </w:pPr>
            <w:r>
              <w:rPr>
                <w:rFonts w:ascii="Arial" w:cs="Arial" w:eastAsia="Arial" w:hAnsi="Arial"/>
                <w:sz w:val="18"/>
                <w:szCs w:val="18"/>
                <w:color w:val="auto"/>
                <w:w w:val="91"/>
              </w:rPr>
              <w:t>(Zip Code)</w:t>
            </w:r>
          </w:p>
        </w:tc>
      </w:tr>
    </w:tbl>
    <w:p>
      <w:pPr>
        <w:spacing w:after="0" w:line="19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(703) 724-3800</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(Registrant’s telephone number, including area code)</w:t>
      </w:r>
    </w:p>
    <w:p>
      <w:pPr>
        <w:spacing w:after="0" w:line="116"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160"/>
          </w:cols>
          <w:pgMar w:left="320" w:top="233" w:right="419" w:bottom="1440" w:gutter="0" w:footer="0" w:header="0"/>
        </w:sectPr>
      </w:pPr>
    </w:p>
    <w:p>
      <w:pPr>
        <w:spacing w:after="0" w:line="50" w:lineRule="exact"/>
        <w:rPr>
          <w:sz w:val="24"/>
          <w:szCs w:val="24"/>
          <w:color w:val="auto"/>
        </w:rPr>
      </w:pPr>
    </w:p>
    <w:p>
      <w:pPr>
        <w:ind w:left="1320"/>
        <w:spacing w:after="0"/>
        <w:rPr>
          <w:sz w:val="20"/>
          <w:szCs w:val="20"/>
          <w:color w:val="auto"/>
        </w:rPr>
      </w:pPr>
      <w:r>
        <w:rPr>
          <w:rFonts w:ascii="Arial" w:cs="Arial" w:eastAsia="Arial" w:hAnsi="Arial"/>
          <w:sz w:val="15"/>
          <w:szCs w:val="15"/>
          <w:color w:val="auto"/>
        </w:rPr>
        <w:t>Title of each class</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spacing w:after="0"/>
        <w:rPr>
          <w:sz w:val="20"/>
          <w:szCs w:val="20"/>
          <w:color w:val="auto"/>
        </w:rPr>
      </w:pPr>
      <w:r>
        <w:rPr>
          <w:rFonts w:ascii="Arial" w:cs="Arial" w:eastAsia="Arial" w:hAnsi="Arial"/>
          <w:sz w:val="16"/>
          <w:szCs w:val="16"/>
          <w:color w:val="auto"/>
        </w:rPr>
        <w:t>Trading symbol</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spacing w:after="0"/>
        <w:rPr>
          <w:sz w:val="20"/>
          <w:szCs w:val="20"/>
          <w:color w:val="auto"/>
        </w:rPr>
      </w:pPr>
      <w:r>
        <w:rPr>
          <w:rFonts w:ascii="Arial" w:cs="Arial" w:eastAsia="Arial" w:hAnsi="Arial"/>
          <w:sz w:val="16"/>
          <w:szCs w:val="16"/>
          <w:color w:val="auto"/>
        </w:rPr>
        <w:t>Name of each exchange on which registered</w:t>
      </w:r>
    </w:p>
    <w:p>
      <w:pPr>
        <w:spacing w:after="0" w:line="46" w:lineRule="exact"/>
        <w:rPr>
          <w:sz w:val="24"/>
          <w:szCs w:val="24"/>
          <w:color w:val="auto"/>
        </w:rPr>
      </w:pPr>
    </w:p>
    <w:p>
      <w:pPr>
        <w:sectPr>
          <w:pgSz w:w="11900" w:h="16838" w:orient="portrait"/>
          <w:cols w:equalWidth="0" w:num="3">
            <w:col w:w="4080" w:space="720"/>
            <w:col w:w="1920" w:space="720"/>
            <w:col w:w="3720"/>
          </w:cols>
          <w:pgMar w:left="320" w:top="233" w:right="419" w:bottom="1440" w:gutter="0" w:footer="0" w:header="0"/>
          <w:type w:val="continuous"/>
        </w:sectPr>
      </w:pPr>
    </w:p>
    <w:p>
      <w:pPr>
        <w:ind w:left="320"/>
        <w:spacing w:after="0"/>
        <w:rPr>
          <w:sz w:val="20"/>
          <w:szCs w:val="20"/>
          <w:color w:val="auto"/>
        </w:rPr>
      </w:pPr>
      <w:r>
        <w:rPr>
          <w:rFonts w:ascii="Arial" w:cs="Arial" w:eastAsia="Arial" w:hAnsi="Arial"/>
          <w:sz w:val="16"/>
          <w:szCs w:val="16"/>
          <w:b w:val="1"/>
          <w:bCs w:val="1"/>
          <w:color w:val="auto"/>
        </w:rPr>
        <w:t>Common stock, $0.001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b w:val="1"/>
          <w:bCs w:val="1"/>
          <w:color w:val="auto"/>
        </w:rPr>
        <w:t>TLS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The Nasdaq Stock Market LLC</w:t>
      </w:r>
    </w:p>
    <w:p>
      <w:pPr>
        <w:spacing w:after="0" w:line="211" w:lineRule="exact"/>
        <w:rPr>
          <w:sz w:val="24"/>
          <w:szCs w:val="24"/>
          <w:color w:val="auto"/>
        </w:rPr>
      </w:pPr>
    </w:p>
    <w:p>
      <w:pPr>
        <w:sectPr>
          <w:pgSz w:w="11900" w:h="16838" w:orient="portrait"/>
          <w:cols w:equalWidth="0" w:num="3">
            <w:col w:w="4480" w:space="720"/>
            <w:col w:w="1900" w:space="720"/>
            <w:col w:w="3340"/>
          </w:cols>
          <w:pgMar w:left="320" w:top="233" w:right="419" w:bottom="1440" w:gutter="0" w:footer="0" w:header="0"/>
          <w:type w:val="continuous"/>
        </w:sectPr>
      </w:pPr>
    </w:p>
    <w:p>
      <w:pPr>
        <w:spacing w:after="0" w:line="36" w:lineRule="exact"/>
        <w:rPr>
          <w:sz w:val="24"/>
          <w:szCs w:val="24"/>
          <w:color w:val="auto"/>
        </w:rPr>
      </w:pPr>
    </w:p>
    <w:p>
      <w:pPr>
        <w:ind w:right="2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89"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x No </w:t>
      </w:r>
      <w:r>
        <w:rPr>
          <w:rFonts w:ascii="MS PGothic" w:cs="MS PGothic" w:eastAsia="MS PGothic" w:hAnsi="MS PGothic"/>
          <w:sz w:val="18"/>
          <w:szCs w:val="18"/>
          <w:color w:val="auto"/>
        </w:rPr>
        <w:t>☐</w:t>
      </w:r>
    </w:p>
    <w:p>
      <w:pPr>
        <w:spacing w:after="0" w:line="103" w:lineRule="exact"/>
        <w:rPr>
          <w:sz w:val="24"/>
          <w:szCs w:val="24"/>
          <w:color w:val="auto"/>
        </w:rPr>
      </w:pPr>
    </w:p>
    <w:p>
      <w:pPr>
        <w:ind w:right="26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0" w:lineRule="exact"/>
        <w:rPr>
          <w:sz w:val="24"/>
          <w:szCs w:val="24"/>
          <w:color w:val="auto"/>
        </w:rPr>
      </w:pPr>
    </w:p>
    <w:tbl>
      <w:tblPr>
        <w:tblLayout w:type="fixed"/>
        <w:tblInd w:w="680" w:type="dxa"/>
        <w:tblCellMar>
          <w:top w:w="0" w:type="dxa"/>
          <w:left w:w="0" w:type="dxa"/>
          <w:bottom w:w="0" w:type="dxa"/>
          <w:right w:w="0" w:type="dxa"/>
        </w:tblCellMar>
      </w:tblPr>
      <w:tr>
        <w:trPr>
          <w:trHeight w:val="229"/>
        </w:trPr>
        <w:tc>
          <w:tcPr>
            <w:tcW w:w="2020" w:type="dxa"/>
            <w:vAlign w:val="bottom"/>
            <w:vMerge w:val="restart"/>
          </w:tcPr>
          <w:p>
            <w:pPr>
              <w:spacing w:after="0"/>
              <w:rPr>
                <w:sz w:val="20"/>
                <w:szCs w:val="20"/>
                <w:color w:val="auto"/>
              </w:rPr>
            </w:pPr>
            <w:r>
              <w:rPr>
                <w:rFonts w:ascii="Arial" w:cs="Arial" w:eastAsia="Arial" w:hAnsi="Arial"/>
                <w:sz w:val="18"/>
                <w:szCs w:val="18"/>
                <w:color w:val="auto"/>
              </w:rPr>
              <w:t>Large accelerated filer</w:t>
            </w:r>
          </w:p>
        </w:tc>
        <w:tc>
          <w:tcPr>
            <w:tcW w:w="2620" w:type="dxa"/>
            <w:vAlign w:val="bottom"/>
            <w:vMerge w:val="restart"/>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4660" w:type="dxa"/>
            <w:vAlign w:val="bottom"/>
          </w:tcPr>
          <w:p>
            <w:pPr>
              <w:ind w:left="2060"/>
              <w:spacing w:after="0"/>
              <w:rPr>
                <w:sz w:val="20"/>
                <w:szCs w:val="20"/>
                <w:color w:val="auto"/>
              </w:rPr>
            </w:pPr>
            <w:r>
              <w:rPr>
                <w:rFonts w:ascii="Arial" w:cs="Arial" w:eastAsia="Arial" w:hAnsi="Arial"/>
                <w:sz w:val="18"/>
                <w:szCs w:val="18"/>
                <w:color w:val="auto"/>
              </w:rPr>
              <w:t>Accelerated filer</w:t>
            </w:r>
          </w:p>
        </w:tc>
        <w:tc>
          <w:tcPr>
            <w:tcW w:w="0" w:type="dxa"/>
            <w:vAlign w:val="bottom"/>
          </w:tcPr>
          <w:p>
            <w:pPr>
              <w:spacing w:after="0"/>
              <w:rPr>
                <w:sz w:val="1"/>
                <w:szCs w:val="1"/>
                <w:color w:val="auto"/>
              </w:rPr>
            </w:pPr>
          </w:p>
        </w:tc>
      </w:tr>
      <w:tr>
        <w:trPr>
          <w:trHeight w:val="216"/>
        </w:trPr>
        <w:tc>
          <w:tcPr>
            <w:tcW w:w="2020" w:type="dxa"/>
            <w:vAlign w:val="bottom"/>
            <w:vMerge w:val="continue"/>
          </w:tcPr>
          <w:p>
            <w:pPr>
              <w:spacing w:after="0"/>
              <w:rPr>
                <w:sz w:val="18"/>
                <w:szCs w:val="18"/>
                <w:color w:val="auto"/>
              </w:rPr>
            </w:pPr>
          </w:p>
        </w:tc>
        <w:tc>
          <w:tcPr>
            <w:tcW w:w="2620" w:type="dxa"/>
            <w:vAlign w:val="bottom"/>
            <w:vMerge w:val="continue"/>
          </w:tcPr>
          <w:p>
            <w:pPr>
              <w:spacing w:after="0"/>
              <w:rPr>
                <w:sz w:val="18"/>
                <w:szCs w:val="18"/>
                <w:color w:val="auto"/>
              </w:rPr>
            </w:pPr>
          </w:p>
        </w:tc>
        <w:tc>
          <w:tcPr>
            <w:tcW w:w="4660" w:type="dxa"/>
            <w:vAlign w:val="bottom"/>
          </w:tcPr>
          <w:p>
            <w:pPr>
              <w:ind w:left="450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83"/>
        </w:trPr>
        <w:tc>
          <w:tcPr>
            <w:tcW w:w="2020" w:type="dxa"/>
            <w:vAlign w:val="bottom"/>
          </w:tcPr>
          <w:p>
            <w:pPr>
              <w:spacing w:after="0"/>
              <w:rPr>
                <w:sz w:val="15"/>
                <w:szCs w:val="15"/>
                <w:color w:val="auto"/>
              </w:rPr>
            </w:pPr>
          </w:p>
        </w:tc>
        <w:tc>
          <w:tcPr>
            <w:tcW w:w="2620" w:type="dxa"/>
            <w:vAlign w:val="bottom"/>
            <w:vMerge w:val="restart"/>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4660" w:type="dxa"/>
            <w:vAlign w:val="bottom"/>
          </w:tcPr>
          <w:p>
            <w:pPr>
              <w:ind w:left="2060"/>
              <w:spacing w:after="0" w:line="183" w:lineRule="exact"/>
              <w:rPr>
                <w:sz w:val="20"/>
                <w:szCs w:val="20"/>
                <w:color w:val="auto"/>
              </w:rPr>
            </w:pPr>
            <w:r>
              <w:rPr>
                <w:rFonts w:ascii="Arial" w:cs="Arial" w:eastAsia="Arial" w:hAnsi="Arial"/>
                <w:sz w:val="18"/>
                <w:szCs w:val="18"/>
                <w:color w:val="auto"/>
              </w:rPr>
              <w:t>Smaller reporting company</w:t>
            </w:r>
          </w:p>
        </w:tc>
        <w:tc>
          <w:tcPr>
            <w:tcW w:w="0" w:type="dxa"/>
            <w:vAlign w:val="bottom"/>
          </w:tcPr>
          <w:p>
            <w:pPr>
              <w:spacing w:after="0"/>
              <w:rPr>
                <w:sz w:val="1"/>
                <w:szCs w:val="1"/>
                <w:color w:val="auto"/>
              </w:rPr>
            </w:pPr>
          </w:p>
        </w:tc>
      </w:tr>
      <w:tr>
        <w:trPr>
          <w:trHeight w:val="262"/>
        </w:trPr>
        <w:tc>
          <w:tcPr>
            <w:tcW w:w="2020" w:type="dxa"/>
            <w:vAlign w:val="bottom"/>
          </w:tcPr>
          <w:p>
            <w:pPr>
              <w:spacing w:after="0"/>
              <w:rPr>
                <w:sz w:val="20"/>
                <w:szCs w:val="20"/>
                <w:color w:val="auto"/>
              </w:rPr>
            </w:pPr>
            <w:r>
              <w:rPr>
                <w:rFonts w:ascii="Arial" w:cs="Arial" w:eastAsia="Arial" w:hAnsi="Arial"/>
                <w:sz w:val="18"/>
                <w:szCs w:val="18"/>
                <w:color w:val="auto"/>
              </w:rPr>
              <w:t>Non-accelerated filer</w:t>
            </w:r>
          </w:p>
        </w:tc>
        <w:tc>
          <w:tcPr>
            <w:tcW w:w="2620" w:type="dxa"/>
            <w:vAlign w:val="bottom"/>
            <w:vMerge w:val="continue"/>
          </w:tcPr>
          <w:p>
            <w:pPr>
              <w:spacing w:after="0"/>
              <w:rPr>
                <w:sz w:val="22"/>
                <w:szCs w:val="22"/>
                <w:color w:val="auto"/>
              </w:rPr>
            </w:pPr>
          </w:p>
        </w:tc>
        <w:tc>
          <w:tcPr>
            <w:tcW w:w="4660" w:type="dxa"/>
            <w:vAlign w:val="bottom"/>
          </w:tcPr>
          <w:p>
            <w:pPr>
              <w:ind w:left="45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83"/>
        </w:trPr>
        <w:tc>
          <w:tcPr>
            <w:tcW w:w="20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4660" w:type="dxa"/>
            <w:vAlign w:val="bottom"/>
          </w:tcPr>
          <w:p>
            <w:pPr>
              <w:ind w:left="2060"/>
              <w:spacing w:after="0" w:line="183" w:lineRule="exact"/>
              <w:rPr>
                <w:sz w:val="20"/>
                <w:szCs w:val="20"/>
                <w:color w:val="auto"/>
              </w:rPr>
            </w:pPr>
            <w:r>
              <w:rPr>
                <w:rFonts w:ascii="Arial" w:cs="Arial" w:eastAsia="Arial" w:hAnsi="Arial"/>
                <w:sz w:val="18"/>
                <w:szCs w:val="18"/>
                <w:color w:val="auto"/>
              </w:rPr>
              <w:t>Emerging growth company</w:t>
            </w:r>
          </w:p>
        </w:tc>
        <w:tc>
          <w:tcPr>
            <w:tcW w:w="0" w:type="dxa"/>
            <w:vAlign w:val="bottom"/>
          </w:tcPr>
          <w:p>
            <w:pPr>
              <w:spacing w:after="0"/>
              <w:rPr>
                <w:sz w:val="1"/>
                <w:szCs w:val="1"/>
                <w:color w:val="auto"/>
              </w:rPr>
            </w:pPr>
          </w:p>
        </w:tc>
      </w:tr>
      <w:tr>
        <w:trPr>
          <w:trHeight w:val="283"/>
        </w:trPr>
        <w:tc>
          <w:tcPr>
            <w:tcW w:w="20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660" w:type="dxa"/>
            <w:vAlign w:val="bottom"/>
          </w:tcPr>
          <w:p>
            <w:pPr>
              <w:ind w:left="45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bl>
    <w:p>
      <w:pPr>
        <w:spacing w:after="0" w:line="182"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55" w:lineRule="exact"/>
        <w:rPr>
          <w:sz w:val="24"/>
          <w:szCs w:val="24"/>
          <w:color w:val="auto"/>
        </w:rPr>
      </w:pPr>
    </w:p>
    <w:p>
      <w:pPr>
        <w:ind w:right="1800"/>
        <w:spacing w:after="0" w:line="326"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 As of May 5, 2023, the registrant had outstanding 69,389,506 shares of common stock</w:t>
      </w:r>
      <w:r>
        <w:rPr>
          <w:rFonts w:ascii="Arial" w:cs="Arial" w:eastAsia="Arial" w:hAnsi="Arial"/>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33" w:right="4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i w:val="1"/>
          <w:iCs w:val="1"/>
          <w:u w:val="single" w:color="auto"/>
          <w:color w:val="auto"/>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of Contents to First Quarter 2023 Form 10-Q</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60" w:type="dxa"/>
            <w:vAlign w:val="bottom"/>
            <w:tcBorders>
              <w:top w:val="single" w:sz="8" w:color="auto"/>
            </w:tcBorders>
          </w:tcPr>
          <w:p>
            <w:pPr>
              <w:spacing w:after="0"/>
              <w:rPr>
                <w:sz w:val="16"/>
                <w:szCs w:val="16"/>
                <w:color w:val="auto"/>
              </w:rPr>
            </w:pPr>
          </w:p>
        </w:tc>
        <w:tc>
          <w:tcPr>
            <w:tcW w:w="35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8"/>
          </w:tcPr>
          <w:p>
            <w:pPr>
              <w:spacing w:after="0"/>
              <w:rPr>
                <w:sz w:val="20"/>
                <w:szCs w:val="20"/>
                <w:color w:val="auto"/>
              </w:rPr>
            </w:pPr>
            <w:r>
              <w:rPr>
                <w:rFonts w:ascii="Arial" w:cs="Arial" w:eastAsia="Arial" w:hAnsi="Arial"/>
                <w:sz w:val="16"/>
                <w:szCs w:val="16"/>
                <w:b w:val="1"/>
                <w:bCs w:val="1"/>
                <w:color w:val="auto"/>
              </w:rPr>
              <w:t>Page</w:t>
            </w:r>
          </w:p>
        </w:tc>
      </w:tr>
      <w:tr>
        <w:trPr>
          <w:trHeight w:val="20"/>
        </w:trPr>
        <w:tc>
          <w:tcPr>
            <w:tcW w:w="10240" w:type="dxa"/>
            <w:vAlign w:val="bottom"/>
            <w:gridSpan w:val="51"/>
          </w:tcPr>
          <w:p>
            <w:pPr>
              <w:spacing w:after="0" w:line="20" w:lineRule="exact"/>
              <w:rPr>
                <w:sz w:val="1"/>
                <w:szCs w:val="1"/>
                <w:color w:val="auto"/>
              </w:rPr>
            </w:pPr>
          </w:p>
        </w:tc>
        <w:tc>
          <w:tcPr>
            <w:tcW w:w="340" w:type="dxa"/>
            <w:vAlign w:val="bottom"/>
            <w:tcBorders>
              <w:top w:val="single" w:sz="8" w:color="auto"/>
            </w:tcBorders>
            <w:gridSpan w:val="7"/>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10220" w:type="dxa"/>
            <w:vAlign w:val="bottom"/>
            <w:gridSpan w:val="50"/>
            <w:shd w:val="clear" w:color="auto" w:fill="CCEEFF"/>
          </w:tcPr>
          <w:p>
            <w:pPr>
              <w:spacing w:after="0" w:line="175" w:lineRule="exact"/>
              <w:rPr>
                <w:sz w:val="20"/>
                <w:szCs w:val="20"/>
                <w:color w:val="auto"/>
              </w:rPr>
            </w:pPr>
            <w:r>
              <w:rPr>
                <w:rFonts w:ascii="Arial" w:cs="Arial" w:eastAsia="Arial" w:hAnsi="Arial"/>
                <w:sz w:val="16"/>
                <w:szCs w:val="16"/>
                <w:b w:val="1"/>
                <w:bCs w:val="1"/>
                <w:color w:val="0000FF"/>
              </w:rPr>
              <w:t>PART I - FINANCIAL INFORMATION</w:t>
            </w:r>
          </w:p>
        </w:tc>
        <w:tc>
          <w:tcPr>
            <w:tcW w:w="220" w:type="dxa"/>
            <w:vAlign w:val="bottom"/>
            <w:gridSpan w:val="4"/>
            <w:shd w:val="clear" w:color="auto" w:fill="CCEEFF"/>
          </w:tcPr>
          <w:p>
            <w:pPr>
              <w:jc w:val="center"/>
              <w:ind w:left="39"/>
              <w:spacing w:after="0" w:line="175" w:lineRule="exact"/>
              <w:rPr>
                <w:sz w:val="20"/>
                <w:szCs w:val="20"/>
                <w:color w:val="auto"/>
              </w:rPr>
            </w:pPr>
            <w:r>
              <w:rPr>
                <w:rFonts w:ascii="Arial" w:cs="Arial" w:eastAsia="Arial" w:hAnsi="Arial"/>
                <w:sz w:val="16"/>
                <w:szCs w:val="16"/>
                <w:color w:val="0000FF"/>
              </w:rPr>
              <w:t>3</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176"/>
        </w:trPr>
        <w:tc>
          <w:tcPr>
            <w:tcW w:w="20" w:type="dxa"/>
            <w:vAlign w:val="bottom"/>
            <w:tcBorders>
              <w:top w:val="single" w:sz="8" w:color="CCEEFF"/>
            </w:tcBorders>
          </w:tcPr>
          <w:p>
            <w:pPr>
              <w:spacing w:after="0"/>
              <w:rPr>
                <w:sz w:val="15"/>
                <w:szCs w:val="15"/>
                <w:color w:val="auto"/>
              </w:rPr>
            </w:pPr>
          </w:p>
        </w:tc>
        <w:tc>
          <w:tcPr>
            <w:tcW w:w="700" w:type="dxa"/>
            <w:vAlign w:val="bottom"/>
            <w:tcBorders>
              <w:top w:val="single" w:sz="8" w:color="0000FF"/>
            </w:tcBorders>
            <w:gridSpan w:val="3"/>
          </w:tcPr>
          <w:p>
            <w:pPr>
              <w:spacing w:after="0" w:line="175" w:lineRule="exact"/>
              <w:rPr>
                <w:sz w:val="20"/>
                <w:szCs w:val="20"/>
                <w:color w:val="auto"/>
              </w:rPr>
            </w:pPr>
            <w:r>
              <w:rPr>
                <w:rFonts w:ascii="Arial" w:cs="Arial" w:eastAsia="Arial" w:hAnsi="Arial"/>
                <w:sz w:val="16"/>
                <w:szCs w:val="16"/>
                <w:color w:val="0000FF"/>
              </w:rPr>
              <w:t>Item 1.</w:t>
            </w:r>
          </w:p>
        </w:tc>
        <w:tc>
          <w:tcPr>
            <w:tcW w:w="2120" w:type="dxa"/>
            <w:vAlign w:val="bottom"/>
            <w:tcBorders>
              <w:top w:val="single" w:sz="8" w:color="0000FF"/>
            </w:tcBorders>
            <w:gridSpan w:val="24"/>
          </w:tcPr>
          <w:p>
            <w:pPr>
              <w:ind w:left="120"/>
              <w:spacing w:after="0" w:line="175" w:lineRule="exact"/>
              <w:rPr>
                <w:sz w:val="20"/>
                <w:szCs w:val="20"/>
                <w:color w:val="auto"/>
              </w:rPr>
            </w:pPr>
            <w:r>
              <w:rPr>
                <w:rFonts w:ascii="Arial" w:cs="Arial" w:eastAsia="Arial" w:hAnsi="Arial"/>
                <w:sz w:val="16"/>
                <w:szCs w:val="16"/>
                <w:color w:val="0000FF"/>
              </w:rPr>
              <w:t>Financial Statements</w:t>
            </w:r>
          </w:p>
        </w:tc>
        <w:tc>
          <w:tcPr>
            <w:tcW w:w="7400" w:type="dxa"/>
            <w:vAlign w:val="bottom"/>
            <w:tcBorders>
              <w:top w:val="single" w:sz="8" w:color="CCEEFF"/>
            </w:tcBorders>
            <w:gridSpan w:val="23"/>
          </w:tcPr>
          <w:p>
            <w:pPr>
              <w:spacing w:after="0"/>
              <w:rPr>
                <w:sz w:val="15"/>
                <w:szCs w:val="15"/>
                <w:color w:val="auto"/>
              </w:rPr>
            </w:pPr>
          </w:p>
        </w:tc>
        <w:tc>
          <w:tcPr>
            <w:tcW w:w="120" w:type="dxa"/>
            <w:vAlign w:val="bottom"/>
            <w:tcBorders>
              <w:top w:val="single" w:sz="8" w:color="CCEEFF"/>
            </w:tcBorders>
            <w:gridSpan w:val="3"/>
          </w:tcPr>
          <w:p>
            <w:pPr>
              <w:spacing w:after="0"/>
              <w:rPr>
                <w:sz w:val="15"/>
                <w:szCs w:val="15"/>
                <w:color w:val="auto"/>
              </w:rPr>
            </w:pPr>
          </w:p>
        </w:tc>
        <w:tc>
          <w:tcPr>
            <w:tcW w:w="100" w:type="dxa"/>
            <w:vAlign w:val="bottom"/>
            <w:tcBorders>
              <w:top w:val="single" w:sz="8" w:color="0000FF"/>
            </w:tcBorders>
          </w:tcPr>
          <w:p>
            <w:pPr>
              <w:jc w:val="center"/>
              <w:spacing w:after="0" w:line="175" w:lineRule="exact"/>
              <w:rPr>
                <w:sz w:val="20"/>
                <w:szCs w:val="20"/>
                <w:color w:val="auto"/>
              </w:rPr>
            </w:pPr>
            <w:r>
              <w:rPr>
                <w:rFonts w:ascii="Arial" w:cs="Arial" w:eastAsia="Arial" w:hAnsi="Arial"/>
                <w:sz w:val="16"/>
                <w:szCs w:val="16"/>
                <w:color w:val="0000FF"/>
              </w:rPr>
              <w:t>3</w:t>
            </w: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660" w:type="dxa"/>
            <w:vAlign w:val="bottom"/>
            <w:tcBorders>
              <w:top w:val="single" w:sz="8" w:color="CCEEFF"/>
            </w:tcBorders>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360" w:type="dxa"/>
            <w:vAlign w:val="bottom"/>
            <w:tcBorders>
              <w:top w:val="single" w:sz="8" w:color="0000FF"/>
            </w:tcBorders>
            <w:gridSpan w:val="11"/>
          </w:tcPr>
          <w:p>
            <w:pPr>
              <w:spacing w:after="0" w:line="20" w:lineRule="exact"/>
              <w:rPr>
                <w:sz w:val="1"/>
                <w:szCs w:val="1"/>
                <w:color w:val="auto"/>
              </w:rPr>
            </w:pPr>
          </w:p>
        </w:tc>
        <w:tc>
          <w:tcPr>
            <w:tcW w:w="8160" w:type="dxa"/>
            <w:vAlign w:val="bottom"/>
            <w:gridSpan w:val="38"/>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0" w:type="dxa"/>
            <w:vAlign w:val="bottom"/>
            <w:gridSpan w:val="46"/>
            <w:shd w:val="clear" w:color="auto" w:fill="CCEEFF"/>
          </w:tcPr>
          <w:p>
            <w:pPr>
              <w:spacing w:after="0" w:line="175" w:lineRule="exact"/>
              <w:rPr>
                <w:sz w:val="20"/>
                <w:szCs w:val="20"/>
                <w:color w:val="auto"/>
              </w:rPr>
            </w:pPr>
            <w:r>
              <w:rPr>
                <w:rFonts w:ascii="Arial" w:cs="Arial" w:eastAsia="Arial" w:hAnsi="Arial"/>
                <w:sz w:val="16"/>
                <w:szCs w:val="16"/>
                <w:color w:val="0000FF"/>
              </w:rPr>
              <w:t>Consolidated Statements of Operations</w:t>
            </w:r>
          </w:p>
        </w:tc>
        <w:tc>
          <w:tcPr>
            <w:tcW w:w="220" w:type="dxa"/>
            <w:vAlign w:val="bottom"/>
            <w:gridSpan w:val="4"/>
            <w:shd w:val="clear" w:color="auto" w:fill="CCEEFF"/>
          </w:tcPr>
          <w:p>
            <w:pPr>
              <w:jc w:val="center"/>
              <w:ind w:left="39"/>
              <w:spacing w:after="0" w:line="175" w:lineRule="exact"/>
              <w:rPr>
                <w:sz w:val="20"/>
                <w:szCs w:val="20"/>
                <w:color w:val="auto"/>
              </w:rPr>
            </w:pPr>
            <w:r>
              <w:rPr>
                <w:rFonts w:ascii="Arial" w:cs="Arial" w:eastAsia="Arial" w:hAnsi="Arial"/>
                <w:sz w:val="16"/>
                <w:szCs w:val="16"/>
                <w:color w:val="0000FF"/>
              </w:rPr>
              <w:t>3</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r>
      <w:tr>
        <w:trPr>
          <w:trHeight w:val="21"/>
        </w:trPr>
        <w:tc>
          <w:tcPr>
            <w:tcW w:w="840" w:type="dxa"/>
            <w:vAlign w:val="bottom"/>
            <w:tcBorders>
              <w:top w:val="single" w:sz="8" w:color="CCEEFF"/>
            </w:tcBorders>
            <w:gridSpan w:val="5"/>
            <w:shd w:val="clear" w:color="auto" w:fill="CCEEFF"/>
          </w:tcPr>
          <w:p>
            <w:pPr>
              <w:spacing w:after="0" w:line="20" w:lineRule="exact"/>
              <w:rPr>
                <w:sz w:val="1"/>
                <w:szCs w:val="1"/>
                <w:color w:val="auto"/>
              </w:rPr>
            </w:pPr>
          </w:p>
        </w:tc>
        <w:tc>
          <w:tcPr>
            <w:tcW w:w="2540" w:type="dxa"/>
            <w:vAlign w:val="bottom"/>
            <w:tcBorders>
              <w:top w:val="single" w:sz="8" w:color="0000FF"/>
            </w:tcBorders>
            <w:gridSpan w:val="31"/>
            <w:shd w:val="clear" w:color="auto" w:fill="CCEEFF"/>
          </w:tcPr>
          <w:p>
            <w:pPr>
              <w:spacing w:after="0" w:line="20" w:lineRule="exact"/>
              <w:rPr>
                <w:sz w:val="1"/>
                <w:szCs w:val="1"/>
                <w:color w:val="auto"/>
              </w:rPr>
            </w:pPr>
          </w:p>
        </w:tc>
        <w:tc>
          <w:tcPr>
            <w:tcW w:w="6980" w:type="dxa"/>
            <w:vAlign w:val="bottom"/>
            <w:tcBorders>
              <w:top w:val="single" w:sz="8" w:color="CCEEFF"/>
            </w:tcBorders>
            <w:gridSpan w:val="18"/>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CCEEFF"/>
            </w:tcBorders>
            <w:gridSpan w:val="4"/>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0" w:type="dxa"/>
            <w:vAlign w:val="bottom"/>
            <w:gridSpan w:val="46"/>
          </w:tcPr>
          <w:p>
            <w:pPr>
              <w:spacing w:after="0" w:line="175" w:lineRule="exact"/>
              <w:rPr>
                <w:sz w:val="20"/>
                <w:szCs w:val="20"/>
                <w:color w:val="auto"/>
              </w:rPr>
            </w:pPr>
            <w:r>
              <w:rPr>
                <w:rFonts w:ascii="Arial" w:cs="Arial" w:eastAsia="Arial" w:hAnsi="Arial"/>
                <w:sz w:val="16"/>
                <w:szCs w:val="16"/>
                <w:color w:val="0000FF"/>
              </w:rPr>
              <w:t>Consolidated Statements of Comprehensive Loss</w:t>
            </w:r>
          </w:p>
        </w:tc>
        <w:tc>
          <w:tcPr>
            <w:tcW w:w="220" w:type="dxa"/>
            <w:vAlign w:val="bottom"/>
            <w:gridSpan w:val="4"/>
          </w:tcPr>
          <w:p>
            <w:pPr>
              <w:jc w:val="center"/>
              <w:ind w:left="39"/>
              <w:spacing w:after="0" w:line="175" w:lineRule="exact"/>
              <w:rPr>
                <w:sz w:val="20"/>
                <w:szCs w:val="20"/>
                <w:color w:val="auto"/>
              </w:rPr>
            </w:pPr>
            <w:r>
              <w:rPr>
                <w:rFonts w:ascii="Arial" w:cs="Arial" w:eastAsia="Arial" w:hAnsi="Arial"/>
                <w:sz w:val="16"/>
                <w:szCs w:val="16"/>
                <w:color w:val="0000FF"/>
              </w:rPr>
              <w:t>4</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21"/>
        </w:trPr>
        <w:tc>
          <w:tcPr>
            <w:tcW w:w="840" w:type="dxa"/>
            <w:vAlign w:val="bottom"/>
            <w:gridSpan w:val="5"/>
          </w:tcPr>
          <w:p>
            <w:pPr>
              <w:spacing w:after="0" w:line="20" w:lineRule="exact"/>
              <w:rPr>
                <w:sz w:val="1"/>
                <w:szCs w:val="1"/>
                <w:color w:val="auto"/>
              </w:rPr>
            </w:pPr>
          </w:p>
        </w:tc>
        <w:tc>
          <w:tcPr>
            <w:tcW w:w="3200" w:type="dxa"/>
            <w:vAlign w:val="bottom"/>
            <w:tcBorders>
              <w:top w:val="single" w:sz="8" w:color="0000FF"/>
            </w:tcBorders>
            <w:gridSpan w:val="39"/>
          </w:tcPr>
          <w:p>
            <w:pPr>
              <w:spacing w:after="0" w:line="20" w:lineRule="exact"/>
              <w:rPr>
                <w:sz w:val="1"/>
                <w:szCs w:val="1"/>
                <w:color w:val="auto"/>
              </w:rPr>
            </w:pPr>
          </w:p>
        </w:tc>
        <w:tc>
          <w:tcPr>
            <w:tcW w:w="6320" w:type="dxa"/>
            <w:vAlign w:val="bottom"/>
            <w:gridSpan w:val="10"/>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0" w:type="dxa"/>
            <w:vAlign w:val="bottom"/>
            <w:gridSpan w:val="46"/>
            <w:shd w:val="clear" w:color="auto" w:fill="CCEEFF"/>
          </w:tcPr>
          <w:p>
            <w:pPr>
              <w:spacing w:after="0" w:line="175" w:lineRule="exact"/>
              <w:rPr>
                <w:sz w:val="20"/>
                <w:szCs w:val="20"/>
                <w:color w:val="auto"/>
              </w:rPr>
            </w:pPr>
            <w:r>
              <w:rPr>
                <w:rFonts w:ascii="Arial" w:cs="Arial" w:eastAsia="Arial" w:hAnsi="Arial"/>
                <w:sz w:val="16"/>
                <w:szCs w:val="16"/>
                <w:color w:val="0000FF"/>
              </w:rPr>
              <w:t>Consolidated Balance Sheets</w:t>
            </w:r>
          </w:p>
        </w:tc>
        <w:tc>
          <w:tcPr>
            <w:tcW w:w="220" w:type="dxa"/>
            <w:vAlign w:val="bottom"/>
            <w:gridSpan w:val="4"/>
            <w:shd w:val="clear" w:color="auto" w:fill="CCEEFF"/>
          </w:tcPr>
          <w:p>
            <w:pPr>
              <w:jc w:val="center"/>
              <w:ind w:left="39"/>
              <w:spacing w:after="0" w:line="175" w:lineRule="exact"/>
              <w:rPr>
                <w:sz w:val="20"/>
                <w:szCs w:val="20"/>
                <w:color w:val="auto"/>
              </w:rPr>
            </w:pPr>
            <w:r>
              <w:rPr>
                <w:rFonts w:ascii="Arial" w:cs="Arial" w:eastAsia="Arial" w:hAnsi="Arial"/>
                <w:sz w:val="16"/>
                <w:szCs w:val="16"/>
                <w:color w:val="0000FF"/>
              </w:rPr>
              <w:t>5</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r>
      <w:tr>
        <w:trPr>
          <w:trHeight w:val="20"/>
        </w:trPr>
        <w:tc>
          <w:tcPr>
            <w:tcW w:w="840" w:type="dxa"/>
            <w:vAlign w:val="bottom"/>
            <w:tcBorders>
              <w:top w:val="single" w:sz="8" w:color="CCEEFF"/>
            </w:tcBorders>
            <w:gridSpan w:val="5"/>
            <w:shd w:val="clear" w:color="auto" w:fill="CCEEFF"/>
          </w:tcPr>
          <w:p>
            <w:pPr>
              <w:spacing w:after="0" w:line="20" w:lineRule="exact"/>
              <w:rPr>
                <w:sz w:val="1"/>
                <w:szCs w:val="1"/>
                <w:color w:val="auto"/>
              </w:rPr>
            </w:pPr>
          </w:p>
        </w:tc>
        <w:tc>
          <w:tcPr>
            <w:tcW w:w="1880" w:type="dxa"/>
            <w:vAlign w:val="bottom"/>
            <w:tcBorders>
              <w:top w:val="single" w:sz="8" w:color="0000FF"/>
            </w:tcBorders>
            <w:gridSpan w:val="18"/>
            <w:shd w:val="clear" w:color="auto" w:fill="CCEEFF"/>
          </w:tcPr>
          <w:p>
            <w:pPr>
              <w:spacing w:after="0" w:line="20" w:lineRule="exact"/>
              <w:rPr>
                <w:sz w:val="1"/>
                <w:szCs w:val="1"/>
                <w:color w:val="auto"/>
              </w:rPr>
            </w:pPr>
          </w:p>
        </w:tc>
        <w:tc>
          <w:tcPr>
            <w:tcW w:w="7640" w:type="dxa"/>
            <w:vAlign w:val="bottom"/>
            <w:tcBorders>
              <w:top w:val="single" w:sz="8" w:color="CCEEFF"/>
            </w:tcBorders>
            <w:gridSpan w:val="31"/>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CCEEFF"/>
            </w:tcBorders>
            <w:gridSpan w:val="4"/>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0" w:type="dxa"/>
            <w:vAlign w:val="bottom"/>
            <w:gridSpan w:val="46"/>
          </w:tcPr>
          <w:p>
            <w:pPr>
              <w:spacing w:after="0" w:line="175" w:lineRule="exact"/>
              <w:rPr>
                <w:sz w:val="20"/>
                <w:szCs w:val="20"/>
                <w:color w:val="auto"/>
              </w:rPr>
            </w:pPr>
            <w:r>
              <w:rPr>
                <w:rFonts w:ascii="Arial" w:cs="Arial" w:eastAsia="Arial" w:hAnsi="Arial"/>
                <w:sz w:val="16"/>
                <w:szCs w:val="16"/>
                <w:color w:val="0000FF"/>
              </w:rPr>
              <w:t>Consolidated Statements of Cash Flows</w:t>
            </w:r>
          </w:p>
        </w:tc>
        <w:tc>
          <w:tcPr>
            <w:tcW w:w="220" w:type="dxa"/>
            <w:vAlign w:val="bottom"/>
            <w:gridSpan w:val="4"/>
          </w:tcPr>
          <w:p>
            <w:pPr>
              <w:jc w:val="center"/>
              <w:ind w:left="39"/>
              <w:spacing w:after="0" w:line="175" w:lineRule="exact"/>
              <w:rPr>
                <w:sz w:val="20"/>
                <w:szCs w:val="20"/>
                <w:color w:val="auto"/>
              </w:rPr>
            </w:pPr>
            <w:r>
              <w:rPr>
                <w:rFonts w:ascii="Arial" w:cs="Arial" w:eastAsia="Arial" w:hAnsi="Arial"/>
                <w:sz w:val="16"/>
                <w:szCs w:val="16"/>
                <w:color w:val="0000FF"/>
              </w:rPr>
              <w:t>6</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20"/>
        </w:trPr>
        <w:tc>
          <w:tcPr>
            <w:tcW w:w="840" w:type="dxa"/>
            <w:vAlign w:val="bottom"/>
            <w:gridSpan w:val="5"/>
          </w:tcPr>
          <w:p>
            <w:pPr>
              <w:spacing w:after="0" w:line="20" w:lineRule="exact"/>
              <w:rPr>
                <w:sz w:val="1"/>
                <w:szCs w:val="1"/>
                <w:color w:val="auto"/>
              </w:rPr>
            </w:pPr>
          </w:p>
        </w:tc>
        <w:tc>
          <w:tcPr>
            <w:tcW w:w="2600" w:type="dxa"/>
            <w:vAlign w:val="bottom"/>
            <w:tcBorders>
              <w:top w:val="single" w:sz="8" w:color="0000FF"/>
            </w:tcBorders>
            <w:gridSpan w:val="33"/>
          </w:tcPr>
          <w:p>
            <w:pPr>
              <w:spacing w:after="0" w:line="20" w:lineRule="exact"/>
              <w:rPr>
                <w:sz w:val="1"/>
                <w:szCs w:val="1"/>
                <w:color w:val="auto"/>
              </w:rPr>
            </w:pPr>
          </w:p>
        </w:tc>
        <w:tc>
          <w:tcPr>
            <w:tcW w:w="6920" w:type="dxa"/>
            <w:vAlign w:val="bottom"/>
            <w:gridSpan w:val="16"/>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0" w:type="dxa"/>
            <w:vAlign w:val="bottom"/>
            <w:gridSpan w:val="46"/>
            <w:shd w:val="clear" w:color="auto" w:fill="CCEEFF"/>
          </w:tcPr>
          <w:p>
            <w:pPr>
              <w:spacing w:after="0" w:line="175" w:lineRule="exact"/>
              <w:rPr>
                <w:sz w:val="20"/>
                <w:szCs w:val="20"/>
                <w:color w:val="auto"/>
              </w:rPr>
            </w:pPr>
            <w:r>
              <w:rPr>
                <w:rFonts w:ascii="Arial" w:cs="Arial" w:eastAsia="Arial" w:hAnsi="Arial"/>
                <w:sz w:val="16"/>
                <w:szCs w:val="16"/>
                <w:color w:val="0000FF"/>
              </w:rPr>
              <w:t>Consolidated Statements of Changes in Stockholders’ Equity</w:t>
            </w:r>
          </w:p>
        </w:tc>
        <w:tc>
          <w:tcPr>
            <w:tcW w:w="220" w:type="dxa"/>
            <w:vAlign w:val="bottom"/>
            <w:gridSpan w:val="4"/>
            <w:shd w:val="clear" w:color="auto" w:fill="CCEEFF"/>
          </w:tcPr>
          <w:p>
            <w:pPr>
              <w:jc w:val="center"/>
              <w:ind w:left="39"/>
              <w:spacing w:after="0" w:line="175" w:lineRule="exact"/>
              <w:rPr>
                <w:sz w:val="20"/>
                <w:szCs w:val="20"/>
                <w:color w:val="auto"/>
              </w:rPr>
            </w:pPr>
            <w:r>
              <w:rPr>
                <w:rFonts w:ascii="Arial" w:cs="Arial" w:eastAsia="Arial" w:hAnsi="Arial"/>
                <w:sz w:val="16"/>
                <w:szCs w:val="16"/>
                <w:color w:val="0000FF"/>
              </w:rPr>
              <w:t>7</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175"/>
        </w:trPr>
        <w:tc>
          <w:tcPr>
            <w:tcW w:w="20" w:type="dxa"/>
            <w:vAlign w:val="bottom"/>
            <w:tcBorders>
              <w:top w:val="single" w:sz="8" w:color="CCEEFF"/>
            </w:tcBorders>
          </w:tcPr>
          <w:p>
            <w:pPr>
              <w:spacing w:after="0"/>
              <w:rPr>
                <w:sz w:val="15"/>
                <w:szCs w:val="15"/>
                <w:color w:val="auto"/>
              </w:rPr>
            </w:pPr>
          </w:p>
        </w:tc>
        <w:tc>
          <w:tcPr>
            <w:tcW w:w="46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3960" w:type="dxa"/>
            <w:vAlign w:val="bottom"/>
            <w:tcBorders>
              <w:top w:val="single" w:sz="8" w:color="0000FF"/>
            </w:tcBorders>
            <w:gridSpan w:val="44"/>
          </w:tcPr>
          <w:p>
            <w:pPr>
              <w:spacing w:after="0" w:line="175" w:lineRule="exact"/>
              <w:rPr>
                <w:sz w:val="20"/>
                <w:szCs w:val="20"/>
                <w:color w:val="auto"/>
              </w:rPr>
            </w:pPr>
            <w:r>
              <w:rPr>
                <w:rFonts w:ascii="Arial" w:cs="Arial" w:eastAsia="Arial" w:hAnsi="Arial"/>
                <w:sz w:val="16"/>
                <w:szCs w:val="16"/>
                <w:color w:val="0000FF"/>
              </w:rPr>
              <w:t>Notes to Consolidated Financial Statements</w:t>
            </w:r>
          </w:p>
        </w:tc>
        <w:tc>
          <w:tcPr>
            <w:tcW w:w="5440" w:type="dxa"/>
            <w:vAlign w:val="bottom"/>
            <w:tcBorders>
              <w:top w:val="single" w:sz="8" w:color="CCEEFF"/>
            </w:tcBorders>
            <w:gridSpan w:val="2"/>
          </w:tcPr>
          <w:p>
            <w:pPr>
              <w:spacing w:after="0"/>
              <w:rPr>
                <w:sz w:val="15"/>
                <w:szCs w:val="15"/>
                <w:color w:val="auto"/>
              </w:rPr>
            </w:pPr>
          </w:p>
        </w:tc>
        <w:tc>
          <w:tcPr>
            <w:tcW w:w="120" w:type="dxa"/>
            <w:vAlign w:val="bottom"/>
            <w:tcBorders>
              <w:top w:val="single" w:sz="8" w:color="CCEEFF"/>
            </w:tcBorders>
            <w:gridSpan w:val="3"/>
          </w:tcPr>
          <w:p>
            <w:pPr>
              <w:spacing w:after="0"/>
              <w:rPr>
                <w:sz w:val="15"/>
                <w:szCs w:val="15"/>
                <w:color w:val="auto"/>
              </w:rPr>
            </w:pPr>
          </w:p>
        </w:tc>
        <w:tc>
          <w:tcPr>
            <w:tcW w:w="100" w:type="dxa"/>
            <w:vAlign w:val="bottom"/>
            <w:tcBorders>
              <w:top w:val="single" w:sz="8" w:color="0000FF"/>
            </w:tcBorders>
          </w:tcPr>
          <w:p>
            <w:pPr>
              <w:jc w:val="center"/>
              <w:spacing w:after="0" w:line="175" w:lineRule="exact"/>
              <w:rPr>
                <w:sz w:val="20"/>
                <w:szCs w:val="20"/>
                <w:color w:val="auto"/>
              </w:rPr>
            </w:pPr>
            <w:r>
              <w:rPr>
                <w:rFonts w:ascii="Arial" w:cs="Arial" w:eastAsia="Arial" w:hAnsi="Arial"/>
                <w:sz w:val="16"/>
                <w:szCs w:val="16"/>
                <w:color w:val="0000FF"/>
              </w:rPr>
              <w:t>8</w:t>
            </w: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660" w:type="dxa"/>
            <w:vAlign w:val="bottom"/>
            <w:tcBorders>
              <w:top w:val="single" w:sz="8" w:color="CCEEFF"/>
            </w:tcBorders>
          </w:tcPr>
          <w:p>
            <w:pPr>
              <w:spacing w:after="0"/>
              <w:rPr>
                <w:sz w:val="15"/>
                <w:szCs w:val="15"/>
                <w:color w:val="auto"/>
              </w:rPr>
            </w:pPr>
          </w:p>
        </w:tc>
      </w:tr>
      <w:tr>
        <w:trPr>
          <w:trHeight w:val="21"/>
        </w:trPr>
        <w:tc>
          <w:tcPr>
            <w:tcW w:w="840" w:type="dxa"/>
            <w:vAlign w:val="bottom"/>
            <w:gridSpan w:val="5"/>
          </w:tcPr>
          <w:p>
            <w:pPr>
              <w:spacing w:after="0" w:line="20" w:lineRule="exact"/>
              <w:rPr>
                <w:sz w:val="1"/>
                <w:szCs w:val="1"/>
                <w:color w:val="auto"/>
              </w:rPr>
            </w:pPr>
          </w:p>
        </w:tc>
        <w:tc>
          <w:tcPr>
            <w:tcW w:w="2840" w:type="dxa"/>
            <w:vAlign w:val="bottom"/>
            <w:tcBorders>
              <w:top w:val="single" w:sz="8" w:color="0000FF"/>
            </w:tcBorders>
            <w:gridSpan w:val="37"/>
          </w:tcPr>
          <w:p>
            <w:pPr>
              <w:spacing w:after="0" w:line="20" w:lineRule="exact"/>
              <w:rPr>
                <w:sz w:val="1"/>
                <w:szCs w:val="1"/>
                <w:color w:val="auto"/>
              </w:rPr>
            </w:pPr>
          </w:p>
        </w:tc>
        <w:tc>
          <w:tcPr>
            <w:tcW w:w="6680" w:type="dxa"/>
            <w:vAlign w:val="bottom"/>
            <w:gridSpan w:val="12"/>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0" w:type="dxa"/>
            <w:vAlign w:val="bottom"/>
            <w:gridSpan w:val="46"/>
            <w:shd w:val="clear" w:color="auto" w:fill="CCEEFF"/>
          </w:tcPr>
          <w:p>
            <w:pPr>
              <w:ind w:left="340"/>
              <w:spacing w:after="0" w:line="175" w:lineRule="exact"/>
              <w:rPr>
                <w:sz w:val="20"/>
                <w:szCs w:val="20"/>
                <w:color w:val="auto"/>
              </w:rPr>
            </w:pPr>
            <w:r>
              <w:rPr>
                <w:rFonts w:ascii="Arial" w:cs="Arial" w:eastAsia="Arial" w:hAnsi="Arial"/>
                <w:sz w:val="16"/>
                <w:szCs w:val="16"/>
                <w:color w:val="0000FF"/>
              </w:rPr>
              <w:t>1. Organization</w:t>
            </w:r>
          </w:p>
        </w:tc>
        <w:tc>
          <w:tcPr>
            <w:tcW w:w="220" w:type="dxa"/>
            <w:vAlign w:val="bottom"/>
            <w:gridSpan w:val="4"/>
            <w:shd w:val="clear" w:color="auto" w:fill="CCEEFF"/>
          </w:tcPr>
          <w:p>
            <w:pPr>
              <w:jc w:val="center"/>
              <w:ind w:left="39"/>
              <w:spacing w:after="0" w:line="175" w:lineRule="exact"/>
              <w:rPr>
                <w:sz w:val="20"/>
                <w:szCs w:val="20"/>
                <w:color w:val="auto"/>
              </w:rPr>
            </w:pPr>
            <w:r>
              <w:rPr>
                <w:rFonts w:ascii="Arial" w:cs="Arial" w:eastAsia="Arial" w:hAnsi="Arial"/>
                <w:sz w:val="16"/>
                <w:szCs w:val="16"/>
                <w:color w:val="0000FF"/>
              </w:rPr>
              <w:t>8</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r>
      <w:tr>
        <w:trPr>
          <w:trHeight w:val="21"/>
        </w:trPr>
        <w:tc>
          <w:tcPr>
            <w:tcW w:w="1180" w:type="dxa"/>
            <w:vAlign w:val="bottom"/>
            <w:tcBorders>
              <w:top w:val="single" w:sz="8" w:color="CCEEFF"/>
            </w:tcBorders>
            <w:gridSpan w:val="6"/>
            <w:shd w:val="clear" w:color="auto" w:fill="CCEEFF"/>
          </w:tcPr>
          <w:p>
            <w:pPr>
              <w:spacing w:after="0" w:line="20" w:lineRule="exact"/>
              <w:rPr>
                <w:sz w:val="1"/>
                <w:szCs w:val="1"/>
                <w:color w:val="auto"/>
              </w:rPr>
            </w:pPr>
          </w:p>
        </w:tc>
        <w:tc>
          <w:tcPr>
            <w:tcW w:w="1000" w:type="dxa"/>
            <w:vAlign w:val="bottom"/>
            <w:tcBorders>
              <w:top w:val="single" w:sz="8" w:color="0000FF"/>
            </w:tcBorders>
            <w:gridSpan w:val="9"/>
            <w:shd w:val="clear" w:color="auto" w:fill="CCEEFF"/>
          </w:tcPr>
          <w:p>
            <w:pPr>
              <w:spacing w:after="0" w:line="20" w:lineRule="exact"/>
              <w:rPr>
                <w:sz w:val="1"/>
                <w:szCs w:val="1"/>
                <w:color w:val="auto"/>
              </w:rPr>
            </w:pPr>
          </w:p>
        </w:tc>
        <w:tc>
          <w:tcPr>
            <w:tcW w:w="8180" w:type="dxa"/>
            <w:vAlign w:val="bottom"/>
            <w:tcBorders>
              <w:top w:val="single" w:sz="8" w:color="CCEEFF"/>
            </w:tcBorders>
            <w:gridSpan w:val="39"/>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CCEEFF"/>
            </w:tcBorders>
            <w:gridSpan w:val="4"/>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0" w:type="dxa"/>
            <w:vAlign w:val="bottom"/>
            <w:gridSpan w:val="46"/>
          </w:tcPr>
          <w:p>
            <w:pPr>
              <w:ind w:left="340"/>
              <w:spacing w:after="0" w:line="175" w:lineRule="exact"/>
              <w:rPr>
                <w:sz w:val="20"/>
                <w:szCs w:val="20"/>
                <w:color w:val="auto"/>
              </w:rPr>
            </w:pPr>
            <w:r>
              <w:rPr>
                <w:rFonts w:ascii="Arial" w:cs="Arial" w:eastAsia="Arial" w:hAnsi="Arial"/>
                <w:sz w:val="16"/>
                <w:szCs w:val="16"/>
                <w:color w:val="0000FF"/>
              </w:rPr>
              <w:t>2. Significant Accounting Policies</w:t>
            </w:r>
          </w:p>
        </w:tc>
        <w:tc>
          <w:tcPr>
            <w:tcW w:w="220" w:type="dxa"/>
            <w:vAlign w:val="bottom"/>
            <w:gridSpan w:val="4"/>
          </w:tcPr>
          <w:p>
            <w:pPr>
              <w:jc w:val="center"/>
              <w:ind w:left="39"/>
              <w:spacing w:after="0" w:line="175" w:lineRule="exact"/>
              <w:rPr>
                <w:sz w:val="20"/>
                <w:szCs w:val="20"/>
                <w:color w:val="auto"/>
              </w:rPr>
            </w:pPr>
            <w:r>
              <w:rPr>
                <w:rFonts w:ascii="Arial" w:cs="Arial" w:eastAsia="Arial" w:hAnsi="Arial"/>
                <w:sz w:val="16"/>
                <w:szCs w:val="16"/>
                <w:color w:val="0000FF"/>
              </w:rPr>
              <w:t>8</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21"/>
        </w:trPr>
        <w:tc>
          <w:tcPr>
            <w:tcW w:w="1180" w:type="dxa"/>
            <w:vAlign w:val="bottom"/>
            <w:gridSpan w:val="6"/>
          </w:tcPr>
          <w:p>
            <w:pPr>
              <w:spacing w:after="0" w:line="20" w:lineRule="exact"/>
              <w:rPr>
                <w:sz w:val="1"/>
                <w:szCs w:val="1"/>
                <w:color w:val="auto"/>
              </w:rPr>
            </w:pPr>
          </w:p>
        </w:tc>
        <w:tc>
          <w:tcPr>
            <w:tcW w:w="2220" w:type="dxa"/>
            <w:vAlign w:val="bottom"/>
            <w:tcBorders>
              <w:top w:val="single" w:sz="8" w:color="0000FF"/>
            </w:tcBorders>
            <w:gridSpan w:val="31"/>
          </w:tcPr>
          <w:p>
            <w:pPr>
              <w:spacing w:after="0" w:line="20" w:lineRule="exact"/>
              <w:rPr>
                <w:sz w:val="1"/>
                <w:szCs w:val="1"/>
                <w:color w:val="auto"/>
              </w:rPr>
            </w:pPr>
          </w:p>
        </w:tc>
        <w:tc>
          <w:tcPr>
            <w:tcW w:w="6960" w:type="dxa"/>
            <w:vAlign w:val="bottom"/>
            <w:gridSpan w:val="17"/>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0" w:type="dxa"/>
            <w:vAlign w:val="bottom"/>
            <w:gridSpan w:val="46"/>
            <w:shd w:val="clear" w:color="auto" w:fill="CCEEFF"/>
          </w:tcPr>
          <w:p>
            <w:pPr>
              <w:ind w:left="340"/>
              <w:spacing w:after="0" w:line="175" w:lineRule="exact"/>
              <w:rPr>
                <w:sz w:val="20"/>
                <w:szCs w:val="20"/>
                <w:color w:val="auto"/>
              </w:rPr>
            </w:pPr>
            <w:r>
              <w:rPr>
                <w:rFonts w:ascii="Arial" w:cs="Arial" w:eastAsia="Arial" w:hAnsi="Arial"/>
                <w:sz w:val="16"/>
                <w:szCs w:val="16"/>
                <w:color w:val="0000FF"/>
              </w:rPr>
              <w:t>3. Revenue Recognition</w:t>
            </w:r>
          </w:p>
        </w:tc>
        <w:tc>
          <w:tcPr>
            <w:tcW w:w="220" w:type="dxa"/>
            <w:vAlign w:val="bottom"/>
            <w:gridSpan w:val="4"/>
            <w:shd w:val="clear" w:color="auto" w:fill="CCEEFF"/>
          </w:tcPr>
          <w:p>
            <w:pPr>
              <w:jc w:val="center"/>
              <w:ind w:left="39"/>
              <w:spacing w:after="0" w:line="175" w:lineRule="exact"/>
              <w:rPr>
                <w:sz w:val="20"/>
                <w:szCs w:val="20"/>
                <w:color w:val="auto"/>
              </w:rPr>
            </w:pPr>
            <w:r>
              <w:rPr>
                <w:rFonts w:ascii="Arial" w:cs="Arial" w:eastAsia="Arial" w:hAnsi="Arial"/>
                <w:sz w:val="16"/>
                <w:szCs w:val="16"/>
                <w:color w:val="0000FF"/>
              </w:rPr>
              <w:t>9</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r>
      <w:tr>
        <w:trPr>
          <w:trHeight w:val="21"/>
        </w:trPr>
        <w:tc>
          <w:tcPr>
            <w:tcW w:w="1180" w:type="dxa"/>
            <w:vAlign w:val="bottom"/>
            <w:tcBorders>
              <w:top w:val="single" w:sz="8" w:color="CCEEFF"/>
            </w:tcBorders>
            <w:gridSpan w:val="6"/>
            <w:shd w:val="clear" w:color="auto" w:fill="CCEEFF"/>
          </w:tcPr>
          <w:p>
            <w:pPr>
              <w:spacing w:after="0" w:line="20" w:lineRule="exact"/>
              <w:rPr>
                <w:sz w:val="1"/>
                <w:szCs w:val="1"/>
                <w:color w:val="auto"/>
              </w:rPr>
            </w:pPr>
          </w:p>
        </w:tc>
        <w:tc>
          <w:tcPr>
            <w:tcW w:w="1560" w:type="dxa"/>
            <w:vAlign w:val="bottom"/>
            <w:tcBorders>
              <w:top w:val="single" w:sz="8" w:color="0000FF"/>
            </w:tcBorders>
            <w:gridSpan w:val="18"/>
            <w:shd w:val="clear" w:color="auto" w:fill="CCEEFF"/>
          </w:tcPr>
          <w:p>
            <w:pPr>
              <w:spacing w:after="0" w:line="20" w:lineRule="exact"/>
              <w:rPr>
                <w:sz w:val="1"/>
                <w:szCs w:val="1"/>
                <w:color w:val="auto"/>
              </w:rPr>
            </w:pPr>
          </w:p>
        </w:tc>
        <w:tc>
          <w:tcPr>
            <w:tcW w:w="7620" w:type="dxa"/>
            <w:vAlign w:val="bottom"/>
            <w:tcBorders>
              <w:top w:val="single" w:sz="8" w:color="CCEEFF"/>
            </w:tcBorders>
            <w:gridSpan w:val="30"/>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CCEEFF"/>
            </w:tcBorders>
            <w:gridSpan w:val="4"/>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0" w:type="dxa"/>
            <w:vAlign w:val="bottom"/>
            <w:gridSpan w:val="46"/>
          </w:tcPr>
          <w:p>
            <w:pPr>
              <w:ind w:left="340"/>
              <w:spacing w:after="0" w:line="175" w:lineRule="exact"/>
              <w:rPr>
                <w:sz w:val="20"/>
                <w:szCs w:val="20"/>
                <w:color w:val="auto"/>
              </w:rPr>
            </w:pPr>
            <w:r>
              <w:rPr>
                <w:rFonts w:ascii="Arial" w:cs="Arial" w:eastAsia="Arial" w:hAnsi="Arial"/>
                <w:sz w:val="16"/>
                <w:szCs w:val="16"/>
                <w:color w:val="0000FF"/>
              </w:rPr>
              <w:t>4. Accounts Receivable, Net</w:t>
            </w:r>
          </w:p>
        </w:tc>
        <w:tc>
          <w:tcPr>
            <w:tcW w:w="260" w:type="dxa"/>
            <w:vAlign w:val="bottom"/>
            <w:gridSpan w:val="6"/>
          </w:tcPr>
          <w:p>
            <w:pPr>
              <w:jc w:val="center"/>
              <w:spacing w:after="0" w:line="175" w:lineRule="exact"/>
              <w:rPr>
                <w:sz w:val="20"/>
                <w:szCs w:val="20"/>
                <w:color w:val="auto"/>
              </w:rPr>
            </w:pPr>
            <w:r>
              <w:rPr>
                <w:rFonts w:ascii="Arial" w:cs="Arial" w:eastAsia="Arial" w:hAnsi="Arial"/>
                <w:sz w:val="16"/>
                <w:szCs w:val="16"/>
                <w:color w:val="0000FF"/>
                <w:w w:val="78"/>
              </w:rPr>
              <w:t>11</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20"/>
        </w:trPr>
        <w:tc>
          <w:tcPr>
            <w:tcW w:w="1180" w:type="dxa"/>
            <w:vAlign w:val="bottom"/>
            <w:gridSpan w:val="6"/>
          </w:tcPr>
          <w:p>
            <w:pPr>
              <w:spacing w:after="0" w:line="20" w:lineRule="exact"/>
              <w:rPr>
                <w:sz w:val="1"/>
                <w:szCs w:val="1"/>
                <w:color w:val="auto"/>
              </w:rPr>
            </w:pPr>
          </w:p>
        </w:tc>
        <w:tc>
          <w:tcPr>
            <w:tcW w:w="1840" w:type="dxa"/>
            <w:vAlign w:val="bottom"/>
            <w:tcBorders>
              <w:top w:val="single" w:sz="8" w:color="0000FF"/>
            </w:tcBorders>
            <w:gridSpan w:val="26"/>
          </w:tcPr>
          <w:p>
            <w:pPr>
              <w:spacing w:after="0" w:line="20" w:lineRule="exact"/>
              <w:rPr>
                <w:sz w:val="1"/>
                <w:szCs w:val="1"/>
                <w:color w:val="auto"/>
              </w:rPr>
            </w:pPr>
          </w:p>
        </w:tc>
        <w:tc>
          <w:tcPr>
            <w:tcW w:w="7320" w:type="dxa"/>
            <w:vAlign w:val="bottom"/>
            <w:gridSpan w:val="21"/>
          </w:tcPr>
          <w:p>
            <w:pPr>
              <w:spacing w:after="0" w:line="20" w:lineRule="exact"/>
              <w:rPr>
                <w:sz w:val="1"/>
                <w:szCs w:val="1"/>
                <w:color w:val="auto"/>
              </w:rPr>
            </w:pPr>
          </w:p>
        </w:tc>
        <w:tc>
          <w:tcPr>
            <w:tcW w:w="140" w:type="dxa"/>
            <w:vAlign w:val="bottom"/>
            <w:tcBorders>
              <w:top w:val="single" w:sz="8" w:color="0000FF"/>
            </w:tcBorders>
            <w:gridSpan w:val="3"/>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0" w:type="dxa"/>
            <w:vAlign w:val="bottom"/>
            <w:gridSpan w:val="46"/>
            <w:shd w:val="clear" w:color="auto" w:fill="CCEEFF"/>
          </w:tcPr>
          <w:p>
            <w:pPr>
              <w:ind w:left="340"/>
              <w:spacing w:after="0" w:line="175" w:lineRule="exact"/>
              <w:rPr>
                <w:sz w:val="20"/>
                <w:szCs w:val="20"/>
                <w:color w:val="auto"/>
              </w:rPr>
            </w:pPr>
            <w:r>
              <w:rPr>
                <w:rFonts w:ascii="Arial" w:cs="Arial" w:eastAsia="Arial" w:hAnsi="Arial"/>
                <w:sz w:val="16"/>
                <w:szCs w:val="16"/>
                <w:color w:val="0000FF"/>
              </w:rPr>
              <w:t>5. Inventories, Net</w:t>
            </w:r>
          </w:p>
        </w:tc>
        <w:tc>
          <w:tcPr>
            <w:tcW w:w="260" w:type="dxa"/>
            <w:vAlign w:val="bottom"/>
            <w:gridSpan w:val="6"/>
            <w:shd w:val="clear" w:color="auto" w:fill="CCEEFF"/>
          </w:tcPr>
          <w:p>
            <w:pPr>
              <w:jc w:val="center"/>
              <w:spacing w:after="0" w:line="175" w:lineRule="exact"/>
              <w:rPr>
                <w:sz w:val="20"/>
                <w:szCs w:val="20"/>
                <w:color w:val="auto"/>
              </w:rPr>
            </w:pPr>
            <w:r>
              <w:rPr>
                <w:rFonts w:ascii="Arial" w:cs="Arial" w:eastAsia="Arial" w:hAnsi="Arial"/>
                <w:sz w:val="16"/>
                <w:szCs w:val="16"/>
                <w:color w:val="0000FF"/>
                <w:w w:val="78"/>
              </w:rPr>
              <w:t>11</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r>
      <w:tr>
        <w:trPr>
          <w:trHeight w:val="21"/>
        </w:trPr>
        <w:tc>
          <w:tcPr>
            <w:tcW w:w="1180" w:type="dxa"/>
            <w:vAlign w:val="bottom"/>
            <w:tcBorders>
              <w:top w:val="single" w:sz="8" w:color="CCEEFF"/>
            </w:tcBorders>
            <w:gridSpan w:val="6"/>
            <w:shd w:val="clear" w:color="auto" w:fill="CCEEFF"/>
          </w:tcPr>
          <w:p>
            <w:pPr>
              <w:spacing w:after="0" w:line="20" w:lineRule="exact"/>
              <w:rPr>
                <w:sz w:val="1"/>
                <w:szCs w:val="1"/>
                <w:color w:val="auto"/>
              </w:rPr>
            </w:pPr>
          </w:p>
        </w:tc>
        <w:tc>
          <w:tcPr>
            <w:tcW w:w="1200" w:type="dxa"/>
            <w:vAlign w:val="bottom"/>
            <w:tcBorders>
              <w:top w:val="single" w:sz="8" w:color="0000FF"/>
            </w:tcBorders>
            <w:gridSpan w:val="13"/>
            <w:shd w:val="clear" w:color="auto" w:fill="CCEEFF"/>
          </w:tcPr>
          <w:p>
            <w:pPr>
              <w:spacing w:after="0" w:line="20" w:lineRule="exact"/>
              <w:rPr>
                <w:sz w:val="1"/>
                <w:szCs w:val="1"/>
                <w:color w:val="auto"/>
              </w:rPr>
            </w:pPr>
          </w:p>
        </w:tc>
        <w:tc>
          <w:tcPr>
            <w:tcW w:w="7960" w:type="dxa"/>
            <w:vAlign w:val="bottom"/>
            <w:tcBorders>
              <w:top w:val="single" w:sz="8" w:color="CCEEFF"/>
            </w:tcBorders>
            <w:gridSpan w:val="34"/>
            <w:shd w:val="clear" w:color="auto" w:fill="CCEEFF"/>
          </w:tcPr>
          <w:p>
            <w:pPr>
              <w:spacing w:after="0" w:line="20" w:lineRule="exact"/>
              <w:rPr>
                <w:sz w:val="1"/>
                <w:szCs w:val="1"/>
                <w:color w:val="auto"/>
              </w:rPr>
            </w:pPr>
          </w:p>
        </w:tc>
        <w:tc>
          <w:tcPr>
            <w:tcW w:w="140" w:type="dxa"/>
            <w:vAlign w:val="bottom"/>
            <w:tcBorders>
              <w:top w:val="single" w:sz="8" w:color="0000FF"/>
            </w:tcBorders>
            <w:gridSpan w:val="3"/>
            <w:shd w:val="clear" w:color="auto" w:fill="CCEEFF"/>
          </w:tcPr>
          <w:p>
            <w:pPr>
              <w:spacing w:after="0" w:line="20" w:lineRule="exact"/>
              <w:rPr>
                <w:sz w:val="1"/>
                <w:szCs w:val="1"/>
                <w:color w:val="auto"/>
              </w:rPr>
            </w:pPr>
          </w:p>
        </w:tc>
        <w:tc>
          <w:tcPr>
            <w:tcW w:w="760" w:type="dxa"/>
            <w:vAlign w:val="bottom"/>
            <w:tcBorders>
              <w:top w:val="single" w:sz="8" w:color="CCEEFF"/>
            </w:tcBorders>
            <w:gridSpan w:val="3"/>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0" w:type="dxa"/>
            <w:vAlign w:val="bottom"/>
            <w:gridSpan w:val="46"/>
          </w:tcPr>
          <w:p>
            <w:pPr>
              <w:ind w:left="340"/>
              <w:spacing w:after="0" w:line="175" w:lineRule="exact"/>
              <w:rPr>
                <w:sz w:val="20"/>
                <w:szCs w:val="20"/>
                <w:color w:val="auto"/>
              </w:rPr>
            </w:pPr>
            <w:r>
              <w:rPr>
                <w:rFonts w:ascii="Arial" w:cs="Arial" w:eastAsia="Arial" w:hAnsi="Arial"/>
                <w:sz w:val="16"/>
                <w:szCs w:val="16"/>
                <w:color w:val="0000FF"/>
              </w:rPr>
              <w:t>6. Property and Equipment, Net</w:t>
            </w:r>
          </w:p>
        </w:tc>
        <w:tc>
          <w:tcPr>
            <w:tcW w:w="260" w:type="dxa"/>
            <w:vAlign w:val="bottom"/>
            <w:gridSpan w:val="6"/>
          </w:tcPr>
          <w:p>
            <w:pPr>
              <w:jc w:val="center"/>
              <w:spacing w:after="0" w:line="175" w:lineRule="exact"/>
              <w:rPr>
                <w:sz w:val="20"/>
                <w:szCs w:val="20"/>
                <w:color w:val="auto"/>
              </w:rPr>
            </w:pPr>
            <w:r>
              <w:rPr>
                <w:rFonts w:ascii="Arial" w:cs="Arial" w:eastAsia="Arial" w:hAnsi="Arial"/>
                <w:sz w:val="16"/>
                <w:szCs w:val="16"/>
                <w:color w:val="0000FF"/>
                <w:w w:val="78"/>
              </w:rPr>
              <w:t>11</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21"/>
        </w:trPr>
        <w:tc>
          <w:tcPr>
            <w:tcW w:w="1180" w:type="dxa"/>
            <w:vAlign w:val="bottom"/>
            <w:gridSpan w:val="6"/>
          </w:tcPr>
          <w:p>
            <w:pPr>
              <w:spacing w:after="0" w:line="20" w:lineRule="exact"/>
              <w:rPr>
                <w:sz w:val="1"/>
                <w:szCs w:val="1"/>
                <w:color w:val="auto"/>
              </w:rPr>
            </w:pPr>
          </w:p>
        </w:tc>
        <w:tc>
          <w:tcPr>
            <w:tcW w:w="2060" w:type="dxa"/>
            <w:vAlign w:val="bottom"/>
            <w:tcBorders>
              <w:top w:val="single" w:sz="8" w:color="0000FF"/>
            </w:tcBorders>
            <w:gridSpan w:val="29"/>
          </w:tcPr>
          <w:p>
            <w:pPr>
              <w:spacing w:after="0" w:line="20" w:lineRule="exact"/>
              <w:rPr>
                <w:sz w:val="1"/>
                <w:szCs w:val="1"/>
                <w:color w:val="auto"/>
              </w:rPr>
            </w:pPr>
          </w:p>
        </w:tc>
        <w:tc>
          <w:tcPr>
            <w:tcW w:w="7100" w:type="dxa"/>
            <w:vAlign w:val="bottom"/>
            <w:gridSpan w:val="18"/>
          </w:tcPr>
          <w:p>
            <w:pPr>
              <w:spacing w:after="0" w:line="20" w:lineRule="exact"/>
              <w:rPr>
                <w:sz w:val="1"/>
                <w:szCs w:val="1"/>
                <w:color w:val="auto"/>
              </w:rPr>
            </w:pPr>
          </w:p>
        </w:tc>
        <w:tc>
          <w:tcPr>
            <w:tcW w:w="140" w:type="dxa"/>
            <w:vAlign w:val="bottom"/>
            <w:tcBorders>
              <w:top w:val="single" w:sz="8" w:color="0000FF"/>
            </w:tcBorders>
            <w:gridSpan w:val="3"/>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0" w:type="dxa"/>
            <w:vAlign w:val="bottom"/>
            <w:gridSpan w:val="46"/>
            <w:shd w:val="clear" w:color="auto" w:fill="CCEEFF"/>
          </w:tcPr>
          <w:p>
            <w:pPr>
              <w:ind w:left="340"/>
              <w:spacing w:after="0" w:line="175" w:lineRule="exact"/>
              <w:rPr>
                <w:sz w:val="20"/>
                <w:szCs w:val="20"/>
                <w:color w:val="auto"/>
              </w:rPr>
            </w:pPr>
            <w:r>
              <w:rPr>
                <w:rFonts w:ascii="Arial" w:cs="Arial" w:eastAsia="Arial" w:hAnsi="Arial"/>
                <w:sz w:val="16"/>
                <w:szCs w:val="16"/>
                <w:color w:val="0000FF"/>
              </w:rPr>
              <w:t>7. Goodwill</w:t>
            </w:r>
          </w:p>
        </w:tc>
        <w:tc>
          <w:tcPr>
            <w:tcW w:w="260" w:type="dxa"/>
            <w:vAlign w:val="bottom"/>
            <w:gridSpan w:val="6"/>
            <w:shd w:val="clear" w:color="auto" w:fill="CCEEFF"/>
          </w:tcPr>
          <w:p>
            <w:pPr>
              <w:jc w:val="center"/>
              <w:spacing w:after="0" w:line="175" w:lineRule="exact"/>
              <w:rPr>
                <w:sz w:val="20"/>
                <w:szCs w:val="20"/>
                <w:color w:val="auto"/>
              </w:rPr>
            </w:pPr>
            <w:r>
              <w:rPr>
                <w:rFonts w:ascii="Arial" w:cs="Arial" w:eastAsia="Arial" w:hAnsi="Arial"/>
                <w:sz w:val="16"/>
                <w:szCs w:val="16"/>
                <w:color w:val="0000FF"/>
                <w:w w:val="78"/>
              </w:rPr>
              <w:t>11</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r>
      <w:tr>
        <w:trPr>
          <w:trHeight w:val="21"/>
        </w:trPr>
        <w:tc>
          <w:tcPr>
            <w:tcW w:w="1180" w:type="dxa"/>
            <w:vAlign w:val="bottom"/>
            <w:tcBorders>
              <w:top w:val="single" w:sz="8" w:color="CCEEFF"/>
            </w:tcBorders>
            <w:gridSpan w:val="6"/>
            <w:shd w:val="clear" w:color="auto" w:fill="CCEEFF"/>
          </w:tcPr>
          <w:p>
            <w:pPr>
              <w:spacing w:after="0" w:line="20" w:lineRule="exact"/>
              <w:rPr>
                <w:sz w:val="1"/>
                <w:szCs w:val="1"/>
                <w:color w:val="auto"/>
              </w:rPr>
            </w:pPr>
          </w:p>
        </w:tc>
        <w:tc>
          <w:tcPr>
            <w:tcW w:w="760" w:type="dxa"/>
            <w:vAlign w:val="bottom"/>
            <w:tcBorders>
              <w:top w:val="single" w:sz="8" w:color="0000FF"/>
            </w:tcBorders>
            <w:gridSpan w:val="4"/>
            <w:shd w:val="clear" w:color="auto" w:fill="CCEEFF"/>
          </w:tcPr>
          <w:p>
            <w:pPr>
              <w:spacing w:after="0" w:line="20" w:lineRule="exact"/>
              <w:rPr>
                <w:sz w:val="1"/>
                <w:szCs w:val="1"/>
                <w:color w:val="auto"/>
              </w:rPr>
            </w:pPr>
          </w:p>
        </w:tc>
        <w:tc>
          <w:tcPr>
            <w:tcW w:w="8400" w:type="dxa"/>
            <w:vAlign w:val="bottom"/>
            <w:tcBorders>
              <w:top w:val="single" w:sz="8" w:color="CCEEFF"/>
            </w:tcBorders>
            <w:gridSpan w:val="43"/>
            <w:shd w:val="clear" w:color="auto" w:fill="CCEEFF"/>
          </w:tcPr>
          <w:p>
            <w:pPr>
              <w:spacing w:after="0" w:line="20" w:lineRule="exact"/>
              <w:rPr>
                <w:sz w:val="1"/>
                <w:szCs w:val="1"/>
                <w:color w:val="auto"/>
              </w:rPr>
            </w:pPr>
          </w:p>
        </w:tc>
        <w:tc>
          <w:tcPr>
            <w:tcW w:w="140" w:type="dxa"/>
            <w:vAlign w:val="bottom"/>
            <w:tcBorders>
              <w:top w:val="single" w:sz="8" w:color="0000FF"/>
            </w:tcBorders>
            <w:gridSpan w:val="3"/>
            <w:shd w:val="clear" w:color="auto" w:fill="CCEEFF"/>
          </w:tcPr>
          <w:p>
            <w:pPr>
              <w:spacing w:after="0" w:line="20" w:lineRule="exact"/>
              <w:rPr>
                <w:sz w:val="1"/>
                <w:szCs w:val="1"/>
                <w:color w:val="auto"/>
              </w:rPr>
            </w:pPr>
          </w:p>
        </w:tc>
        <w:tc>
          <w:tcPr>
            <w:tcW w:w="760" w:type="dxa"/>
            <w:vAlign w:val="bottom"/>
            <w:tcBorders>
              <w:top w:val="single" w:sz="8" w:color="CCEEFF"/>
            </w:tcBorders>
            <w:gridSpan w:val="3"/>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0" w:type="dxa"/>
            <w:vAlign w:val="bottom"/>
            <w:gridSpan w:val="46"/>
          </w:tcPr>
          <w:p>
            <w:pPr>
              <w:ind w:left="340"/>
              <w:spacing w:after="0" w:line="175" w:lineRule="exact"/>
              <w:rPr>
                <w:sz w:val="20"/>
                <w:szCs w:val="20"/>
                <w:color w:val="auto"/>
              </w:rPr>
            </w:pPr>
            <w:r>
              <w:rPr>
                <w:rFonts w:ascii="Arial" w:cs="Arial" w:eastAsia="Arial" w:hAnsi="Arial"/>
                <w:sz w:val="16"/>
                <w:szCs w:val="16"/>
                <w:color w:val="0000FF"/>
              </w:rPr>
              <w:t>8. Intangible Assets, Net</w:t>
            </w:r>
          </w:p>
        </w:tc>
        <w:tc>
          <w:tcPr>
            <w:tcW w:w="340" w:type="dxa"/>
            <w:vAlign w:val="bottom"/>
            <w:gridSpan w:val="7"/>
          </w:tcPr>
          <w:p>
            <w:pPr>
              <w:jc w:val="center"/>
              <w:spacing w:after="0" w:line="175" w:lineRule="exact"/>
              <w:rPr>
                <w:sz w:val="20"/>
                <w:szCs w:val="20"/>
                <w:color w:val="auto"/>
              </w:rPr>
            </w:pPr>
            <w:r>
              <w:rPr>
                <w:rFonts w:ascii="Arial" w:cs="Arial" w:eastAsia="Arial" w:hAnsi="Arial"/>
                <w:sz w:val="16"/>
                <w:szCs w:val="16"/>
                <w:color w:val="0000FF"/>
              </w:rPr>
              <w:t>12</w:t>
            </w:r>
          </w:p>
        </w:tc>
        <w:tc>
          <w:tcPr>
            <w:tcW w:w="660" w:type="dxa"/>
            <w:vAlign w:val="bottom"/>
          </w:tcPr>
          <w:p>
            <w:pPr>
              <w:spacing w:after="0"/>
              <w:rPr>
                <w:sz w:val="15"/>
                <w:szCs w:val="15"/>
                <w:color w:val="auto"/>
              </w:rPr>
            </w:pPr>
          </w:p>
        </w:tc>
      </w:tr>
      <w:tr>
        <w:trPr>
          <w:trHeight w:val="21"/>
        </w:trPr>
        <w:tc>
          <w:tcPr>
            <w:tcW w:w="1180" w:type="dxa"/>
            <w:vAlign w:val="bottom"/>
            <w:gridSpan w:val="6"/>
          </w:tcPr>
          <w:p>
            <w:pPr>
              <w:spacing w:after="0" w:line="20" w:lineRule="exact"/>
              <w:rPr>
                <w:sz w:val="1"/>
                <w:szCs w:val="1"/>
                <w:color w:val="auto"/>
              </w:rPr>
            </w:pPr>
          </w:p>
        </w:tc>
        <w:tc>
          <w:tcPr>
            <w:tcW w:w="1600" w:type="dxa"/>
            <w:vAlign w:val="bottom"/>
            <w:tcBorders>
              <w:top w:val="single" w:sz="8" w:color="0000FF"/>
            </w:tcBorders>
            <w:gridSpan w:val="20"/>
          </w:tcPr>
          <w:p>
            <w:pPr>
              <w:spacing w:after="0" w:line="20" w:lineRule="exact"/>
              <w:rPr>
                <w:sz w:val="1"/>
                <w:szCs w:val="1"/>
                <w:color w:val="auto"/>
              </w:rPr>
            </w:pPr>
          </w:p>
        </w:tc>
        <w:tc>
          <w:tcPr>
            <w:tcW w:w="7540" w:type="dxa"/>
            <w:vAlign w:val="bottom"/>
            <w:gridSpan w:val="26"/>
          </w:tcPr>
          <w:p>
            <w:pPr>
              <w:spacing w:after="0" w:line="20" w:lineRule="exact"/>
              <w:rPr>
                <w:sz w:val="1"/>
                <w:szCs w:val="1"/>
                <w:color w:val="auto"/>
              </w:rPr>
            </w:pPr>
          </w:p>
        </w:tc>
        <w:tc>
          <w:tcPr>
            <w:tcW w:w="180" w:type="dxa"/>
            <w:vAlign w:val="bottom"/>
            <w:tcBorders>
              <w:top w:val="single" w:sz="8" w:color="0000FF"/>
            </w:tcBorders>
            <w:gridSpan w:val="5"/>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0" w:type="dxa"/>
            <w:vAlign w:val="bottom"/>
            <w:gridSpan w:val="46"/>
            <w:shd w:val="clear" w:color="auto" w:fill="CCEEFF"/>
          </w:tcPr>
          <w:p>
            <w:pPr>
              <w:ind w:left="340"/>
              <w:spacing w:after="0" w:line="175" w:lineRule="exact"/>
              <w:rPr>
                <w:sz w:val="20"/>
                <w:szCs w:val="20"/>
                <w:color w:val="auto"/>
              </w:rPr>
            </w:pPr>
            <w:r>
              <w:rPr>
                <w:rFonts w:ascii="Arial" w:cs="Arial" w:eastAsia="Arial" w:hAnsi="Arial"/>
                <w:sz w:val="16"/>
                <w:szCs w:val="16"/>
                <w:color w:val="0000FF"/>
              </w:rPr>
              <w:t>9. Other Balance Sheet Components</w:t>
            </w:r>
          </w:p>
        </w:tc>
        <w:tc>
          <w:tcPr>
            <w:tcW w:w="340" w:type="dxa"/>
            <w:vAlign w:val="bottom"/>
            <w:gridSpan w:val="7"/>
            <w:shd w:val="clear" w:color="auto" w:fill="CCEEFF"/>
          </w:tcPr>
          <w:p>
            <w:pPr>
              <w:jc w:val="center"/>
              <w:spacing w:after="0" w:line="175" w:lineRule="exact"/>
              <w:rPr>
                <w:sz w:val="20"/>
                <w:szCs w:val="20"/>
                <w:color w:val="auto"/>
              </w:rPr>
            </w:pPr>
            <w:r>
              <w:rPr>
                <w:rFonts w:ascii="Arial" w:cs="Arial" w:eastAsia="Arial" w:hAnsi="Arial"/>
                <w:sz w:val="16"/>
                <w:szCs w:val="16"/>
                <w:color w:val="0000FF"/>
              </w:rPr>
              <w:t>12</w:t>
            </w:r>
          </w:p>
        </w:tc>
        <w:tc>
          <w:tcPr>
            <w:tcW w:w="660" w:type="dxa"/>
            <w:vAlign w:val="bottom"/>
            <w:shd w:val="clear" w:color="auto" w:fill="CCEEFF"/>
          </w:tcPr>
          <w:p>
            <w:pPr>
              <w:spacing w:after="0"/>
              <w:rPr>
                <w:sz w:val="15"/>
                <w:szCs w:val="15"/>
                <w:color w:val="auto"/>
              </w:rPr>
            </w:pPr>
          </w:p>
        </w:tc>
      </w:tr>
      <w:tr>
        <w:trPr>
          <w:trHeight w:val="20"/>
        </w:trPr>
        <w:tc>
          <w:tcPr>
            <w:tcW w:w="1180" w:type="dxa"/>
            <w:vAlign w:val="bottom"/>
            <w:tcBorders>
              <w:top w:val="single" w:sz="8" w:color="CCEEFF"/>
            </w:tcBorders>
            <w:gridSpan w:val="6"/>
            <w:shd w:val="clear" w:color="auto" w:fill="CCEEFF"/>
          </w:tcPr>
          <w:p>
            <w:pPr>
              <w:spacing w:after="0" w:line="20" w:lineRule="exact"/>
              <w:rPr>
                <w:sz w:val="1"/>
                <w:szCs w:val="1"/>
                <w:color w:val="auto"/>
              </w:rPr>
            </w:pPr>
          </w:p>
        </w:tc>
        <w:tc>
          <w:tcPr>
            <w:tcW w:w="2340" w:type="dxa"/>
            <w:vAlign w:val="bottom"/>
            <w:tcBorders>
              <w:top w:val="single" w:sz="8" w:color="0000FF"/>
            </w:tcBorders>
            <w:gridSpan w:val="33"/>
            <w:shd w:val="clear" w:color="auto" w:fill="CCEEFF"/>
          </w:tcPr>
          <w:p>
            <w:pPr>
              <w:spacing w:after="0" w:line="20" w:lineRule="exact"/>
              <w:rPr>
                <w:sz w:val="1"/>
                <w:szCs w:val="1"/>
                <w:color w:val="auto"/>
              </w:rPr>
            </w:pPr>
          </w:p>
        </w:tc>
        <w:tc>
          <w:tcPr>
            <w:tcW w:w="6800" w:type="dxa"/>
            <w:vAlign w:val="bottom"/>
            <w:tcBorders>
              <w:top w:val="single" w:sz="8" w:color="CCEEFF"/>
            </w:tcBorders>
            <w:gridSpan w:val="13"/>
            <w:shd w:val="clear" w:color="auto" w:fill="CCEEFF"/>
          </w:tcPr>
          <w:p>
            <w:pPr>
              <w:spacing w:after="0" w:line="20" w:lineRule="exact"/>
              <w:rPr>
                <w:sz w:val="1"/>
                <w:szCs w:val="1"/>
                <w:color w:val="auto"/>
              </w:rPr>
            </w:pPr>
          </w:p>
        </w:tc>
        <w:tc>
          <w:tcPr>
            <w:tcW w:w="180" w:type="dxa"/>
            <w:vAlign w:val="bottom"/>
            <w:tcBorders>
              <w:top w:val="single" w:sz="8" w:color="0000FF"/>
            </w:tcBorders>
            <w:gridSpan w:val="5"/>
            <w:shd w:val="clear" w:color="auto" w:fill="CCEEFF"/>
          </w:tcPr>
          <w:p>
            <w:pPr>
              <w:spacing w:after="0" w:line="20" w:lineRule="exact"/>
              <w:rPr>
                <w:sz w:val="1"/>
                <w:szCs w:val="1"/>
                <w:color w:val="auto"/>
              </w:rPr>
            </w:pPr>
          </w:p>
        </w:tc>
        <w:tc>
          <w:tcPr>
            <w:tcW w:w="740" w:type="dxa"/>
            <w:vAlign w:val="bottom"/>
            <w:tcBorders>
              <w:top w:val="single" w:sz="8" w:color="CCEEFF"/>
            </w:tcBorders>
            <w:gridSpan w:val="2"/>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0" w:type="dxa"/>
            <w:vAlign w:val="bottom"/>
            <w:gridSpan w:val="46"/>
          </w:tcPr>
          <w:p>
            <w:pPr>
              <w:ind w:left="340"/>
              <w:spacing w:after="0" w:line="175" w:lineRule="exact"/>
              <w:rPr>
                <w:sz w:val="20"/>
                <w:szCs w:val="20"/>
                <w:color w:val="auto"/>
              </w:rPr>
            </w:pPr>
            <w:r>
              <w:rPr>
                <w:rFonts w:ascii="Arial" w:cs="Arial" w:eastAsia="Arial" w:hAnsi="Arial"/>
                <w:sz w:val="16"/>
                <w:szCs w:val="16"/>
                <w:color w:val="0000FF"/>
              </w:rPr>
              <w:t>10. Debt and Other Obligations</w:t>
            </w:r>
          </w:p>
        </w:tc>
        <w:tc>
          <w:tcPr>
            <w:tcW w:w="340" w:type="dxa"/>
            <w:vAlign w:val="bottom"/>
            <w:gridSpan w:val="7"/>
          </w:tcPr>
          <w:p>
            <w:pPr>
              <w:jc w:val="center"/>
              <w:spacing w:after="0" w:line="175" w:lineRule="exact"/>
              <w:rPr>
                <w:sz w:val="20"/>
                <w:szCs w:val="20"/>
                <w:color w:val="auto"/>
              </w:rPr>
            </w:pPr>
            <w:r>
              <w:rPr>
                <w:rFonts w:ascii="Arial" w:cs="Arial" w:eastAsia="Arial" w:hAnsi="Arial"/>
                <w:sz w:val="16"/>
                <w:szCs w:val="16"/>
                <w:color w:val="0000FF"/>
              </w:rPr>
              <w:t>12</w:t>
            </w:r>
          </w:p>
        </w:tc>
        <w:tc>
          <w:tcPr>
            <w:tcW w:w="660" w:type="dxa"/>
            <w:vAlign w:val="bottom"/>
          </w:tcPr>
          <w:p>
            <w:pPr>
              <w:spacing w:after="0"/>
              <w:rPr>
                <w:sz w:val="15"/>
                <w:szCs w:val="15"/>
                <w:color w:val="auto"/>
              </w:rPr>
            </w:pPr>
          </w:p>
        </w:tc>
      </w:tr>
      <w:tr>
        <w:trPr>
          <w:trHeight w:val="21"/>
        </w:trPr>
        <w:tc>
          <w:tcPr>
            <w:tcW w:w="1180" w:type="dxa"/>
            <w:vAlign w:val="bottom"/>
            <w:gridSpan w:val="6"/>
          </w:tcPr>
          <w:p>
            <w:pPr>
              <w:spacing w:after="0" w:line="20" w:lineRule="exact"/>
              <w:rPr>
                <w:sz w:val="1"/>
                <w:szCs w:val="1"/>
                <w:color w:val="auto"/>
              </w:rPr>
            </w:pPr>
          </w:p>
        </w:tc>
        <w:tc>
          <w:tcPr>
            <w:tcW w:w="2040" w:type="dxa"/>
            <w:vAlign w:val="bottom"/>
            <w:tcBorders>
              <w:top w:val="single" w:sz="8" w:color="0000FF"/>
            </w:tcBorders>
            <w:gridSpan w:val="28"/>
          </w:tcPr>
          <w:p>
            <w:pPr>
              <w:spacing w:after="0" w:line="20" w:lineRule="exact"/>
              <w:rPr>
                <w:sz w:val="1"/>
                <w:szCs w:val="1"/>
                <w:color w:val="auto"/>
              </w:rPr>
            </w:pPr>
          </w:p>
        </w:tc>
        <w:tc>
          <w:tcPr>
            <w:tcW w:w="7100" w:type="dxa"/>
            <w:vAlign w:val="bottom"/>
            <w:gridSpan w:val="18"/>
          </w:tcPr>
          <w:p>
            <w:pPr>
              <w:spacing w:after="0" w:line="20" w:lineRule="exact"/>
              <w:rPr>
                <w:sz w:val="1"/>
                <w:szCs w:val="1"/>
                <w:color w:val="auto"/>
              </w:rPr>
            </w:pPr>
          </w:p>
        </w:tc>
        <w:tc>
          <w:tcPr>
            <w:tcW w:w="180" w:type="dxa"/>
            <w:vAlign w:val="bottom"/>
            <w:tcBorders>
              <w:top w:val="single" w:sz="8" w:color="0000FF"/>
            </w:tcBorders>
            <w:gridSpan w:val="5"/>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0" w:type="dxa"/>
            <w:vAlign w:val="bottom"/>
            <w:gridSpan w:val="46"/>
            <w:shd w:val="clear" w:color="auto" w:fill="CCEEFF"/>
          </w:tcPr>
          <w:p>
            <w:pPr>
              <w:ind w:left="340"/>
              <w:spacing w:after="0" w:line="175" w:lineRule="exact"/>
              <w:rPr>
                <w:sz w:val="20"/>
                <w:szCs w:val="20"/>
                <w:color w:val="auto"/>
              </w:rPr>
            </w:pPr>
            <w:r>
              <w:rPr>
                <w:rFonts w:ascii="Arial" w:cs="Arial" w:eastAsia="Arial" w:hAnsi="Arial"/>
                <w:sz w:val="16"/>
                <w:szCs w:val="16"/>
                <w:color w:val="0000FF"/>
              </w:rPr>
              <w:t>11. Acquisition</w:t>
            </w:r>
          </w:p>
        </w:tc>
        <w:tc>
          <w:tcPr>
            <w:tcW w:w="340" w:type="dxa"/>
            <w:vAlign w:val="bottom"/>
            <w:gridSpan w:val="7"/>
            <w:shd w:val="clear" w:color="auto" w:fill="CCEEFF"/>
          </w:tcPr>
          <w:p>
            <w:pPr>
              <w:jc w:val="center"/>
              <w:spacing w:after="0" w:line="175" w:lineRule="exact"/>
              <w:rPr>
                <w:sz w:val="20"/>
                <w:szCs w:val="20"/>
                <w:color w:val="auto"/>
              </w:rPr>
            </w:pPr>
            <w:r>
              <w:rPr>
                <w:rFonts w:ascii="Arial" w:cs="Arial" w:eastAsia="Arial" w:hAnsi="Arial"/>
                <w:sz w:val="16"/>
                <w:szCs w:val="16"/>
                <w:color w:val="0000FF"/>
              </w:rPr>
              <w:t>13</w:t>
            </w:r>
          </w:p>
        </w:tc>
        <w:tc>
          <w:tcPr>
            <w:tcW w:w="660" w:type="dxa"/>
            <w:vAlign w:val="bottom"/>
            <w:shd w:val="clear" w:color="auto" w:fill="CCEEFF"/>
          </w:tcPr>
          <w:p>
            <w:pPr>
              <w:spacing w:after="0"/>
              <w:rPr>
                <w:sz w:val="15"/>
                <w:szCs w:val="15"/>
                <w:color w:val="auto"/>
              </w:rPr>
            </w:pPr>
          </w:p>
        </w:tc>
      </w:tr>
      <w:tr>
        <w:trPr>
          <w:trHeight w:val="21"/>
        </w:trPr>
        <w:tc>
          <w:tcPr>
            <w:tcW w:w="1180" w:type="dxa"/>
            <w:vAlign w:val="bottom"/>
            <w:tcBorders>
              <w:top w:val="single" w:sz="8" w:color="CCEEFF"/>
            </w:tcBorders>
            <w:gridSpan w:val="6"/>
            <w:shd w:val="clear" w:color="auto" w:fill="CCEEFF"/>
          </w:tcPr>
          <w:p>
            <w:pPr>
              <w:spacing w:after="0" w:line="20" w:lineRule="exact"/>
              <w:rPr>
                <w:sz w:val="1"/>
                <w:szCs w:val="1"/>
                <w:color w:val="auto"/>
              </w:rPr>
            </w:pPr>
          </w:p>
        </w:tc>
        <w:tc>
          <w:tcPr>
            <w:tcW w:w="980" w:type="dxa"/>
            <w:vAlign w:val="bottom"/>
            <w:tcBorders>
              <w:top w:val="single" w:sz="8" w:color="0000FF"/>
            </w:tcBorders>
            <w:gridSpan w:val="8"/>
            <w:shd w:val="clear" w:color="auto" w:fill="CCEEFF"/>
          </w:tcPr>
          <w:p>
            <w:pPr>
              <w:spacing w:after="0" w:line="20" w:lineRule="exact"/>
              <w:rPr>
                <w:sz w:val="1"/>
                <w:szCs w:val="1"/>
                <w:color w:val="auto"/>
              </w:rPr>
            </w:pPr>
          </w:p>
        </w:tc>
        <w:tc>
          <w:tcPr>
            <w:tcW w:w="8160" w:type="dxa"/>
            <w:vAlign w:val="bottom"/>
            <w:tcBorders>
              <w:top w:val="single" w:sz="8" w:color="CCEEFF"/>
            </w:tcBorders>
            <w:gridSpan w:val="38"/>
            <w:shd w:val="clear" w:color="auto" w:fill="CCEEFF"/>
          </w:tcPr>
          <w:p>
            <w:pPr>
              <w:spacing w:after="0" w:line="20" w:lineRule="exact"/>
              <w:rPr>
                <w:sz w:val="1"/>
                <w:szCs w:val="1"/>
                <w:color w:val="auto"/>
              </w:rPr>
            </w:pPr>
          </w:p>
        </w:tc>
        <w:tc>
          <w:tcPr>
            <w:tcW w:w="180" w:type="dxa"/>
            <w:vAlign w:val="bottom"/>
            <w:tcBorders>
              <w:top w:val="single" w:sz="8" w:color="0000FF"/>
            </w:tcBorders>
            <w:gridSpan w:val="5"/>
            <w:shd w:val="clear" w:color="auto" w:fill="CCEEFF"/>
          </w:tcPr>
          <w:p>
            <w:pPr>
              <w:spacing w:after="0" w:line="20" w:lineRule="exact"/>
              <w:rPr>
                <w:sz w:val="1"/>
                <w:szCs w:val="1"/>
                <w:color w:val="auto"/>
              </w:rPr>
            </w:pPr>
          </w:p>
        </w:tc>
        <w:tc>
          <w:tcPr>
            <w:tcW w:w="740" w:type="dxa"/>
            <w:vAlign w:val="bottom"/>
            <w:tcBorders>
              <w:top w:val="single" w:sz="8" w:color="CCEEFF"/>
            </w:tcBorders>
            <w:gridSpan w:val="2"/>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0" w:type="dxa"/>
            <w:vAlign w:val="bottom"/>
            <w:gridSpan w:val="46"/>
          </w:tcPr>
          <w:p>
            <w:pPr>
              <w:ind w:left="340"/>
              <w:spacing w:after="0" w:line="175" w:lineRule="exact"/>
              <w:rPr>
                <w:sz w:val="20"/>
                <w:szCs w:val="20"/>
                <w:color w:val="auto"/>
              </w:rPr>
            </w:pPr>
            <w:r>
              <w:rPr>
                <w:rFonts w:ascii="Arial" w:cs="Arial" w:eastAsia="Arial" w:hAnsi="Arial"/>
                <w:sz w:val="16"/>
                <w:szCs w:val="16"/>
                <w:color w:val="0000FF"/>
              </w:rPr>
              <w:t>12. Stock-Based Compensation</w:t>
            </w:r>
          </w:p>
        </w:tc>
        <w:tc>
          <w:tcPr>
            <w:tcW w:w="340" w:type="dxa"/>
            <w:vAlign w:val="bottom"/>
            <w:gridSpan w:val="7"/>
          </w:tcPr>
          <w:p>
            <w:pPr>
              <w:jc w:val="center"/>
              <w:spacing w:after="0" w:line="175" w:lineRule="exact"/>
              <w:rPr>
                <w:sz w:val="20"/>
                <w:szCs w:val="20"/>
                <w:color w:val="auto"/>
              </w:rPr>
            </w:pPr>
            <w:r>
              <w:rPr>
                <w:rFonts w:ascii="Arial" w:cs="Arial" w:eastAsia="Arial" w:hAnsi="Arial"/>
                <w:sz w:val="16"/>
                <w:szCs w:val="16"/>
                <w:color w:val="0000FF"/>
              </w:rPr>
              <w:t>14</w:t>
            </w:r>
          </w:p>
        </w:tc>
        <w:tc>
          <w:tcPr>
            <w:tcW w:w="660" w:type="dxa"/>
            <w:vAlign w:val="bottom"/>
          </w:tcPr>
          <w:p>
            <w:pPr>
              <w:spacing w:after="0"/>
              <w:rPr>
                <w:sz w:val="15"/>
                <w:szCs w:val="15"/>
                <w:color w:val="auto"/>
              </w:rPr>
            </w:pPr>
          </w:p>
        </w:tc>
      </w:tr>
      <w:tr>
        <w:trPr>
          <w:trHeight w:val="21"/>
        </w:trPr>
        <w:tc>
          <w:tcPr>
            <w:tcW w:w="1180" w:type="dxa"/>
            <w:vAlign w:val="bottom"/>
            <w:gridSpan w:val="6"/>
          </w:tcPr>
          <w:p>
            <w:pPr>
              <w:spacing w:after="0" w:line="20" w:lineRule="exact"/>
              <w:rPr>
                <w:sz w:val="1"/>
                <w:szCs w:val="1"/>
                <w:color w:val="auto"/>
              </w:rPr>
            </w:pPr>
          </w:p>
        </w:tc>
        <w:tc>
          <w:tcPr>
            <w:tcW w:w="2040" w:type="dxa"/>
            <w:vAlign w:val="bottom"/>
            <w:tcBorders>
              <w:top w:val="single" w:sz="8" w:color="0000FF"/>
            </w:tcBorders>
            <w:gridSpan w:val="28"/>
          </w:tcPr>
          <w:p>
            <w:pPr>
              <w:spacing w:after="0" w:line="20" w:lineRule="exact"/>
              <w:rPr>
                <w:sz w:val="1"/>
                <w:szCs w:val="1"/>
                <w:color w:val="auto"/>
              </w:rPr>
            </w:pPr>
          </w:p>
        </w:tc>
        <w:tc>
          <w:tcPr>
            <w:tcW w:w="7100" w:type="dxa"/>
            <w:vAlign w:val="bottom"/>
            <w:gridSpan w:val="18"/>
          </w:tcPr>
          <w:p>
            <w:pPr>
              <w:spacing w:after="0" w:line="20" w:lineRule="exact"/>
              <w:rPr>
                <w:sz w:val="1"/>
                <w:szCs w:val="1"/>
                <w:color w:val="auto"/>
              </w:rPr>
            </w:pPr>
          </w:p>
        </w:tc>
        <w:tc>
          <w:tcPr>
            <w:tcW w:w="180" w:type="dxa"/>
            <w:vAlign w:val="bottom"/>
            <w:tcBorders>
              <w:top w:val="single" w:sz="8" w:color="0000FF"/>
            </w:tcBorders>
            <w:gridSpan w:val="5"/>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0" w:type="dxa"/>
            <w:vAlign w:val="bottom"/>
            <w:gridSpan w:val="46"/>
            <w:shd w:val="clear" w:color="auto" w:fill="CCEEFF"/>
          </w:tcPr>
          <w:p>
            <w:pPr>
              <w:ind w:left="340"/>
              <w:spacing w:after="0" w:line="175" w:lineRule="exact"/>
              <w:rPr>
                <w:sz w:val="20"/>
                <w:szCs w:val="20"/>
                <w:color w:val="auto"/>
              </w:rPr>
            </w:pPr>
            <w:r>
              <w:rPr>
                <w:rFonts w:ascii="Arial" w:cs="Arial" w:eastAsia="Arial" w:hAnsi="Arial"/>
                <w:sz w:val="16"/>
                <w:szCs w:val="16"/>
                <w:color w:val="0000FF"/>
              </w:rPr>
              <w:t>13. Share Repurchases</w:t>
            </w:r>
          </w:p>
        </w:tc>
        <w:tc>
          <w:tcPr>
            <w:tcW w:w="340" w:type="dxa"/>
            <w:vAlign w:val="bottom"/>
            <w:gridSpan w:val="7"/>
            <w:shd w:val="clear" w:color="auto" w:fill="CCEEFF"/>
          </w:tcPr>
          <w:p>
            <w:pPr>
              <w:jc w:val="center"/>
              <w:spacing w:after="0" w:line="175" w:lineRule="exact"/>
              <w:rPr>
                <w:sz w:val="20"/>
                <w:szCs w:val="20"/>
                <w:color w:val="auto"/>
              </w:rPr>
            </w:pPr>
            <w:r>
              <w:rPr>
                <w:rFonts w:ascii="Arial" w:cs="Arial" w:eastAsia="Arial" w:hAnsi="Arial"/>
                <w:sz w:val="16"/>
                <w:szCs w:val="16"/>
                <w:color w:val="0000FF"/>
              </w:rPr>
              <w:t>14</w:t>
            </w:r>
          </w:p>
        </w:tc>
        <w:tc>
          <w:tcPr>
            <w:tcW w:w="660" w:type="dxa"/>
            <w:vAlign w:val="bottom"/>
            <w:shd w:val="clear" w:color="auto" w:fill="CCEEFF"/>
          </w:tcPr>
          <w:p>
            <w:pPr>
              <w:spacing w:after="0"/>
              <w:rPr>
                <w:sz w:val="15"/>
                <w:szCs w:val="15"/>
                <w:color w:val="auto"/>
              </w:rPr>
            </w:pPr>
          </w:p>
        </w:tc>
      </w:tr>
      <w:tr>
        <w:trPr>
          <w:trHeight w:val="21"/>
        </w:trPr>
        <w:tc>
          <w:tcPr>
            <w:tcW w:w="1180" w:type="dxa"/>
            <w:vAlign w:val="bottom"/>
            <w:tcBorders>
              <w:top w:val="single" w:sz="8" w:color="CCEEFF"/>
            </w:tcBorders>
            <w:gridSpan w:val="6"/>
            <w:shd w:val="clear" w:color="auto" w:fill="CCEEFF"/>
          </w:tcPr>
          <w:p>
            <w:pPr>
              <w:spacing w:after="0" w:line="20" w:lineRule="exact"/>
              <w:rPr>
                <w:sz w:val="1"/>
                <w:szCs w:val="1"/>
                <w:color w:val="auto"/>
              </w:rPr>
            </w:pPr>
          </w:p>
        </w:tc>
        <w:tc>
          <w:tcPr>
            <w:tcW w:w="1460" w:type="dxa"/>
            <w:vAlign w:val="bottom"/>
            <w:tcBorders>
              <w:top w:val="single" w:sz="8" w:color="0000FF"/>
            </w:tcBorders>
            <w:gridSpan w:val="16"/>
            <w:shd w:val="clear" w:color="auto" w:fill="CCEEFF"/>
          </w:tcPr>
          <w:p>
            <w:pPr>
              <w:spacing w:after="0" w:line="20" w:lineRule="exact"/>
              <w:rPr>
                <w:sz w:val="1"/>
                <w:szCs w:val="1"/>
                <w:color w:val="auto"/>
              </w:rPr>
            </w:pPr>
          </w:p>
        </w:tc>
        <w:tc>
          <w:tcPr>
            <w:tcW w:w="7680" w:type="dxa"/>
            <w:vAlign w:val="bottom"/>
            <w:tcBorders>
              <w:top w:val="single" w:sz="8" w:color="CCEEFF"/>
            </w:tcBorders>
            <w:gridSpan w:val="30"/>
            <w:shd w:val="clear" w:color="auto" w:fill="CCEEFF"/>
          </w:tcPr>
          <w:p>
            <w:pPr>
              <w:spacing w:after="0" w:line="20" w:lineRule="exact"/>
              <w:rPr>
                <w:sz w:val="1"/>
                <w:szCs w:val="1"/>
                <w:color w:val="auto"/>
              </w:rPr>
            </w:pPr>
          </w:p>
        </w:tc>
        <w:tc>
          <w:tcPr>
            <w:tcW w:w="180" w:type="dxa"/>
            <w:vAlign w:val="bottom"/>
            <w:tcBorders>
              <w:top w:val="single" w:sz="8" w:color="0000FF"/>
            </w:tcBorders>
            <w:gridSpan w:val="5"/>
            <w:shd w:val="clear" w:color="auto" w:fill="CCEEFF"/>
          </w:tcPr>
          <w:p>
            <w:pPr>
              <w:spacing w:after="0" w:line="20" w:lineRule="exact"/>
              <w:rPr>
                <w:sz w:val="1"/>
                <w:szCs w:val="1"/>
                <w:color w:val="auto"/>
              </w:rPr>
            </w:pPr>
          </w:p>
        </w:tc>
        <w:tc>
          <w:tcPr>
            <w:tcW w:w="740" w:type="dxa"/>
            <w:vAlign w:val="bottom"/>
            <w:tcBorders>
              <w:top w:val="single" w:sz="8" w:color="CCEEFF"/>
            </w:tcBorders>
            <w:gridSpan w:val="2"/>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0" w:type="dxa"/>
            <w:vAlign w:val="bottom"/>
            <w:gridSpan w:val="46"/>
          </w:tcPr>
          <w:p>
            <w:pPr>
              <w:ind w:left="340"/>
              <w:spacing w:after="0" w:line="175" w:lineRule="exact"/>
              <w:rPr>
                <w:sz w:val="20"/>
                <w:szCs w:val="20"/>
                <w:color w:val="auto"/>
              </w:rPr>
            </w:pPr>
            <w:r>
              <w:rPr>
                <w:rFonts w:ascii="Arial" w:cs="Arial" w:eastAsia="Arial" w:hAnsi="Arial"/>
                <w:sz w:val="16"/>
                <w:szCs w:val="16"/>
                <w:color w:val="0000FF"/>
              </w:rPr>
              <w:t>14. Accumulated Other Comprehensive Loss</w:t>
            </w:r>
          </w:p>
        </w:tc>
        <w:tc>
          <w:tcPr>
            <w:tcW w:w="340" w:type="dxa"/>
            <w:vAlign w:val="bottom"/>
            <w:gridSpan w:val="7"/>
          </w:tcPr>
          <w:p>
            <w:pPr>
              <w:jc w:val="center"/>
              <w:spacing w:after="0" w:line="175" w:lineRule="exact"/>
              <w:rPr>
                <w:sz w:val="20"/>
                <w:szCs w:val="20"/>
                <w:color w:val="auto"/>
              </w:rPr>
            </w:pPr>
            <w:r>
              <w:rPr>
                <w:rFonts w:ascii="Arial" w:cs="Arial" w:eastAsia="Arial" w:hAnsi="Arial"/>
                <w:sz w:val="16"/>
                <w:szCs w:val="16"/>
                <w:color w:val="0000FF"/>
              </w:rPr>
              <w:t>14</w:t>
            </w:r>
          </w:p>
        </w:tc>
        <w:tc>
          <w:tcPr>
            <w:tcW w:w="660" w:type="dxa"/>
            <w:vAlign w:val="bottom"/>
          </w:tcPr>
          <w:p>
            <w:pPr>
              <w:spacing w:after="0"/>
              <w:rPr>
                <w:sz w:val="15"/>
                <w:szCs w:val="15"/>
                <w:color w:val="auto"/>
              </w:rPr>
            </w:pPr>
          </w:p>
        </w:tc>
      </w:tr>
      <w:tr>
        <w:trPr>
          <w:trHeight w:val="20"/>
        </w:trPr>
        <w:tc>
          <w:tcPr>
            <w:tcW w:w="1180" w:type="dxa"/>
            <w:vAlign w:val="bottom"/>
            <w:gridSpan w:val="6"/>
          </w:tcPr>
          <w:p>
            <w:pPr>
              <w:spacing w:after="0" w:line="20" w:lineRule="exact"/>
              <w:rPr>
                <w:sz w:val="1"/>
                <w:szCs w:val="1"/>
                <w:color w:val="auto"/>
              </w:rPr>
            </w:pPr>
          </w:p>
        </w:tc>
        <w:tc>
          <w:tcPr>
            <w:tcW w:w="2920" w:type="dxa"/>
            <w:vAlign w:val="bottom"/>
            <w:tcBorders>
              <w:top w:val="single" w:sz="8" w:color="0000FF"/>
            </w:tcBorders>
            <w:gridSpan w:val="39"/>
          </w:tcPr>
          <w:p>
            <w:pPr>
              <w:spacing w:after="0" w:line="20" w:lineRule="exact"/>
              <w:rPr>
                <w:sz w:val="1"/>
                <w:szCs w:val="1"/>
                <w:color w:val="auto"/>
              </w:rPr>
            </w:pPr>
          </w:p>
        </w:tc>
        <w:tc>
          <w:tcPr>
            <w:tcW w:w="6220" w:type="dxa"/>
            <w:vAlign w:val="bottom"/>
            <w:gridSpan w:val="7"/>
          </w:tcPr>
          <w:p>
            <w:pPr>
              <w:spacing w:after="0" w:line="20" w:lineRule="exact"/>
              <w:rPr>
                <w:sz w:val="1"/>
                <w:szCs w:val="1"/>
                <w:color w:val="auto"/>
              </w:rPr>
            </w:pPr>
          </w:p>
        </w:tc>
        <w:tc>
          <w:tcPr>
            <w:tcW w:w="180" w:type="dxa"/>
            <w:vAlign w:val="bottom"/>
            <w:tcBorders>
              <w:top w:val="single" w:sz="8" w:color="0000FF"/>
            </w:tcBorders>
            <w:gridSpan w:val="5"/>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0" w:type="dxa"/>
            <w:vAlign w:val="bottom"/>
            <w:gridSpan w:val="46"/>
            <w:shd w:val="clear" w:color="auto" w:fill="CCEEFF"/>
          </w:tcPr>
          <w:p>
            <w:pPr>
              <w:ind w:left="340"/>
              <w:spacing w:after="0" w:line="175" w:lineRule="exact"/>
              <w:rPr>
                <w:sz w:val="20"/>
                <w:szCs w:val="20"/>
                <w:color w:val="auto"/>
              </w:rPr>
            </w:pPr>
            <w:r>
              <w:rPr>
                <w:rFonts w:ascii="Arial" w:cs="Arial" w:eastAsia="Arial" w:hAnsi="Arial"/>
                <w:sz w:val="16"/>
                <w:szCs w:val="16"/>
                <w:color w:val="0000FF"/>
              </w:rPr>
              <w:t>15. Loss per Share</w:t>
            </w:r>
          </w:p>
        </w:tc>
        <w:tc>
          <w:tcPr>
            <w:tcW w:w="340" w:type="dxa"/>
            <w:vAlign w:val="bottom"/>
            <w:gridSpan w:val="7"/>
            <w:shd w:val="clear" w:color="auto" w:fill="CCEEFF"/>
          </w:tcPr>
          <w:p>
            <w:pPr>
              <w:jc w:val="center"/>
              <w:spacing w:after="0" w:line="175" w:lineRule="exact"/>
              <w:rPr>
                <w:sz w:val="20"/>
                <w:szCs w:val="20"/>
                <w:color w:val="auto"/>
              </w:rPr>
            </w:pPr>
            <w:r>
              <w:rPr>
                <w:rFonts w:ascii="Arial" w:cs="Arial" w:eastAsia="Arial" w:hAnsi="Arial"/>
                <w:sz w:val="16"/>
                <w:szCs w:val="16"/>
                <w:color w:val="0000FF"/>
              </w:rPr>
              <w:t>15</w:t>
            </w:r>
          </w:p>
        </w:tc>
        <w:tc>
          <w:tcPr>
            <w:tcW w:w="660" w:type="dxa"/>
            <w:vAlign w:val="bottom"/>
            <w:shd w:val="clear" w:color="auto" w:fill="CCEEFF"/>
          </w:tcPr>
          <w:p>
            <w:pPr>
              <w:spacing w:after="0"/>
              <w:rPr>
                <w:sz w:val="15"/>
                <w:szCs w:val="15"/>
                <w:color w:val="auto"/>
              </w:rPr>
            </w:pPr>
          </w:p>
        </w:tc>
      </w:tr>
      <w:tr>
        <w:trPr>
          <w:trHeight w:val="21"/>
        </w:trPr>
        <w:tc>
          <w:tcPr>
            <w:tcW w:w="1180" w:type="dxa"/>
            <w:vAlign w:val="bottom"/>
            <w:tcBorders>
              <w:top w:val="single" w:sz="8" w:color="CCEEFF"/>
            </w:tcBorders>
            <w:gridSpan w:val="6"/>
            <w:shd w:val="clear" w:color="auto" w:fill="CCEEFF"/>
          </w:tcPr>
          <w:p>
            <w:pPr>
              <w:spacing w:after="0" w:line="20" w:lineRule="exact"/>
              <w:rPr>
                <w:sz w:val="1"/>
                <w:szCs w:val="1"/>
                <w:color w:val="auto"/>
              </w:rPr>
            </w:pPr>
          </w:p>
        </w:tc>
        <w:tc>
          <w:tcPr>
            <w:tcW w:w="1200" w:type="dxa"/>
            <w:vAlign w:val="bottom"/>
            <w:tcBorders>
              <w:top w:val="single" w:sz="8" w:color="0000FF"/>
            </w:tcBorders>
            <w:gridSpan w:val="13"/>
            <w:shd w:val="clear" w:color="auto" w:fill="CCEEFF"/>
          </w:tcPr>
          <w:p>
            <w:pPr>
              <w:spacing w:after="0" w:line="20" w:lineRule="exact"/>
              <w:rPr>
                <w:sz w:val="1"/>
                <w:szCs w:val="1"/>
                <w:color w:val="auto"/>
              </w:rPr>
            </w:pPr>
          </w:p>
        </w:tc>
        <w:tc>
          <w:tcPr>
            <w:tcW w:w="7940" w:type="dxa"/>
            <w:vAlign w:val="bottom"/>
            <w:tcBorders>
              <w:top w:val="single" w:sz="8" w:color="CCEEFF"/>
            </w:tcBorders>
            <w:gridSpan w:val="33"/>
            <w:shd w:val="clear" w:color="auto" w:fill="CCEEFF"/>
          </w:tcPr>
          <w:p>
            <w:pPr>
              <w:spacing w:after="0" w:line="20" w:lineRule="exact"/>
              <w:rPr>
                <w:sz w:val="1"/>
                <w:szCs w:val="1"/>
                <w:color w:val="auto"/>
              </w:rPr>
            </w:pPr>
          </w:p>
        </w:tc>
        <w:tc>
          <w:tcPr>
            <w:tcW w:w="180" w:type="dxa"/>
            <w:vAlign w:val="bottom"/>
            <w:tcBorders>
              <w:top w:val="single" w:sz="8" w:color="0000FF"/>
            </w:tcBorders>
            <w:gridSpan w:val="5"/>
            <w:shd w:val="clear" w:color="auto" w:fill="CCEEFF"/>
          </w:tcPr>
          <w:p>
            <w:pPr>
              <w:spacing w:after="0" w:line="20" w:lineRule="exact"/>
              <w:rPr>
                <w:sz w:val="1"/>
                <w:szCs w:val="1"/>
                <w:color w:val="auto"/>
              </w:rPr>
            </w:pPr>
          </w:p>
        </w:tc>
        <w:tc>
          <w:tcPr>
            <w:tcW w:w="740" w:type="dxa"/>
            <w:vAlign w:val="bottom"/>
            <w:tcBorders>
              <w:top w:val="single" w:sz="8" w:color="CCEEFF"/>
            </w:tcBorders>
            <w:gridSpan w:val="2"/>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0" w:type="dxa"/>
            <w:vAlign w:val="bottom"/>
            <w:gridSpan w:val="46"/>
          </w:tcPr>
          <w:p>
            <w:pPr>
              <w:ind w:left="340"/>
              <w:spacing w:after="0" w:line="175" w:lineRule="exact"/>
              <w:rPr>
                <w:sz w:val="20"/>
                <w:szCs w:val="20"/>
                <w:color w:val="auto"/>
              </w:rPr>
            </w:pPr>
            <w:r>
              <w:rPr>
                <w:rFonts w:ascii="Arial" w:cs="Arial" w:eastAsia="Arial" w:hAnsi="Arial"/>
                <w:sz w:val="16"/>
                <w:szCs w:val="16"/>
                <w:color w:val="0000FF"/>
              </w:rPr>
              <w:t>16. Related Party Transactions</w:t>
            </w:r>
          </w:p>
        </w:tc>
        <w:tc>
          <w:tcPr>
            <w:tcW w:w="340" w:type="dxa"/>
            <w:vAlign w:val="bottom"/>
            <w:gridSpan w:val="7"/>
          </w:tcPr>
          <w:p>
            <w:pPr>
              <w:jc w:val="center"/>
              <w:spacing w:after="0" w:line="175" w:lineRule="exact"/>
              <w:rPr>
                <w:sz w:val="20"/>
                <w:szCs w:val="20"/>
                <w:color w:val="auto"/>
              </w:rPr>
            </w:pPr>
            <w:r>
              <w:rPr>
                <w:rFonts w:ascii="Arial" w:cs="Arial" w:eastAsia="Arial" w:hAnsi="Arial"/>
                <w:sz w:val="16"/>
                <w:szCs w:val="16"/>
                <w:color w:val="0000FF"/>
              </w:rPr>
              <w:t>15</w:t>
            </w:r>
          </w:p>
        </w:tc>
        <w:tc>
          <w:tcPr>
            <w:tcW w:w="660" w:type="dxa"/>
            <w:vAlign w:val="bottom"/>
          </w:tcPr>
          <w:p>
            <w:pPr>
              <w:spacing w:after="0"/>
              <w:rPr>
                <w:sz w:val="15"/>
                <w:szCs w:val="15"/>
                <w:color w:val="auto"/>
              </w:rPr>
            </w:pPr>
          </w:p>
        </w:tc>
      </w:tr>
      <w:tr>
        <w:trPr>
          <w:trHeight w:val="21"/>
        </w:trPr>
        <w:tc>
          <w:tcPr>
            <w:tcW w:w="1180" w:type="dxa"/>
            <w:vAlign w:val="bottom"/>
            <w:gridSpan w:val="6"/>
          </w:tcPr>
          <w:p>
            <w:pPr>
              <w:spacing w:after="0" w:line="20" w:lineRule="exact"/>
              <w:rPr>
                <w:sz w:val="1"/>
                <w:szCs w:val="1"/>
                <w:color w:val="auto"/>
              </w:rPr>
            </w:pPr>
          </w:p>
        </w:tc>
        <w:tc>
          <w:tcPr>
            <w:tcW w:w="1980" w:type="dxa"/>
            <w:vAlign w:val="bottom"/>
            <w:tcBorders>
              <w:top w:val="single" w:sz="8" w:color="0000FF"/>
            </w:tcBorders>
            <w:gridSpan w:val="27"/>
          </w:tcPr>
          <w:p>
            <w:pPr>
              <w:spacing w:after="0" w:line="20" w:lineRule="exact"/>
              <w:rPr>
                <w:sz w:val="1"/>
                <w:szCs w:val="1"/>
                <w:color w:val="auto"/>
              </w:rPr>
            </w:pPr>
          </w:p>
        </w:tc>
        <w:tc>
          <w:tcPr>
            <w:tcW w:w="7160" w:type="dxa"/>
            <w:vAlign w:val="bottom"/>
            <w:gridSpan w:val="19"/>
          </w:tcPr>
          <w:p>
            <w:pPr>
              <w:spacing w:after="0" w:line="20" w:lineRule="exact"/>
              <w:rPr>
                <w:sz w:val="1"/>
                <w:szCs w:val="1"/>
                <w:color w:val="auto"/>
              </w:rPr>
            </w:pPr>
          </w:p>
        </w:tc>
        <w:tc>
          <w:tcPr>
            <w:tcW w:w="180" w:type="dxa"/>
            <w:vAlign w:val="bottom"/>
            <w:tcBorders>
              <w:top w:val="single" w:sz="8" w:color="0000FF"/>
            </w:tcBorders>
            <w:gridSpan w:val="5"/>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0" w:type="dxa"/>
            <w:vAlign w:val="bottom"/>
            <w:gridSpan w:val="46"/>
            <w:shd w:val="clear" w:color="auto" w:fill="CCEEFF"/>
          </w:tcPr>
          <w:p>
            <w:pPr>
              <w:ind w:left="340"/>
              <w:spacing w:after="0" w:line="175" w:lineRule="exact"/>
              <w:rPr>
                <w:sz w:val="20"/>
                <w:szCs w:val="20"/>
                <w:color w:val="auto"/>
              </w:rPr>
            </w:pPr>
            <w:r>
              <w:rPr>
                <w:rFonts w:ascii="Arial" w:cs="Arial" w:eastAsia="Arial" w:hAnsi="Arial"/>
                <w:sz w:val="16"/>
                <w:szCs w:val="16"/>
                <w:color w:val="0000FF"/>
              </w:rPr>
              <w:t>17. Segment Information</w:t>
            </w:r>
          </w:p>
        </w:tc>
        <w:tc>
          <w:tcPr>
            <w:tcW w:w="340" w:type="dxa"/>
            <w:vAlign w:val="bottom"/>
            <w:gridSpan w:val="7"/>
            <w:shd w:val="clear" w:color="auto" w:fill="CCEEFF"/>
          </w:tcPr>
          <w:p>
            <w:pPr>
              <w:jc w:val="center"/>
              <w:spacing w:after="0" w:line="175" w:lineRule="exact"/>
              <w:rPr>
                <w:sz w:val="20"/>
                <w:szCs w:val="20"/>
                <w:color w:val="auto"/>
              </w:rPr>
            </w:pPr>
            <w:r>
              <w:rPr>
                <w:rFonts w:ascii="Arial" w:cs="Arial" w:eastAsia="Arial" w:hAnsi="Arial"/>
                <w:sz w:val="16"/>
                <w:szCs w:val="16"/>
                <w:color w:val="0000FF"/>
              </w:rPr>
              <w:t>15</w:t>
            </w:r>
          </w:p>
        </w:tc>
        <w:tc>
          <w:tcPr>
            <w:tcW w:w="660" w:type="dxa"/>
            <w:vAlign w:val="bottom"/>
            <w:shd w:val="clear" w:color="auto" w:fill="CCEEFF"/>
          </w:tcPr>
          <w:p>
            <w:pPr>
              <w:spacing w:after="0"/>
              <w:rPr>
                <w:sz w:val="15"/>
                <w:szCs w:val="15"/>
                <w:color w:val="auto"/>
              </w:rPr>
            </w:pPr>
          </w:p>
        </w:tc>
      </w:tr>
      <w:tr>
        <w:trPr>
          <w:trHeight w:val="21"/>
        </w:trPr>
        <w:tc>
          <w:tcPr>
            <w:tcW w:w="1180" w:type="dxa"/>
            <w:vAlign w:val="bottom"/>
            <w:tcBorders>
              <w:top w:val="single" w:sz="8" w:color="CCEEFF"/>
            </w:tcBorders>
            <w:gridSpan w:val="6"/>
            <w:shd w:val="clear" w:color="auto" w:fill="CCEEFF"/>
          </w:tcPr>
          <w:p>
            <w:pPr>
              <w:spacing w:after="0" w:line="20" w:lineRule="exact"/>
              <w:rPr>
                <w:sz w:val="1"/>
                <w:szCs w:val="1"/>
                <w:color w:val="auto"/>
              </w:rPr>
            </w:pPr>
          </w:p>
        </w:tc>
        <w:tc>
          <w:tcPr>
            <w:tcW w:w="1620" w:type="dxa"/>
            <w:vAlign w:val="bottom"/>
            <w:tcBorders>
              <w:top w:val="single" w:sz="8" w:color="0000FF"/>
            </w:tcBorders>
            <w:gridSpan w:val="21"/>
            <w:shd w:val="clear" w:color="auto" w:fill="CCEEFF"/>
          </w:tcPr>
          <w:p>
            <w:pPr>
              <w:spacing w:after="0" w:line="20" w:lineRule="exact"/>
              <w:rPr>
                <w:sz w:val="1"/>
                <w:szCs w:val="1"/>
                <w:color w:val="auto"/>
              </w:rPr>
            </w:pPr>
          </w:p>
        </w:tc>
        <w:tc>
          <w:tcPr>
            <w:tcW w:w="7520" w:type="dxa"/>
            <w:vAlign w:val="bottom"/>
            <w:tcBorders>
              <w:top w:val="single" w:sz="8" w:color="CCEEFF"/>
            </w:tcBorders>
            <w:gridSpan w:val="25"/>
            <w:shd w:val="clear" w:color="auto" w:fill="CCEEFF"/>
          </w:tcPr>
          <w:p>
            <w:pPr>
              <w:spacing w:after="0" w:line="20" w:lineRule="exact"/>
              <w:rPr>
                <w:sz w:val="1"/>
                <w:szCs w:val="1"/>
                <w:color w:val="auto"/>
              </w:rPr>
            </w:pPr>
          </w:p>
        </w:tc>
        <w:tc>
          <w:tcPr>
            <w:tcW w:w="180" w:type="dxa"/>
            <w:vAlign w:val="bottom"/>
            <w:tcBorders>
              <w:top w:val="single" w:sz="8" w:color="0000FF"/>
            </w:tcBorders>
            <w:gridSpan w:val="5"/>
            <w:shd w:val="clear" w:color="auto" w:fill="CCEEFF"/>
          </w:tcPr>
          <w:p>
            <w:pPr>
              <w:spacing w:after="0" w:line="20" w:lineRule="exact"/>
              <w:rPr>
                <w:sz w:val="1"/>
                <w:szCs w:val="1"/>
                <w:color w:val="auto"/>
              </w:rPr>
            </w:pPr>
          </w:p>
        </w:tc>
        <w:tc>
          <w:tcPr>
            <w:tcW w:w="740" w:type="dxa"/>
            <w:vAlign w:val="bottom"/>
            <w:tcBorders>
              <w:top w:val="single" w:sz="8" w:color="CCEEFF"/>
            </w:tcBorders>
            <w:gridSpan w:val="2"/>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0" w:type="dxa"/>
            <w:vAlign w:val="bottom"/>
            <w:gridSpan w:val="46"/>
          </w:tcPr>
          <w:p>
            <w:pPr>
              <w:ind w:left="340"/>
              <w:spacing w:after="0" w:line="175" w:lineRule="exact"/>
              <w:rPr>
                <w:sz w:val="20"/>
                <w:szCs w:val="20"/>
                <w:color w:val="auto"/>
              </w:rPr>
            </w:pPr>
            <w:r>
              <w:rPr>
                <w:rFonts w:ascii="Arial" w:cs="Arial" w:eastAsia="Arial" w:hAnsi="Arial"/>
                <w:sz w:val="16"/>
                <w:szCs w:val="16"/>
                <w:color w:val="0000FF"/>
              </w:rPr>
              <w:t>18. Commitments and Contingencies</w:t>
            </w:r>
          </w:p>
        </w:tc>
        <w:tc>
          <w:tcPr>
            <w:tcW w:w="340" w:type="dxa"/>
            <w:vAlign w:val="bottom"/>
            <w:gridSpan w:val="7"/>
          </w:tcPr>
          <w:p>
            <w:pPr>
              <w:jc w:val="center"/>
              <w:spacing w:after="0" w:line="175" w:lineRule="exact"/>
              <w:rPr>
                <w:sz w:val="20"/>
                <w:szCs w:val="20"/>
                <w:color w:val="auto"/>
              </w:rPr>
            </w:pPr>
            <w:r>
              <w:rPr>
                <w:rFonts w:ascii="Arial" w:cs="Arial" w:eastAsia="Arial" w:hAnsi="Arial"/>
                <w:sz w:val="16"/>
                <w:szCs w:val="16"/>
                <w:color w:val="0000FF"/>
              </w:rPr>
              <w:t>16</w:t>
            </w:r>
          </w:p>
        </w:tc>
        <w:tc>
          <w:tcPr>
            <w:tcW w:w="660" w:type="dxa"/>
            <w:vAlign w:val="bottom"/>
          </w:tcPr>
          <w:p>
            <w:pPr>
              <w:spacing w:after="0"/>
              <w:rPr>
                <w:sz w:val="15"/>
                <w:szCs w:val="15"/>
                <w:color w:val="auto"/>
              </w:rPr>
            </w:pPr>
          </w:p>
        </w:tc>
      </w:tr>
      <w:tr>
        <w:trPr>
          <w:trHeight w:val="20"/>
        </w:trPr>
        <w:tc>
          <w:tcPr>
            <w:tcW w:w="1180" w:type="dxa"/>
            <w:vAlign w:val="bottom"/>
            <w:gridSpan w:val="6"/>
          </w:tcPr>
          <w:p>
            <w:pPr>
              <w:spacing w:after="0" w:line="20" w:lineRule="exact"/>
              <w:rPr>
                <w:sz w:val="1"/>
                <w:szCs w:val="1"/>
                <w:color w:val="auto"/>
              </w:rPr>
            </w:pPr>
          </w:p>
        </w:tc>
        <w:tc>
          <w:tcPr>
            <w:tcW w:w="2400" w:type="dxa"/>
            <w:vAlign w:val="bottom"/>
            <w:tcBorders>
              <w:top w:val="single" w:sz="8" w:color="0000FF"/>
            </w:tcBorders>
            <w:gridSpan w:val="34"/>
          </w:tcPr>
          <w:p>
            <w:pPr>
              <w:spacing w:after="0" w:line="20" w:lineRule="exact"/>
              <w:rPr>
                <w:sz w:val="1"/>
                <w:szCs w:val="1"/>
                <w:color w:val="auto"/>
              </w:rPr>
            </w:pPr>
          </w:p>
        </w:tc>
        <w:tc>
          <w:tcPr>
            <w:tcW w:w="6740" w:type="dxa"/>
            <w:vAlign w:val="bottom"/>
            <w:gridSpan w:val="12"/>
          </w:tcPr>
          <w:p>
            <w:pPr>
              <w:spacing w:after="0" w:line="20" w:lineRule="exact"/>
              <w:rPr>
                <w:sz w:val="1"/>
                <w:szCs w:val="1"/>
                <w:color w:val="auto"/>
              </w:rPr>
            </w:pPr>
          </w:p>
        </w:tc>
        <w:tc>
          <w:tcPr>
            <w:tcW w:w="180" w:type="dxa"/>
            <w:vAlign w:val="bottom"/>
            <w:tcBorders>
              <w:top w:val="single" w:sz="8" w:color="0000FF"/>
            </w:tcBorders>
            <w:gridSpan w:val="5"/>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0" w:type="dxa"/>
            <w:vAlign w:val="bottom"/>
            <w:gridSpan w:val="46"/>
            <w:shd w:val="clear" w:color="auto" w:fill="CCEEFF"/>
          </w:tcPr>
          <w:p>
            <w:pPr>
              <w:ind w:left="340"/>
              <w:spacing w:after="0" w:line="175" w:lineRule="exact"/>
              <w:rPr>
                <w:sz w:val="20"/>
                <w:szCs w:val="20"/>
                <w:color w:val="auto"/>
              </w:rPr>
            </w:pPr>
            <w:r>
              <w:rPr>
                <w:rFonts w:ascii="Arial" w:cs="Arial" w:eastAsia="Arial" w:hAnsi="Arial"/>
                <w:sz w:val="16"/>
                <w:szCs w:val="16"/>
                <w:color w:val="0000FF"/>
              </w:rPr>
              <w:t>19. Supplemental Cash Flow Information</w:t>
            </w:r>
          </w:p>
        </w:tc>
        <w:tc>
          <w:tcPr>
            <w:tcW w:w="340" w:type="dxa"/>
            <w:vAlign w:val="bottom"/>
            <w:gridSpan w:val="7"/>
            <w:shd w:val="clear" w:color="auto" w:fill="CCEEFF"/>
          </w:tcPr>
          <w:p>
            <w:pPr>
              <w:jc w:val="center"/>
              <w:spacing w:after="0" w:line="175" w:lineRule="exact"/>
              <w:rPr>
                <w:sz w:val="20"/>
                <w:szCs w:val="20"/>
                <w:color w:val="auto"/>
              </w:rPr>
            </w:pPr>
            <w:r>
              <w:rPr>
                <w:rFonts w:ascii="Arial" w:cs="Arial" w:eastAsia="Arial" w:hAnsi="Arial"/>
                <w:sz w:val="16"/>
                <w:szCs w:val="16"/>
                <w:color w:val="0000FF"/>
              </w:rPr>
              <w:t>17</w:t>
            </w:r>
          </w:p>
        </w:tc>
        <w:tc>
          <w:tcPr>
            <w:tcW w:w="660" w:type="dxa"/>
            <w:vAlign w:val="bottom"/>
            <w:shd w:val="clear" w:color="auto" w:fill="CCEEFF"/>
          </w:tcPr>
          <w:p>
            <w:pPr>
              <w:spacing w:after="0"/>
              <w:rPr>
                <w:sz w:val="15"/>
                <w:szCs w:val="15"/>
                <w:color w:val="auto"/>
              </w:rPr>
            </w:pPr>
          </w:p>
        </w:tc>
      </w:tr>
      <w:tr>
        <w:trPr>
          <w:trHeight w:val="20"/>
        </w:trPr>
        <w:tc>
          <w:tcPr>
            <w:tcW w:w="1180" w:type="dxa"/>
            <w:vAlign w:val="bottom"/>
            <w:tcBorders>
              <w:top w:val="single" w:sz="8" w:color="CCEEFF"/>
            </w:tcBorders>
            <w:gridSpan w:val="6"/>
            <w:shd w:val="clear" w:color="auto" w:fill="CCEEFF"/>
          </w:tcPr>
          <w:p>
            <w:pPr>
              <w:spacing w:after="0" w:line="20" w:lineRule="exact"/>
              <w:rPr>
                <w:sz w:val="1"/>
                <w:szCs w:val="1"/>
                <w:color w:val="auto"/>
              </w:rPr>
            </w:pPr>
          </w:p>
        </w:tc>
        <w:tc>
          <w:tcPr>
            <w:tcW w:w="2680" w:type="dxa"/>
            <w:vAlign w:val="bottom"/>
            <w:tcBorders>
              <w:top w:val="single" w:sz="8" w:color="0000FF"/>
            </w:tcBorders>
            <w:gridSpan w:val="37"/>
            <w:shd w:val="clear" w:color="auto" w:fill="CCEEFF"/>
          </w:tcPr>
          <w:p>
            <w:pPr>
              <w:spacing w:after="0" w:line="20" w:lineRule="exact"/>
              <w:rPr>
                <w:sz w:val="1"/>
                <w:szCs w:val="1"/>
                <w:color w:val="auto"/>
              </w:rPr>
            </w:pPr>
          </w:p>
        </w:tc>
        <w:tc>
          <w:tcPr>
            <w:tcW w:w="6460" w:type="dxa"/>
            <w:vAlign w:val="bottom"/>
            <w:tcBorders>
              <w:top w:val="single" w:sz="8" w:color="CCEEFF"/>
            </w:tcBorders>
            <w:gridSpan w:val="9"/>
            <w:shd w:val="clear" w:color="auto" w:fill="CCEEFF"/>
          </w:tcPr>
          <w:p>
            <w:pPr>
              <w:spacing w:after="0" w:line="20" w:lineRule="exact"/>
              <w:rPr>
                <w:sz w:val="1"/>
                <w:szCs w:val="1"/>
                <w:color w:val="auto"/>
              </w:rPr>
            </w:pPr>
          </w:p>
        </w:tc>
        <w:tc>
          <w:tcPr>
            <w:tcW w:w="180" w:type="dxa"/>
            <w:vAlign w:val="bottom"/>
            <w:tcBorders>
              <w:top w:val="single" w:sz="8" w:color="0000FF"/>
            </w:tcBorders>
            <w:gridSpan w:val="5"/>
            <w:shd w:val="clear" w:color="auto" w:fill="CCEEFF"/>
          </w:tcPr>
          <w:p>
            <w:pPr>
              <w:spacing w:after="0" w:line="20" w:lineRule="exact"/>
              <w:rPr>
                <w:sz w:val="1"/>
                <w:szCs w:val="1"/>
                <w:color w:val="auto"/>
              </w:rPr>
            </w:pPr>
          </w:p>
        </w:tc>
        <w:tc>
          <w:tcPr>
            <w:tcW w:w="740" w:type="dxa"/>
            <w:vAlign w:val="bottom"/>
            <w:tcBorders>
              <w:top w:val="single" w:sz="8" w:color="CCEEFF"/>
            </w:tcBorders>
            <w:gridSpan w:val="2"/>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0" w:type="dxa"/>
            <w:vAlign w:val="bottom"/>
            <w:gridSpan w:val="46"/>
          </w:tcPr>
          <w:p>
            <w:pPr>
              <w:ind w:left="340"/>
              <w:spacing w:after="0" w:line="175" w:lineRule="exact"/>
              <w:rPr>
                <w:sz w:val="20"/>
                <w:szCs w:val="20"/>
                <w:color w:val="auto"/>
              </w:rPr>
            </w:pPr>
            <w:r>
              <w:rPr>
                <w:rFonts w:ascii="Arial" w:cs="Arial" w:eastAsia="Arial" w:hAnsi="Arial"/>
                <w:sz w:val="16"/>
                <w:szCs w:val="16"/>
                <w:color w:val="0000FF"/>
              </w:rPr>
              <w:t>20. Revision of Prior Year Interim Financial Statements</w:t>
            </w:r>
          </w:p>
        </w:tc>
        <w:tc>
          <w:tcPr>
            <w:tcW w:w="340" w:type="dxa"/>
            <w:vAlign w:val="bottom"/>
            <w:gridSpan w:val="7"/>
          </w:tcPr>
          <w:p>
            <w:pPr>
              <w:jc w:val="center"/>
              <w:spacing w:after="0" w:line="175" w:lineRule="exact"/>
              <w:rPr>
                <w:sz w:val="20"/>
                <w:szCs w:val="20"/>
                <w:color w:val="auto"/>
              </w:rPr>
            </w:pPr>
            <w:r>
              <w:rPr>
                <w:rFonts w:ascii="Arial" w:cs="Arial" w:eastAsia="Arial" w:hAnsi="Arial"/>
                <w:sz w:val="16"/>
                <w:szCs w:val="16"/>
                <w:color w:val="0000FF"/>
              </w:rPr>
              <w:t>17</w:t>
            </w:r>
          </w:p>
        </w:tc>
        <w:tc>
          <w:tcPr>
            <w:tcW w:w="660" w:type="dxa"/>
            <w:vAlign w:val="bottom"/>
          </w:tcPr>
          <w:p>
            <w:pPr>
              <w:spacing w:after="0"/>
              <w:rPr>
                <w:sz w:val="15"/>
                <w:szCs w:val="15"/>
                <w:color w:val="auto"/>
              </w:rPr>
            </w:pPr>
          </w:p>
        </w:tc>
      </w:tr>
      <w:tr>
        <w:trPr>
          <w:trHeight w:val="21"/>
        </w:trPr>
        <w:tc>
          <w:tcPr>
            <w:tcW w:w="1180" w:type="dxa"/>
            <w:vAlign w:val="bottom"/>
            <w:gridSpan w:val="6"/>
          </w:tcPr>
          <w:p>
            <w:pPr>
              <w:spacing w:after="0" w:line="20" w:lineRule="exact"/>
              <w:rPr>
                <w:sz w:val="1"/>
                <w:szCs w:val="1"/>
                <w:color w:val="auto"/>
              </w:rPr>
            </w:pPr>
          </w:p>
        </w:tc>
        <w:tc>
          <w:tcPr>
            <w:tcW w:w="3600" w:type="dxa"/>
            <w:vAlign w:val="bottom"/>
            <w:tcBorders>
              <w:top w:val="single" w:sz="8" w:color="0000FF"/>
            </w:tcBorders>
            <w:gridSpan w:val="42"/>
          </w:tcPr>
          <w:p>
            <w:pPr>
              <w:spacing w:after="0" w:line="20" w:lineRule="exact"/>
              <w:rPr>
                <w:sz w:val="1"/>
                <w:szCs w:val="1"/>
                <w:color w:val="auto"/>
              </w:rPr>
            </w:pPr>
          </w:p>
        </w:tc>
        <w:tc>
          <w:tcPr>
            <w:tcW w:w="5540" w:type="dxa"/>
            <w:vAlign w:val="bottom"/>
            <w:gridSpan w:val="4"/>
          </w:tcPr>
          <w:p>
            <w:pPr>
              <w:spacing w:after="0" w:line="20" w:lineRule="exact"/>
              <w:rPr>
                <w:sz w:val="1"/>
                <w:szCs w:val="1"/>
                <w:color w:val="auto"/>
              </w:rPr>
            </w:pPr>
          </w:p>
        </w:tc>
        <w:tc>
          <w:tcPr>
            <w:tcW w:w="180" w:type="dxa"/>
            <w:vAlign w:val="bottom"/>
            <w:tcBorders>
              <w:top w:val="single" w:sz="8" w:color="0000FF"/>
            </w:tcBorders>
            <w:gridSpan w:val="5"/>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700" w:type="dxa"/>
            <w:vAlign w:val="bottom"/>
            <w:gridSpan w:val="3"/>
            <w:shd w:val="clear" w:color="auto" w:fill="CCEEFF"/>
          </w:tcPr>
          <w:p>
            <w:pPr>
              <w:spacing w:after="0" w:line="175" w:lineRule="exact"/>
              <w:rPr>
                <w:sz w:val="20"/>
                <w:szCs w:val="20"/>
                <w:color w:val="auto"/>
              </w:rPr>
            </w:pPr>
            <w:r>
              <w:rPr>
                <w:rFonts w:ascii="Arial" w:cs="Arial" w:eastAsia="Arial" w:hAnsi="Arial"/>
                <w:sz w:val="16"/>
                <w:szCs w:val="16"/>
                <w:color w:val="0000FF"/>
              </w:rPr>
              <w:t>Item 2.</w:t>
            </w:r>
          </w:p>
        </w:tc>
        <w:tc>
          <w:tcPr>
            <w:tcW w:w="9520" w:type="dxa"/>
            <w:vAlign w:val="bottom"/>
            <w:gridSpan w:val="47"/>
            <w:shd w:val="clear" w:color="auto" w:fill="CCEEFF"/>
          </w:tcPr>
          <w:p>
            <w:pPr>
              <w:ind w:left="120"/>
              <w:spacing w:after="0" w:line="175" w:lineRule="exact"/>
              <w:rPr>
                <w:sz w:val="20"/>
                <w:szCs w:val="20"/>
                <w:color w:val="auto"/>
              </w:rPr>
            </w:pPr>
            <w:r>
              <w:rPr>
                <w:rFonts w:ascii="Arial" w:cs="Arial" w:eastAsia="Arial" w:hAnsi="Arial"/>
                <w:sz w:val="16"/>
                <w:szCs w:val="16"/>
                <w:color w:val="0000FF"/>
              </w:rPr>
              <w:t>Management’s Discussion and Analysis of Financial Condition and Results of Operations</w:t>
            </w:r>
          </w:p>
        </w:tc>
        <w:tc>
          <w:tcPr>
            <w:tcW w:w="340" w:type="dxa"/>
            <w:vAlign w:val="bottom"/>
            <w:gridSpan w:val="7"/>
            <w:shd w:val="clear" w:color="auto" w:fill="CCEEFF"/>
          </w:tcPr>
          <w:p>
            <w:pPr>
              <w:jc w:val="center"/>
              <w:spacing w:after="0" w:line="175" w:lineRule="exact"/>
              <w:rPr>
                <w:sz w:val="20"/>
                <w:szCs w:val="20"/>
                <w:color w:val="auto"/>
              </w:rPr>
            </w:pPr>
            <w:r>
              <w:rPr>
                <w:rFonts w:ascii="Arial" w:cs="Arial" w:eastAsia="Arial" w:hAnsi="Arial"/>
                <w:sz w:val="16"/>
                <w:szCs w:val="16"/>
                <w:color w:val="0000FF"/>
              </w:rPr>
              <w:t>19</w:t>
            </w:r>
          </w:p>
        </w:tc>
        <w:tc>
          <w:tcPr>
            <w:tcW w:w="660" w:type="dxa"/>
            <w:vAlign w:val="bottom"/>
            <w:shd w:val="clear" w:color="auto" w:fill="CCEEFF"/>
          </w:tcPr>
          <w:p>
            <w:pPr>
              <w:spacing w:after="0"/>
              <w:rPr>
                <w:sz w:val="17"/>
                <w:szCs w:val="17"/>
                <w:color w:val="auto"/>
              </w:rPr>
            </w:pPr>
          </w:p>
        </w:tc>
      </w:tr>
      <w:tr>
        <w:trPr>
          <w:trHeight w:val="175"/>
        </w:trPr>
        <w:tc>
          <w:tcPr>
            <w:tcW w:w="20" w:type="dxa"/>
            <w:vAlign w:val="bottom"/>
            <w:tcBorders>
              <w:top w:val="single" w:sz="8" w:color="CCEEFF"/>
            </w:tcBorders>
          </w:tcPr>
          <w:p>
            <w:pPr>
              <w:spacing w:after="0"/>
              <w:rPr>
                <w:sz w:val="15"/>
                <w:szCs w:val="15"/>
                <w:color w:val="auto"/>
              </w:rPr>
            </w:pPr>
          </w:p>
        </w:tc>
        <w:tc>
          <w:tcPr>
            <w:tcW w:w="460" w:type="dxa"/>
            <w:vAlign w:val="bottom"/>
            <w:tcBorders>
              <w:top w:val="single" w:sz="8" w:color="0000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5820" w:type="dxa"/>
            <w:vAlign w:val="bottom"/>
            <w:tcBorders>
              <w:top w:val="single" w:sz="8" w:color="0000FF"/>
            </w:tcBorders>
            <w:gridSpan w:val="45"/>
          </w:tcPr>
          <w:p>
            <w:pPr>
              <w:spacing w:after="0" w:line="175" w:lineRule="exact"/>
              <w:rPr>
                <w:sz w:val="20"/>
                <w:szCs w:val="20"/>
                <w:color w:val="auto"/>
              </w:rPr>
            </w:pPr>
            <w:r>
              <w:rPr>
                <w:rFonts w:ascii="Arial" w:cs="Arial" w:eastAsia="Arial" w:hAnsi="Arial"/>
                <w:sz w:val="16"/>
                <w:szCs w:val="16"/>
                <w:color w:val="0000FF"/>
              </w:rPr>
              <w:t>Forward-Looking Statements</w:t>
            </w:r>
          </w:p>
        </w:tc>
        <w:tc>
          <w:tcPr>
            <w:tcW w:w="358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80" w:type="dxa"/>
            <w:vAlign w:val="bottom"/>
            <w:tcBorders>
              <w:top w:val="single" w:sz="8" w:color="0000FF"/>
            </w:tcBorders>
            <w:gridSpan w:val="5"/>
          </w:tcPr>
          <w:p>
            <w:pPr>
              <w:jc w:val="center"/>
              <w:spacing w:after="0" w:line="175" w:lineRule="exact"/>
              <w:rPr>
                <w:sz w:val="20"/>
                <w:szCs w:val="20"/>
                <w:color w:val="auto"/>
              </w:rPr>
            </w:pPr>
            <w:r>
              <w:rPr>
                <w:rFonts w:ascii="Arial" w:cs="Arial" w:eastAsia="Arial" w:hAnsi="Arial"/>
                <w:sz w:val="16"/>
                <w:szCs w:val="16"/>
                <w:color w:val="0000FF"/>
              </w:rPr>
              <w:t>19</w:t>
            </w:r>
          </w:p>
        </w:tc>
        <w:tc>
          <w:tcPr>
            <w:tcW w:w="80" w:type="dxa"/>
            <w:vAlign w:val="bottom"/>
            <w:tcBorders>
              <w:top w:val="single" w:sz="8" w:color="CCEEFF"/>
            </w:tcBorders>
          </w:tcPr>
          <w:p>
            <w:pPr>
              <w:spacing w:after="0"/>
              <w:rPr>
                <w:sz w:val="15"/>
                <w:szCs w:val="15"/>
                <w:color w:val="auto"/>
              </w:rPr>
            </w:pPr>
          </w:p>
        </w:tc>
        <w:tc>
          <w:tcPr>
            <w:tcW w:w="660" w:type="dxa"/>
            <w:vAlign w:val="bottom"/>
            <w:tcBorders>
              <w:top w:val="single" w:sz="8" w:color="CCEEFF"/>
            </w:tcBorders>
          </w:tcPr>
          <w:p>
            <w:pPr>
              <w:spacing w:after="0"/>
              <w:rPr>
                <w:sz w:val="15"/>
                <w:szCs w:val="15"/>
                <w:color w:val="auto"/>
              </w:rPr>
            </w:pPr>
          </w:p>
        </w:tc>
      </w:tr>
      <w:tr>
        <w:trPr>
          <w:trHeight w:val="20"/>
        </w:trPr>
        <w:tc>
          <w:tcPr>
            <w:tcW w:w="840" w:type="dxa"/>
            <w:vAlign w:val="bottom"/>
            <w:gridSpan w:val="5"/>
          </w:tcPr>
          <w:p>
            <w:pPr>
              <w:spacing w:after="0" w:line="20" w:lineRule="exact"/>
              <w:rPr>
                <w:sz w:val="1"/>
                <w:szCs w:val="1"/>
                <w:color w:val="auto"/>
              </w:rPr>
            </w:pPr>
          </w:p>
        </w:tc>
        <w:tc>
          <w:tcPr>
            <w:tcW w:w="1920" w:type="dxa"/>
            <w:vAlign w:val="bottom"/>
            <w:tcBorders>
              <w:top w:val="single" w:sz="8" w:color="0000FF"/>
            </w:tcBorders>
            <w:gridSpan w:val="20"/>
          </w:tcPr>
          <w:p>
            <w:pPr>
              <w:spacing w:after="0" w:line="20" w:lineRule="exact"/>
              <w:rPr>
                <w:sz w:val="1"/>
                <w:szCs w:val="1"/>
                <w:color w:val="auto"/>
              </w:rPr>
            </w:pPr>
          </w:p>
        </w:tc>
        <w:tc>
          <w:tcPr>
            <w:tcW w:w="7560" w:type="dxa"/>
            <w:vAlign w:val="bottom"/>
            <w:gridSpan w:val="27"/>
          </w:tcPr>
          <w:p>
            <w:pPr>
              <w:spacing w:after="0" w:line="20" w:lineRule="exact"/>
              <w:rPr>
                <w:sz w:val="1"/>
                <w:szCs w:val="1"/>
                <w:color w:val="auto"/>
              </w:rPr>
            </w:pPr>
          </w:p>
        </w:tc>
        <w:tc>
          <w:tcPr>
            <w:tcW w:w="180" w:type="dxa"/>
            <w:vAlign w:val="bottom"/>
            <w:tcBorders>
              <w:top w:val="single" w:sz="8" w:color="0000FF"/>
            </w:tcBorders>
            <w:gridSpan w:val="5"/>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100" w:type="dxa"/>
            <w:vAlign w:val="bottom"/>
            <w:tcBorders>
              <w:bottom w:val="single" w:sz="8" w:color="0000FF"/>
            </w:tcBorders>
            <w:gridSpan w:val="26"/>
            <w:shd w:val="clear" w:color="auto" w:fill="CCEEFF"/>
          </w:tcPr>
          <w:p>
            <w:pPr>
              <w:spacing w:after="0" w:line="175" w:lineRule="exact"/>
              <w:rPr>
                <w:sz w:val="20"/>
                <w:szCs w:val="20"/>
                <w:color w:val="auto"/>
              </w:rPr>
            </w:pPr>
            <w:r>
              <w:rPr>
                <w:rFonts w:ascii="Arial" w:cs="Arial" w:eastAsia="Arial" w:hAnsi="Arial"/>
                <w:sz w:val="16"/>
                <w:szCs w:val="16"/>
                <w:color w:val="0000FF"/>
                <w:w w:val="90"/>
              </w:rPr>
              <w:t>General and Business Overview</w:t>
            </w:r>
          </w:p>
        </w:tc>
        <w:tc>
          <w:tcPr>
            <w:tcW w:w="7300" w:type="dxa"/>
            <w:vAlign w:val="bottom"/>
            <w:tcBorders>
              <w:bottom w:val="single" w:sz="8" w:color="CCEEFF"/>
            </w:tcBorders>
            <w:gridSpan w:val="20"/>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FF"/>
            </w:tcBorders>
            <w:gridSpan w:val="5"/>
            <w:shd w:val="clear" w:color="auto" w:fill="CCEEFF"/>
          </w:tcPr>
          <w:p>
            <w:pPr>
              <w:jc w:val="center"/>
              <w:spacing w:after="0" w:line="175" w:lineRule="exact"/>
              <w:rPr>
                <w:sz w:val="20"/>
                <w:szCs w:val="20"/>
                <w:color w:val="auto"/>
              </w:rPr>
            </w:pPr>
            <w:r>
              <w:rPr>
                <w:rFonts w:ascii="Arial" w:cs="Arial" w:eastAsia="Arial" w:hAnsi="Arial"/>
                <w:sz w:val="16"/>
                <w:szCs w:val="16"/>
                <w:color w:val="0000FF"/>
              </w:rPr>
              <w:t>19</w:t>
            </w:r>
          </w:p>
        </w:tc>
        <w:tc>
          <w:tcPr>
            <w:tcW w:w="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r>
      <w:tr>
        <w:trPr>
          <w:trHeight w:val="175"/>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520" w:type="dxa"/>
            <w:vAlign w:val="bottom"/>
            <w:gridSpan w:val="47"/>
          </w:tcPr>
          <w:p>
            <w:pPr>
              <w:ind w:left="120"/>
              <w:spacing w:after="0" w:line="175" w:lineRule="exact"/>
              <w:rPr>
                <w:sz w:val="20"/>
                <w:szCs w:val="20"/>
                <w:color w:val="auto"/>
              </w:rPr>
            </w:pPr>
            <w:r>
              <w:rPr>
                <w:rFonts w:ascii="Arial" w:cs="Arial" w:eastAsia="Arial" w:hAnsi="Arial"/>
                <w:sz w:val="16"/>
                <w:szCs w:val="16"/>
                <w:color w:val="0000FF"/>
              </w:rPr>
              <w:t>Business Environment</w:t>
            </w:r>
          </w:p>
        </w:tc>
        <w:tc>
          <w:tcPr>
            <w:tcW w:w="340" w:type="dxa"/>
            <w:vAlign w:val="bottom"/>
            <w:gridSpan w:val="7"/>
          </w:tcPr>
          <w:p>
            <w:pPr>
              <w:jc w:val="center"/>
              <w:spacing w:after="0" w:line="175" w:lineRule="exact"/>
              <w:rPr>
                <w:sz w:val="20"/>
                <w:szCs w:val="20"/>
                <w:color w:val="auto"/>
              </w:rPr>
            </w:pPr>
            <w:r>
              <w:rPr>
                <w:rFonts w:ascii="Arial" w:cs="Arial" w:eastAsia="Arial" w:hAnsi="Arial"/>
                <w:sz w:val="16"/>
                <w:szCs w:val="16"/>
                <w:color w:val="0000FF"/>
              </w:rPr>
              <w:t>19</w:t>
            </w:r>
          </w:p>
        </w:tc>
        <w:tc>
          <w:tcPr>
            <w:tcW w:w="660" w:type="dxa"/>
            <w:vAlign w:val="bottom"/>
          </w:tcPr>
          <w:p>
            <w:pPr>
              <w:spacing w:after="0"/>
              <w:rPr>
                <w:sz w:val="15"/>
                <w:szCs w:val="15"/>
                <w:color w:val="auto"/>
              </w:rPr>
            </w:pPr>
          </w:p>
        </w:tc>
      </w:tr>
      <w:tr>
        <w:trPr>
          <w:trHeight w:val="20"/>
        </w:trPr>
        <w:tc>
          <w:tcPr>
            <w:tcW w:w="840" w:type="dxa"/>
            <w:vAlign w:val="bottom"/>
            <w:gridSpan w:val="5"/>
          </w:tcPr>
          <w:p>
            <w:pPr>
              <w:spacing w:after="0" w:line="20" w:lineRule="exact"/>
              <w:rPr>
                <w:sz w:val="1"/>
                <w:szCs w:val="1"/>
                <w:color w:val="auto"/>
              </w:rPr>
            </w:pPr>
          </w:p>
        </w:tc>
        <w:tc>
          <w:tcPr>
            <w:tcW w:w="1480" w:type="dxa"/>
            <w:vAlign w:val="bottom"/>
            <w:tcBorders>
              <w:top w:val="single" w:sz="8" w:color="0000FF"/>
            </w:tcBorders>
            <w:gridSpan w:val="13"/>
          </w:tcPr>
          <w:p>
            <w:pPr>
              <w:spacing w:after="0" w:line="20" w:lineRule="exact"/>
              <w:rPr>
                <w:sz w:val="1"/>
                <w:szCs w:val="1"/>
                <w:color w:val="auto"/>
              </w:rPr>
            </w:pPr>
          </w:p>
        </w:tc>
        <w:tc>
          <w:tcPr>
            <w:tcW w:w="8000" w:type="dxa"/>
            <w:vAlign w:val="bottom"/>
            <w:gridSpan w:val="34"/>
          </w:tcPr>
          <w:p>
            <w:pPr>
              <w:spacing w:after="0" w:line="20" w:lineRule="exact"/>
              <w:rPr>
                <w:sz w:val="1"/>
                <w:szCs w:val="1"/>
                <w:color w:val="auto"/>
              </w:rPr>
            </w:pPr>
          </w:p>
        </w:tc>
        <w:tc>
          <w:tcPr>
            <w:tcW w:w="180" w:type="dxa"/>
            <w:vAlign w:val="bottom"/>
            <w:tcBorders>
              <w:top w:val="single" w:sz="8" w:color="0000FF"/>
            </w:tcBorders>
            <w:gridSpan w:val="5"/>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0" w:type="dxa"/>
            <w:vAlign w:val="bottom"/>
            <w:gridSpan w:val="46"/>
            <w:shd w:val="clear" w:color="auto" w:fill="CCEEFF"/>
          </w:tcPr>
          <w:p>
            <w:pPr>
              <w:spacing w:after="0" w:line="175" w:lineRule="exact"/>
              <w:rPr>
                <w:sz w:val="20"/>
                <w:szCs w:val="20"/>
                <w:color w:val="auto"/>
              </w:rPr>
            </w:pPr>
            <w:r>
              <w:rPr>
                <w:rFonts w:ascii="Arial" w:cs="Arial" w:eastAsia="Arial" w:hAnsi="Arial"/>
                <w:sz w:val="16"/>
                <w:szCs w:val="16"/>
                <w:color w:val="0000FF"/>
              </w:rPr>
              <w:t>Backlog</w:t>
            </w:r>
          </w:p>
        </w:tc>
        <w:tc>
          <w:tcPr>
            <w:tcW w:w="340" w:type="dxa"/>
            <w:vAlign w:val="bottom"/>
            <w:gridSpan w:val="7"/>
            <w:shd w:val="clear" w:color="auto" w:fill="CCEEFF"/>
          </w:tcPr>
          <w:p>
            <w:pPr>
              <w:jc w:val="center"/>
              <w:spacing w:after="0" w:line="175" w:lineRule="exact"/>
              <w:rPr>
                <w:sz w:val="20"/>
                <w:szCs w:val="20"/>
                <w:color w:val="auto"/>
              </w:rPr>
            </w:pPr>
            <w:r>
              <w:rPr>
                <w:rFonts w:ascii="Arial" w:cs="Arial" w:eastAsia="Arial" w:hAnsi="Arial"/>
                <w:sz w:val="16"/>
                <w:szCs w:val="16"/>
                <w:color w:val="0000FF"/>
              </w:rPr>
              <w:t>20</w:t>
            </w:r>
          </w:p>
        </w:tc>
        <w:tc>
          <w:tcPr>
            <w:tcW w:w="660" w:type="dxa"/>
            <w:vAlign w:val="bottom"/>
            <w:shd w:val="clear" w:color="auto" w:fill="CCEEFF"/>
          </w:tcPr>
          <w:p>
            <w:pPr>
              <w:spacing w:after="0"/>
              <w:rPr>
                <w:sz w:val="15"/>
                <w:szCs w:val="15"/>
                <w:color w:val="auto"/>
              </w:rPr>
            </w:pPr>
          </w:p>
        </w:tc>
      </w:tr>
      <w:tr>
        <w:trPr>
          <w:trHeight w:val="21"/>
        </w:trPr>
        <w:tc>
          <w:tcPr>
            <w:tcW w:w="840" w:type="dxa"/>
            <w:vAlign w:val="bottom"/>
            <w:tcBorders>
              <w:top w:val="single" w:sz="8" w:color="CCEEFF"/>
            </w:tcBorders>
            <w:gridSpan w:val="5"/>
            <w:shd w:val="clear" w:color="auto" w:fill="CCEEFF"/>
          </w:tcPr>
          <w:p>
            <w:pPr>
              <w:spacing w:after="0" w:line="20" w:lineRule="exact"/>
              <w:rPr>
                <w:sz w:val="1"/>
                <w:szCs w:val="1"/>
                <w:color w:val="auto"/>
              </w:rPr>
            </w:pPr>
          </w:p>
        </w:tc>
        <w:tc>
          <w:tcPr>
            <w:tcW w:w="540" w:type="dxa"/>
            <w:vAlign w:val="bottom"/>
            <w:tcBorders>
              <w:top w:val="single" w:sz="8" w:color="0000FF"/>
            </w:tcBorders>
            <w:gridSpan w:val="2"/>
            <w:shd w:val="clear" w:color="auto" w:fill="CCEEFF"/>
          </w:tcPr>
          <w:p>
            <w:pPr>
              <w:spacing w:after="0" w:line="20" w:lineRule="exact"/>
              <w:rPr>
                <w:sz w:val="1"/>
                <w:szCs w:val="1"/>
                <w:color w:val="auto"/>
              </w:rPr>
            </w:pPr>
          </w:p>
        </w:tc>
        <w:tc>
          <w:tcPr>
            <w:tcW w:w="8940" w:type="dxa"/>
            <w:vAlign w:val="bottom"/>
            <w:tcBorders>
              <w:top w:val="single" w:sz="8" w:color="CCEEFF"/>
            </w:tcBorders>
            <w:gridSpan w:val="45"/>
            <w:shd w:val="clear" w:color="auto" w:fill="CCEEFF"/>
          </w:tcPr>
          <w:p>
            <w:pPr>
              <w:spacing w:after="0" w:line="20" w:lineRule="exact"/>
              <w:rPr>
                <w:sz w:val="1"/>
                <w:szCs w:val="1"/>
                <w:color w:val="auto"/>
              </w:rPr>
            </w:pPr>
          </w:p>
        </w:tc>
        <w:tc>
          <w:tcPr>
            <w:tcW w:w="180" w:type="dxa"/>
            <w:vAlign w:val="bottom"/>
            <w:tcBorders>
              <w:top w:val="single" w:sz="8" w:color="0000FF"/>
            </w:tcBorders>
            <w:gridSpan w:val="5"/>
            <w:shd w:val="clear" w:color="auto" w:fill="CCEEFF"/>
          </w:tcPr>
          <w:p>
            <w:pPr>
              <w:spacing w:after="0" w:line="20" w:lineRule="exact"/>
              <w:rPr>
                <w:sz w:val="1"/>
                <w:szCs w:val="1"/>
                <w:color w:val="auto"/>
              </w:rPr>
            </w:pPr>
          </w:p>
        </w:tc>
        <w:tc>
          <w:tcPr>
            <w:tcW w:w="740" w:type="dxa"/>
            <w:vAlign w:val="bottom"/>
            <w:tcBorders>
              <w:top w:val="single" w:sz="8" w:color="CCEEFF"/>
            </w:tcBorders>
            <w:gridSpan w:val="2"/>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0" w:type="dxa"/>
            <w:vAlign w:val="bottom"/>
            <w:gridSpan w:val="46"/>
          </w:tcPr>
          <w:p>
            <w:pPr>
              <w:spacing w:after="0" w:line="175" w:lineRule="exact"/>
              <w:rPr>
                <w:sz w:val="20"/>
                <w:szCs w:val="20"/>
                <w:color w:val="auto"/>
              </w:rPr>
            </w:pPr>
            <w:r>
              <w:rPr>
                <w:rFonts w:ascii="Arial" w:cs="Arial" w:eastAsia="Arial" w:hAnsi="Arial"/>
                <w:sz w:val="16"/>
                <w:szCs w:val="16"/>
                <w:color w:val="0000FF"/>
              </w:rPr>
              <w:t>Financial Overview</w:t>
            </w:r>
          </w:p>
        </w:tc>
        <w:tc>
          <w:tcPr>
            <w:tcW w:w="340" w:type="dxa"/>
            <w:vAlign w:val="bottom"/>
            <w:gridSpan w:val="7"/>
          </w:tcPr>
          <w:p>
            <w:pPr>
              <w:jc w:val="center"/>
              <w:spacing w:after="0" w:line="175" w:lineRule="exact"/>
              <w:rPr>
                <w:sz w:val="20"/>
                <w:szCs w:val="20"/>
                <w:color w:val="auto"/>
              </w:rPr>
            </w:pPr>
            <w:r>
              <w:rPr>
                <w:rFonts w:ascii="Arial" w:cs="Arial" w:eastAsia="Arial" w:hAnsi="Arial"/>
                <w:sz w:val="16"/>
                <w:szCs w:val="16"/>
                <w:color w:val="0000FF"/>
              </w:rPr>
              <w:t>20</w:t>
            </w:r>
          </w:p>
        </w:tc>
        <w:tc>
          <w:tcPr>
            <w:tcW w:w="660" w:type="dxa"/>
            <w:vAlign w:val="bottom"/>
          </w:tcPr>
          <w:p>
            <w:pPr>
              <w:spacing w:after="0"/>
              <w:rPr>
                <w:sz w:val="15"/>
                <w:szCs w:val="15"/>
                <w:color w:val="auto"/>
              </w:rPr>
            </w:pPr>
          </w:p>
        </w:tc>
      </w:tr>
      <w:tr>
        <w:trPr>
          <w:trHeight w:val="20"/>
        </w:trPr>
        <w:tc>
          <w:tcPr>
            <w:tcW w:w="840" w:type="dxa"/>
            <w:vAlign w:val="bottom"/>
            <w:gridSpan w:val="5"/>
          </w:tcPr>
          <w:p>
            <w:pPr>
              <w:spacing w:after="0" w:line="20" w:lineRule="exact"/>
              <w:rPr>
                <w:sz w:val="1"/>
                <w:szCs w:val="1"/>
                <w:color w:val="auto"/>
              </w:rPr>
            </w:pPr>
          </w:p>
        </w:tc>
        <w:tc>
          <w:tcPr>
            <w:tcW w:w="1300" w:type="dxa"/>
            <w:vAlign w:val="bottom"/>
            <w:tcBorders>
              <w:top w:val="single" w:sz="8" w:color="0000FF"/>
            </w:tcBorders>
            <w:gridSpan w:val="8"/>
          </w:tcPr>
          <w:p>
            <w:pPr>
              <w:spacing w:after="0" w:line="20" w:lineRule="exact"/>
              <w:rPr>
                <w:sz w:val="1"/>
                <w:szCs w:val="1"/>
                <w:color w:val="auto"/>
              </w:rPr>
            </w:pPr>
          </w:p>
        </w:tc>
        <w:tc>
          <w:tcPr>
            <w:tcW w:w="8180" w:type="dxa"/>
            <w:vAlign w:val="bottom"/>
            <w:gridSpan w:val="39"/>
          </w:tcPr>
          <w:p>
            <w:pPr>
              <w:spacing w:after="0" w:line="20" w:lineRule="exact"/>
              <w:rPr>
                <w:sz w:val="1"/>
                <w:szCs w:val="1"/>
                <w:color w:val="auto"/>
              </w:rPr>
            </w:pPr>
          </w:p>
        </w:tc>
        <w:tc>
          <w:tcPr>
            <w:tcW w:w="180" w:type="dxa"/>
            <w:vAlign w:val="bottom"/>
            <w:tcBorders>
              <w:top w:val="single" w:sz="8" w:color="0000FF"/>
            </w:tcBorders>
            <w:gridSpan w:val="5"/>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0000FF"/>
            </w:tcBorders>
            <w:gridSpan w:val="12"/>
            <w:shd w:val="clear" w:color="auto" w:fill="CCEEFF"/>
          </w:tcPr>
          <w:p>
            <w:pPr>
              <w:spacing w:after="0" w:line="175" w:lineRule="exact"/>
              <w:rPr>
                <w:sz w:val="20"/>
                <w:szCs w:val="20"/>
                <w:color w:val="auto"/>
              </w:rPr>
            </w:pPr>
            <w:r>
              <w:rPr>
                <w:rFonts w:ascii="Arial" w:cs="Arial" w:eastAsia="Arial" w:hAnsi="Arial"/>
                <w:sz w:val="16"/>
                <w:szCs w:val="16"/>
                <w:color w:val="0000FF"/>
                <w:w w:val="90"/>
              </w:rPr>
              <w:t>Results of Operations</w:t>
            </w:r>
          </w:p>
        </w:tc>
        <w:tc>
          <w:tcPr>
            <w:tcW w:w="7980" w:type="dxa"/>
            <w:vAlign w:val="bottom"/>
            <w:tcBorders>
              <w:bottom w:val="single" w:sz="8" w:color="CCEEFF"/>
            </w:tcBorders>
            <w:gridSpan w:val="34"/>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FF"/>
            </w:tcBorders>
            <w:gridSpan w:val="5"/>
            <w:shd w:val="clear" w:color="auto" w:fill="CCEEFF"/>
          </w:tcPr>
          <w:p>
            <w:pPr>
              <w:jc w:val="center"/>
              <w:spacing w:after="0" w:line="175" w:lineRule="exact"/>
              <w:rPr>
                <w:sz w:val="20"/>
                <w:szCs w:val="20"/>
                <w:color w:val="auto"/>
              </w:rPr>
            </w:pPr>
            <w:r>
              <w:rPr>
                <w:rFonts w:ascii="Arial" w:cs="Arial" w:eastAsia="Arial" w:hAnsi="Arial"/>
                <w:sz w:val="16"/>
                <w:szCs w:val="16"/>
                <w:color w:val="0000FF"/>
              </w:rPr>
              <w:t>21</w:t>
            </w:r>
          </w:p>
        </w:tc>
        <w:tc>
          <w:tcPr>
            <w:tcW w:w="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r>
      <w:tr>
        <w:trPr>
          <w:trHeight w:val="175"/>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520" w:type="dxa"/>
            <w:vAlign w:val="bottom"/>
            <w:gridSpan w:val="47"/>
          </w:tcPr>
          <w:p>
            <w:pPr>
              <w:ind w:left="120"/>
              <w:spacing w:after="0" w:line="175" w:lineRule="exact"/>
              <w:rPr>
                <w:sz w:val="20"/>
                <w:szCs w:val="20"/>
                <w:color w:val="auto"/>
              </w:rPr>
            </w:pPr>
            <w:r>
              <w:rPr>
                <w:rFonts w:ascii="Arial" w:cs="Arial" w:eastAsia="Arial" w:hAnsi="Arial"/>
                <w:sz w:val="16"/>
                <w:szCs w:val="16"/>
                <w:color w:val="0000FF"/>
              </w:rPr>
              <w:t>Non-GAAP Financial Measures</w:t>
            </w:r>
          </w:p>
        </w:tc>
        <w:tc>
          <w:tcPr>
            <w:tcW w:w="340" w:type="dxa"/>
            <w:vAlign w:val="bottom"/>
            <w:gridSpan w:val="7"/>
          </w:tcPr>
          <w:p>
            <w:pPr>
              <w:jc w:val="center"/>
              <w:spacing w:after="0" w:line="175" w:lineRule="exact"/>
              <w:rPr>
                <w:sz w:val="20"/>
                <w:szCs w:val="20"/>
                <w:color w:val="auto"/>
              </w:rPr>
            </w:pPr>
            <w:r>
              <w:rPr>
                <w:rFonts w:ascii="Arial" w:cs="Arial" w:eastAsia="Arial" w:hAnsi="Arial"/>
                <w:sz w:val="16"/>
                <w:szCs w:val="16"/>
                <w:color w:val="0000FF"/>
              </w:rPr>
              <w:t>22</w:t>
            </w:r>
          </w:p>
        </w:tc>
        <w:tc>
          <w:tcPr>
            <w:tcW w:w="660" w:type="dxa"/>
            <w:vAlign w:val="bottom"/>
          </w:tcPr>
          <w:p>
            <w:pPr>
              <w:spacing w:after="0"/>
              <w:rPr>
                <w:sz w:val="15"/>
                <w:szCs w:val="15"/>
                <w:color w:val="auto"/>
              </w:rPr>
            </w:pPr>
          </w:p>
        </w:tc>
      </w:tr>
      <w:tr>
        <w:trPr>
          <w:trHeight w:val="21"/>
        </w:trPr>
        <w:tc>
          <w:tcPr>
            <w:tcW w:w="840" w:type="dxa"/>
            <w:vAlign w:val="bottom"/>
            <w:gridSpan w:val="5"/>
          </w:tcPr>
          <w:p>
            <w:pPr>
              <w:spacing w:after="0" w:line="20" w:lineRule="exact"/>
              <w:rPr>
                <w:sz w:val="1"/>
                <w:szCs w:val="1"/>
                <w:color w:val="auto"/>
              </w:rPr>
            </w:pPr>
          </w:p>
        </w:tc>
        <w:tc>
          <w:tcPr>
            <w:tcW w:w="2080" w:type="dxa"/>
            <w:vAlign w:val="bottom"/>
            <w:tcBorders>
              <w:top w:val="single" w:sz="8" w:color="0000FF"/>
            </w:tcBorders>
            <w:gridSpan w:val="25"/>
          </w:tcPr>
          <w:p>
            <w:pPr>
              <w:spacing w:after="0" w:line="20" w:lineRule="exact"/>
              <w:rPr>
                <w:sz w:val="1"/>
                <w:szCs w:val="1"/>
                <w:color w:val="auto"/>
              </w:rPr>
            </w:pPr>
          </w:p>
        </w:tc>
        <w:tc>
          <w:tcPr>
            <w:tcW w:w="7400" w:type="dxa"/>
            <w:vAlign w:val="bottom"/>
            <w:gridSpan w:val="22"/>
          </w:tcPr>
          <w:p>
            <w:pPr>
              <w:spacing w:after="0" w:line="20" w:lineRule="exact"/>
              <w:rPr>
                <w:sz w:val="1"/>
                <w:szCs w:val="1"/>
                <w:color w:val="auto"/>
              </w:rPr>
            </w:pPr>
          </w:p>
        </w:tc>
        <w:tc>
          <w:tcPr>
            <w:tcW w:w="180" w:type="dxa"/>
            <w:vAlign w:val="bottom"/>
            <w:tcBorders>
              <w:top w:val="single" w:sz="8" w:color="0000FF"/>
            </w:tcBorders>
            <w:gridSpan w:val="5"/>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0" w:type="dxa"/>
            <w:vAlign w:val="bottom"/>
            <w:gridSpan w:val="46"/>
            <w:shd w:val="clear" w:color="auto" w:fill="CCEEFF"/>
          </w:tcPr>
          <w:p>
            <w:pPr>
              <w:spacing w:after="0" w:line="175" w:lineRule="exact"/>
              <w:rPr>
                <w:sz w:val="20"/>
                <w:szCs w:val="20"/>
                <w:color w:val="auto"/>
              </w:rPr>
            </w:pPr>
            <w:r>
              <w:rPr>
                <w:rFonts w:ascii="Arial" w:cs="Arial" w:eastAsia="Arial" w:hAnsi="Arial"/>
                <w:sz w:val="16"/>
                <w:szCs w:val="16"/>
                <w:color w:val="0000FF"/>
              </w:rPr>
              <w:t>Liquidity and Capital Resources</w:t>
            </w:r>
          </w:p>
        </w:tc>
        <w:tc>
          <w:tcPr>
            <w:tcW w:w="340" w:type="dxa"/>
            <w:vAlign w:val="bottom"/>
            <w:gridSpan w:val="7"/>
            <w:shd w:val="clear" w:color="auto" w:fill="CCEEFF"/>
          </w:tcPr>
          <w:p>
            <w:pPr>
              <w:jc w:val="center"/>
              <w:spacing w:after="0" w:line="175" w:lineRule="exact"/>
              <w:rPr>
                <w:sz w:val="20"/>
                <w:szCs w:val="20"/>
                <w:color w:val="auto"/>
              </w:rPr>
            </w:pPr>
            <w:r>
              <w:rPr>
                <w:rFonts w:ascii="Arial" w:cs="Arial" w:eastAsia="Arial" w:hAnsi="Arial"/>
                <w:sz w:val="16"/>
                <w:szCs w:val="16"/>
                <w:color w:val="0000FF"/>
              </w:rPr>
              <w:t>24</w:t>
            </w:r>
          </w:p>
        </w:tc>
        <w:tc>
          <w:tcPr>
            <w:tcW w:w="660" w:type="dxa"/>
            <w:vAlign w:val="bottom"/>
            <w:shd w:val="clear" w:color="auto" w:fill="CCEEFF"/>
          </w:tcPr>
          <w:p>
            <w:pPr>
              <w:spacing w:after="0"/>
              <w:rPr>
                <w:sz w:val="15"/>
                <w:szCs w:val="15"/>
                <w:color w:val="auto"/>
              </w:rPr>
            </w:pPr>
          </w:p>
        </w:tc>
      </w:tr>
      <w:tr>
        <w:trPr>
          <w:trHeight w:val="20"/>
        </w:trPr>
        <w:tc>
          <w:tcPr>
            <w:tcW w:w="840" w:type="dxa"/>
            <w:vAlign w:val="bottom"/>
            <w:tcBorders>
              <w:top w:val="single" w:sz="8" w:color="CCEEFF"/>
            </w:tcBorders>
            <w:gridSpan w:val="5"/>
            <w:shd w:val="clear" w:color="auto" w:fill="CCEEFF"/>
          </w:tcPr>
          <w:p>
            <w:pPr>
              <w:spacing w:after="0" w:line="20" w:lineRule="exact"/>
              <w:rPr>
                <w:sz w:val="1"/>
                <w:szCs w:val="1"/>
                <w:color w:val="auto"/>
              </w:rPr>
            </w:pPr>
          </w:p>
        </w:tc>
        <w:tc>
          <w:tcPr>
            <w:tcW w:w="2100" w:type="dxa"/>
            <w:vAlign w:val="bottom"/>
            <w:tcBorders>
              <w:top w:val="single" w:sz="8" w:color="0000FF"/>
            </w:tcBorders>
            <w:gridSpan w:val="26"/>
            <w:shd w:val="clear" w:color="auto" w:fill="CCEEFF"/>
          </w:tcPr>
          <w:p>
            <w:pPr>
              <w:spacing w:after="0" w:line="20" w:lineRule="exact"/>
              <w:rPr>
                <w:sz w:val="1"/>
                <w:szCs w:val="1"/>
                <w:color w:val="auto"/>
              </w:rPr>
            </w:pPr>
          </w:p>
        </w:tc>
        <w:tc>
          <w:tcPr>
            <w:tcW w:w="7380" w:type="dxa"/>
            <w:vAlign w:val="bottom"/>
            <w:tcBorders>
              <w:top w:val="single" w:sz="8" w:color="CCEEFF"/>
            </w:tcBorders>
            <w:gridSpan w:val="21"/>
            <w:shd w:val="clear" w:color="auto" w:fill="CCEEFF"/>
          </w:tcPr>
          <w:p>
            <w:pPr>
              <w:spacing w:after="0" w:line="20" w:lineRule="exact"/>
              <w:rPr>
                <w:sz w:val="1"/>
                <w:szCs w:val="1"/>
                <w:color w:val="auto"/>
              </w:rPr>
            </w:pPr>
          </w:p>
        </w:tc>
        <w:tc>
          <w:tcPr>
            <w:tcW w:w="180" w:type="dxa"/>
            <w:vAlign w:val="bottom"/>
            <w:tcBorders>
              <w:top w:val="single" w:sz="8" w:color="0000FF"/>
            </w:tcBorders>
            <w:gridSpan w:val="5"/>
            <w:shd w:val="clear" w:color="auto" w:fill="CCEEFF"/>
          </w:tcPr>
          <w:p>
            <w:pPr>
              <w:spacing w:after="0" w:line="20" w:lineRule="exact"/>
              <w:rPr>
                <w:sz w:val="1"/>
                <w:szCs w:val="1"/>
                <w:color w:val="auto"/>
              </w:rPr>
            </w:pPr>
          </w:p>
        </w:tc>
        <w:tc>
          <w:tcPr>
            <w:tcW w:w="740" w:type="dxa"/>
            <w:vAlign w:val="bottom"/>
            <w:tcBorders>
              <w:top w:val="single" w:sz="8" w:color="CCEEFF"/>
            </w:tcBorders>
            <w:gridSpan w:val="2"/>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0" w:type="dxa"/>
            <w:vAlign w:val="bottom"/>
            <w:gridSpan w:val="46"/>
          </w:tcPr>
          <w:p>
            <w:pPr>
              <w:spacing w:after="0" w:line="175" w:lineRule="exact"/>
              <w:rPr>
                <w:sz w:val="20"/>
                <w:szCs w:val="20"/>
                <w:color w:val="auto"/>
              </w:rPr>
            </w:pPr>
            <w:r>
              <w:rPr>
                <w:rFonts w:ascii="Arial" w:cs="Arial" w:eastAsia="Arial" w:hAnsi="Arial"/>
                <w:sz w:val="16"/>
                <w:szCs w:val="16"/>
                <w:color w:val="0000FF"/>
              </w:rPr>
              <w:t>Critical Accounting Policies and Estimates</w:t>
            </w:r>
          </w:p>
        </w:tc>
        <w:tc>
          <w:tcPr>
            <w:tcW w:w="340" w:type="dxa"/>
            <w:vAlign w:val="bottom"/>
            <w:gridSpan w:val="7"/>
          </w:tcPr>
          <w:p>
            <w:pPr>
              <w:jc w:val="center"/>
              <w:spacing w:after="0" w:line="175" w:lineRule="exact"/>
              <w:rPr>
                <w:sz w:val="20"/>
                <w:szCs w:val="20"/>
                <w:color w:val="auto"/>
              </w:rPr>
            </w:pPr>
            <w:r>
              <w:rPr>
                <w:rFonts w:ascii="Arial" w:cs="Arial" w:eastAsia="Arial" w:hAnsi="Arial"/>
                <w:sz w:val="16"/>
                <w:szCs w:val="16"/>
                <w:color w:val="0000FF"/>
              </w:rPr>
              <w:t>24</w:t>
            </w:r>
          </w:p>
        </w:tc>
        <w:tc>
          <w:tcPr>
            <w:tcW w:w="660" w:type="dxa"/>
            <w:vAlign w:val="bottom"/>
          </w:tcPr>
          <w:p>
            <w:pPr>
              <w:spacing w:after="0"/>
              <w:rPr>
                <w:sz w:val="15"/>
                <w:szCs w:val="15"/>
                <w:color w:val="auto"/>
              </w:rPr>
            </w:pPr>
          </w:p>
        </w:tc>
      </w:tr>
      <w:tr>
        <w:trPr>
          <w:trHeight w:val="20"/>
        </w:trPr>
        <w:tc>
          <w:tcPr>
            <w:tcW w:w="840" w:type="dxa"/>
            <w:vAlign w:val="bottom"/>
            <w:gridSpan w:val="5"/>
          </w:tcPr>
          <w:p>
            <w:pPr>
              <w:spacing w:after="0" w:line="20" w:lineRule="exact"/>
              <w:rPr>
                <w:sz w:val="1"/>
                <w:szCs w:val="1"/>
                <w:color w:val="auto"/>
              </w:rPr>
            </w:pPr>
          </w:p>
        </w:tc>
        <w:tc>
          <w:tcPr>
            <w:tcW w:w="2780" w:type="dxa"/>
            <w:vAlign w:val="bottom"/>
            <w:tcBorders>
              <w:top w:val="single" w:sz="8" w:color="0000FF"/>
            </w:tcBorders>
            <w:gridSpan w:val="36"/>
          </w:tcPr>
          <w:p>
            <w:pPr>
              <w:spacing w:after="0" w:line="20" w:lineRule="exact"/>
              <w:rPr>
                <w:sz w:val="1"/>
                <w:szCs w:val="1"/>
                <w:color w:val="auto"/>
              </w:rPr>
            </w:pPr>
          </w:p>
        </w:tc>
        <w:tc>
          <w:tcPr>
            <w:tcW w:w="6700" w:type="dxa"/>
            <w:vAlign w:val="bottom"/>
            <w:gridSpan w:val="11"/>
          </w:tcPr>
          <w:p>
            <w:pPr>
              <w:spacing w:after="0" w:line="20" w:lineRule="exact"/>
              <w:rPr>
                <w:sz w:val="1"/>
                <w:szCs w:val="1"/>
                <w:color w:val="auto"/>
              </w:rPr>
            </w:pPr>
          </w:p>
        </w:tc>
        <w:tc>
          <w:tcPr>
            <w:tcW w:w="180" w:type="dxa"/>
            <w:vAlign w:val="bottom"/>
            <w:tcBorders>
              <w:top w:val="single" w:sz="8" w:color="0000FF"/>
            </w:tcBorders>
            <w:gridSpan w:val="5"/>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700" w:type="dxa"/>
            <w:vAlign w:val="bottom"/>
            <w:gridSpan w:val="3"/>
            <w:shd w:val="clear" w:color="auto" w:fill="CCEEFF"/>
          </w:tcPr>
          <w:p>
            <w:pPr>
              <w:spacing w:after="0" w:line="175" w:lineRule="exact"/>
              <w:rPr>
                <w:sz w:val="20"/>
                <w:szCs w:val="20"/>
                <w:color w:val="auto"/>
              </w:rPr>
            </w:pPr>
            <w:r>
              <w:rPr>
                <w:rFonts w:ascii="Arial" w:cs="Arial" w:eastAsia="Arial" w:hAnsi="Arial"/>
                <w:sz w:val="16"/>
                <w:szCs w:val="16"/>
                <w:color w:val="0000FF"/>
              </w:rPr>
              <w:t>Item 3.</w:t>
            </w:r>
          </w:p>
        </w:tc>
        <w:tc>
          <w:tcPr>
            <w:tcW w:w="9520" w:type="dxa"/>
            <w:vAlign w:val="bottom"/>
            <w:gridSpan w:val="47"/>
            <w:shd w:val="clear" w:color="auto" w:fill="CCEEFF"/>
          </w:tcPr>
          <w:p>
            <w:pPr>
              <w:ind w:left="120"/>
              <w:spacing w:after="0" w:line="175" w:lineRule="exact"/>
              <w:rPr>
                <w:sz w:val="20"/>
                <w:szCs w:val="20"/>
                <w:color w:val="auto"/>
              </w:rPr>
            </w:pPr>
            <w:r>
              <w:rPr>
                <w:rFonts w:ascii="Arial" w:cs="Arial" w:eastAsia="Arial" w:hAnsi="Arial"/>
                <w:sz w:val="16"/>
                <w:szCs w:val="16"/>
                <w:color w:val="0000FF"/>
              </w:rPr>
              <w:t>Quantitative and Qualitative Disclosures about Market Risk</w:t>
            </w:r>
          </w:p>
        </w:tc>
        <w:tc>
          <w:tcPr>
            <w:tcW w:w="340" w:type="dxa"/>
            <w:vAlign w:val="bottom"/>
            <w:gridSpan w:val="7"/>
            <w:shd w:val="clear" w:color="auto" w:fill="CCEEFF"/>
          </w:tcPr>
          <w:p>
            <w:pPr>
              <w:jc w:val="center"/>
              <w:spacing w:after="0" w:line="175" w:lineRule="exact"/>
              <w:rPr>
                <w:sz w:val="20"/>
                <w:szCs w:val="20"/>
                <w:color w:val="auto"/>
              </w:rPr>
            </w:pPr>
            <w:r>
              <w:rPr>
                <w:rFonts w:ascii="Arial" w:cs="Arial" w:eastAsia="Arial" w:hAnsi="Arial"/>
                <w:sz w:val="16"/>
                <w:szCs w:val="16"/>
                <w:color w:val="0000FF"/>
              </w:rPr>
              <w:t>25</w:t>
            </w:r>
          </w:p>
        </w:tc>
        <w:tc>
          <w:tcPr>
            <w:tcW w:w="660" w:type="dxa"/>
            <w:vAlign w:val="bottom"/>
            <w:shd w:val="clear" w:color="auto" w:fill="CCEEFF"/>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CCEEFF"/>
            </w:tcBorders>
            <w:gridSpan w:val="3"/>
            <w:shd w:val="clear" w:color="auto" w:fill="CCEEFF"/>
          </w:tcPr>
          <w:p>
            <w:pPr>
              <w:spacing w:after="0" w:line="20" w:lineRule="exact"/>
              <w:rPr>
                <w:sz w:val="1"/>
                <w:szCs w:val="1"/>
                <w:color w:val="auto"/>
              </w:rPr>
            </w:pPr>
          </w:p>
        </w:tc>
        <w:tc>
          <w:tcPr>
            <w:tcW w:w="3880" w:type="dxa"/>
            <w:vAlign w:val="bottom"/>
            <w:tcBorders>
              <w:top w:val="single" w:sz="8" w:color="0000FF"/>
            </w:tcBorders>
            <w:gridSpan w:val="41"/>
            <w:shd w:val="clear" w:color="auto" w:fill="CCEEFF"/>
          </w:tcPr>
          <w:p>
            <w:pPr>
              <w:spacing w:after="0" w:line="20" w:lineRule="exact"/>
              <w:rPr>
                <w:sz w:val="1"/>
                <w:szCs w:val="1"/>
                <w:color w:val="auto"/>
              </w:rPr>
            </w:pPr>
          </w:p>
        </w:tc>
        <w:tc>
          <w:tcPr>
            <w:tcW w:w="5600" w:type="dxa"/>
            <w:vAlign w:val="bottom"/>
            <w:tcBorders>
              <w:top w:val="single" w:sz="8" w:color="CCEEFF"/>
            </w:tcBorders>
            <w:gridSpan w:val="6"/>
            <w:shd w:val="clear" w:color="auto" w:fill="CCEEFF"/>
          </w:tcPr>
          <w:p>
            <w:pPr>
              <w:spacing w:after="0" w:line="20" w:lineRule="exact"/>
              <w:rPr>
                <w:sz w:val="1"/>
                <w:szCs w:val="1"/>
                <w:color w:val="auto"/>
              </w:rPr>
            </w:pPr>
          </w:p>
        </w:tc>
        <w:tc>
          <w:tcPr>
            <w:tcW w:w="180" w:type="dxa"/>
            <w:vAlign w:val="bottom"/>
            <w:tcBorders>
              <w:top w:val="single" w:sz="8" w:color="0000FF"/>
            </w:tcBorders>
            <w:gridSpan w:val="5"/>
            <w:shd w:val="clear" w:color="auto" w:fill="CCEEFF"/>
          </w:tcPr>
          <w:p>
            <w:pPr>
              <w:spacing w:after="0" w:line="20" w:lineRule="exact"/>
              <w:rPr>
                <w:sz w:val="1"/>
                <w:szCs w:val="1"/>
                <w:color w:val="auto"/>
              </w:rPr>
            </w:pPr>
          </w:p>
        </w:tc>
        <w:tc>
          <w:tcPr>
            <w:tcW w:w="740" w:type="dxa"/>
            <w:vAlign w:val="bottom"/>
            <w:tcBorders>
              <w:top w:val="single" w:sz="8" w:color="CCEEFF"/>
            </w:tcBorders>
            <w:gridSpan w:val="2"/>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700" w:type="dxa"/>
            <w:vAlign w:val="bottom"/>
            <w:gridSpan w:val="3"/>
          </w:tcPr>
          <w:p>
            <w:pPr>
              <w:spacing w:after="0" w:line="175" w:lineRule="exact"/>
              <w:rPr>
                <w:sz w:val="20"/>
                <w:szCs w:val="20"/>
                <w:color w:val="auto"/>
              </w:rPr>
            </w:pPr>
            <w:r>
              <w:rPr>
                <w:rFonts w:ascii="Arial" w:cs="Arial" w:eastAsia="Arial" w:hAnsi="Arial"/>
                <w:sz w:val="16"/>
                <w:szCs w:val="16"/>
                <w:color w:val="0000FF"/>
              </w:rPr>
              <w:t>Item 4.</w:t>
            </w:r>
          </w:p>
        </w:tc>
        <w:tc>
          <w:tcPr>
            <w:tcW w:w="9520" w:type="dxa"/>
            <w:vAlign w:val="bottom"/>
            <w:gridSpan w:val="47"/>
          </w:tcPr>
          <w:p>
            <w:pPr>
              <w:ind w:left="120"/>
              <w:spacing w:after="0" w:line="175" w:lineRule="exact"/>
              <w:rPr>
                <w:sz w:val="20"/>
                <w:szCs w:val="20"/>
                <w:color w:val="auto"/>
              </w:rPr>
            </w:pPr>
            <w:r>
              <w:rPr>
                <w:rFonts w:ascii="Arial" w:cs="Arial" w:eastAsia="Arial" w:hAnsi="Arial"/>
                <w:sz w:val="16"/>
                <w:szCs w:val="16"/>
                <w:color w:val="0000FF"/>
              </w:rPr>
              <w:t>Controls and Procedures</w:t>
            </w:r>
          </w:p>
        </w:tc>
        <w:tc>
          <w:tcPr>
            <w:tcW w:w="340" w:type="dxa"/>
            <w:vAlign w:val="bottom"/>
            <w:gridSpan w:val="7"/>
          </w:tcPr>
          <w:p>
            <w:pPr>
              <w:jc w:val="center"/>
              <w:spacing w:after="0" w:line="175" w:lineRule="exact"/>
              <w:rPr>
                <w:sz w:val="20"/>
                <w:szCs w:val="20"/>
                <w:color w:val="auto"/>
              </w:rPr>
            </w:pPr>
            <w:r>
              <w:rPr>
                <w:rFonts w:ascii="Arial" w:cs="Arial" w:eastAsia="Arial" w:hAnsi="Arial"/>
                <w:sz w:val="16"/>
                <w:szCs w:val="16"/>
                <w:color w:val="0000FF"/>
              </w:rPr>
              <w:t>25</w:t>
            </w:r>
          </w:p>
        </w:tc>
        <w:tc>
          <w:tcPr>
            <w:tcW w:w="6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600" w:type="dxa"/>
            <w:vAlign w:val="bottom"/>
            <w:tcBorders>
              <w:top w:val="single" w:sz="8" w:color="0000FF"/>
            </w:tcBorders>
            <w:gridSpan w:val="15"/>
          </w:tcPr>
          <w:p>
            <w:pPr>
              <w:spacing w:after="0" w:line="20" w:lineRule="exact"/>
              <w:rPr>
                <w:sz w:val="1"/>
                <w:szCs w:val="1"/>
                <w:color w:val="auto"/>
              </w:rPr>
            </w:pPr>
          </w:p>
        </w:tc>
        <w:tc>
          <w:tcPr>
            <w:tcW w:w="7880" w:type="dxa"/>
            <w:vAlign w:val="bottom"/>
            <w:gridSpan w:val="32"/>
          </w:tcPr>
          <w:p>
            <w:pPr>
              <w:spacing w:after="0" w:line="20" w:lineRule="exact"/>
              <w:rPr>
                <w:sz w:val="1"/>
                <w:szCs w:val="1"/>
                <w:color w:val="auto"/>
              </w:rPr>
            </w:pPr>
          </w:p>
        </w:tc>
        <w:tc>
          <w:tcPr>
            <w:tcW w:w="180" w:type="dxa"/>
            <w:vAlign w:val="bottom"/>
            <w:tcBorders>
              <w:top w:val="single" w:sz="8" w:color="0000FF"/>
            </w:tcBorders>
            <w:gridSpan w:val="5"/>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2560" w:type="dxa"/>
            <w:vAlign w:val="bottom"/>
            <w:tcBorders>
              <w:bottom w:val="single" w:sz="8" w:color="0000FF"/>
            </w:tcBorders>
            <w:gridSpan w:val="20"/>
            <w:shd w:val="clear" w:color="auto" w:fill="CCEEFF"/>
          </w:tcPr>
          <w:p>
            <w:pPr>
              <w:spacing w:after="0" w:line="175" w:lineRule="exact"/>
              <w:rPr>
                <w:sz w:val="20"/>
                <w:szCs w:val="20"/>
                <w:color w:val="auto"/>
              </w:rPr>
            </w:pPr>
            <w:r>
              <w:rPr>
                <w:rFonts w:ascii="Arial" w:cs="Arial" w:eastAsia="Arial" w:hAnsi="Arial"/>
                <w:sz w:val="16"/>
                <w:szCs w:val="16"/>
                <w:b w:val="1"/>
                <w:bCs w:val="1"/>
                <w:color w:val="0000FF"/>
              </w:rPr>
              <w:t>PART II - OTHER INFORMATION</w:t>
            </w:r>
          </w:p>
        </w:tc>
        <w:tc>
          <w:tcPr>
            <w:tcW w:w="7660" w:type="dxa"/>
            <w:vAlign w:val="bottom"/>
            <w:tcBorders>
              <w:bottom w:val="single" w:sz="8" w:color="CCEEFF"/>
            </w:tcBorders>
            <w:gridSpan w:val="30"/>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FF"/>
            </w:tcBorders>
            <w:gridSpan w:val="5"/>
            <w:shd w:val="clear" w:color="auto" w:fill="CCEEFF"/>
          </w:tcPr>
          <w:p>
            <w:pPr>
              <w:jc w:val="center"/>
              <w:spacing w:after="0" w:line="175" w:lineRule="exact"/>
              <w:rPr>
                <w:sz w:val="20"/>
                <w:szCs w:val="20"/>
                <w:color w:val="auto"/>
              </w:rPr>
            </w:pPr>
            <w:r>
              <w:rPr>
                <w:rFonts w:ascii="Arial" w:cs="Arial" w:eastAsia="Arial" w:hAnsi="Arial"/>
                <w:sz w:val="16"/>
                <w:szCs w:val="16"/>
                <w:color w:val="0000FF"/>
              </w:rPr>
              <w:t>26</w:t>
            </w:r>
          </w:p>
        </w:tc>
        <w:tc>
          <w:tcPr>
            <w:tcW w:w="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r>
      <w:tr>
        <w:trPr>
          <w:trHeight w:val="175"/>
        </w:trPr>
        <w:tc>
          <w:tcPr>
            <w:tcW w:w="20" w:type="dxa"/>
            <w:vAlign w:val="bottom"/>
          </w:tcPr>
          <w:p>
            <w:pPr>
              <w:spacing w:after="0"/>
              <w:rPr>
                <w:sz w:val="15"/>
                <w:szCs w:val="15"/>
                <w:color w:val="auto"/>
              </w:rPr>
            </w:pPr>
          </w:p>
        </w:tc>
        <w:tc>
          <w:tcPr>
            <w:tcW w:w="700" w:type="dxa"/>
            <w:vAlign w:val="bottom"/>
            <w:gridSpan w:val="3"/>
          </w:tcPr>
          <w:p>
            <w:pPr>
              <w:spacing w:after="0" w:line="175" w:lineRule="exact"/>
              <w:rPr>
                <w:sz w:val="20"/>
                <w:szCs w:val="20"/>
                <w:color w:val="auto"/>
              </w:rPr>
            </w:pPr>
            <w:r>
              <w:rPr>
                <w:rFonts w:ascii="Arial" w:cs="Arial" w:eastAsia="Arial" w:hAnsi="Arial"/>
                <w:sz w:val="16"/>
                <w:szCs w:val="16"/>
                <w:color w:val="0000FF"/>
              </w:rPr>
              <w:t>Item 1.</w:t>
            </w:r>
          </w:p>
        </w:tc>
        <w:tc>
          <w:tcPr>
            <w:tcW w:w="9520" w:type="dxa"/>
            <w:vAlign w:val="bottom"/>
            <w:gridSpan w:val="47"/>
          </w:tcPr>
          <w:p>
            <w:pPr>
              <w:ind w:left="120"/>
              <w:spacing w:after="0" w:line="175" w:lineRule="exact"/>
              <w:rPr>
                <w:sz w:val="20"/>
                <w:szCs w:val="20"/>
                <w:color w:val="auto"/>
              </w:rPr>
            </w:pPr>
            <w:r>
              <w:rPr>
                <w:rFonts w:ascii="Arial" w:cs="Arial" w:eastAsia="Arial" w:hAnsi="Arial"/>
                <w:sz w:val="16"/>
                <w:szCs w:val="16"/>
                <w:color w:val="0000FF"/>
              </w:rPr>
              <w:t>Legal Proceedings</w:t>
            </w:r>
          </w:p>
        </w:tc>
        <w:tc>
          <w:tcPr>
            <w:tcW w:w="340" w:type="dxa"/>
            <w:vAlign w:val="bottom"/>
            <w:gridSpan w:val="7"/>
          </w:tcPr>
          <w:p>
            <w:pPr>
              <w:jc w:val="center"/>
              <w:spacing w:after="0" w:line="175" w:lineRule="exact"/>
              <w:rPr>
                <w:sz w:val="20"/>
                <w:szCs w:val="20"/>
                <w:color w:val="auto"/>
              </w:rPr>
            </w:pPr>
            <w:r>
              <w:rPr>
                <w:rFonts w:ascii="Arial" w:cs="Arial" w:eastAsia="Arial" w:hAnsi="Arial"/>
                <w:sz w:val="16"/>
                <w:szCs w:val="16"/>
                <w:color w:val="0000FF"/>
              </w:rPr>
              <w:t>26</w:t>
            </w:r>
          </w:p>
        </w:tc>
        <w:tc>
          <w:tcPr>
            <w:tcW w:w="66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220" w:type="dxa"/>
            <w:vAlign w:val="bottom"/>
            <w:tcBorders>
              <w:top w:val="single" w:sz="8" w:color="0000FF"/>
            </w:tcBorders>
            <w:gridSpan w:val="7"/>
          </w:tcPr>
          <w:p>
            <w:pPr>
              <w:spacing w:after="0" w:line="20" w:lineRule="exact"/>
              <w:rPr>
                <w:sz w:val="1"/>
                <w:szCs w:val="1"/>
                <w:color w:val="auto"/>
              </w:rPr>
            </w:pPr>
          </w:p>
        </w:tc>
        <w:tc>
          <w:tcPr>
            <w:tcW w:w="8260" w:type="dxa"/>
            <w:vAlign w:val="bottom"/>
            <w:gridSpan w:val="40"/>
          </w:tcPr>
          <w:p>
            <w:pPr>
              <w:spacing w:after="0" w:line="20" w:lineRule="exact"/>
              <w:rPr>
                <w:sz w:val="1"/>
                <w:szCs w:val="1"/>
                <w:color w:val="auto"/>
              </w:rPr>
            </w:pPr>
          </w:p>
        </w:tc>
        <w:tc>
          <w:tcPr>
            <w:tcW w:w="180" w:type="dxa"/>
            <w:vAlign w:val="bottom"/>
            <w:tcBorders>
              <w:top w:val="single" w:sz="8" w:color="0000FF"/>
            </w:tcBorders>
            <w:gridSpan w:val="5"/>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700" w:type="dxa"/>
            <w:vAlign w:val="bottom"/>
            <w:gridSpan w:val="3"/>
            <w:shd w:val="clear" w:color="auto" w:fill="CCEEFF"/>
          </w:tcPr>
          <w:p>
            <w:pPr>
              <w:spacing w:after="0" w:line="175" w:lineRule="exact"/>
              <w:rPr>
                <w:sz w:val="20"/>
                <w:szCs w:val="20"/>
                <w:color w:val="auto"/>
              </w:rPr>
            </w:pPr>
            <w:r>
              <w:rPr>
                <w:rFonts w:ascii="Arial" w:cs="Arial" w:eastAsia="Arial" w:hAnsi="Arial"/>
                <w:sz w:val="16"/>
                <w:szCs w:val="16"/>
                <w:color w:val="0000FF"/>
              </w:rPr>
              <w:t>Item 1A.</w:t>
            </w:r>
          </w:p>
        </w:tc>
        <w:tc>
          <w:tcPr>
            <w:tcW w:w="9520" w:type="dxa"/>
            <w:vAlign w:val="bottom"/>
            <w:gridSpan w:val="47"/>
            <w:shd w:val="clear" w:color="auto" w:fill="CCEEFF"/>
          </w:tcPr>
          <w:p>
            <w:pPr>
              <w:ind w:left="120"/>
              <w:spacing w:after="0" w:line="175" w:lineRule="exact"/>
              <w:rPr>
                <w:sz w:val="20"/>
                <w:szCs w:val="20"/>
                <w:color w:val="auto"/>
              </w:rPr>
            </w:pPr>
            <w:r>
              <w:rPr>
                <w:rFonts w:ascii="Arial" w:cs="Arial" w:eastAsia="Arial" w:hAnsi="Arial"/>
                <w:sz w:val="16"/>
                <w:szCs w:val="16"/>
                <w:color w:val="0000FF"/>
              </w:rPr>
              <w:t>Risk Factors</w:t>
            </w:r>
          </w:p>
        </w:tc>
        <w:tc>
          <w:tcPr>
            <w:tcW w:w="340" w:type="dxa"/>
            <w:vAlign w:val="bottom"/>
            <w:gridSpan w:val="7"/>
            <w:shd w:val="clear" w:color="auto" w:fill="CCEEFF"/>
          </w:tcPr>
          <w:p>
            <w:pPr>
              <w:jc w:val="center"/>
              <w:spacing w:after="0" w:line="175" w:lineRule="exact"/>
              <w:rPr>
                <w:sz w:val="20"/>
                <w:szCs w:val="20"/>
                <w:color w:val="auto"/>
              </w:rPr>
            </w:pPr>
            <w:r>
              <w:rPr>
                <w:rFonts w:ascii="Arial" w:cs="Arial" w:eastAsia="Arial" w:hAnsi="Arial"/>
                <w:sz w:val="16"/>
                <w:szCs w:val="16"/>
                <w:color w:val="0000FF"/>
              </w:rPr>
              <w:t>26</w:t>
            </w:r>
          </w:p>
        </w:tc>
        <w:tc>
          <w:tcPr>
            <w:tcW w:w="660" w:type="dxa"/>
            <w:vAlign w:val="bottom"/>
            <w:shd w:val="clear" w:color="auto" w:fill="CCEEFF"/>
          </w:tcPr>
          <w:p>
            <w:pPr>
              <w:spacing w:after="0"/>
              <w:rPr>
                <w:sz w:val="15"/>
                <w:szCs w:val="15"/>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FF"/>
            </w:tcBorders>
            <w:gridSpan w:val="2"/>
            <w:shd w:val="clear" w:color="auto" w:fill="CCEEFF"/>
          </w:tcPr>
          <w:p>
            <w:pPr>
              <w:spacing w:after="0" w:line="20" w:lineRule="exact"/>
              <w:rPr>
                <w:sz w:val="1"/>
                <w:szCs w:val="1"/>
                <w:color w:val="auto"/>
              </w:rPr>
            </w:pPr>
          </w:p>
        </w:tc>
        <w:tc>
          <w:tcPr>
            <w:tcW w:w="240" w:type="dxa"/>
            <w:vAlign w:val="bottom"/>
            <w:tcBorders>
              <w:top w:val="single" w:sz="8" w:color="CCEEFF"/>
            </w:tcBorders>
            <w:gridSpan w:val="2"/>
            <w:shd w:val="clear" w:color="auto" w:fill="CCEEFF"/>
          </w:tcPr>
          <w:p>
            <w:pPr>
              <w:spacing w:after="0" w:line="20" w:lineRule="exact"/>
              <w:rPr>
                <w:sz w:val="1"/>
                <w:szCs w:val="1"/>
                <w:color w:val="auto"/>
              </w:rPr>
            </w:pPr>
          </w:p>
        </w:tc>
        <w:tc>
          <w:tcPr>
            <w:tcW w:w="820" w:type="dxa"/>
            <w:vAlign w:val="bottom"/>
            <w:tcBorders>
              <w:top w:val="single" w:sz="8" w:color="0000FF"/>
            </w:tcBorders>
            <w:gridSpan w:val="3"/>
            <w:shd w:val="clear" w:color="auto" w:fill="CCEEFF"/>
          </w:tcPr>
          <w:p>
            <w:pPr>
              <w:spacing w:after="0" w:line="20" w:lineRule="exact"/>
              <w:rPr>
                <w:sz w:val="1"/>
                <w:szCs w:val="1"/>
                <w:color w:val="auto"/>
              </w:rPr>
            </w:pPr>
          </w:p>
        </w:tc>
        <w:tc>
          <w:tcPr>
            <w:tcW w:w="8660" w:type="dxa"/>
            <w:vAlign w:val="bottom"/>
            <w:tcBorders>
              <w:top w:val="single" w:sz="8" w:color="CCEEFF"/>
            </w:tcBorders>
            <w:gridSpan w:val="44"/>
            <w:shd w:val="clear" w:color="auto" w:fill="CCEEFF"/>
          </w:tcPr>
          <w:p>
            <w:pPr>
              <w:spacing w:after="0" w:line="20" w:lineRule="exact"/>
              <w:rPr>
                <w:sz w:val="1"/>
                <w:szCs w:val="1"/>
                <w:color w:val="auto"/>
              </w:rPr>
            </w:pPr>
          </w:p>
        </w:tc>
        <w:tc>
          <w:tcPr>
            <w:tcW w:w="180" w:type="dxa"/>
            <w:vAlign w:val="bottom"/>
            <w:tcBorders>
              <w:top w:val="single" w:sz="8" w:color="0000FF"/>
            </w:tcBorders>
            <w:gridSpan w:val="5"/>
            <w:shd w:val="clear" w:color="auto" w:fill="CCEEFF"/>
          </w:tcPr>
          <w:p>
            <w:pPr>
              <w:spacing w:after="0" w:line="20" w:lineRule="exact"/>
              <w:rPr>
                <w:sz w:val="1"/>
                <w:szCs w:val="1"/>
                <w:color w:val="auto"/>
              </w:rPr>
            </w:pPr>
          </w:p>
        </w:tc>
        <w:tc>
          <w:tcPr>
            <w:tcW w:w="740" w:type="dxa"/>
            <w:vAlign w:val="bottom"/>
            <w:tcBorders>
              <w:top w:val="single" w:sz="8" w:color="CCEEFF"/>
            </w:tcBorders>
            <w:gridSpan w:val="2"/>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580" w:type="dxa"/>
            <w:vAlign w:val="bottom"/>
            <w:gridSpan w:val="2"/>
          </w:tcPr>
          <w:p>
            <w:pPr>
              <w:spacing w:after="0" w:line="175" w:lineRule="exact"/>
              <w:rPr>
                <w:sz w:val="20"/>
                <w:szCs w:val="20"/>
                <w:color w:val="auto"/>
              </w:rPr>
            </w:pPr>
            <w:r>
              <w:rPr>
                <w:rFonts w:ascii="Arial" w:cs="Arial" w:eastAsia="Arial" w:hAnsi="Arial"/>
                <w:sz w:val="16"/>
                <w:szCs w:val="16"/>
                <w:color w:val="0000FF"/>
              </w:rPr>
              <w:t>Item 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0" w:type="dxa"/>
            <w:vAlign w:val="bottom"/>
            <w:gridSpan w:val="46"/>
          </w:tcPr>
          <w:p>
            <w:pPr>
              <w:spacing w:after="0" w:line="175" w:lineRule="exact"/>
              <w:rPr>
                <w:sz w:val="20"/>
                <w:szCs w:val="20"/>
                <w:color w:val="auto"/>
              </w:rPr>
            </w:pPr>
            <w:r>
              <w:rPr>
                <w:rFonts w:ascii="Arial" w:cs="Arial" w:eastAsia="Arial" w:hAnsi="Arial"/>
                <w:sz w:val="16"/>
                <w:szCs w:val="16"/>
                <w:color w:val="0000FF"/>
              </w:rPr>
              <w:t>Unregistered Sales of Equity Securities and Use of Proceeds</w:t>
            </w:r>
          </w:p>
        </w:tc>
        <w:tc>
          <w:tcPr>
            <w:tcW w:w="340" w:type="dxa"/>
            <w:vAlign w:val="bottom"/>
            <w:gridSpan w:val="7"/>
          </w:tcPr>
          <w:p>
            <w:pPr>
              <w:jc w:val="center"/>
              <w:spacing w:after="0" w:line="175" w:lineRule="exact"/>
              <w:rPr>
                <w:sz w:val="20"/>
                <w:szCs w:val="20"/>
                <w:color w:val="auto"/>
              </w:rPr>
            </w:pPr>
            <w:r>
              <w:rPr>
                <w:rFonts w:ascii="Arial" w:cs="Arial" w:eastAsia="Arial" w:hAnsi="Arial"/>
                <w:sz w:val="16"/>
                <w:szCs w:val="16"/>
                <w:color w:val="0000FF"/>
              </w:rPr>
              <w:t>26</w:t>
            </w:r>
          </w:p>
        </w:tc>
        <w:tc>
          <w:tcPr>
            <w:tcW w:w="66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3920" w:type="dxa"/>
            <w:vAlign w:val="bottom"/>
            <w:tcBorders>
              <w:top w:val="single" w:sz="8" w:color="0000FF"/>
            </w:tcBorders>
            <w:gridSpan w:val="42"/>
          </w:tcPr>
          <w:p>
            <w:pPr>
              <w:spacing w:after="0" w:line="20" w:lineRule="exact"/>
              <w:rPr>
                <w:sz w:val="1"/>
                <w:szCs w:val="1"/>
                <w:color w:val="auto"/>
              </w:rPr>
            </w:pPr>
          </w:p>
        </w:tc>
        <w:tc>
          <w:tcPr>
            <w:tcW w:w="5560" w:type="dxa"/>
            <w:vAlign w:val="bottom"/>
            <w:gridSpan w:val="5"/>
          </w:tcPr>
          <w:p>
            <w:pPr>
              <w:spacing w:after="0" w:line="20" w:lineRule="exact"/>
              <w:rPr>
                <w:sz w:val="1"/>
                <w:szCs w:val="1"/>
                <w:color w:val="auto"/>
              </w:rPr>
            </w:pPr>
          </w:p>
        </w:tc>
        <w:tc>
          <w:tcPr>
            <w:tcW w:w="180" w:type="dxa"/>
            <w:vAlign w:val="bottom"/>
            <w:tcBorders>
              <w:top w:val="single" w:sz="8" w:color="0000FF"/>
            </w:tcBorders>
            <w:gridSpan w:val="5"/>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700" w:type="dxa"/>
            <w:vAlign w:val="bottom"/>
            <w:gridSpan w:val="3"/>
            <w:shd w:val="clear" w:color="auto" w:fill="CCEEFF"/>
          </w:tcPr>
          <w:p>
            <w:pPr>
              <w:spacing w:after="0" w:line="175" w:lineRule="exact"/>
              <w:rPr>
                <w:sz w:val="20"/>
                <w:szCs w:val="20"/>
                <w:color w:val="auto"/>
              </w:rPr>
            </w:pPr>
            <w:r>
              <w:rPr>
                <w:rFonts w:ascii="Arial" w:cs="Arial" w:eastAsia="Arial" w:hAnsi="Arial"/>
                <w:sz w:val="16"/>
                <w:szCs w:val="16"/>
                <w:color w:val="0000FF"/>
              </w:rPr>
              <w:t>Item 3.</w:t>
            </w:r>
          </w:p>
        </w:tc>
        <w:tc>
          <w:tcPr>
            <w:tcW w:w="9520" w:type="dxa"/>
            <w:vAlign w:val="bottom"/>
            <w:gridSpan w:val="47"/>
            <w:shd w:val="clear" w:color="auto" w:fill="CCEEFF"/>
          </w:tcPr>
          <w:p>
            <w:pPr>
              <w:ind w:left="120"/>
              <w:spacing w:after="0" w:line="175" w:lineRule="exact"/>
              <w:rPr>
                <w:sz w:val="20"/>
                <w:szCs w:val="20"/>
                <w:color w:val="auto"/>
              </w:rPr>
            </w:pPr>
            <w:r>
              <w:rPr>
                <w:rFonts w:ascii="Arial" w:cs="Arial" w:eastAsia="Arial" w:hAnsi="Arial"/>
                <w:sz w:val="16"/>
                <w:szCs w:val="16"/>
                <w:color w:val="0000FF"/>
              </w:rPr>
              <w:t>Defaults upon Senior Securities</w:t>
            </w:r>
          </w:p>
        </w:tc>
        <w:tc>
          <w:tcPr>
            <w:tcW w:w="340" w:type="dxa"/>
            <w:vAlign w:val="bottom"/>
            <w:gridSpan w:val="7"/>
            <w:shd w:val="clear" w:color="auto" w:fill="CCEEFF"/>
          </w:tcPr>
          <w:p>
            <w:pPr>
              <w:jc w:val="center"/>
              <w:spacing w:after="0" w:line="175" w:lineRule="exact"/>
              <w:rPr>
                <w:sz w:val="20"/>
                <w:szCs w:val="20"/>
                <w:color w:val="auto"/>
              </w:rPr>
            </w:pPr>
            <w:r>
              <w:rPr>
                <w:rFonts w:ascii="Arial" w:cs="Arial" w:eastAsia="Arial" w:hAnsi="Arial"/>
                <w:sz w:val="16"/>
                <w:szCs w:val="16"/>
                <w:color w:val="0000FF"/>
              </w:rPr>
              <w:t>27</w:t>
            </w:r>
          </w:p>
        </w:tc>
        <w:tc>
          <w:tcPr>
            <w:tcW w:w="660" w:type="dxa"/>
            <w:vAlign w:val="bottom"/>
            <w:shd w:val="clear" w:color="auto" w:fill="CCEEFF"/>
          </w:tcPr>
          <w:p>
            <w:pPr>
              <w:spacing w:after="0"/>
              <w:rPr>
                <w:sz w:val="15"/>
                <w:szCs w:val="15"/>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CCEEFF"/>
            </w:tcBorders>
            <w:gridSpan w:val="3"/>
            <w:shd w:val="clear" w:color="auto" w:fill="CCEEFF"/>
          </w:tcPr>
          <w:p>
            <w:pPr>
              <w:spacing w:after="0" w:line="20" w:lineRule="exact"/>
              <w:rPr>
                <w:sz w:val="1"/>
                <w:szCs w:val="1"/>
                <w:color w:val="auto"/>
              </w:rPr>
            </w:pPr>
          </w:p>
        </w:tc>
        <w:tc>
          <w:tcPr>
            <w:tcW w:w="2060" w:type="dxa"/>
            <w:vAlign w:val="bottom"/>
            <w:tcBorders>
              <w:top w:val="single" w:sz="8" w:color="0000FF"/>
            </w:tcBorders>
            <w:gridSpan w:val="24"/>
            <w:shd w:val="clear" w:color="auto" w:fill="CCEEFF"/>
          </w:tcPr>
          <w:p>
            <w:pPr>
              <w:spacing w:after="0" w:line="20" w:lineRule="exact"/>
              <w:rPr>
                <w:sz w:val="1"/>
                <w:szCs w:val="1"/>
                <w:color w:val="auto"/>
              </w:rPr>
            </w:pPr>
          </w:p>
        </w:tc>
        <w:tc>
          <w:tcPr>
            <w:tcW w:w="7420" w:type="dxa"/>
            <w:vAlign w:val="bottom"/>
            <w:tcBorders>
              <w:top w:val="single" w:sz="8" w:color="CCEEFF"/>
            </w:tcBorders>
            <w:gridSpan w:val="23"/>
            <w:shd w:val="clear" w:color="auto" w:fill="CCEEFF"/>
          </w:tcPr>
          <w:p>
            <w:pPr>
              <w:spacing w:after="0" w:line="20" w:lineRule="exact"/>
              <w:rPr>
                <w:sz w:val="1"/>
                <w:szCs w:val="1"/>
                <w:color w:val="auto"/>
              </w:rPr>
            </w:pPr>
          </w:p>
        </w:tc>
        <w:tc>
          <w:tcPr>
            <w:tcW w:w="180" w:type="dxa"/>
            <w:vAlign w:val="bottom"/>
            <w:tcBorders>
              <w:top w:val="single" w:sz="8" w:color="0000FF"/>
            </w:tcBorders>
            <w:gridSpan w:val="5"/>
            <w:shd w:val="clear" w:color="auto" w:fill="CCEEFF"/>
          </w:tcPr>
          <w:p>
            <w:pPr>
              <w:spacing w:after="0" w:line="20" w:lineRule="exact"/>
              <w:rPr>
                <w:sz w:val="1"/>
                <w:szCs w:val="1"/>
                <w:color w:val="auto"/>
              </w:rPr>
            </w:pPr>
          </w:p>
        </w:tc>
        <w:tc>
          <w:tcPr>
            <w:tcW w:w="740" w:type="dxa"/>
            <w:vAlign w:val="bottom"/>
            <w:tcBorders>
              <w:top w:val="single" w:sz="8" w:color="CCEEFF"/>
            </w:tcBorders>
            <w:gridSpan w:val="2"/>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700" w:type="dxa"/>
            <w:vAlign w:val="bottom"/>
            <w:gridSpan w:val="3"/>
          </w:tcPr>
          <w:p>
            <w:pPr>
              <w:spacing w:after="0" w:line="175" w:lineRule="exact"/>
              <w:rPr>
                <w:sz w:val="20"/>
                <w:szCs w:val="20"/>
                <w:color w:val="auto"/>
              </w:rPr>
            </w:pPr>
            <w:r>
              <w:rPr>
                <w:rFonts w:ascii="Arial" w:cs="Arial" w:eastAsia="Arial" w:hAnsi="Arial"/>
                <w:sz w:val="16"/>
                <w:szCs w:val="16"/>
                <w:color w:val="0000FF"/>
              </w:rPr>
              <w:t>Item 4.</w:t>
            </w:r>
          </w:p>
        </w:tc>
        <w:tc>
          <w:tcPr>
            <w:tcW w:w="9520" w:type="dxa"/>
            <w:vAlign w:val="bottom"/>
            <w:gridSpan w:val="47"/>
          </w:tcPr>
          <w:p>
            <w:pPr>
              <w:ind w:left="120"/>
              <w:spacing w:after="0" w:line="175" w:lineRule="exact"/>
              <w:rPr>
                <w:sz w:val="20"/>
                <w:szCs w:val="20"/>
                <w:color w:val="auto"/>
              </w:rPr>
            </w:pPr>
            <w:r>
              <w:rPr>
                <w:rFonts w:ascii="Arial" w:cs="Arial" w:eastAsia="Arial" w:hAnsi="Arial"/>
                <w:sz w:val="16"/>
                <w:szCs w:val="16"/>
                <w:color w:val="0000FF"/>
              </w:rPr>
              <w:t>Mine Safety Disclosures</w:t>
            </w:r>
          </w:p>
        </w:tc>
        <w:tc>
          <w:tcPr>
            <w:tcW w:w="340" w:type="dxa"/>
            <w:vAlign w:val="bottom"/>
            <w:gridSpan w:val="7"/>
          </w:tcPr>
          <w:p>
            <w:pPr>
              <w:jc w:val="center"/>
              <w:spacing w:after="0" w:line="175" w:lineRule="exact"/>
              <w:rPr>
                <w:sz w:val="20"/>
                <w:szCs w:val="20"/>
                <w:color w:val="auto"/>
              </w:rPr>
            </w:pPr>
            <w:r>
              <w:rPr>
                <w:rFonts w:ascii="Arial" w:cs="Arial" w:eastAsia="Arial" w:hAnsi="Arial"/>
                <w:sz w:val="16"/>
                <w:szCs w:val="16"/>
                <w:color w:val="0000FF"/>
              </w:rPr>
              <w:t>27</w:t>
            </w:r>
          </w:p>
        </w:tc>
        <w:tc>
          <w:tcPr>
            <w:tcW w:w="6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600" w:type="dxa"/>
            <w:vAlign w:val="bottom"/>
            <w:tcBorders>
              <w:top w:val="single" w:sz="8" w:color="0000FF"/>
            </w:tcBorders>
            <w:gridSpan w:val="15"/>
          </w:tcPr>
          <w:p>
            <w:pPr>
              <w:spacing w:after="0" w:line="20" w:lineRule="exact"/>
              <w:rPr>
                <w:sz w:val="1"/>
                <w:szCs w:val="1"/>
                <w:color w:val="auto"/>
              </w:rPr>
            </w:pPr>
          </w:p>
        </w:tc>
        <w:tc>
          <w:tcPr>
            <w:tcW w:w="7880" w:type="dxa"/>
            <w:vAlign w:val="bottom"/>
            <w:gridSpan w:val="32"/>
          </w:tcPr>
          <w:p>
            <w:pPr>
              <w:spacing w:after="0" w:line="20" w:lineRule="exact"/>
              <w:rPr>
                <w:sz w:val="1"/>
                <w:szCs w:val="1"/>
                <w:color w:val="auto"/>
              </w:rPr>
            </w:pPr>
          </w:p>
        </w:tc>
        <w:tc>
          <w:tcPr>
            <w:tcW w:w="180" w:type="dxa"/>
            <w:vAlign w:val="bottom"/>
            <w:tcBorders>
              <w:top w:val="single" w:sz="8" w:color="0000FF"/>
            </w:tcBorders>
            <w:gridSpan w:val="5"/>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700" w:type="dxa"/>
            <w:vAlign w:val="bottom"/>
            <w:gridSpan w:val="3"/>
            <w:shd w:val="clear" w:color="auto" w:fill="CCEEFF"/>
          </w:tcPr>
          <w:p>
            <w:pPr>
              <w:spacing w:after="0" w:line="175" w:lineRule="exact"/>
              <w:rPr>
                <w:sz w:val="20"/>
                <w:szCs w:val="20"/>
                <w:color w:val="auto"/>
              </w:rPr>
            </w:pPr>
            <w:r>
              <w:rPr>
                <w:rFonts w:ascii="Arial" w:cs="Arial" w:eastAsia="Arial" w:hAnsi="Arial"/>
                <w:sz w:val="16"/>
                <w:szCs w:val="16"/>
                <w:color w:val="0000FF"/>
              </w:rPr>
              <w:t>Item 5.</w:t>
            </w:r>
          </w:p>
        </w:tc>
        <w:tc>
          <w:tcPr>
            <w:tcW w:w="9520" w:type="dxa"/>
            <w:vAlign w:val="bottom"/>
            <w:gridSpan w:val="47"/>
            <w:shd w:val="clear" w:color="auto" w:fill="CCEEFF"/>
          </w:tcPr>
          <w:p>
            <w:pPr>
              <w:ind w:left="120"/>
              <w:spacing w:after="0" w:line="175" w:lineRule="exact"/>
              <w:rPr>
                <w:sz w:val="20"/>
                <w:szCs w:val="20"/>
                <w:color w:val="auto"/>
              </w:rPr>
            </w:pPr>
            <w:r>
              <w:rPr>
                <w:rFonts w:ascii="Arial" w:cs="Arial" w:eastAsia="Arial" w:hAnsi="Arial"/>
                <w:sz w:val="16"/>
                <w:szCs w:val="16"/>
                <w:color w:val="0000FF"/>
              </w:rPr>
              <w:t>Other Information</w:t>
            </w:r>
          </w:p>
        </w:tc>
        <w:tc>
          <w:tcPr>
            <w:tcW w:w="340" w:type="dxa"/>
            <w:vAlign w:val="bottom"/>
            <w:gridSpan w:val="7"/>
            <w:shd w:val="clear" w:color="auto" w:fill="CCEEFF"/>
          </w:tcPr>
          <w:p>
            <w:pPr>
              <w:jc w:val="center"/>
              <w:spacing w:after="0" w:line="175" w:lineRule="exact"/>
              <w:rPr>
                <w:sz w:val="20"/>
                <w:szCs w:val="20"/>
                <w:color w:val="auto"/>
              </w:rPr>
            </w:pPr>
            <w:r>
              <w:rPr>
                <w:rFonts w:ascii="Arial" w:cs="Arial" w:eastAsia="Arial" w:hAnsi="Arial"/>
                <w:sz w:val="16"/>
                <w:szCs w:val="16"/>
                <w:color w:val="0000FF"/>
              </w:rPr>
              <w:t>27</w:t>
            </w:r>
          </w:p>
        </w:tc>
        <w:tc>
          <w:tcPr>
            <w:tcW w:w="660" w:type="dxa"/>
            <w:vAlign w:val="bottom"/>
            <w:shd w:val="clear" w:color="auto" w:fill="CCEEFF"/>
          </w:tcPr>
          <w:p>
            <w:pPr>
              <w:spacing w:after="0"/>
              <w:rPr>
                <w:sz w:val="15"/>
                <w:szCs w:val="15"/>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CCEEFF"/>
            </w:tcBorders>
            <w:gridSpan w:val="3"/>
            <w:shd w:val="clear" w:color="auto" w:fill="CCEEFF"/>
          </w:tcPr>
          <w:p>
            <w:pPr>
              <w:spacing w:after="0" w:line="20" w:lineRule="exact"/>
              <w:rPr>
                <w:sz w:val="1"/>
                <w:szCs w:val="1"/>
                <w:color w:val="auto"/>
              </w:rPr>
            </w:pPr>
          </w:p>
        </w:tc>
        <w:tc>
          <w:tcPr>
            <w:tcW w:w="1200" w:type="dxa"/>
            <w:vAlign w:val="bottom"/>
            <w:tcBorders>
              <w:top w:val="single" w:sz="8" w:color="0000FF"/>
            </w:tcBorders>
            <w:gridSpan w:val="6"/>
            <w:shd w:val="clear" w:color="auto" w:fill="CCEEFF"/>
          </w:tcPr>
          <w:p>
            <w:pPr>
              <w:spacing w:after="0" w:line="20" w:lineRule="exact"/>
              <w:rPr>
                <w:sz w:val="1"/>
                <w:szCs w:val="1"/>
                <w:color w:val="auto"/>
              </w:rPr>
            </w:pPr>
          </w:p>
        </w:tc>
        <w:tc>
          <w:tcPr>
            <w:tcW w:w="8280" w:type="dxa"/>
            <w:vAlign w:val="bottom"/>
            <w:tcBorders>
              <w:top w:val="single" w:sz="8" w:color="CCEEFF"/>
            </w:tcBorders>
            <w:gridSpan w:val="41"/>
            <w:shd w:val="clear" w:color="auto" w:fill="CCEEFF"/>
          </w:tcPr>
          <w:p>
            <w:pPr>
              <w:spacing w:after="0" w:line="20" w:lineRule="exact"/>
              <w:rPr>
                <w:sz w:val="1"/>
                <w:szCs w:val="1"/>
                <w:color w:val="auto"/>
              </w:rPr>
            </w:pPr>
          </w:p>
        </w:tc>
        <w:tc>
          <w:tcPr>
            <w:tcW w:w="180" w:type="dxa"/>
            <w:vAlign w:val="bottom"/>
            <w:tcBorders>
              <w:top w:val="single" w:sz="8" w:color="0000FF"/>
            </w:tcBorders>
            <w:gridSpan w:val="5"/>
            <w:shd w:val="clear" w:color="auto" w:fill="CCEEFF"/>
          </w:tcPr>
          <w:p>
            <w:pPr>
              <w:spacing w:after="0" w:line="20" w:lineRule="exact"/>
              <w:rPr>
                <w:sz w:val="1"/>
                <w:szCs w:val="1"/>
                <w:color w:val="auto"/>
              </w:rPr>
            </w:pPr>
          </w:p>
        </w:tc>
        <w:tc>
          <w:tcPr>
            <w:tcW w:w="740" w:type="dxa"/>
            <w:vAlign w:val="bottom"/>
            <w:tcBorders>
              <w:top w:val="single" w:sz="8" w:color="CCEEFF"/>
            </w:tcBorders>
            <w:gridSpan w:val="2"/>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00" w:type="dxa"/>
            <w:vAlign w:val="bottom"/>
            <w:gridSpan w:val="3"/>
          </w:tcPr>
          <w:p>
            <w:pPr>
              <w:spacing w:after="0" w:line="175" w:lineRule="exact"/>
              <w:rPr>
                <w:sz w:val="20"/>
                <w:szCs w:val="20"/>
                <w:color w:val="auto"/>
              </w:rPr>
            </w:pPr>
            <w:r>
              <w:rPr>
                <w:rFonts w:ascii="Arial" w:cs="Arial" w:eastAsia="Arial" w:hAnsi="Arial"/>
                <w:sz w:val="16"/>
                <w:szCs w:val="16"/>
                <w:color w:val="0000FF"/>
              </w:rPr>
              <w:t>Item 6.</w:t>
            </w:r>
          </w:p>
        </w:tc>
        <w:tc>
          <w:tcPr>
            <w:tcW w:w="9520" w:type="dxa"/>
            <w:vAlign w:val="bottom"/>
            <w:gridSpan w:val="47"/>
          </w:tcPr>
          <w:p>
            <w:pPr>
              <w:ind w:left="120"/>
              <w:spacing w:after="0" w:line="175" w:lineRule="exact"/>
              <w:rPr>
                <w:sz w:val="20"/>
                <w:szCs w:val="20"/>
                <w:color w:val="auto"/>
              </w:rPr>
            </w:pPr>
            <w:r>
              <w:rPr>
                <w:rFonts w:ascii="Arial" w:cs="Arial" w:eastAsia="Arial" w:hAnsi="Arial"/>
                <w:sz w:val="16"/>
                <w:szCs w:val="16"/>
                <w:color w:val="0000FF"/>
              </w:rPr>
              <w:t>Exhibits</w:t>
            </w:r>
          </w:p>
        </w:tc>
        <w:tc>
          <w:tcPr>
            <w:tcW w:w="340" w:type="dxa"/>
            <w:vAlign w:val="bottom"/>
            <w:gridSpan w:val="7"/>
          </w:tcPr>
          <w:p>
            <w:pPr>
              <w:jc w:val="center"/>
              <w:spacing w:after="0" w:line="175" w:lineRule="exact"/>
              <w:rPr>
                <w:sz w:val="20"/>
                <w:szCs w:val="20"/>
                <w:color w:val="auto"/>
              </w:rPr>
            </w:pPr>
            <w:r>
              <w:rPr>
                <w:rFonts w:ascii="Arial" w:cs="Arial" w:eastAsia="Arial" w:hAnsi="Arial"/>
                <w:sz w:val="16"/>
                <w:szCs w:val="16"/>
                <w:color w:val="0000FF"/>
              </w:rPr>
              <w:t>27</w:t>
            </w:r>
          </w:p>
        </w:tc>
        <w:tc>
          <w:tcPr>
            <w:tcW w:w="6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540" w:type="dxa"/>
            <w:vAlign w:val="bottom"/>
            <w:tcBorders>
              <w:top w:val="single" w:sz="8" w:color="0000FF"/>
            </w:tcBorders>
            <w:gridSpan w:val="2"/>
          </w:tcPr>
          <w:p>
            <w:pPr>
              <w:spacing w:after="0" w:line="20" w:lineRule="exact"/>
              <w:rPr>
                <w:sz w:val="1"/>
                <w:szCs w:val="1"/>
                <w:color w:val="auto"/>
              </w:rPr>
            </w:pPr>
          </w:p>
        </w:tc>
        <w:tc>
          <w:tcPr>
            <w:tcW w:w="8940" w:type="dxa"/>
            <w:vAlign w:val="bottom"/>
            <w:gridSpan w:val="45"/>
          </w:tcPr>
          <w:p>
            <w:pPr>
              <w:spacing w:after="0" w:line="20" w:lineRule="exact"/>
              <w:rPr>
                <w:sz w:val="1"/>
                <w:szCs w:val="1"/>
                <w:color w:val="auto"/>
              </w:rPr>
            </w:pPr>
          </w:p>
        </w:tc>
        <w:tc>
          <w:tcPr>
            <w:tcW w:w="180" w:type="dxa"/>
            <w:vAlign w:val="bottom"/>
            <w:tcBorders>
              <w:top w:val="single" w:sz="8" w:color="0000FF"/>
            </w:tcBorders>
            <w:gridSpan w:val="5"/>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520" w:type="dxa"/>
            <w:vAlign w:val="bottom"/>
            <w:gridSpan w:val="47"/>
            <w:shd w:val="clear" w:color="auto" w:fill="CCEEFF"/>
          </w:tcPr>
          <w:p>
            <w:pPr>
              <w:ind w:left="120"/>
              <w:spacing w:after="0" w:line="175" w:lineRule="exact"/>
              <w:rPr>
                <w:sz w:val="20"/>
                <w:szCs w:val="20"/>
                <w:color w:val="auto"/>
              </w:rPr>
            </w:pPr>
            <w:r>
              <w:rPr>
                <w:rFonts w:ascii="Arial" w:cs="Arial" w:eastAsia="Arial" w:hAnsi="Arial"/>
                <w:sz w:val="16"/>
                <w:szCs w:val="16"/>
                <w:color w:val="0000FF"/>
              </w:rPr>
              <w:t>SIGNATURES</w:t>
            </w:r>
          </w:p>
        </w:tc>
        <w:tc>
          <w:tcPr>
            <w:tcW w:w="340" w:type="dxa"/>
            <w:vAlign w:val="bottom"/>
            <w:gridSpan w:val="7"/>
            <w:shd w:val="clear" w:color="auto" w:fill="CCEEFF"/>
          </w:tcPr>
          <w:p>
            <w:pPr>
              <w:jc w:val="center"/>
              <w:spacing w:after="0" w:line="175" w:lineRule="exact"/>
              <w:rPr>
                <w:sz w:val="20"/>
                <w:szCs w:val="20"/>
                <w:color w:val="auto"/>
              </w:rPr>
            </w:pPr>
            <w:r>
              <w:rPr>
                <w:rFonts w:ascii="Arial" w:cs="Arial" w:eastAsia="Arial" w:hAnsi="Arial"/>
                <w:sz w:val="16"/>
                <w:szCs w:val="16"/>
                <w:color w:val="0000FF"/>
              </w:rPr>
              <w:t>28</w:t>
            </w:r>
          </w:p>
        </w:tc>
        <w:tc>
          <w:tcPr>
            <w:tcW w:w="660" w:type="dxa"/>
            <w:vAlign w:val="bottom"/>
            <w:shd w:val="clear" w:color="auto" w:fill="CCEEFF"/>
          </w:tcPr>
          <w:p>
            <w:pPr>
              <w:spacing w:after="0"/>
              <w:rPr>
                <w:sz w:val="15"/>
                <w:szCs w:val="15"/>
                <w:color w:val="auto"/>
              </w:rPr>
            </w:pPr>
          </w:p>
        </w:tc>
      </w:tr>
      <w:tr>
        <w:trPr>
          <w:trHeight w:val="20"/>
        </w:trPr>
        <w:tc>
          <w:tcPr>
            <w:tcW w:w="840" w:type="dxa"/>
            <w:vAlign w:val="bottom"/>
            <w:tcBorders>
              <w:top w:val="single" w:sz="8" w:color="CCEEFF"/>
            </w:tcBorders>
            <w:gridSpan w:val="5"/>
            <w:shd w:val="clear" w:color="auto" w:fill="CCEEFF"/>
          </w:tcPr>
          <w:p>
            <w:pPr>
              <w:spacing w:after="0" w:line="20" w:lineRule="exact"/>
              <w:rPr>
                <w:sz w:val="1"/>
                <w:szCs w:val="1"/>
                <w:color w:val="auto"/>
              </w:rPr>
            </w:pPr>
          </w:p>
        </w:tc>
        <w:tc>
          <w:tcPr>
            <w:tcW w:w="1000" w:type="dxa"/>
            <w:vAlign w:val="bottom"/>
            <w:tcBorders>
              <w:top w:val="single" w:sz="8" w:color="0000FF"/>
            </w:tcBorders>
            <w:gridSpan w:val="4"/>
            <w:shd w:val="clear" w:color="auto" w:fill="CCEEFF"/>
          </w:tcPr>
          <w:p>
            <w:pPr>
              <w:spacing w:after="0" w:line="20" w:lineRule="exact"/>
              <w:rPr>
                <w:sz w:val="1"/>
                <w:szCs w:val="1"/>
                <w:color w:val="auto"/>
              </w:rPr>
            </w:pPr>
          </w:p>
        </w:tc>
        <w:tc>
          <w:tcPr>
            <w:tcW w:w="8480" w:type="dxa"/>
            <w:vAlign w:val="bottom"/>
            <w:tcBorders>
              <w:top w:val="single" w:sz="8" w:color="CCEEFF"/>
            </w:tcBorders>
            <w:gridSpan w:val="43"/>
            <w:shd w:val="clear" w:color="auto" w:fill="CCEEFF"/>
          </w:tcPr>
          <w:p>
            <w:pPr>
              <w:spacing w:after="0" w:line="20" w:lineRule="exact"/>
              <w:rPr>
                <w:sz w:val="1"/>
                <w:szCs w:val="1"/>
                <w:color w:val="auto"/>
              </w:rPr>
            </w:pPr>
          </w:p>
        </w:tc>
        <w:tc>
          <w:tcPr>
            <w:tcW w:w="180" w:type="dxa"/>
            <w:vAlign w:val="bottom"/>
            <w:tcBorders>
              <w:top w:val="single" w:sz="8" w:color="0000FF"/>
            </w:tcBorders>
            <w:gridSpan w:val="5"/>
            <w:shd w:val="clear" w:color="auto" w:fill="CCEEFF"/>
          </w:tcPr>
          <w:p>
            <w:pPr>
              <w:spacing w:after="0" w:line="20" w:lineRule="exact"/>
              <w:rPr>
                <w:sz w:val="1"/>
                <w:szCs w:val="1"/>
                <w:color w:val="auto"/>
              </w:rPr>
            </w:pPr>
          </w:p>
        </w:tc>
        <w:tc>
          <w:tcPr>
            <w:tcW w:w="740" w:type="dxa"/>
            <w:vAlign w:val="bottom"/>
            <w:tcBorders>
              <w:top w:val="single" w:sz="8" w:color="CCEEFF"/>
            </w:tcBorders>
            <w:gridSpan w:val="2"/>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i w:val="1"/>
          <w:iCs w:val="1"/>
          <w:u w:val="single" w:color="auto"/>
          <w:color w:val="auto"/>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TELOS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(Unaudited)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920" w:type="dxa"/>
            <w:vAlign w:val="bottom"/>
            <w:tcBorders>
              <w:bottom w:val="single" w:sz="8" w:color="auto"/>
            </w:tcBorders>
            <w:gridSpan w:val="4"/>
          </w:tcPr>
          <w:p>
            <w:pPr>
              <w:jc w:val="right"/>
              <w:ind w:right="1099"/>
              <w:spacing w:after="0"/>
              <w:rPr>
                <w:sz w:val="20"/>
                <w:szCs w:val="20"/>
                <w:color w:val="auto"/>
              </w:rPr>
            </w:pPr>
            <w:r>
              <w:rPr>
                <w:rFonts w:ascii="Arial" w:cs="Arial" w:eastAsia="Arial" w:hAnsi="Arial"/>
                <w:sz w:val="16"/>
                <w:szCs w:val="16"/>
                <w:color w:val="auto"/>
              </w:rPr>
              <w:t>For the Three Months Ended</w:t>
            </w:r>
          </w:p>
        </w:tc>
      </w:tr>
      <w:tr>
        <w:trPr>
          <w:trHeight w:val="209"/>
        </w:trPr>
        <w:tc>
          <w:tcPr>
            <w:tcW w:w="7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March 31, 2023</w:t>
            </w: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March 31, 2022</w:t>
            </w:r>
          </w:p>
        </w:tc>
      </w:tr>
      <w:tr>
        <w:trPr>
          <w:trHeight w:val="214"/>
        </w:trPr>
        <w:tc>
          <w:tcPr>
            <w:tcW w:w="7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920" w:type="dxa"/>
            <w:vAlign w:val="bottom"/>
            <w:gridSpan w:val="4"/>
          </w:tcPr>
          <w:p>
            <w:pPr>
              <w:jc w:val="right"/>
              <w:ind w:right="859"/>
              <w:spacing w:after="0"/>
              <w:rPr>
                <w:sz w:val="20"/>
                <w:szCs w:val="20"/>
                <w:color w:val="auto"/>
              </w:rPr>
            </w:pPr>
            <w:r>
              <w:rPr>
                <w:rFonts w:ascii="Arial" w:cs="Arial" w:eastAsia="Arial" w:hAnsi="Arial"/>
                <w:sz w:val="14"/>
                <w:szCs w:val="14"/>
                <w:i w:val="1"/>
                <w:iCs w:val="1"/>
                <w:color w:val="auto"/>
              </w:rPr>
              <w:t>(in thousands, except per share amounts)</w:t>
            </w:r>
          </w:p>
        </w:tc>
      </w:tr>
      <w:tr>
        <w:trPr>
          <w:trHeight w:val="26"/>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16"/>
        </w:trPr>
        <w:tc>
          <w:tcPr>
            <w:tcW w:w="7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Revenue – services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31,534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48,108</w:t>
            </w:r>
          </w:p>
        </w:tc>
      </w:tr>
      <w:tr>
        <w:trPr>
          <w:trHeight w:val="213"/>
        </w:trPr>
        <w:tc>
          <w:tcPr>
            <w:tcW w:w="70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Revenue – products</w:t>
            </w:r>
          </w:p>
        </w:tc>
        <w:tc>
          <w:tcPr>
            <w:tcW w:w="3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3,688</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2,052</w:t>
            </w:r>
          </w:p>
        </w:tc>
      </w:tr>
      <w:tr>
        <w:trPr>
          <w:trHeight w:val="213"/>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32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35,222</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50,160</w:t>
            </w:r>
          </w:p>
        </w:tc>
      </w:tr>
      <w:tr>
        <w:trPr>
          <w:trHeight w:val="206"/>
        </w:trPr>
        <w:tc>
          <w:tcPr>
            <w:tcW w:w="7000" w:type="dxa"/>
            <w:vAlign w:val="bottom"/>
          </w:tcPr>
          <w:p>
            <w:pPr>
              <w:ind w:left="140"/>
              <w:spacing w:after="0"/>
              <w:rPr>
                <w:sz w:val="20"/>
                <w:szCs w:val="20"/>
                <w:color w:val="auto"/>
              </w:rPr>
            </w:pPr>
            <w:r>
              <w:rPr>
                <w:rFonts w:ascii="Arial" w:cs="Arial" w:eastAsia="Arial" w:hAnsi="Arial"/>
                <w:sz w:val="16"/>
                <w:szCs w:val="16"/>
                <w:color w:val="auto"/>
              </w:rPr>
              <w:t>Cost of sales – services</w:t>
            </w:r>
          </w:p>
        </w:tc>
        <w:tc>
          <w:tcPr>
            <w:tcW w:w="32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19,268</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29,731</w:t>
            </w:r>
          </w:p>
        </w:tc>
      </w:tr>
      <w:tr>
        <w:trPr>
          <w:trHeight w:val="219"/>
        </w:trPr>
        <w:tc>
          <w:tcPr>
            <w:tcW w:w="7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Cost of sales – products</w:t>
            </w:r>
          </w:p>
        </w:tc>
        <w:tc>
          <w:tcPr>
            <w:tcW w:w="3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2,472</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1,558</w:t>
            </w:r>
          </w:p>
        </w:tc>
      </w:tr>
      <w:tr>
        <w:trPr>
          <w:trHeight w:val="207"/>
        </w:trPr>
        <w:tc>
          <w:tcPr>
            <w:tcW w:w="7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cost of sales</w:t>
            </w:r>
          </w:p>
        </w:tc>
        <w:tc>
          <w:tcPr>
            <w:tcW w:w="3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21,740</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31,289</w:t>
            </w:r>
          </w:p>
        </w:tc>
      </w:tr>
      <w:tr>
        <w:trPr>
          <w:trHeight w:val="213"/>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3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13,482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18,871</w:t>
            </w:r>
          </w:p>
        </w:tc>
      </w:tr>
      <w:tr>
        <w:trPr>
          <w:trHeight w:val="213"/>
        </w:trPr>
        <w:tc>
          <w:tcPr>
            <w:tcW w:w="7000" w:type="dxa"/>
            <w:vAlign w:val="bottom"/>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3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9"/>
        </w:trPr>
        <w:tc>
          <w:tcPr>
            <w:tcW w:w="7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Sales and marketing</w:t>
            </w:r>
          </w:p>
        </w:tc>
        <w:tc>
          <w:tcPr>
            <w:tcW w:w="3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5,252</w:t>
            </w:r>
          </w:p>
        </w:tc>
      </w:tr>
      <w:tr>
        <w:trPr>
          <w:trHeight w:val="213"/>
        </w:trPr>
        <w:tc>
          <w:tcPr>
            <w:tcW w:w="7000" w:type="dxa"/>
            <w:vAlign w:val="bottom"/>
          </w:tcPr>
          <w:p>
            <w:pPr>
              <w:ind w:left="140"/>
              <w:spacing w:after="0"/>
              <w:rPr>
                <w:sz w:val="20"/>
                <w:szCs w:val="20"/>
                <w:color w:val="auto"/>
              </w:rPr>
            </w:pPr>
            <w:r>
              <w:rPr>
                <w:rFonts w:ascii="Arial" w:cs="Arial" w:eastAsia="Arial" w:hAnsi="Arial"/>
                <w:sz w:val="16"/>
                <w:szCs w:val="16"/>
                <w:color w:val="auto"/>
              </w:rPr>
              <w:t>Research and development</w:t>
            </w:r>
          </w:p>
        </w:tc>
        <w:tc>
          <w:tcPr>
            <w:tcW w:w="3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2,833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5,430</w:t>
            </w:r>
          </w:p>
        </w:tc>
      </w:tr>
      <w:tr>
        <w:trPr>
          <w:trHeight w:val="219"/>
        </w:trPr>
        <w:tc>
          <w:tcPr>
            <w:tcW w:w="7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General and administrative</w:t>
            </w:r>
          </w:p>
        </w:tc>
        <w:tc>
          <w:tcPr>
            <w:tcW w:w="3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21,976</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24,556</w:t>
            </w:r>
          </w:p>
        </w:tc>
      </w:tr>
      <w:tr>
        <w:trPr>
          <w:trHeight w:val="207"/>
        </w:trPr>
        <w:tc>
          <w:tcPr>
            <w:tcW w:w="7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selling, general and administrative expenses</w:t>
            </w:r>
          </w:p>
        </w:tc>
        <w:tc>
          <w:tcPr>
            <w:tcW w:w="3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26,452</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35,238</w:t>
            </w:r>
          </w:p>
        </w:tc>
      </w:tr>
      <w:tr>
        <w:trPr>
          <w:trHeight w:val="212"/>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loss</w:t>
            </w:r>
          </w:p>
        </w:tc>
        <w:tc>
          <w:tcPr>
            <w:tcW w:w="3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(12,970)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(16,367)</w:t>
            </w:r>
          </w:p>
        </w:tc>
      </w:tr>
      <w:tr>
        <w:trPr>
          <w:trHeight w:val="213"/>
        </w:trPr>
        <w:tc>
          <w:tcPr>
            <w:tcW w:w="7000" w:type="dxa"/>
            <w:vAlign w:val="bottom"/>
          </w:tcPr>
          <w:p>
            <w:pPr>
              <w:ind w:left="140"/>
              <w:spacing w:after="0"/>
              <w:rPr>
                <w:sz w:val="20"/>
                <w:szCs w:val="20"/>
                <w:color w:val="auto"/>
              </w:rPr>
            </w:pPr>
            <w:r>
              <w:rPr>
                <w:rFonts w:ascii="Arial" w:cs="Arial" w:eastAsia="Arial" w:hAnsi="Arial"/>
                <w:sz w:val="16"/>
                <w:szCs w:val="16"/>
                <w:color w:val="auto"/>
              </w:rPr>
              <w:t>Other income</w:t>
            </w:r>
          </w:p>
        </w:tc>
        <w:tc>
          <w:tcPr>
            <w:tcW w:w="3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2,496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19"/>
        </w:trPr>
        <w:tc>
          <w:tcPr>
            <w:tcW w:w="7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expense</w:t>
            </w:r>
          </w:p>
        </w:tc>
        <w:tc>
          <w:tcPr>
            <w:tcW w:w="3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w:t>
            </w:r>
          </w:p>
        </w:tc>
      </w:tr>
      <w:tr>
        <w:trPr>
          <w:trHeight w:val="206"/>
        </w:trPr>
        <w:tc>
          <w:tcPr>
            <w:tcW w:w="7000" w:type="dxa"/>
            <w:vAlign w:val="bottom"/>
          </w:tcPr>
          <w:p>
            <w:pPr>
              <w:ind w:left="20"/>
              <w:spacing w:after="0"/>
              <w:rPr>
                <w:sz w:val="20"/>
                <w:szCs w:val="20"/>
                <w:color w:val="auto"/>
              </w:rPr>
            </w:pPr>
            <w:r>
              <w:rPr>
                <w:rFonts w:ascii="Arial" w:cs="Arial" w:eastAsia="Arial" w:hAnsi="Arial"/>
                <w:sz w:val="16"/>
                <w:szCs w:val="16"/>
                <w:color w:val="auto"/>
              </w:rPr>
              <w:t>Loss before income taxes</w:t>
            </w:r>
          </w:p>
        </w:tc>
        <w:tc>
          <w:tcPr>
            <w:tcW w:w="32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(10,723)</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(16,545)</w:t>
            </w:r>
          </w:p>
        </w:tc>
      </w:tr>
      <w:tr>
        <w:trPr>
          <w:trHeight w:val="216"/>
        </w:trPr>
        <w:tc>
          <w:tcPr>
            <w:tcW w:w="7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Provision for income taxes</w:t>
            </w:r>
          </w:p>
        </w:tc>
        <w:tc>
          <w:tcPr>
            <w:tcW w:w="32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w:t>
            </w:r>
          </w:p>
        </w:tc>
      </w:tr>
      <w:tr>
        <w:trPr>
          <w:trHeight w:val="213"/>
        </w:trPr>
        <w:tc>
          <w:tcPr>
            <w:tcW w:w="7000" w:type="dxa"/>
            <w:vAlign w:val="bottom"/>
          </w:tcPr>
          <w:p>
            <w:pPr>
              <w:ind w:left="20"/>
              <w:spacing w:after="0"/>
              <w:rPr>
                <w:sz w:val="20"/>
                <w:szCs w:val="20"/>
                <w:color w:val="auto"/>
              </w:rPr>
            </w:pPr>
            <w:r>
              <w:rPr>
                <w:rFonts w:ascii="Arial" w:cs="Arial" w:eastAsia="Arial" w:hAnsi="Arial"/>
                <w:sz w:val="16"/>
                <w:szCs w:val="16"/>
                <w:color w:val="auto"/>
              </w:rPr>
              <w:t>Net loss</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(10,746)</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(16,616)</w:t>
            </w: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237"/>
        </w:trPr>
        <w:tc>
          <w:tcPr>
            <w:tcW w:w="70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r>
      <w:tr>
        <w:trPr>
          <w:trHeight w:val="213"/>
        </w:trPr>
        <w:tc>
          <w:tcPr>
            <w:tcW w:w="7000" w:type="dxa"/>
            <w:vAlign w:val="bottom"/>
          </w:tcPr>
          <w:p>
            <w:pPr>
              <w:ind w:left="20"/>
              <w:spacing w:after="0"/>
              <w:rPr>
                <w:sz w:val="20"/>
                <w:szCs w:val="20"/>
                <w:color w:val="auto"/>
              </w:rPr>
            </w:pPr>
            <w:r>
              <w:rPr>
                <w:rFonts w:ascii="Arial" w:cs="Arial" w:eastAsia="Arial" w:hAnsi="Arial"/>
                <w:sz w:val="16"/>
                <w:szCs w:val="16"/>
                <w:color w:val="auto"/>
              </w:rPr>
              <w:t>Net loss per share:</w:t>
            </w:r>
          </w:p>
        </w:tc>
        <w:tc>
          <w:tcPr>
            <w:tcW w:w="3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9"/>
        </w:trPr>
        <w:tc>
          <w:tcPr>
            <w:tcW w:w="7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Basic</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(0.25)</w:t>
            </w:r>
          </w:p>
        </w:tc>
      </w:tr>
      <w:tr>
        <w:trPr>
          <w:trHeight w:val="213"/>
        </w:trPr>
        <w:tc>
          <w:tcPr>
            <w:tcW w:w="7000" w:type="dxa"/>
            <w:vAlign w:val="bottom"/>
          </w:tcPr>
          <w:p>
            <w:pPr>
              <w:ind w:left="140"/>
              <w:spacing w:after="0"/>
              <w:rPr>
                <w:sz w:val="20"/>
                <w:szCs w:val="20"/>
                <w:color w:val="auto"/>
              </w:rPr>
            </w:pPr>
            <w:r>
              <w:rPr>
                <w:rFonts w:ascii="Arial" w:cs="Arial" w:eastAsia="Arial" w:hAnsi="Arial"/>
                <w:sz w:val="16"/>
                <w:szCs w:val="16"/>
                <w:color w:val="auto"/>
              </w:rPr>
              <w:t>Diluted</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(0.16)</w:t>
            </w:r>
          </w:p>
        </w:tc>
        <w:tc>
          <w:tcPr>
            <w:tcW w:w="8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(0.25)</w:t>
            </w:r>
          </w:p>
        </w:tc>
      </w:tr>
      <w:tr>
        <w:trPr>
          <w:trHeight w:val="273"/>
        </w:trPr>
        <w:tc>
          <w:tcPr>
            <w:tcW w:w="70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r>
      <w:tr>
        <w:trPr>
          <w:trHeight w:val="213"/>
        </w:trPr>
        <w:tc>
          <w:tcPr>
            <w:tcW w:w="7000" w:type="dxa"/>
            <w:vAlign w:val="bottom"/>
          </w:tcPr>
          <w:p>
            <w:pPr>
              <w:ind w:left="20"/>
              <w:spacing w:after="0"/>
              <w:rPr>
                <w:sz w:val="20"/>
                <w:szCs w:val="20"/>
                <w:color w:val="auto"/>
              </w:rPr>
            </w:pPr>
            <w:r>
              <w:rPr>
                <w:rFonts w:ascii="Arial" w:cs="Arial" w:eastAsia="Arial" w:hAnsi="Arial"/>
                <w:sz w:val="16"/>
                <w:szCs w:val="16"/>
                <w:color w:val="auto"/>
              </w:rPr>
              <w:t>Weighted-average shares outstanding:</w:t>
            </w:r>
          </w:p>
        </w:tc>
        <w:tc>
          <w:tcPr>
            <w:tcW w:w="3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9"/>
        </w:trPr>
        <w:tc>
          <w:tcPr>
            <w:tcW w:w="7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Basic</w:t>
            </w:r>
          </w:p>
        </w:tc>
        <w:tc>
          <w:tcPr>
            <w:tcW w:w="3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68,176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67,559</w:t>
            </w:r>
          </w:p>
        </w:tc>
      </w:tr>
      <w:tr>
        <w:trPr>
          <w:trHeight w:val="210"/>
        </w:trPr>
        <w:tc>
          <w:tcPr>
            <w:tcW w:w="7000" w:type="dxa"/>
            <w:vAlign w:val="bottom"/>
          </w:tcPr>
          <w:p>
            <w:pPr>
              <w:ind w:left="140"/>
              <w:spacing w:after="0"/>
              <w:rPr>
                <w:sz w:val="20"/>
                <w:szCs w:val="20"/>
                <w:color w:val="auto"/>
              </w:rPr>
            </w:pPr>
            <w:r>
              <w:rPr>
                <w:rFonts w:ascii="Arial" w:cs="Arial" w:eastAsia="Arial" w:hAnsi="Arial"/>
                <w:sz w:val="16"/>
                <w:szCs w:val="16"/>
                <w:color w:val="auto"/>
              </w:rPr>
              <w:t>Diluted</w:t>
            </w:r>
          </w:p>
        </w:tc>
        <w:tc>
          <w:tcPr>
            <w:tcW w:w="3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68,176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67,559</w:t>
            </w:r>
          </w:p>
        </w:tc>
      </w:tr>
    </w:tbl>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i w:val="1"/>
          <w:iCs w:val="1"/>
          <w:u w:val="single" w:color="auto"/>
          <w:color w:val="auto"/>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TELOS CORPORATION</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6"/>
          <w:szCs w:val="16"/>
          <w:i w:val="1"/>
          <w:iCs w:val="1"/>
          <w:color w:val="auto"/>
        </w:rPr>
        <w:t>(Unaudited)</w:t>
      </w:r>
    </w:p>
    <w:p>
      <w:pPr>
        <w:spacing w:after="0" w:line="198" w:lineRule="exact"/>
        <w:rPr>
          <w:sz w:val="20"/>
          <w:szCs w:val="20"/>
          <w:color w:val="auto"/>
        </w:rPr>
      </w:pPr>
    </w:p>
    <w:tbl>
      <w:tblPr>
        <w:tblLayout w:type="fixed"/>
        <w:tblInd w:w="120" w:type="dxa"/>
        <w:tblCellMar>
          <w:top w:w="0" w:type="dxa"/>
          <w:left w:w="0" w:type="dxa"/>
          <w:bottom w:w="0" w:type="dxa"/>
          <w:right w:w="0" w:type="dxa"/>
        </w:tblCellMar>
      </w:tblPr>
      <w:tr>
        <w:trPr>
          <w:trHeight w:val="209"/>
        </w:trPr>
        <w:tc>
          <w:tcPr>
            <w:tcW w:w="69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820" w:type="dxa"/>
            <w:vAlign w:val="bottom"/>
            <w:tcBorders>
              <w:bottom w:val="single" w:sz="8" w:color="auto"/>
            </w:tcBorders>
            <w:gridSpan w:val="4"/>
          </w:tcPr>
          <w:p>
            <w:pPr>
              <w:jc w:val="right"/>
              <w:ind w:right="1039"/>
              <w:spacing w:after="0"/>
              <w:rPr>
                <w:sz w:val="20"/>
                <w:szCs w:val="20"/>
                <w:color w:val="auto"/>
              </w:rPr>
            </w:pPr>
            <w:r>
              <w:rPr>
                <w:rFonts w:ascii="Arial" w:cs="Arial" w:eastAsia="Arial" w:hAnsi="Arial"/>
                <w:sz w:val="16"/>
                <w:szCs w:val="16"/>
                <w:color w:val="auto"/>
              </w:rPr>
              <w:t>For the Three Months Ended</w:t>
            </w:r>
          </w:p>
        </w:tc>
      </w:tr>
      <w:tr>
        <w:trPr>
          <w:trHeight w:val="209"/>
        </w:trPr>
        <w:tc>
          <w:tcPr>
            <w:tcW w:w="69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color w:val="auto"/>
              </w:rPr>
              <w:t>March 31, 2023</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w w:val="95"/>
              </w:rPr>
              <w:t>March 31, 2022</w:t>
            </w:r>
          </w:p>
        </w:tc>
      </w:tr>
      <w:tr>
        <w:trPr>
          <w:trHeight w:val="214"/>
        </w:trPr>
        <w:tc>
          <w:tcPr>
            <w:tcW w:w="6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1600" w:type="dxa"/>
            <w:vAlign w:val="bottom"/>
          </w:tcPr>
          <w:p>
            <w:pPr>
              <w:spacing w:after="0"/>
              <w:rPr>
                <w:sz w:val="18"/>
                <w:szCs w:val="18"/>
                <w:color w:val="auto"/>
              </w:rPr>
            </w:pPr>
          </w:p>
        </w:tc>
      </w:tr>
      <w:tr>
        <w:trPr>
          <w:trHeight w:val="26"/>
        </w:trPr>
        <w:tc>
          <w:tcPr>
            <w:tcW w:w="6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16"/>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(10,746)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(16,616)</w:t>
            </w:r>
          </w:p>
        </w:tc>
      </w:tr>
      <w:tr>
        <w:trPr>
          <w:trHeight w:val="213"/>
        </w:trPr>
        <w:tc>
          <w:tcPr>
            <w:tcW w:w="6900" w:type="dxa"/>
            <w:vAlign w:val="bottom"/>
          </w:tcPr>
          <w:p>
            <w:pPr>
              <w:ind w:left="20"/>
              <w:spacing w:after="0"/>
              <w:rPr>
                <w:sz w:val="20"/>
                <w:szCs w:val="20"/>
                <w:color w:val="auto"/>
              </w:rPr>
            </w:pPr>
            <w:r>
              <w:rPr>
                <w:rFonts w:ascii="Arial" w:cs="Arial" w:eastAsia="Arial" w:hAnsi="Arial"/>
                <w:sz w:val="16"/>
                <w:szCs w:val="16"/>
                <w:color w:val="auto"/>
              </w:rPr>
              <w:t>Other comprehensive loss, net of tax:</w:t>
            </w: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69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Foreign currency translation adjustments</w:t>
            </w:r>
          </w:p>
        </w:tc>
        <w:tc>
          <w:tcPr>
            <w:tcW w:w="28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213"/>
        </w:trPr>
        <w:tc>
          <w:tcPr>
            <w:tcW w:w="6900" w:type="dxa"/>
            <w:vAlign w:val="bottom"/>
          </w:tcPr>
          <w:p>
            <w:pPr>
              <w:ind w:left="20"/>
              <w:spacing w:after="0"/>
              <w:rPr>
                <w:sz w:val="20"/>
                <w:szCs w:val="20"/>
                <w:color w:val="auto"/>
              </w:rPr>
            </w:pPr>
            <w:r>
              <w:rPr>
                <w:rFonts w:ascii="Arial" w:cs="Arial" w:eastAsia="Arial" w:hAnsi="Arial"/>
                <w:sz w:val="16"/>
                <w:szCs w:val="16"/>
                <w:color w:val="auto"/>
              </w:rPr>
              <w:t>Comprehensive loss</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(10,733)</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(16,587)</w:t>
            </w:r>
          </w:p>
        </w:tc>
      </w:tr>
      <w:tr>
        <w:trPr>
          <w:trHeight w:val="20"/>
        </w:trPr>
        <w:tc>
          <w:tcPr>
            <w:tcW w:w="6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See accompanying notes to the unaudited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sectPr>
      </w:pPr>
    </w:p>
    <w:bookmarkStart w:id="4" w:name="page5"/>
    <w:bookmarkEnd w:id="4"/>
    <w:p>
      <w:pPr>
        <w:spacing w:after="0"/>
        <w:rPr>
          <w:sz w:val="20"/>
          <w:szCs w:val="20"/>
          <w:color w:val="auto"/>
        </w:rPr>
      </w:pPr>
      <w:r>
        <w:rPr>
          <w:rFonts w:ascii="Arial" w:cs="Arial" w:eastAsia="Arial" w:hAnsi="Arial"/>
          <w:sz w:val="18"/>
          <w:szCs w:val="18"/>
          <w:i w:val="1"/>
          <w:iCs w:val="1"/>
          <w:u w:val="single" w:color="auto"/>
          <w:color w:val="auto"/>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TELOS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(Unaudited)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0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March 31, 2023</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99"/>
              </w:rPr>
              <w:t>December 31, 2022</w:t>
            </w:r>
          </w:p>
        </w:tc>
        <w:tc>
          <w:tcPr>
            <w:tcW w:w="0" w:type="dxa"/>
            <w:vAlign w:val="bottom"/>
          </w:tcPr>
          <w:p>
            <w:pPr>
              <w:spacing w:after="0"/>
              <w:rPr>
                <w:sz w:val="1"/>
                <w:szCs w:val="1"/>
                <w:color w:val="auto"/>
              </w:rPr>
            </w:pPr>
          </w:p>
        </w:tc>
      </w:tr>
      <w:tr>
        <w:trPr>
          <w:trHeight w:val="214"/>
        </w:trPr>
        <w:tc>
          <w:tcPr>
            <w:tcW w:w="7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940" w:type="dxa"/>
            <w:vAlign w:val="bottom"/>
            <w:gridSpan w:val="4"/>
          </w:tcPr>
          <w:p>
            <w:pPr>
              <w:jc w:val="right"/>
              <w:ind w:right="439"/>
              <w:spacing w:after="0"/>
              <w:rPr>
                <w:sz w:val="20"/>
                <w:szCs w:val="20"/>
                <w:color w:val="auto"/>
              </w:rPr>
            </w:pPr>
            <w:r>
              <w:rPr>
                <w:rFonts w:ascii="Arial" w:cs="Arial" w:eastAsia="Arial" w:hAnsi="Arial"/>
                <w:sz w:val="14"/>
                <w:szCs w:val="14"/>
                <w:i w:val="1"/>
                <w:iCs w:val="1"/>
                <w:color w:val="auto"/>
                <w:w w:val="97"/>
              </w:rPr>
              <w:t>(in thousands, except per share amount and share data)</w:t>
            </w:r>
          </w:p>
        </w:tc>
        <w:tc>
          <w:tcPr>
            <w:tcW w:w="0" w:type="dxa"/>
            <w:vAlign w:val="bottom"/>
          </w:tcPr>
          <w:p>
            <w:pPr>
              <w:spacing w:after="0"/>
              <w:rPr>
                <w:sz w:val="1"/>
                <w:szCs w:val="1"/>
                <w:color w:val="auto"/>
              </w:rPr>
            </w:pPr>
          </w:p>
        </w:tc>
      </w:tr>
      <w:tr>
        <w:trPr>
          <w:trHeight w:val="26"/>
        </w:trPr>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3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000" w:type="dxa"/>
            <w:vAlign w:val="bottom"/>
          </w:tcPr>
          <w:p>
            <w:pPr>
              <w:ind w:left="140"/>
              <w:spacing w:after="0"/>
              <w:rPr>
                <w:sz w:val="20"/>
                <w:szCs w:val="20"/>
                <w:color w:val="auto"/>
              </w:rPr>
            </w:pPr>
            <w:r>
              <w:rPr>
                <w:rFonts w:ascii="Arial" w:cs="Arial" w:eastAsia="Arial" w:hAnsi="Arial"/>
                <w:sz w:val="16"/>
                <w:szCs w:val="16"/>
                <w:color w:val="auto"/>
              </w:rPr>
              <w:t>Cash and cash equivalents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780" w:type="dxa"/>
            <w:vAlign w:val="bottom"/>
          </w:tcPr>
          <w:p>
            <w:pPr>
              <w:jc w:val="right"/>
              <w:spacing w:after="0"/>
              <w:rPr>
                <w:sz w:val="20"/>
                <w:szCs w:val="20"/>
                <w:color w:val="auto"/>
              </w:rPr>
            </w:pPr>
            <w:r>
              <w:rPr>
                <w:rFonts w:ascii="Arial" w:cs="Arial" w:eastAsia="Arial" w:hAnsi="Arial"/>
                <w:sz w:val="16"/>
                <w:szCs w:val="16"/>
                <w:color w:val="auto"/>
              </w:rPr>
              <w:t>112,462</w:t>
            </w: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820" w:type="dxa"/>
            <w:vAlign w:val="bottom"/>
          </w:tcPr>
          <w:p>
            <w:pPr>
              <w:jc w:val="right"/>
              <w:spacing w:after="0"/>
              <w:rPr>
                <w:sz w:val="20"/>
                <w:szCs w:val="20"/>
                <w:color w:val="auto"/>
              </w:rPr>
            </w:pPr>
            <w:r>
              <w:rPr>
                <w:rFonts w:ascii="Arial" w:cs="Arial" w:eastAsia="Arial" w:hAnsi="Arial"/>
                <w:sz w:val="16"/>
                <w:szCs w:val="16"/>
                <w:color w:val="auto"/>
              </w:rPr>
              <w:t>119,305</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receivable, net</w:t>
            </w:r>
          </w:p>
        </w:tc>
        <w:tc>
          <w:tcPr>
            <w:tcW w:w="3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34,702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40,069</w:t>
            </w:r>
          </w:p>
        </w:tc>
        <w:tc>
          <w:tcPr>
            <w:tcW w:w="0" w:type="dxa"/>
            <w:vAlign w:val="bottom"/>
          </w:tcPr>
          <w:p>
            <w:pPr>
              <w:spacing w:after="0"/>
              <w:rPr>
                <w:sz w:val="1"/>
                <w:szCs w:val="1"/>
                <w:color w:val="auto"/>
              </w:rPr>
            </w:pPr>
          </w:p>
        </w:tc>
      </w:tr>
      <w:tr>
        <w:trPr>
          <w:trHeight w:val="213"/>
        </w:trPr>
        <w:tc>
          <w:tcPr>
            <w:tcW w:w="7000" w:type="dxa"/>
            <w:vAlign w:val="bottom"/>
          </w:tcPr>
          <w:p>
            <w:pPr>
              <w:ind w:left="140"/>
              <w:spacing w:after="0"/>
              <w:rPr>
                <w:sz w:val="20"/>
                <w:szCs w:val="20"/>
                <w:color w:val="auto"/>
              </w:rPr>
            </w:pPr>
            <w:r>
              <w:rPr>
                <w:rFonts w:ascii="Arial" w:cs="Arial" w:eastAsia="Arial" w:hAnsi="Arial"/>
                <w:sz w:val="16"/>
                <w:szCs w:val="16"/>
                <w:color w:val="auto"/>
              </w:rPr>
              <w:t>Inventories, net</w:t>
            </w:r>
          </w:p>
        </w:tc>
        <w:tc>
          <w:tcPr>
            <w:tcW w:w="3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1,629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2,877</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Prepaid expenses</w:t>
            </w:r>
          </w:p>
        </w:tc>
        <w:tc>
          <w:tcPr>
            <w:tcW w:w="3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4,819</w:t>
            </w:r>
          </w:p>
        </w:tc>
        <w:tc>
          <w:tcPr>
            <w:tcW w:w="0" w:type="dxa"/>
            <w:vAlign w:val="bottom"/>
          </w:tcPr>
          <w:p>
            <w:pPr>
              <w:spacing w:after="0"/>
              <w:rPr>
                <w:sz w:val="1"/>
                <w:szCs w:val="1"/>
                <w:color w:val="auto"/>
              </w:rPr>
            </w:pPr>
          </w:p>
        </w:tc>
      </w:tr>
      <w:tr>
        <w:trPr>
          <w:trHeight w:val="213"/>
        </w:trPr>
        <w:tc>
          <w:tcPr>
            <w:tcW w:w="70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current assets</w:t>
            </w:r>
          </w:p>
        </w:tc>
        <w:tc>
          <w:tcPr>
            <w:tcW w:w="3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1,042</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893</w:t>
            </w:r>
          </w:p>
        </w:tc>
        <w:tc>
          <w:tcPr>
            <w:tcW w:w="0" w:type="dxa"/>
            <w:vAlign w:val="bottom"/>
          </w:tcPr>
          <w:p>
            <w:pPr>
              <w:spacing w:after="0"/>
              <w:rPr>
                <w:sz w:val="1"/>
                <w:szCs w:val="1"/>
                <w:color w:val="auto"/>
              </w:rPr>
            </w:pPr>
          </w:p>
        </w:tc>
      </w:tr>
      <w:tr>
        <w:trPr>
          <w:trHeight w:val="212"/>
        </w:trPr>
        <w:tc>
          <w:tcPr>
            <w:tcW w:w="70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current assets</w:t>
            </w:r>
          </w:p>
        </w:tc>
        <w:tc>
          <w:tcPr>
            <w:tcW w:w="30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155,315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167,963</w:t>
            </w:r>
          </w:p>
        </w:tc>
        <w:tc>
          <w:tcPr>
            <w:tcW w:w="0" w:type="dxa"/>
            <w:vAlign w:val="bottom"/>
          </w:tcPr>
          <w:p>
            <w:pPr>
              <w:spacing w:after="0"/>
              <w:rPr>
                <w:sz w:val="1"/>
                <w:szCs w:val="1"/>
                <w:color w:val="auto"/>
              </w:rPr>
            </w:pPr>
          </w:p>
        </w:tc>
      </w:tr>
      <w:tr>
        <w:trPr>
          <w:trHeight w:val="213"/>
        </w:trPr>
        <w:tc>
          <w:tcPr>
            <w:tcW w:w="700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3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4,406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4,787</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Finance lease right-of-use assets, net</w:t>
            </w:r>
          </w:p>
        </w:tc>
        <w:tc>
          <w:tcPr>
            <w:tcW w:w="3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7,527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7,832</w:t>
            </w:r>
          </w:p>
        </w:tc>
        <w:tc>
          <w:tcPr>
            <w:tcW w:w="0" w:type="dxa"/>
            <w:vAlign w:val="bottom"/>
          </w:tcPr>
          <w:p>
            <w:pPr>
              <w:spacing w:after="0"/>
              <w:rPr>
                <w:sz w:val="1"/>
                <w:szCs w:val="1"/>
                <w:color w:val="auto"/>
              </w:rPr>
            </w:pPr>
          </w:p>
        </w:tc>
      </w:tr>
      <w:tr>
        <w:trPr>
          <w:trHeight w:val="213"/>
        </w:trPr>
        <w:tc>
          <w:tcPr>
            <w:tcW w:w="7000" w:type="dxa"/>
            <w:vAlign w:val="bottom"/>
          </w:tcPr>
          <w:p>
            <w:pPr>
              <w:ind w:left="20"/>
              <w:spacing w:after="0"/>
              <w:rPr>
                <w:sz w:val="20"/>
                <w:szCs w:val="20"/>
                <w:color w:val="auto"/>
              </w:rPr>
            </w:pPr>
            <w:r>
              <w:rPr>
                <w:rFonts w:ascii="Arial" w:cs="Arial" w:eastAsia="Arial" w:hAnsi="Arial"/>
                <w:sz w:val="16"/>
                <w:szCs w:val="16"/>
                <w:color w:val="auto"/>
              </w:rPr>
              <w:t>Operating lease right-of-use assets, net</w:t>
            </w:r>
          </w:p>
        </w:tc>
        <w:tc>
          <w:tcPr>
            <w:tcW w:w="3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458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341</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3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17,922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17,922</w:t>
            </w:r>
          </w:p>
        </w:tc>
        <w:tc>
          <w:tcPr>
            <w:tcW w:w="0" w:type="dxa"/>
            <w:vAlign w:val="bottom"/>
          </w:tcPr>
          <w:p>
            <w:pPr>
              <w:spacing w:after="0"/>
              <w:rPr>
                <w:sz w:val="1"/>
                <w:szCs w:val="1"/>
                <w:color w:val="auto"/>
              </w:rPr>
            </w:pPr>
          </w:p>
        </w:tc>
      </w:tr>
      <w:tr>
        <w:trPr>
          <w:trHeight w:val="213"/>
        </w:trPr>
        <w:tc>
          <w:tcPr>
            <w:tcW w:w="700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3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33,801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37,415</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30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1,223</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1,137</w:t>
            </w:r>
          </w:p>
        </w:tc>
        <w:tc>
          <w:tcPr>
            <w:tcW w:w="0" w:type="dxa"/>
            <w:vAlign w:val="bottom"/>
          </w:tcPr>
          <w:p>
            <w:pPr>
              <w:spacing w:after="0"/>
              <w:rPr>
                <w:sz w:val="1"/>
                <w:szCs w:val="1"/>
                <w:color w:val="auto"/>
              </w:rPr>
            </w:pPr>
          </w:p>
        </w:tc>
      </w:tr>
      <w:tr>
        <w:trPr>
          <w:trHeight w:val="213"/>
        </w:trPr>
        <w:tc>
          <w:tcPr>
            <w:tcW w:w="7000" w:type="dxa"/>
            <w:vAlign w:val="bottom"/>
          </w:tcPr>
          <w:p>
            <w:pPr>
              <w:ind w:left="240"/>
              <w:spacing w:after="0"/>
              <w:rPr>
                <w:sz w:val="20"/>
                <w:szCs w:val="20"/>
                <w:color w:val="auto"/>
              </w:rPr>
            </w:pPr>
            <w:r>
              <w:rPr>
                <w:rFonts w:ascii="Arial" w:cs="Arial" w:eastAsia="Arial" w:hAnsi="Arial"/>
                <w:sz w:val="16"/>
                <w:szCs w:val="16"/>
                <w:color w:val="auto"/>
              </w:rPr>
              <w:t>Total assets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220,652</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237,397</w:t>
            </w:r>
          </w:p>
        </w:tc>
        <w:tc>
          <w:tcPr>
            <w:tcW w:w="0" w:type="dxa"/>
            <w:vAlign w:val="bottom"/>
          </w:tcPr>
          <w:p>
            <w:pPr>
              <w:spacing w:after="0"/>
              <w:rPr>
                <w:sz w:val="1"/>
                <w:szCs w:val="1"/>
                <w:color w:val="auto"/>
              </w:rPr>
            </w:pP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30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7000" w:type="dxa"/>
            <w:vAlign w:val="bottom"/>
          </w:tcPr>
          <w:p>
            <w:pPr>
              <w:ind w:left="20"/>
              <w:spacing w:after="0"/>
              <w:rPr>
                <w:sz w:val="20"/>
                <w:szCs w:val="20"/>
                <w:color w:val="auto"/>
              </w:rPr>
            </w:pPr>
            <w:r>
              <w:rPr>
                <w:rFonts w:ascii="Arial" w:cs="Arial" w:eastAsia="Arial" w:hAnsi="Arial"/>
                <w:sz w:val="16"/>
                <w:szCs w:val="16"/>
                <w:color w:val="auto"/>
              </w:rPr>
              <w:t>Liabilities:</w:t>
            </w:r>
          </w:p>
        </w:tc>
        <w:tc>
          <w:tcPr>
            <w:tcW w:w="3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payable and other accrued liabilities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18,011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22,551</w:t>
            </w:r>
          </w:p>
        </w:tc>
        <w:tc>
          <w:tcPr>
            <w:tcW w:w="0" w:type="dxa"/>
            <w:vAlign w:val="bottom"/>
          </w:tcPr>
          <w:p>
            <w:pPr>
              <w:spacing w:after="0"/>
              <w:rPr>
                <w:sz w:val="1"/>
                <w:szCs w:val="1"/>
                <w:color w:val="auto"/>
              </w:rPr>
            </w:pPr>
          </w:p>
        </w:tc>
      </w:tr>
      <w:tr>
        <w:trPr>
          <w:trHeight w:val="213"/>
        </w:trPr>
        <w:tc>
          <w:tcPr>
            <w:tcW w:w="7000" w:type="dxa"/>
            <w:vAlign w:val="bottom"/>
          </w:tcPr>
          <w:p>
            <w:pPr>
              <w:ind w:left="140"/>
              <w:spacing w:after="0"/>
              <w:rPr>
                <w:sz w:val="20"/>
                <w:szCs w:val="20"/>
                <w:color w:val="auto"/>
              </w:rPr>
            </w:pPr>
            <w:r>
              <w:rPr>
                <w:rFonts w:ascii="Arial" w:cs="Arial" w:eastAsia="Arial" w:hAnsi="Arial"/>
                <w:sz w:val="16"/>
                <w:szCs w:val="16"/>
                <w:color w:val="auto"/>
              </w:rPr>
              <w:t>Accrued compensation and benefits</w:t>
            </w:r>
          </w:p>
        </w:tc>
        <w:tc>
          <w:tcPr>
            <w:tcW w:w="3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7,665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8,388</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Contract liabilities</w:t>
            </w:r>
          </w:p>
        </w:tc>
        <w:tc>
          <w:tcPr>
            <w:tcW w:w="3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7,203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6,444</w:t>
            </w:r>
          </w:p>
        </w:tc>
        <w:tc>
          <w:tcPr>
            <w:tcW w:w="0" w:type="dxa"/>
            <w:vAlign w:val="bottom"/>
          </w:tcPr>
          <w:p>
            <w:pPr>
              <w:spacing w:after="0"/>
              <w:rPr>
                <w:sz w:val="1"/>
                <w:szCs w:val="1"/>
                <w:color w:val="auto"/>
              </w:rPr>
            </w:pPr>
          </w:p>
        </w:tc>
      </w:tr>
      <w:tr>
        <w:trPr>
          <w:trHeight w:val="213"/>
        </w:trPr>
        <w:tc>
          <w:tcPr>
            <w:tcW w:w="7000" w:type="dxa"/>
            <w:vAlign w:val="bottom"/>
          </w:tcPr>
          <w:p>
            <w:pPr>
              <w:ind w:left="140"/>
              <w:spacing w:after="0"/>
              <w:rPr>
                <w:sz w:val="20"/>
                <w:szCs w:val="20"/>
                <w:color w:val="auto"/>
              </w:rPr>
            </w:pPr>
            <w:r>
              <w:rPr>
                <w:rFonts w:ascii="Arial" w:cs="Arial" w:eastAsia="Arial" w:hAnsi="Arial"/>
                <w:sz w:val="16"/>
                <w:szCs w:val="16"/>
                <w:color w:val="auto"/>
              </w:rPr>
              <w:t>Finance lease obligations – current portion</w:t>
            </w:r>
          </w:p>
        </w:tc>
        <w:tc>
          <w:tcPr>
            <w:tcW w:w="3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1,625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1,592</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lease obligations – current portion</w:t>
            </w:r>
          </w:p>
        </w:tc>
        <w:tc>
          <w:tcPr>
            <w:tcW w:w="3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w:t>
            </w:r>
          </w:p>
        </w:tc>
        <w:tc>
          <w:tcPr>
            <w:tcW w:w="0" w:type="dxa"/>
            <w:vAlign w:val="bottom"/>
          </w:tcPr>
          <w:p>
            <w:pPr>
              <w:spacing w:after="0"/>
              <w:rPr>
                <w:sz w:val="1"/>
                <w:szCs w:val="1"/>
                <w:color w:val="auto"/>
              </w:rPr>
            </w:pPr>
          </w:p>
        </w:tc>
      </w:tr>
      <w:tr>
        <w:trPr>
          <w:trHeight w:val="213"/>
        </w:trPr>
        <w:tc>
          <w:tcPr>
            <w:tcW w:w="7000" w:type="dxa"/>
            <w:vAlign w:val="bottom"/>
          </w:tcPr>
          <w:p>
            <w:pPr>
              <w:ind w:left="140"/>
              <w:spacing w:after="0"/>
              <w:rPr>
                <w:sz w:val="20"/>
                <w:szCs w:val="20"/>
                <w:color w:val="auto"/>
              </w:rPr>
            </w:pPr>
            <w:r>
              <w:rPr>
                <w:rFonts w:ascii="Arial" w:cs="Arial" w:eastAsia="Arial" w:hAnsi="Arial"/>
                <w:sz w:val="16"/>
                <w:szCs w:val="16"/>
                <w:color w:val="auto"/>
              </w:rPr>
              <w:t>Other financing obligations – current portion</w:t>
            </w:r>
          </w:p>
        </w:tc>
        <w:tc>
          <w:tcPr>
            <w:tcW w:w="300" w:type="dxa"/>
            <w:vAlign w:val="bottom"/>
          </w:tcPr>
          <w:p>
            <w:pPr>
              <w:spacing w:after="0"/>
              <w:rPr>
                <w:sz w:val="18"/>
                <w:szCs w:val="18"/>
                <w:color w:val="auto"/>
              </w:rPr>
            </w:pPr>
          </w:p>
        </w:tc>
        <w:tc>
          <w:tcPr>
            <w:tcW w:w="1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1,247</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current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3,856</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4,919</w:t>
            </w:r>
          </w:p>
        </w:tc>
        <w:tc>
          <w:tcPr>
            <w:tcW w:w="0" w:type="dxa"/>
            <w:vAlign w:val="bottom"/>
          </w:tcPr>
          <w:p>
            <w:pPr>
              <w:spacing w:after="0"/>
              <w:rPr>
                <w:sz w:val="1"/>
                <w:szCs w:val="1"/>
                <w:color w:val="auto"/>
              </w:rPr>
            </w:pPr>
          </w:p>
        </w:tc>
      </w:tr>
      <w:tr>
        <w:trPr>
          <w:trHeight w:val="206"/>
        </w:trPr>
        <w:tc>
          <w:tcPr>
            <w:tcW w:w="7000" w:type="dxa"/>
            <w:vAlign w:val="bottom"/>
          </w:tcPr>
          <w:p>
            <w:pPr>
              <w:ind w:left="240"/>
              <w:spacing w:after="0"/>
              <w:rPr>
                <w:sz w:val="20"/>
                <w:szCs w:val="20"/>
                <w:color w:val="auto"/>
              </w:rPr>
            </w:pPr>
            <w:r>
              <w:rPr>
                <w:rFonts w:ascii="Arial" w:cs="Arial" w:eastAsia="Arial" w:hAnsi="Arial"/>
                <w:sz w:val="16"/>
                <w:szCs w:val="16"/>
                <w:color w:val="auto"/>
              </w:rPr>
              <w:t>Total current liabilities</w:t>
            </w:r>
          </w:p>
        </w:tc>
        <w:tc>
          <w:tcPr>
            <w:tcW w:w="30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38,854</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45,502</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Finance lease obligations – non-current portion</w:t>
            </w:r>
          </w:p>
        </w:tc>
        <w:tc>
          <w:tcPr>
            <w:tcW w:w="3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10,832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11,248</w:t>
            </w:r>
          </w:p>
        </w:tc>
        <w:tc>
          <w:tcPr>
            <w:tcW w:w="0" w:type="dxa"/>
            <w:vAlign w:val="bottom"/>
          </w:tcPr>
          <w:p>
            <w:pPr>
              <w:spacing w:after="0"/>
              <w:rPr>
                <w:sz w:val="1"/>
                <w:szCs w:val="1"/>
                <w:color w:val="auto"/>
              </w:rPr>
            </w:pPr>
          </w:p>
        </w:tc>
      </w:tr>
      <w:tr>
        <w:trPr>
          <w:trHeight w:val="213"/>
        </w:trPr>
        <w:tc>
          <w:tcPr>
            <w:tcW w:w="7000" w:type="dxa"/>
            <w:vAlign w:val="bottom"/>
          </w:tcPr>
          <w:p>
            <w:pPr>
              <w:ind w:left="140"/>
              <w:spacing w:after="0"/>
              <w:rPr>
                <w:sz w:val="20"/>
                <w:szCs w:val="20"/>
                <w:color w:val="auto"/>
              </w:rPr>
            </w:pPr>
            <w:r>
              <w:rPr>
                <w:rFonts w:ascii="Arial" w:cs="Arial" w:eastAsia="Arial" w:hAnsi="Arial"/>
                <w:sz w:val="16"/>
                <w:szCs w:val="16"/>
                <w:color w:val="auto"/>
              </w:rPr>
              <w:t>Operating lease liabilities – non-current portion</w:t>
            </w:r>
          </w:p>
        </w:tc>
        <w:tc>
          <w:tcPr>
            <w:tcW w:w="300" w:type="dxa"/>
            <w:vAlign w:val="bottom"/>
          </w:tcPr>
          <w:p>
            <w:pPr>
              <w:spacing w:after="0"/>
              <w:rPr>
                <w:sz w:val="18"/>
                <w:szCs w:val="18"/>
                <w:color w:val="auto"/>
              </w:rPr>
            </w:pPr>
          </w:p>
        </w:tc>
        <w:tc>
          <w:tcPr>
            <w:tcW w:w="1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financing obligations – non-current portion</w:t>
            </w:r>
          </w:p>
        </w:tc>
        <w:tc>
          <w:tcPr>
            <w:tcW w:w="30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7,211</w:t>
            </w:r>
          </w:p>
        </w:tc>
        <w:tc>
          <w:tcPr>
            <w:tcW w:w="0" w:type="dxa"/>
            <w:vAlign w:val="bottom"/>
          </w:tcPr>
          <w:p>
            <w:pPr>
              <w:spacing w:after="0"/>
              <w:rPr>
                <w:sz w:val="1"/>
                <w:szCs w:val="1"/>
                <w:color w:val="auto"/>
              </w:rPr>
            </w:pPr>
          </w:p>
        </w:tc>
      </w:tr>
      <w:tr>
        <w:trPr>
          <w:trHeight w:val="213"/>
        </w:trPr>
        <w:tc>
          <w:tcPr>
            <w:tcW w:w="7000" w:type="dxa"/>
            <w:vAlign w:val="bottom"/>
          </w:tcPr>
          <w:p>
            <w:pPr>
              <w:ind w:left="140"/>
              <w:spacing w:after="0"/>
              <w:rPr>
                <w:sz w:val="20"/>
                <w:szCs w:val="20"/>
                <w:color w:val="auto"/>
              </w:rPr>
            </w:pPr>
            <w:r>
              <w:rPr>
                <w:rFonts w:ascii="Arial" w:cs="Arial" w:eastAsia="Arial" w:hAnsi="Arial"/>
                <w:sz w:val="16"/>
                <w:szCs w:val="16"/>
                <w:color w:val="auto"/>
              </w:rPr>
              <w:t>Deferred income taxes</w:t>
            </w:r>
          </w:p>
        </w:tc>
        <w:tc>
          <w:tcPr>
            <w:tcW w:w="3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770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758</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297</w:t>
            </w:r>
          </w:p>
        </w:tc>
        <w:tc>
          <w:tcPr>
            <w:tcW w:w="0" w:type="dxa"/>
            <w:vAlign w:val="bottom"/>
          </w:tcPr>
          <w:p>
            <w:pPr>
              <w:spacing w:after="0"/>
              <w:rPr>
                <w:sz w:val="1"/>
                <w:szCs w:val="1"/>
                <w:color w:val="auto"/>
              </w:rPr>
            </w:pPr>
          </w:p>
        </w:tc>
      </w:tr>
      <w:tr>
        <w:trPr>
          <w:trHeight w:val="206"/>
        </w:trPr>
        <w:tc>
          <w:tcPr>
            <w:tcW w:w="700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Total liabilities</w:t>
            </w:r>
          </w:p>
        </w:tc>
        <w:tc>
          <w:tcPr>
            <w:tcW w:w="3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50,757</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65,043</w:t>
            </w:r>
          </w:p>
        </w:tc>
        <w:tc>
          <w:tcPr>
            <w:tcW w:w="0" w:type="dxa"/>
            <w:vAlign w:val="bottom"/>
          </w:tcPr>
          <w:p>
            <w:pPr>
              <w:spacing w:after="0"/>
              <w:rPr>
                <w:sz w:val="1"/>
                <w:szCs w:val="1"/>
                <w:color w:val="auto"/>
              </w:rPr>
            </w:pPr>
          </w:p>
        </w:tc>
      </w:tr>
      <w:tr>
        <w:trPr>
          <w:trHeight w:val="199"/>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w:t>
            </w:r>
          </w:p>
        </w:tc>
        <w:tc>
          <w:tcPr>
            <w:tcW w:w="30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00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3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700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w w:val="94"/>
              </w:rPr>
              <w:t>Common stock, $0.001 par value, 250,000,000 shares authorized, 69,388,256 shares and 67,431,632</w:t>
            </w:r>
          </w:p>
        </w:tc>
        <w:tc>
          <w:tcPr>
            <w:tcW w:w="300" w:type="dxa"/>
            <w:vAlign w:val="bottom"/>
            <w:shd w:val="clear" w:color="auto" w:fill="CCEEFF"/>
          </w:tcPr>
          <w:p>
            <w:pPr>
              <w:spacing w:after="0"/>
              <w:rPr>
                <w:sz w:val="14"/>
                <w:szCs w:val="14"/>
                <w:color w:val="auto"/>
              </w:rPr>
            </w:pPr>
          </w:p>
        </w:tc>
        <w:tc>
          <w:tcPr>
            <w:tcW w:w="1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12"/>
        </w:trPr>
        <w:tc>
          <w:tcPr>
            <w:tcW w:w="7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shares issued and outstanding as of March 31, 2023 and December 31, 2022, respectively</w:t>
            </w:r>
          </w:p>
        </w:tc>
        <w:tc>
          <w:tcPr>
            <w:tcW w:w="300" w:type="dxa"/>
            <w:vAlign w:val="bottom"/>
            <w:shd w:val="clear" w:color="auto" w:fill="CCEEFF"/>
          </w:tcPr>
          <w:p>
            <w:pPr>
              <w:spacing w:after="0"/>
              <w:rPr>
                <w:sz w:val="18"/>
                <w:szCs w:val="18"/>
                <w:color w:val="auto"/>
              </w:rPr>
            </w:pPr>
          </w:p>
        </w:tc>
        <w:tc>
          <w:tcPr>
            <w:tcW w:w="1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000" w:type="dxa"/>
            <w:vAlign w:val="bottom"/>
          </w:tcPr>
          <w:p>
            <w:pPr>
              <w:ind w:left="140"/>
              <w:spacing w:after="0"/>
              <w:rPr>
                <w:sz w:val="20"/>
                <w:szCs w:val="20"/>
                <w:color w:val="auto"/>
              </w:rPr>
            </w:pPr>
            <w:r>
              <w:rPr>
                <w:rFonts w:ascii="Arial" w:cs="Arial" w:eastAsia="Arial" w:hAnsi="Arial"/>
                <w:sz w:val="16"/>
                <w:szCs w:val="16"/>
                <w:color w:val="auto"/>
              </w:rPr>
              <w:t>Additional paid-in capital</w:t>
            </w:r>
          </w:p>
        </w:tc>
        <w:tc>
          <w:tcPr>
            <w:tcW w:w="3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420,980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412,708</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Accumulated other comprehensive income</w:t>
            </w:r>
          </w:p>
        </w:tc>
        <w:tc>
          <w:tcPr>
            <w:tcW w:w="3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13"/>
        </w:trPr>
        <w:tc>
          <w:tcPr>
            <w:tcW w:w="70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Accumulated deficit</w:t>
            </w:r>
          </w:p>
        </w:tc>
        <w:tc>
          <w:tcPr>
            <w:tcW w:w="3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(251,151)</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(240,405)</w:t>
            </w:r>
          </w:p>
        </w:tc>
        <w:tc>
          <w:tcPr>
            <w:tcW w:w="0" w:type="dxa"/>
            <w:vAlign w:val="bottom"/>
          </w:tcPr>
          <w:p>
            <w:pPr>
              <w:spacing w:after="0"/>
              <w:rPr>
                <w:sz w:val="1"/>
                <w:szCs w:val="1"/>
                <w:color w:val="auto"/>
              </w:rPr>
            </w:pPr>
          </w:p>
        </w:tc>
      </w:tr>
      <w:tr>
        <w:trPr>
          <w:trHeight w:val="209"/>
        </w:trPr>
        <w:tc>
          <w:tcPr>
            <w:tcW w:w="70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stockholders’ equity</w:t>
            </w:r>
          </w:p>
        </w:tc>
        <w:tc>
          <w:tcPr>
            <w:tcW w:w="30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169,895</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172,354</w:t>
            </w:r>
          </w:p>
        </w:tc>
        <w:tc>
          <w:tcPr>
            <w:tcW w:w="0" w:type="dxa"/>
            <w:vAlign w:val="bottom"/>
          </w:tcPr>
          <w:p>
            <w:pPr>
              <w:spacing w:after="0"/>
              <w:rPr>
                <w:sz w:val="1"/>
                <w:szCs w:val="1"/>
                <w:color w:val="auto"/>
              </w:rPr>
            </w:pPr>
          </w:p>
        </w:tc>
      </w:tr>
      <w:tr>
        <w:trPr>
          <w:trHeight w:val="213"/>
        </w:trPr>
        <w:tc>
          <w:tcPr>
            <w:tcW w:w="7000" w:type="dxa"/>
            <w:vAlign w:val="bottom"/>
          </w:tcPr>
          <w:p>
            <w:pPr>
              <w:ind w:left="240"/>
              <w:spacing w:after="0"/>
              <w:rPr>
                <w:sz w:val="20"/>
                <w:szCs w:val="20"/>
                <w:color w:val="auto"/>
              </w:rPr>
            </w:pPr>
            <w:r>
              <w:rPr>
                <w:rFonts w:ascii="Arial" w:cs="Arial" w:eastAsia="Arial" w:hAnsi="Arial"/>
                <w:sz w:val="16"/>
                <w:szCs w:val="16"/>
                <w:color w:val="auto"/>
              </w:rPr>
              <w:t>Total liabilities and stockholders’ equity</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220,652</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237,397</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i w:val="1"/>
          <w:iCs w:val="1"/>
          <w:u w:val="single" w:color="auto"/>
          <w:color w:val="auto"/>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TELOS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(Unaudited)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920" w:type="dxa"/>
            <w:vAlign w:val="bottom"/>
            <w:tcBorders>
              <w:bottom w:val="single" w:sz="8" w:color="auto"/>
            </w:tcBorders>
            <w:gridSpan w:val="4"/>
          </w:tcPr>
          <w:p>
            <w:pPr>
              <w:jc w:val="right"/>
              <w:ind w:right="1099"/>
              <w:spacing w:after="0"/>
              <w:rPr>
                <w:sz w:val="20"/>
                <w:szCs w:val="20"/>
                <w:color w:val="auto"/>
              </w:rPr>
            </w:pPr>
            <w:r>
              <w:rPr>
                <w:rFonts w:ascii="Arial" w:cs="Arial" w:eastAsia="Arial" w:hAnsi="Arial"/>
                <w:sz w:val="16"/>
                <w:szCs w:val="16"/>
                <w:color w:val="auto"/>
              </w:rPr>
              <w:t>For the Three Months Ended</w:t>
            </w:r>
          </w:p>
        </w:tc>
      </w:tr>
      <w:tr>
        <w:trPr>
          <w:trHeight w:val="209"/>
        </w:trPr>
        <w:tc>
          <w:tcPr>
            <w:tcW w:w="7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March 31, 2023</w:t>
            </w:r>
          </w:p>
        </w:tc>
        <w:tc>
          <w:tcPr>
            <w:tcW w:w="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w w:val="98"/>
              </w:rPr>
              <w:t>March 31, 2022</w:t>
            </w:r>
          </w:p>
        </w:tc>
      </w:tr>
      <w:tr>
        <w:trPr>
          <w:trHeight w:val="214"/>
        </w:trPr>
        <w:tc>
          <w:tcPr>
            <w:tcW w:w="7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8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1640" w:type="dxa"/>
            <w:vAlign w:val="bottom"/>
          </w:tcPr>
          <w:p>
            <w:pPr>
              <w:spacing w:after="0"/>
              <w:rPr>
                <w:sz w:val="18"/>
                <w:szCs w:val="18"/>
                <w:color w:val="auto"/>
              </w:rPr>
            </w:pPr>
          </w:p>
        </w:tc>
      </w:tr>
      <w:tr>
        <w:trPr>
          <w:trHeight w:val="26"/>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3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13"/>
        </w:trPr>
        <w:tc>
          <w:tcPr>
            <w:tcW w:w="7000" w:type="dxa"/>
            <w:vAlign w:val="bottom"/>
          </w:tcPr>
          <w:p>
            <w:pPr>
              <w:ind w:left="140"/>
              <w:spacing w:after="0"/>
              <w:rPr>
                <w:sz w:val="20"/>
                <w:szCs w:val="20"/>
                <w:color w:val="auto"/>
              </w:rPr>
            </w:pPr>
            <w:r>
              <w:rPr>
                <w:rFonts w:ascii="Arial" w:cs="Arial" w:eastAsia="Arial" w:hAnsi="Arial"/>
                <w:sz w:val="16"/>
                <w:szCs w:val="16"/>
                <w:color w:val="auto"/>
              </w:rPr>
              <w:t>Net loss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(10,746)</w:t>
            </w:r>
          </w:p>
        </w:tc>
        <w:tc>
          <w:tcPr>
            <w:tcW w:w="8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(16,616)</w:t>
            </w:r>
          </w:p>
        </w:tc>
      </w:tr>
      <w:tr>
        <w:trPr>
          <w:trHeight w:val="219"/>
        </w:trPr>
        <w:tc>
          <w:tcPr>
            <w:tcW w:w="7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Adjustments to reconcile net loss to cash (used in)/provided by operating activities:</w:t>
            </w:r>
          </w:p>
        </w:tc>
        <w:tc>
          <w:tcPr>
            <w:tcW w:w="3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13"/>
        </w:trPr>
        <w:tc>
          <w:tcPr>
            <w:tcW w:w="7000" w:type="dxa"/>
            <w:vAlign w:val="bottom"/>
          </w:tcPr>
          <w:p>
            <w:pPr>
              <w:ind w:left="240"/>
              <w:spacing w:after="0"/>
              <w:rPr>
                <w:sz w:val="20"/>
                <w:szCs w:val="20"/>
                <w:color w:val="auto"/>
              </w:rPr>
            </w:pPr>
            <w:r>
              <w:rPr>
                <w:rFonts w:ascii="Arial" w:cs="Arial" w:eastAsia="Arial" w:hAnsi="Arial"/>
                <w:sz w:val="16"/>
                <w:szCs w:val="16"/>
                <w:color w:val="auto"/>
              </w:rPr>
              <w:t>Stock-based compensation</w:t>
            </w:r>
          </w:p>
        </w:tc>
        <w:tc>
          <w:tcPr>
            <w:tcW w:w="3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9,499</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15,931</w:t>
            </w:r>
          </w:p>
        </w:tc>
      </w:tr>
      <w:tr>
        <w:trPr>
          <w:trHeight w:val="219"/>
        </w:trPr>
        <w:tc>
          <w:tcPr>
            <w:tcW w:w="70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Depreciation and amortization</w:t>
            </w:r>
          </w:p>
        </w:tc>
        <w:tc>
          <w:tcPr>
            <w:tcW w:w="3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1,425</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1,405</w:t>
            </w:r>
          </w:p>
        </w:tc>
      </w:tr>
      <w:tr>
        <w:trPr>
          <w:trHeight w:val="213"/>
        </w:trPr>
        <w:tc>
          <w:tcPr>
            <w:tcW w:w="7000" w:type="dxa"/>
            <w:vAlign w:val="bottom"/>
          </w:tcPr>
          <w:p>
            <w:pPr>
              <w:ind w:left="240"/>
              <w:spacing w:after="0"/>
              <w:rPr>
                <w:sz w:val="20"/>
                <w:szCs w:val="20"/>
                <w:color w:val="auto"/>
              </w:rPr>
            </w:pPr>
            <w:r>
              <w:rPr>
                <w:rFonts w:ascii="Arial" w:cs="Arial" w:eastAsia="Arial" w:hAnsi="Arial"/>
                <w:sz w:val="16"/>
                <w:szCs w:val="16"/>
                <w:color w:val="auto"/>
              </w:rPr>
              <w:t>Deferred income tax provision</w:t>
            </w:r>
          </w:p>
        </w:tc>
        <w:tc>
          <w:tcPr>
            <w:tcW w:w="3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12</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19"/>
        </w:trPr>
        <w:tc>
          <w:tcPr>
            <w:tcW w:w="70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Accretion of discount in acquisition holdback</w:t>
            </w:r>
          </w:p>
        </w:tc>
        <w:tc>
          <w:tcPr>
            <w:tcW w:w="3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13"/>
        </w:trPr>
        <w:tc>
          <w:tcPr>
            <w:tcW w:w="7000" w:type="dxa"/>
            <w:vAlign w:val="bottom"/>
          </w:tcPr>
          <w:p>
            <w:pPr>
              <w:ind w:left="240"/>
              <w:spacing w:after="0"/>
              <w:rPr>
                <w:sz w:val="20"/>
                <w:szCs w:val="20"/>
                <w:color w:val="auto"/>
              </w:rPr>
            </w:pPr>
            <w:r>
              <w:rPr>
                <w:rFonts w:ascii="Arial" w:cs="Arial" w:eastAsia="Arial" w:hAnsi="Arial"/>
                <w:sz w:val="16"/>
                <w:szCs w:val="16"/>
                <w:color w:val="auto"/>
              </w:rPr>
              <w:t>Loss on disposal of fixed assets</w:t>
            </w:r>
          </w:p>
        </w:tc>
        <w:tc>
          <w:tcPr>
            <w:tcW w:w="3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0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Provision for doubtful accounts</w:t>
            </w:r>
          </w:p>
        </w:tc>
        <w:tc>
          <w:tcPr>
            <w:tcW w:w="3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r>
      <w:tr>
        <w:trPr>
          <w:trHeight w:val="213"/>
        </w:trPr>
        <w:tc>
          <w:tcPr>
            <w:tcW w:w="7000" w:type="dxa"/>
            <w:vAlign w:val="bottom"/>
          </w:tcPr>
          <w:p>
            <w:pPr>
              <w:ind w:left="240"/>
              <w:spacing w:after="0"/>
              <w:rPr>
                <w:sz w:val="20"/>
                <w:szCs w:val="20"/>
                <w:color w:val="auto"/>
              </w:rPr>
            </w:pPr>
            <w:r>
              <w:rPr>
                <w:rFonts w:ascii="Arial" w:cs="Arial" w:eastAsia="Arial" w:hAnsi="Arial"/>
                <w:sz w:val="16"/>
                <w:szCs w:val="16"/>
                <w:color w:val="auto"/>
              </w:rPr>
              <w:t>Amortization of debt issuance costs</w:t>
            </w:r>
          </w:p>
        </w:tc>
        <w:tc>
          <w:tcPr>
            <w:tcW w:w="3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17</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0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Gain on early extinguishment of other financing obligations</w:t>
            </w:r>
          </w:p>
        </w:tc>
        <w:tc>
          <w:tcPr>
            <w:tcW w:w="3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(1,427)</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000" w:type="dxa"/>
            <w:vAlign w:val="bottom"/>
          </w:tcPr>
          <w:p>
            <w:pPr>
              <w:ind w:left="240"/>
              <w:spacing w:after="0"/>
              <w:rPr>
                <w:sz w:val="20"/>
                <w:szCs w:val="20"/>
                <w:color w:val="auto"/>
              </w:rPr>
            </w:pPr>
            <w:r>
              <w:rPr>
                <w:rFonts w:ascii="Arial" w:cs="Arial" w:eastAsia="Arial" w:hAnsi="Arial"/>
                <w:sz w:val="16"/>
                <w:szCs w:val="16"/>
                <w:color w:val="auto"/>
              </w:rPr>
              <w:t>Changes in other operating assets and liabilities:</w:t>
            </w:r>
          </w:p>
        </w:tc>
        <w:tc>
          <w:tcPr>
            <w:tcW w:w="3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9"/>
        </w:trPr>
        <w:tc>
          <w:tcPr>
            <w:tcW w:w="70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receivable</w:t>
            </w:r>
          </w:p>
        </w:tc>
        <w:tc>
          <w:tcPr>
            <w:tcW w:w="3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5,279</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2,014</w:t>
            </w:r>
          </w:p>
        </w:tc>
      </w:tr>
      <w:tr>
        <w:trPr>
          <w:trHeight w:val="213"/>
        </w:trPr>
        <w:tc>
          <w:tcPr>
            <w:tcW w:w="7000" w:type="dxa"/>
            <w:vAlign w:val="bottom"/>
          </w:tcPr>
          <w:p>
            <w:pPr>
              <w:ind w:left="360"/>
              <w:spacing w:after="0"/>
              <w:rPr>
                <w:sz w:val="20"/>
                <w:szCs w:val="20"/>
                <w:color w:val="auto"/>
              </w:rPr>
            </w:pPr>
            <w:r>
              <w:rPr>
                <w:rFonts w:ascii="Arial" w:cs="Arial" w:eastAsia="Arial" w:hAnsi="Arial"/>
                <w:sz w:val="16"/>
                <w:szCs w:val="16"/>
                <w:color w:val="auto"/>
              </w:rPr>
              <w:t>Inventories</w:t>
            </w:r>
          </w:p>
        </w:tc>
        <w:tc>
          <w:tcPr>
            <w:tcW w:w="3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1,248</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(850)</w:t>
            </w:r>
          </w:p>
        </w:tc>
      </w:tr>
      <w:tr>
        <w:trPr>
          <w:trHeight w:val="219"/>
        </w:trPr>
        <w:tc>
          <w:tcPr>
            <w:tcW w:w="70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Prepaid expenses, other current assets, other assets</w:t>
            </w:r>
          </w:p>
        </w:tc>
        <w:tc>
          <w:tcPr>
            <w:tcW w:w="3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(927)</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(3,563)</w:t>
            </w:r>
          </w:p>
        </w:tc>
      </w:tr>
      <w:tr>
        <w:trPr>
          <w:trHeight w:val="213"/>
        </w:trPr>
        <w:tc>
          <w:tcPr>
            <w:tcW w:w="7000" w:type="dxa"/>
            <w:vAlign w:val="bottom"/>
          </w:tcPr>
          <w:p>
            <w:pPr>
              <w:ind w:left="360"/>
              <w:spacing w:after="0"/>
              <w:rPr>
                <w:sz w:val="20"/>
                <w:szCs w:val="20"/>
                <w:color w:val="auto"/>
              </w:rPr>
            </w:pPr>
            <w:r>
              <w:rPr>
                <w:rFonts w:ascii="Arial" w:cs="Arial" w:eastAsia="Arial" w:hAnsi="Arial"/>
                <w:sz w:val="16"/>
                <w:szCs w:val="16"/>
                <w:color w:val="auto"/>
              </w:rPr>
              <w:t>Accounts payable and other accrued payables</w:t>
            </w:r>
          </w:p>
        </w:tc>
        <w:tc>
          <w:tcPr>
            <w:tcW w:w="3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(4,489)</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674</w:t>
            </w:r>
          </w:p>
        </w:tc>
      </w:tr>
      <w:tr>
        <w:trPr>
          <w:trHeight w:val="219"/>
        </w:trPr>
        <w:tc>
          <w:tcPr>
            <w:tcW w:w="70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Accrued compensation and benefits</w:t>
            </w:r>
          </w:p>
        </w:tc>
        <w:tc>
          <w:tcPr>
            <w:tcW w:w="3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w:t>
            </w:r>
          </w:p>
        </w:tc>
      </w:tr>
      <w:tr>
        <w:trPr>
          <w:trHeight w:val="213"/>
        </w:trPr>
        <w:tc>
          <w:tcPr>
            <w:tcW w:w="7000" w:type="dxa"/>
            <w:vAlign w:val="bottom"/>
          </w:tcPr>
          <w:p>
            <w:pPr>
              <w:ind w:left="360"/>
              <w:spacing w:after="0"/>
              <w:rPr>
                <w:sz w:val="20"/>
                <w:szCs w:val="20"/>
                <w:color w:val="auto"/>
              </w:rPr>
            </w:pPr>
            <w:r>
              <w:rPr>
                <w:rFonts w:ascii="Arial" w:cs="Arial" w:eastAsia="Arial" w:hAnsi="Arial"/>
                <w:sz w:val="16"/>
                <w:szCs w:val="16"/>
                <w:color w:val="auto"/>
              </w:rPr>
              <w:t>Contract liabilities</w:t>
            </w:r>
          </w:p>
        </w:tc>
        <w:tc>
          <w:tcPr>
            <w:tcW w:w="3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758</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655</w:t>
            </w:r>
          </w:p>
        </w:tc>
      </w:tr>
      <w:tr>
        <w:trPr>
          <w:trHeight w:val="219"/>
        </w:trPr>
        <w:tc>
          <w:tcPr>
            <w:tcW w:w="70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current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(477)</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07"/>
        </w:trPr>
        <w:tc>
          <w:tcPr>
            <w:tcW w:w="700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Net cash (used in)/provided by operating activities</w:t>
            </w:r>
          </w:p>
        </w:tc>
        <w:tc>
          <w:tcPr>
            <w:tcW w:w="3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8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w:t>
            </w:r>
          </w:p>
        </w:tc>
      </w:tr>
      <w:tr>
        <w:trPr>
          <w:trHeight w:val="199"/>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3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213"/>
        </w:trPr>
        <w:tc>
          <w:tcPr>
            <w:tcW w:w="7000" w:type="dxa"/>
            <w:vAlign w:val="bottom"/>
          </w:tcPr>
          <w:p>
            <w:pPr>
              <w:ind w:left="140"/>
              <w:spacing w:after="0"/>
              <w:rPr>
                <w:sz w:val="20"/>
                <w:szCs w:val="20"/>
                <w:color w:val="auto"/>
              </w:rPr>
            </w:pPr>
            <w:r>
              <w:rPr>
                <w:rFonts w:ascii="Arial" w:cs="Arial" w:eastAsia="Arial" w:hAnsi="Arial"/>
                <w:sz w:val="16"/>
                <w:szCs w:val="16"/>
                <w:color w:val="auto"/>
              </w:rPr>
              <w:t>Capitalized software development costs</w:t>
            </w:r>
          </w:p>
        </w:tc>
        <w:tc>
          <w:tcPr>
            <w:tcW w:w="3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(3,800)</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(2,795)</w:t>
            </w:r>
          </w:p>
        </w:tc>
      </w:tr>
      <w:tr>
        <w:trPr>
          <w:trHeight w:val="219"/>
        </w:trPr>
        <w:tc>
          <w:tcPr>
            <w:tcW w:w="7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Purchases of property and equipment</w:t>
            </w:r>
          </w:p>
        </w:tc>
        <w:tc>
          <w:tcPr>
            <w:tcW w:w="3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(546)</w:t>
            </w:r>
          </w:p>
        </w:tc>
      </w:tr>
      <w:tr>
        <w:trPr>
          <w:trHeight w:val="213"/>
        </w:trPr>
        <w:tc>
          <w:tcPr>
            <w:tcW w:w="70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Payment of DFT holdback amount</w:t>
            </w:r>
          </w:p>
        </w:tc>
        <w:tc>
          <w:tcPr>
            <w:tcW w:w="3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(564)</w:t>
            </w: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70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(4,587)</w:t>
            </w:r>
          </w:p>
        </w:tc>
        <w:tc>
          <w:tcPr>
            <w:tcW w:w="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(3,341)</w:t>
            </w:r>
          </w:p>
        </w:tc>
      </w:tr>
      <w:tr>
        <w:trPr>
          <w:trHeight w:val="193"/>
        </w:trPr>
        <w:tc>
          <w:tcPr>
            <w:tcW w:w="7000" w:type="dxa"/>
            <w:vAlign w:val="bottom"/>
          </w:tcPr>
          <w:p>
            <w:pPr>
              <w:ind w:left="20"/>
              <w:spacing w:after="0"/>
              <w:rPr>
                <w:sz w:val="20"/>
                <w:szCs w:val="20"/>
                <w:color w:val="auto"/>
              </w:rPr>
            </w:pPr>
            <w:r>
              <w:rPr>
                <w:rFonts w:ascii="Arial" w:cs="Arial" w:eastAsia="Arial" w:hAnsi="Arial"/>
                <w:sz w:val="16"/>
                <w:szCs w:val="16"/>
                <w:color w:val="auto"/>
              </w:rPr>
              <w:t>Cash flows from financing activities:</w:t>
            </w:r>
          </w:p>
        </w:tc>
        <w:tc>
          <w:tcPr>
            <w:tcW w:w="3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219"/>
        </w:trPr>
        <w:tc>
          <w:tcPr>
            <w:tcW w:w="7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Payments under finance lease obligations</w:t>
            </w:r>
          </w:p>
        </w:tc>
        <w:tc>
          <w:tcPr>
            <w:tcW w:w="3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w:t>
            </w:r>
          </w:p>
        </w:tc>
      </w:tr>
      <w:tr>
        <w:trPr>
          <w:trHeight w:val="213"/>
        </w:trPr>
        <w:tc>
          <w:tcPr>
            <w:tcW w:w="7000" w:type="dxa"/>
            <w:vAlign w:val="bottom"/>
          </w:tcPr>
          <w:p>
            <w:pPr>
              <w:ind w:left="140"/>
              <w:spacing w:after="0"/>
              <w:rPr>
                <w:sz w:val="20"/>
                <w:szCs w:val="20"/>
                <w:color w:val="auto"/>
              </w:rPr>
            </w:pPr>
            <w:r>
              <w:rPr>
                <w:rFonts w:ascii="Arial" w:cs="Arial" w:eastAsia="Arial" w:hAnsi="Arial"/>
                <w:sz w:val="16"/>
                <w:szCs w:val="16"/>
                <w:color w:val="auto"/>
              </w:rPr>
              <w:t>Payment of tax withholding related to net share settlement of equity awards</w:t>
            </w:r>
          </w:p>
        </w:tc>
        <w:tc>
          <w:tcPr>
            <w:tcW w:w="3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(1,520)</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(2,886)</w:t>
            </w:r>
          </w:p>
        </w:tc>
      </w:tr>
      <w:tr>
        <w:trPr>
          <w:trHeight w:val="219"/>
        </w:trPr>
        <w:tc>
          <w:tcPr>
            <w:tcW w:w="7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Repurchase of common stock</w:t>
            </w:r>
          </w:p>
        </w:tc>
        <w:tc>
          <w:tcPr>
            <w:tcW w:w="3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0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Payments for debt issuance costs</w:t>
            </w:r>
          </w:p>
        </w:tc>
        <w:tc>
          <w:tcPr>
            <w:tcW w:w="3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w:t>
            </w: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0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Net cash used in financing activities</w:t>
            </w:r>
          </w:p>
        </w:tc>
        <w:tc>
          <w:tcPr>
            <w:tcW w:w="32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(2,156)</w:t>
            </w:r>
          </w:p>
        </w:tc>
        <w:tc>
          <w:tcPr>
            <w:tcW w:w="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(3,237)</w:t>
            </w:r>
          </w:p>
        </w:tc>
      </w:tr>
      <w:tr>
        <w:trPr>
          <w:trHeight w:val="207"/>
        </w:trPr>
        <w:tc>
          <w:tcPr>
            <w:tcW w:w="7000" w:type="dxa"/>
            <w:vAlign w:val="bottom"/>
          </w:tcPr>
          <w:p>
            <w:pPr>
              <w:ind w:left="240"/>
              <w:spacing w:after="0"/>
              <w:rPr>
                <w:sz w:val="20"/>
                <w:szCs w:val="20"/>
                <w:color w:val="auto"/>
              </w:rPr>
            </w:pPr>
            <w:r>
              <w:rPr>
                <w:rFonts w:ascii="Arial" w:cs="Arial" w:eastAsia="Arial" w:hAnsi="Arial"/>
                <w:sz w:val="16"/>
                <w:szCs w:val="16"/>
                <w:color w:val="auto"/>
              </w:rPr>
              <w:t>Net change in cash, cash equivalents, and restricted cash</w:t>
            </w:r>
          </w:p>
        </w:tc>
        <w:tc>
          <w:tcPr>
            <w:tcW w:w="32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(6,843)</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(6,329)</w:t>
            </w:r>
          </w:p>
        </w:tc>
      </w:tr>
      <w:tr>
        <w:trPr>
          <w:trHeight w:val="219"/>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beginning of period</w:t>
            </w:r>
          </w:p>
        </w:tc>
        <w:tc>
          <w:tcPr>
            <w:tcW w:w="3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119,438</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126,562</w:t>
            </w:r>
          </w:p>
        </w:tc>
      </w:tr>
      <w:tr>
        <w:trPr>
          <w:trHeight w:val="206"/>
        </w:trPr>
        <w:tc>
          <w:tcPr>
            <w:tcW w:w="700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end of period</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112,595</w:t>
            </w:r>
          </w:p>
        </w:tc>
        <w:tc>
          <w:tcPr>
            <w:tcW w:w="80" w:type="dxa"/>
            <w:vAlign w:val="bottom"/>
          </w:tcPr>
          <w:p>
            <w:pPr>
              <w:spacing w:after="0"/>
              <w:rPr>
                <w:sz w:val="17"/>
                <w:szCs w:val="17"/>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120,233</w:t>
            </w:r>
          </w:p>
        </w:tc>
      </w:tr>
      <w:tr>
        <w:trPr>
          <w:trHeight w:val="24"/>
        </w:trPr>
        <w:tc>
          <w:tcPr>
            <w:tcW w:w="7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u w:val="single" w:color="auto"/>
          <w:color w:val="auto"/>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TELOS CORPORATION</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6"/>
          <w:szCs w:val="16"/>
          <w:i w:val="1"/>
          <w:iCs w:val="1"/>
          <w:color w:val="auto"/>
        </w:rPr>
        <w:t>(Unaudited)</w:t>
      </w:r>
    </w:p>
    <w:p>
      <w:pPr>
        <w:spacing w:after="0" w:line="190"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color w:val="auto"/>
                <w:w w:val="93"/>
              </w:rPr>
              <w:t>Accumulated</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040" w:type="dxa"/>
            <w:vAlign w:val="bottom"/>
          </w:tcPr>
          <w:p>
            <w:pPr>
              <w:spacing w:after="0"/>
              <w:rPr>
                <w:sz w:val="12"/>
                <w:szCs w:val="12"/>
                <w:color w:val="auto"/>
              </w:rPr>
            </w:pPr>
          </w:p>
        </w:tc>
        <w:tc>
          <w:tcPr>
            <w:tcW w:w="2200" w:type="dxa"/>
            <w:vAlign w:val="bottom"/>
            <w:gridSpan w:val="3"/>
            <w:vMerge w:val="restart"/>
          </w:tcPr>
          <w:p>
            <w:pPr>
              <w:jc w:val="right"/>
              <w:ind w:right="401"/>
              <w:spacing w:after="0"/>
              <w:rPr>
                <w:sz w:val="20"/>
                <w:szCs w:val="20"/>
                <w:color w:val="auto"/>
              </w:rPr>
            </w:pPr>
            <w:r>
              <w:rPr>
                <w:rFonts w:ascii="Arial" w:cs="Arial" w:eastAsia="Arial" w:hAnsi="Arial"/>
                <w:sz w:val="14"/>
                <w:szCs w:val="14"/>
                <w:color w:val="auto"/>
              </w:rPr>
              <w:t>Common Stock</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1"/>
              </w:rPr>
              <w:t>Other</w:t>
            </w: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3040" w:type="dxa"/>
            <w:vAlign w:val="bottom"/>
          </w:tcPr>
          <w:p>
            <w:pPr>
              <w:spacing w:after="0"/>
              <w:rPr>
                <w:sz w:val="8"/>
                <w:szCs w:val="8"/>
                <w:color w:val="auto"/>
              </w:rPr>
            </w:pPr>
          </w:p>
        </w:tc>
        <w:tc>
          <w:tcPr>
            <w:tcW w:w="2200" w:type="dxa"/>
            <w:vAlign w:val="bottom"/>
            <w:gridSpan w:val="3"/>
            <w:vMerge w:val="continue"/>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320" w:type="dxa"/>
            <w:vAlign w:val="bottom"/>
            <w:gridSpan w:val="3"/>
            <w:vMerge w:val="restart"/>
          </w:tcPr>
          <w:p>
            <w:pPr>
              <w:ind w:left="100"/>
              <w:spacing w:after="0" w:line="121" w:lineRule="exact"/>
              <w:rPr>
                <w:sz w:val="20"/>
                <w:szCs w:val="20"/>
                <w:color w:val="auto"/>
              </w:rPr>
            </w:pPr>
            <w:r>
              <w:rPr>
                <w:rFonts w:ascii="Arial" w:cs="Arial" w:eastAsia="Arial" w:hAnsi="Arial"/>
                <w:sz w:val="13"/>
                <w:szCs w:val="13"/>
                <w:color w:val="auto"/>
              </w:rPr>
              <w:t>Additional Paid-in</w:t>
            </w:r>
          </w:p>
        </w:tc>
        <w:tc>
          <w:tcPr>
            <w:tcW w:w="140" w:type="dxa"/>
            <w:vAlign w:val="bottom"/>
          </w:tcPr>
          <w:p>
            <w:pPr>
              <w:spacing w:after="0"/>
              <w:rPr>
                <w:sz w:val="8"/>
                <w:szCs w:val="8"/>
                <w:color w:val="auto"/>
              </w:rPr>
            </w:pPr>
          </w:p>
        </w:tc>
        <w:tc>
          <w:tcPr>
            <w:tcW w:w="1200" w:type="dxa"/>
            <w:vAlign w:val="bottom"/>
            <w:gridSpan w:val="2"/>
            <w:vMerge w:val="restart"/>
          </w:tcPr>
          <w:p>
            <w:pPr>
              <w:jc w:val="center"/>
              <w:ind w:right="220"/>
              <w:spacing w:after="0" w:line="121" w:lineRule="exact"/>
              <w:rPr>
                <w:sz w:val="20"/>
                <w:szCs w:val="20"/>
                <w:color w:val="auto"/>
              </w:rPr>
            </w:pPr>
            <w:r>
              <w:rPr>
                <w:rFonts w:ascii="Arial" w:cs="Arial" w:eastAsia="Arial" w:hAnsi="Arial"/>
                <w:sz w:val="13"/>
                <w:szCs w:val="13"/>
                <w:color w:val="auto"/>
                <w:w w:val="98"/>
              </w:rPr>
              <w:t>Comprehensive</w:t>
            </w:r>
          </w:p>
        </w:tc>
        <w:tc>
          <w:tcPr>
            <w:tcW w:w="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jc w:val="right"/>
              <w:spacing w:after="0" w:line="121" w:lineRule="exact"/>
              <w:rPr>
                <w:sz w:val="20"/>
                <w:szCs w:val="20"/>
                <w:color w:val="auto"/>
              </w:rPr>
            </w:pPr>
            <w:r>
              <w:rPr>
                <w:rFonts w:ascii="Arial" w:cs="Arial" w:eastAsia="Arial" w:hAnsi="Arial"/>
                <w:sz w:val="13"/>
                <w:szCs w:val="13"/>
                <w:color w:val="auto"/>
              </w:rPr>
              <w:t>Total Stockholders’</w:t>
            </w:r>
          </w:p>
        </w:tc>
        <w:tc>
          <w:tcPr>
            <w:tcW w:w="0" w:type="dxa"/>
            <w:vAlign w:val="bottom"/>
          </w:tcPr>
          <w:p>
            <w:pPr>
              <w:spacing w:after="0"/>
              <w:rPr>
                <w:sz w:val="1"/>
                <w:szCs w:val="1"/>
                <w:color w:val="auto"/>
              </w:rPr>
            </w:pPr>
          </w:p>
        </w:tc>
      </w:tr>
      <w:tr>
        <w:trPr>
          <w:trHeight w:val="26"/>
        </w:trPr>
        <w:tc>
          <w:tcPr>
            <w:tcW w:w="304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040" w:type="dxa"/>
            <w:vAlign w:val="bottom"/>
          </w:tcPr>
          <w:p>
            <w:pPr>
              <w:spacing w:after="0"/>
              <w:rPr>
                <w:sz w:val="16"/>
                <w:szCs w:val="16"/>
                <w:color w:val="auto"/>
              </w:rPr>
            </w:pPr>
          </w:p>
        </w:tc>
        <w:tc>
          <w:tcPr>
            <w:tcW w:w="122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color w:val="auto"/>
              </w:rPr>
              <w:t>Shares</w:t>
            </w:r>
          </w:p>
        </w:tc>
        <w:tc>
          <w:tcPr>
            <w:tcW w:w="8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Amount</w:t>
            </w:r>
          </w:p>
        </w:tc>
        <w:tc>
          <w:tcPr>
            <w:tcW w:w="3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Capital</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color w:val="auto"/>
                <w:w w:val="95"/>
              </w:rPr>
              <w:t>Income</w:t>
            </w:r>
          </w:p>
        </w:tc>
        <w:tc>
          <w:tcPr>
            <w:tcW w:w="80" w:type="dxa"/>
            <w:vAlign w:val="bottom"/>
          </w:tcPr>
          <w:p>
            <w:pPr>
              <w:spacing w:after="0"/>
              <w:rPr>
                <w:sz w:val="16"/>
                <w:szCs w:val="16"/>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w w:val="96"/>
              </w:rPr>
              <w:t>Accumulated Deficit</w:t>
            </w: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217"/>
        </w:trPr>
        <w:tc>
          <w:tcPr>
            <w:tcW w:w="30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0" w:type="dxa"/>
            <w:vAlign w:val="bottom"/>
            <w:gridSpan w:val="5"/>
          </w:tcPr>
          <w:p>
            <w:pPr>
              <w:ind w:left="64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30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December 31, 2022</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67,431</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21"/>
              <w:spacing w:after="0"/>
              <w:rPr>
                <w:sz w:val="20"/>
                <w:szCs w:val="20"/>
                <w:color w:val="auto"/>
              </w:rPr>
            </w:pPr>
            <w:r>
              <w:rPr>
                <w:rFonts w:ascii="Arial" w:cs="Arial" w:eastAsia="Arial" w:hAnsi="Arial"/>
                <w:sz w:val="16"/>
                <w:szCs w:val="16"/>
                <w:color w:val="auto"/>
                <w:w w:val="8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106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412,708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(240,405)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172,354</w:t>
            </w:r>
          </w:p>
        </w:tc>
        <w:tc>
          <w:tcPr>
            <w:tcW w:w="0" w:type="dxa"/>
            <w:vAlign w:val="bottom"/>
          </w:tcPr>
          <w:p>
            <w:pPr>
              <w:spacing w:after="0"/>
              <w:rPr>
                <w:sz w:val="1"/>
                <w:szCs w:val="1"/>
                <w:color w:val="auto"/>
              </w:rPr>
            </w:pPr>
          </w:p>
        </w:tc>
      </w:tr>
      <w:tr>
        <w:trPr>
          <w:trHeight w:val="213"/>
        </w:trPr>
        <w:tc>
          <w:tcPr>
            <w:tcW w:w="3040" w:type="dxa"/>
            <w:vAlign w:val="bottom"/>
          </w:tcPr>
          <w:p>
            <w:pPr>
              <w:ind w:left="140"/>
              <w:spacing w:after="0"/>
              <w:rPr>
                <w:sz w:val="20"/>
                <w:szCs w:val="20"/>
                <w:color w:val="auto"/>
              </w:rPr>
            </w:pPr>
            <w:r>
              <w:rPr>
                <w:rFonts w:ascii="Arial" w:cs="Arial" w:eastAsia="Arial" w:hAnsi="Arial"/>
                <w:sz w:val="16"/>
                <w:szCs w:val="16"/>
                <w:color w:val="auto"/>
              </w:rPr>
              <w:t>Net loss</w:t>
            </w:r>
          </w:p>
        </w:tc>
        <w:tc>
          <w:tcPr>
            <w:tcW w:w="13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tcPr>
          <w:p>
            <w:pPr>
              <w:spacing w:after="0"/>
              <w:rPr>
                <w:sz w:val="18"/>
                <w:szCs w:val="18"/>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(10,746)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(10,746)</w:t>
            </w:r>
          </w:p>
        </w:tc>
        <w:tc>
          <w:tcPr>
            <w:tcW w:w="0" w:type="dxa"/>
            <w:vAlign w:val="bottom"/>
          </w:tcPr>
          <w:p>
            <w:pPr>
              <w:spacing w:after="0"/>
              <w:rPr>
                <w:sz w:val="1"/>
                <w:szCs w:val="1"/>
                <w:color w:val="auto"/>
              </w:rPr>
            </w:pPr>
          </w:p>
        </w:tc>
      </w:tr>
      <w:tr>
        <w:trPr>
          <w:trHeight w:val="219"/>
        </w:trPr>
        <w:tc>
          <w:tcPr>
            <w:tcW w:w="30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Foreign currency translation gain</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66"/>
        </w:trPr>
        <w:tc>
          <w:tcPr>
            <w:tcW w:w="3040" w:type="dxa"/>
            <w:vAlign w:val="bottom"/>
          </w:tcPr>
          <w:p>
            <w:pPr>
              <w:ind w:left="140"/>
              <w:spacing w:after="0" w:line="166" w:lineRule="exact"/>
              <w:rPr>
                <w:sz w:val="20"/>
                <w:szCs w:val="20"/>
                <w:color w:val="auto"/>
              </w:rPr>
            </w:pPr>
            <w:r>
              <w:rPr>
                <w:rFonts w:ascii="Arial" w:cs="Arial" w:eastAsia="Arial" w:hAnsi="Arial"/>
                <w:sz w:val="16"/>
                <w:szCs w:val="16"/>
                <w:color w:val="auto"/>
                <w:w w:val="95"/>
              </w:rPr>
              <w:t>Restricted stock unit awards vested, net of</w:t>
            </w: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1,180</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(1,585)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4"/>
                <w:szCs w:val="14"/>
                <w:color w:val="auto"/>
              </w:rPr>
            </w:pPr>
          </w:p>
        </w:tc>
        <w:tc>
          <w:tcPr>
            <w:tcW w:w="980" w:type="dxa"/>
            <w:vAlign w:val="bottom"/>
            <w:gridSpan w:val="2"/>
            <w:vMerge w:val="restart"/>
          </w:tcPr>
          <w:p>
            <w:pPr>
              <w:ind w:left="6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(1,584)</w:t>
            </w:r>
          </w:p>
        </w:tc>
        <w:tc>
          <w:tcPr>
            <w:tcW w:w="0" w:type="dxa"/>
            <w:vAlign w:val="bottom"/>
          </w:tcPr>
          <w:p>
            <w:pPr>
              <w:spacing w:after="0"/>
              <w:rPr>
                <w:sz w:val="1"/>
                <w:szCs w:val="1"/>
                <w:color w:val="auto"/>
              </w:rPr>
            </w:pPr>
          </w:p>
        </w:tc>
      </w:tr>
      <w:tr>
        <w:trPr>
          <w:trHeight w:val="209"/>
        </w:trPr>
        <w:tc>
          <w:tcPr>
            <w:tcW w:w="3040" w:type="dxa"/>
            <w:vAlign w:val="bottom"/>
          </w:tcPr>
          <w:p>
            <w:pPr>
              <w:ind w:left="140"/>
              <w:spacing w:after="0"/>
              <w:rPr>
                <w:sz w:val="20"/>
                <w:szCs w:val="20"/>
                <w:color w:val="auto"/>
              </w:rPr>
            </w:pPr>
            <w:r>
              <w:rPr>
                <w:rFonts w:ascii="Arial" w:cs="Arial" w:eastAsia="Arial" w:hAnsi="Arial"/>
                <w:sz w:val="16"/>
                <w:szCs w:val="16"/>
                <w:color w:val="auto"/>
              </w:rPr>
              <w:t>shares withheld to cover tax withholding</w:t>
            </w:r>
          </w:p>
        </w:tc>
        <w:tc>
          <w:tcPr>
            <w:tcW w:w="12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Stock-based compensation</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7,916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7,916</w:t>
            </w:r>
          </w:p>
        </w:tc>
        <w:tc>
          <w:tcPr>
            <w:tcW w:w="0" w:type="dxa"/>
            <w:vAlign w:val="bottom"/>
          </w:tcPr>
          <w:p>
            <w:pPr>
              <w:spacing w:after="0"/>
              <w:rPr>
                <w:sz w:val="1"/>
                <w:szCs w:val="1"/>
                <w:color w:val="auto"/>
              </w:rPr>
            </w:pPr>
          </w:p>
        </w:tc>
      </w:tr>
      <w:tr>
        <w:trPr>
          <w:trHeight w:val="213"/>
        </w:trPr>
        <w:tc>
          <w:tcPr>
            <w:tcW w:w="3040" w:type="dxa"/>
            <w:vAlign w:val="bottom"/>
          </w:tcPr>
          <w:p>
            <w:pPr>
              <w:ind w:left="140"/>
              <w:spacing w:after="0"/>
              <w:rPr>
                <w:sz w:val="20"/>
                <w:szCs w:val="20"/>
                <w:color w:val="auto"/>
              </w:rPr>
            </w:pPr>
            <w:r>
              <w:rPr>
                <w:rFonts w:ascii="Arial" w:cs="Arial" w:eastAsia="Arial" w:hAnsi="Arial"/>
                <w:sz w:val="16"/>
                <w:szCs w:val="16"/>
                <w:color w:val="auto"/>
                <w:w w:val="95"/>
              </w:rPr>
              <w:t>Issuance of common stock for 401K match</w:t>
            </w:r>
          </w:p>
        </w:tc>
        <w:tc>
          <w:tcPr>
            <w:tcW w:w="1220" w:type="dxa"/>
            <w:vAlign w:val="bottom"/>
          </w:tcPr>
          <w:p>
            <w:pPr>
              <w:jc w:val="right"/>
              <w:spacing w:after="0"/>
              <w:rPr>
                <w:sz w:val="20"/>
                <w:szCs w:val="20"/>
                <w:color w:val="auto"/>
              </w:rPr>
            </w:pPr>
            <w:r>
              <w:rPr>
                <w:rFonts w:ascii="Arial" w:cs="Arial" w:eastAsia="Arial" w:hAnsi="Arial"/>
                <w:sz w:val="16"/>
                <w:szCs w:val="16"/>
                <w:color w:val="auto"/>
              </w:rPr>
              <w:t>777</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1,941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980" w:type="dxa"/>
            <w:vAlign w:val="bottom"/>
            <w:gridSpan w:val="2"/>
          </w:tcPr>
          <w:p>
            <w:pPr>
              <w:ind w:left="6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1,942</w:t>
            </w:r>
          </w:p>
        </w:tc>
        <w:tc>
          <w:tcPr>
            <w:tcW w:w="0" w:type="dxa"/>
            <w:vAlign w:val="bottom"/>
          </w:tcPr>
          <w:p>
            <w:pPr>
              <w:spacing w:after="0"/>
              <w:rPr>
                <w:sz w:val="1"/>
                <w:szCs w:val="1"/>
                <w:color w:val="auto"/>
              </w:rPr>
            </w:pPr>
          </w:p>
        </w:tc>
      </w:tr>
      <w:tr>
        <w:trPr>
          <w:trHeight w:val="234"/>
        </w:trPr>
        <w:tc>
          <w:tcPr>
            <w:tcW w:w="3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March 31, 2023</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69,388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ind w:right="721"/>
              <w:spacing w:after="0"/>
              <w:rPr>
                <w:sz w:val="20"/>
                <w:szCs w:val="20"/>
                <w:color w:val="auto"/>
              </w:rPr>
            </w:pPr>
            <w:r>
              <w:rPr>
                <w:rFonts w:ascii="Arial" w:cs="Arial" w:eastAsia="Arial" w:hAnsi="Arial"/>
                <w:sz w:val="16"/>
                <w:szCs w:val="16"/>
                <w:color w:val="auto"/>
                <w:w w:val="8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108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420,980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(251,151)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169,895</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30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December 31, 2021</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66,767</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21"/>
              <w:spacing w:after="0"/>
              <w:rPr>
                <w:sz w:val="20"/>
                <w:szCs w:val="20"/>
                <w:color w:val="auto"/>
              </w:rPr>
            </w:pPr>
            <w:r>
              <w:rPr>
                <w:rFonts w:ascii="Arial" w:cs="Arial" w:eastAsia="Arial" w:hAnsi="Arial"/>
                <w:sz w:val="16"/>
                <w:szCs w:val="16"/>
                <w:color w:val="auto"/>
                <w:w w:val="8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105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367,153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(186,977)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180,254</w:t>
            </w:r>
          </w:p>
        </w:tc>
        <w:tc>
          <w:tcPr>
            <w:tcW w:w="0" w:type="dxa"/>
            <w:vAlign w:val="bottom"/>
          </w:tcPr>
          <w:p>
            <w:pPr>
              <w:spacing w:after="0"/>
              <w:rPr>
                <w:sz w:val="1"/>
                <w:szCs w:val="1"/>
                <w:color w:val="auto"/>
              </w:rPr>
            </w:pPr>
          </w:p>
        </w:tc>
      </w:tr>
      <w:tr>
        <w:trPr>
          <w:trHeight w:val="213"/>
        </w:trPr>
        <w:tc>
          <w:tcPr>
            <w:tcW w:w="3040" w:type="dxa"/>
            <w:vAlign w:val="bottom"/>
          </w:tcPr>
          <w:p>
            <w:pPr>
              <w:ind w:left="140"/>
              <w:spacing w:after="0"/>
              <w:rPr>
                <w:sz w:val="20"/>
                <w:szCs w:val="20"/>
                <w:color w:val="auto"/>
              </w:rPr>
            </w:pPr>
            <w:r>
              <w:rPr>
                <w:rFonts w:ascii="Arial" w:cs="Arial" w:eastAsia="Arial" w:hAnsi="Arial"/>
                <w:sz w:val="16"/>
                <w:szCs w:val="16"/>
                <w:color w:val="auto"/>
              </w:rPr>
              <w:t>Net loss</w:t>
            </w:r>
          </w:p>
        </w:tc>
        <w:tc>
          <w:tcPr>
            <w:tcW w:w="13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tcPr>
          <w:p>
            <w:pPr>
              <w:spacing w:after="0"/>
              <w:rPr>
                <w:sz w:val="18"/>
                <w:szCs w:val="18"/>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(16,616)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(16,616)</w:t>
            </w:r>
          </w:p>
        </w:tc>
        <w:tc>
          <w:tcPr>
            <w:tcW w:w="0" w:type="dxa"/>
            <w:vAlign w:val="bottom"/>
          </w:tcPr>
          <w:p>
            <w:pPr>
              <w:spacing w:after="0"/>
              <w:rPr>
                <w:sz w:val="1"/>
                <w:szCs w:val="1"/>
                <w:color w:val="auto"/>
              </w:rPr>
            </w:pPr>
          </w:p>
        </w:tc>
      </w:tr>
      <w:tr>
        <w:trPr>
          <w:trHeight w:val="219"/>
        </w:trPr>
        <w:tc>
          <w:tcPr>
            <w:tcW w:w="30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Foreign currency translation loss</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166"/>
        </w:trPr>
        <w:tc>
          <w:tcPr>
            <w:tcW w:w="3040" w:type="dxa"/>
            <w:vAlign w:val="bottom"/>
          </w:tcPr>
          <w:p>
            <w:pPr>
              <w:ind w:left="140"/>
              <w:spacing w:after="0" w:line="166" w:lineRule="exact"/>
              <w:rPr>
                <w:sz w:val="20"/>
                <w:szCs w:val="20"/>
                <w:color w:val="auto"/>
              </w:rPr>
            </w:pPr>
            <w:r>
              <w:rPr>
                <w:rFonts w:ascii="Arial" w:cs="Arial" w:eastAsia="Arial" w:hAnsi="Arial"/>
                <w:sz w:val="16"/>
                <w:szCs w:val="16"/>
                <w:color w:val="auto"/>
                <w:w w:val="95"/>
              </w:rPr>
              <w:t>Restricted stock unit awards vested, net of</w:t>
            </w: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1,100</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(2,887)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4"/>
                <w:szCs w:val="14"/>
                <w:color w:val="auto"/>
              </w:rPr>
            </w:pPr>
          </w:p>
        </w:tc>
        <w:tc>
          <w:tcPr>
            <w:tcW w:w="980" w:type="dxa"/>
            <w:vAlign w:val="bottom"/>
            <w:gridSpan w:val="2"/>
            <w:vMerge w:val="restart"/>
          </w:tcPr>
          <w:p>
            <w:pPr>
              <w:ind w:left="6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(2,886)</w:t>
            </w:r>
          </w:p>
        </w:tc>
        <w:tc>
          <w:tcPr>
            <w:tcW w:w="0" w:type="dxa"/>
            <w:vAlign w:val="bottom"/>
          </w:tcPr>
          <w:p>
            <w:pPr>
              <w:spacing w:after="0"/>
              <w:rPr>
                <w:sz w:val="1"/>
                <w:szCs w:val="1"/>
                <w:color w:val="auto"/>
              </w:rPr>
            </w:pPr>
          </w:p>
        </w:tc>
      </w:tr>
      <w:tr>
        <w:trPr>
          <w:trHeight w:val="209"/>
        </w:trPr>
        <w:tc>
          <w:tcPr>
            <w:tcW w:w="3040" w:type="dxa"/>
            <w:vAlign w:val="bottom"/>
          </w:tcPr>
          <w:p>
            <w:pPr>
              <w:ind w:left="140"/>
              <w:spacing w:after="0"/>
              <w:rPr>
                <w:sz w:val="20"/>
                <w:szCs w:val="20"/>
                <w:color w:val="auto"/>
              </w:rPr>
            </w:pPr>
            <w:r>
              <w:rPr>
                <w:rFonts w:ascii="Arial" w:cs="Arial" w:eastAsia="Arial" w:hAnsi="Arial"/>
                <w:sz w:val="16"/>
                <w:szCs w:val="16"/>
                <w:color w:val="auto"/>
              </w:rPr>
              <w:t>shares withheld to cover tax withholding</w:t>
            </w:r>
          </w:p>
        </w:tc>
        <w:tc>
          <w:tcPr>
            <w:tcW w:w="12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Stock-based compensation</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14,280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14,280</w:t>
            </w:r>
          </w:p>
        </w:tc>
        <w:tc>
          <w:tcPr>
            <w:tcW w:w="0" w:type="dxa"/>
            <w:vAlign w:val="bottom"/>
          </w:tcPr>
          <w:p>
            <w:pPr>
              <w:spacing w:after="0"/>
              <w:rPr>
                <w:sz w:val="1"/>
                <w:szCs w:val="1"/>
                <w:color w:val="auto"/>
              </w:rPr>
            </w:pPr>
          </w:p>
        </w:tc>
      </w:tr>
      <w:tr>
        <w:trPr>
          <w:trHeight w:val="207"/>
        </w:trPr>
        <w:tc>
          <w:tcPr>
            <w:tcW w:w="3040" w:type="dxa"/>
            <w:vAlign w:val="bottom"/>
          </w:tcPr>
          <w:p>
            <w:pPr>
              <w:ind w:left="20"/>
              <w:spacing w:after="0"/>
              <w:rPr>
                <w:sz w:val="20"/>
                <w:szCs w:val="20"/>
                <w:color w:val="auto"/>
              </w:rPr>
            </w:pPr>
            <w:r>
              <w:rPr>
                <w:rFonts w:ascii="Arial" w:cs="Arial" w:eastAsia="Arial" w:hAnsi="Arial"/>
                <w:sz w:val="16"/>
                <w:szCs w:val="16"/>
                <w:color w:val="auto"/>
              </w:rPr>
              <w:t>Balance at March 31, 2022</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67,867</w:t>
            </w:r>
          </w:p>
        </w:tc>
        <w:tc>
          <w:tcPr>
            <w:tcW w:w="8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ind w:right="721"/>
              <w:spacing w:after="0"/>
              <w:rPr>
                <w:sz w:val="20"/>
                <w:szCs w:val="20"/>
                <w:color w:val="auto"/>
              </w:rPr>
            </w:pPr>
            <w:r>
              <w:rPr>
                <w:rFonts w:ascii="Arial" w:cs="Arial" w:eastAsia="Arial" w:hAnsi="Arial"/>
                <w:sz w:val="16"/>
                <w:szCs w:val="16"/>
                <w:color w:val="auto"/>
                <w:w w:val="8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7"/>
              </w:rPr>
              <w:t>106</w:t>
            </w: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378,546</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7"/>
                <w:szCs w:val="17"/>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(203,593)</w:t>
            </w:r>
          </w:p>
        </w:tc>
        <w:tc>
          <w:tcPr>
            <w:tcW w:w="8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175,061</w:t>
            </w:r>
          </w:p>
        </w:tc>
        <w:tc>
          <w:tcPr>
            <w:tcW w:w="0" w:type="dxa"/>
            <w:vAlign w:val="bottom"/>
          </w:tcPr>
          <w:p>
            <w:pPr>
              <w:spacing w:after="0"/>
              <w:rPr>
                <w:sz w:val="1"/>
                <w:szCs w:val="1"/>
                <w:color w:val="auto"/>
              </w:rPr>
            </w:pPr>
          </w:p>
        </w:tc>
      </w:tr>
      <w:tr>
        <w:trPr>
          <w:trHeight w:val="23"/>
        </w:trPr>
        <w:tc>
          <w:tcPr>
            <w:tcW w:w="304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See accompanying notes to the unaudited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5" w:right="49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u w:val="single" w:color="auto"/>
          <w:color w:val="auto"/>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460"/>
        <w:spacing w:after="0"/>
        <w:rPr>
          <w:sz w:val="20"/>
          <w:szCs w:val="20"/>
          <w:color w:val="auto"/>
        </w:rPr>
      </w:pPr>
      <w:r>
        <w:rPr>
          <w:rFonts w:ascii="Arial" w:cs="Arial" w:eastAsia="Arial" w:hAnsi="Arial"/>
          <w:sz w:val="18"/>
          <w:szCs w:val="18"/>
          <w:b w:val="1"/>
          <w:bCs w:val="1"/>
          <w:color w:val="auto"/>
        </w:rPr>
        <w:t>TELOS CORPORATION</w:t>
      </w:r>
    </w:p>
    <w:p>
      <w:pPr>
        <w:spacing w:after="0" w:line="27" w:lineRule="exact"/>
        <w:rPr>
          <w:sz w:val="20"/>
          <w:szCs w:val="20"/>
          <w:color w:val="auto"/>
        </w:rPr>
      </w:pPr>
    </w:p>
    <w:p>
      <w:pPr>
        <w:jc w:val="center"/>
        <w:ind w:left="460"/>
        <w:spacing w:after="0"/>
        <w:rPr>
          <w:sz w:val="20"/>
          <w:szCs w:val="20"/>
          <w:color w:val="auto"/>
        </w:rPr>
      </w:pPr>
      <w:r>
        <w:rPr>
          <w:rFonts w:ascii="Arial" w:cs="Arial" w:eastAsia="Arial" w:hAnsi="Arial"/>
          <w:sz w:val="18"/>
          <w:szCs w:val="18"/>
          <w:b w:val="1"/>
          <w:bCs w:val="1"/>
          <w:color w:val="auto"/>
        </w:rPr>
        <w:t>NOTES TO THE UNAUDITED CONSOLIDATED FINANCIAL STATEMENTS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1. ORGANIZATION</w:t>
      </w:r>
    </w:p>
    <w:p>
      <w:pPr>
        <w:spacing w:after="0" w:line="171" w:lineRule="exact"/>
        <w:rPr>
          <w:sz w:val="20"/>
          <w:szCs w:val="20"/>
          <w:color w:val="auto"/>
        </w:rPr>
      </w:pPr>
    </w:p>
    <w:p>
      <w:pPr>
        <w:ind w:right="320"/>
        <w:spacing w:after="0" w:line="296" w:lineRule="auto"/>
        <w:rPr>
          <w:sz w:val="20"/>
          <w:szCs w:val="20"/>
          <w:color w:val="auto"/>
        </w:rPr>
      </w:pPr>
      <w:r>
        <w:rPr>
          <w:rFonts w:ascii="Arial" w:cs="Arial" w:eastAsia="Arial" w:hAnsi="Arial"/>
          <w:sz w:val="16"/>
          <w:szCs w:val="16"/>
          <w:color w:val="auto"/>
        </w:rPr>
        <w:t>Telos Corporation, together with its subsidiaries (collectively, the "Company," "we," "our" or "Telos"), a Maryland corporation, is a leading provider of cyber, cloud and enterprise security solutions for the world's most security-conscious organizations. We own all of the issued and outstanding shares of Xacta Corporation, a subsidiary that develops, markets and sells government-validated secure enterprise solutions to government and commercial customers. We own the issued and outstanding share capital of ubIQuity.com, inc., a holding company for Xacta Corporation. We also have a 100% ownership interest in Telos Identity Management Solutions, LLC ("Telos ID"), Teloworks, Inc., and Telos APAC Pte. Ltd.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2. SIGNIFICANT ACCOUNTING POLICIES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 and Principle of Consolidation</w:t>
      </w:r>
    </w:p>
    <w:p>
      <w:pPr>
        <w:spacing w:after="0" w:line="198"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 xml:space="preserve">The accompanying unaudited consolidated financial statements include the accounts of Telos and its subsidiaries (see </w:t>
      </w:r>
      <w:r>
        <w:rPr>
          <w:rFonts w:ascii="Arial" w:cs="Arial" w:eastAsia="Arial" w:hAnsi="Arial"/>
          <w:sz w:val="18"/>
          <w:szCs w:val="18"/>
          <w:u w:val="single" w:color="auto"/>
          <w:color w:val="0000FF"/>
        </w:rPr>
        <w:t>Note 1 – Organization</w:t>
      </w:r>
      <w:r>
        <w:rPr>
          <w:rFonts w:ascii="Arial" w:cs="Arial" w:eastAsia="Arial" w:hAnsi="Arial"/>
          <w:sz w:val="18"/>
          <w:szCs w:val="18"/>
          <w:color w:val="auto"/>
        </w:rPr>
        <w:t>), all of whose issued and outstanding share capital is wholly owned directly and indirectly by Telos Corporation. All intercompany transactions have been eliminated in consolidation.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 for Interim Periods</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Certain information and footnote disclosures normally included for the annual financial statements prepared in accordance with accounting principles generally accepted in the United States of America ("U.S. GAAP") have been condensed or omitted for the interim periods presented. We believe that the unaudited interim financial statements include all adjustments (which are normal and recurring) necessary to state fairly our financial position and the results of operations and cash flows for the periods presented.</w:t>
      </w:r>
    </w:p>
    <w:p>
      <w:pPr>
        <w:spacing w:after="0" w:line="13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results of operations for the interim periods presented are not necessarily indicative of results that may be expected for the year or future periods. The financial statements should be read in conjunction with our audited consolidated financial statements and the notes thereto for the year ended December 31, 2022, included in our Annual Report on Form 10-K for the fiscal year then ended. We have continued to follow the accounting policies set forth in those financial statements.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Comparison - Revision of Previously Issued Interim Financial Statements</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During the course of preparing the Company's consolidated financial statements for the year ended December 31, 2022, we identified that stock-based compensation expense related to performance-based restricted stock unit (“PSU”) awards with market conditions was erroneously reversed when those PSUs were forfeited during the quarter ended March 31, 2022. Although the Company has determined that the error did not have a material impact on its previously issued interim consolidated financial statements, it revised the previously reported interim financial information in conjunction with the issuance of its quarterly filings on Form 10-Q for the quarter ended March 31, 2023. Further information regarding the misstatements and related revisions are included under </w:t>
      </w:r>
      <w:r>
        <w:rPr>
          <w:rFonts w:ascii="Arial" w:cs="Arial" w:eastAsia="Arial" w:hAnsi="Arial"/>
          <w:sz w:val="16"/>
          <w:szCs w:val="16"/>
          <w:u w:val="single" w:color="auto"/>
          <w:color w:val="0000FF"/>
        </w:rPr>
        <w:t>Note 20 – Revision of Prior Year Interim Financial Statements</w:t>
      </w:r>
      <w:r>
        <w:rPr>
          <w:rFonts w:ascii="Arial" w:cs="Arial" w:eastAsia="Arial" w:hAnsi="Arial"/>
          <w:sz w:val="16"/>
          <w:szCs w:val="16"/>
          <w:color w:val="auto"/>
        </w:rPr>
        <w:t xml:space="preserve"> to the unaudited consolidated financial statements.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7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Preparing unaudited consolidated financial statements in conformity with U.S. GAAP requires management to make estimates and assumptions that affect the reported amounts of revenue, expenses, assets and liabilities, and disclosure of contingent assets and liabilities. The Company regularly assesses these estimates; however, actual results could differ from those estimates. We base our estimates on historical experience, currently available information, and various other assumptions that we believe are reasonable under the circumstances.</w:t>
      </w:r>
    </w:p>
    <w:p>
      <w:pPr>
        <w:spacing w:after="0" w:line="11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Management evaluates these estimates and assumptions on an ongoing basis, including those relating to revenue recognition on cost estimation on certain contracts, allowance for credit losses, inventory obsolescence, valuation allowance for deferred tax assets, income taxes, certain assumptions related to share-based compensation, valuation of intangible assets and goodwill, restructuring expenses accruals, and contingencies. Actual results could differ from those estimates. The impact of changes in estimates is recorded in the period in which they become known.</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Expenses</w:t>
      </w:r>
    </w:p>
    <w:p>
      <w:pPr>
        <w:spacing w:after="0" w:line="171" w:lineRule="exact"/>
        <w:rPr>
          <w:sz w:val="20"/>
          <w:szCs w:val="20"/>
          <w:color w:val="auto"/>
        </w:rPr>
      </w:pPr>
    </w:p>
    <w:p>
      <w:pPr>
        <w:jc w:val="both"/>
        <w:ind w:right="60"/>
        <w:spacing w:after="0" w:line="287" w:lineRule="auto"/>
        <w:rPr>
          <w:sz w:val="20"/>
          <w:szCs w:val="20"/>
          <w:color w:val="auto"/>
        </w:rPr>
      </w:pPr>
      <w:r>
        <w:rPr>
          <w:rFonts w:ascii="Arial" w:cs="Arial" w:eastAsia="Arial" w:hAnsi="Arial"/>
          <w:sz w:val="16"/>
          <w:szCs w:val="16"/>
          <w:color w:val="auto"/>
        </w:rPr>
        <w:t>In the fourth quarter of 2022, the Company committed to a restructuring plan to streamline its workforce and spending to better align its cost structure with its volume of business. The restructuring plan reduced the Company's workforce, with a majority of the affected employees separating from the business in early 2023. In connection with this restructuring plan, we incurred restructuring-related costs, including employee severance and related benefit costs.</w:t>
      </w:r>
    </w:p>
    <w:p>
      <w:pPr>
        <w:spacing w:after="0" w:line="2"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Employee severance and related benefit costs may include cash payments, outplacement services and continuing health insurance coverage. Severance costs pursuant to ongoing-benefit arrangements are recognized when probable and reasonably estimated. Other related costs include external consulting and advisory fees related to implementing the restructuring plan. These costs are recognized at fair value in the period in which the costs are incurred.</w:t>
      </w:r>
    </w:p>
    <w:p>
      <w:pPr>
        <w:spacing w:after="0" w:line="101" w:lineRule="exact"/>
        <w:rPr>
          <w:sz w:val="20"/>
          <w:szCs w:val="20"/>
          <w:color w:val="auto"/>
        </w:rPr>
      </w:pPr>
    </w:p>
    <w:p>
      <w:pPr>
        <w:ind w:right="480"/>
        <w:spacing w:after="0" w:line="291" w:lineRule="auto"/>
        <w:rPr>
          <w:sz w:val="20"/>
          <w:szCs w:val="20"/>
          <w:color w:val="auto"/>
        </w:rPr>
      </w:pPr>
      <w:r>
        <w:rPr>
          <w:rFonts w:ascii="Arial" w:cs="Arial" w:eastAsia="Arial" w:hAnsi="Arial"/>
          <w:sz w:val="16"/>
          <w:szCs w:val="16"/>
          <w:color w:val="auto"/>
        </w:rPr>
        <w:t>In the Company's recent Annual Report on Form 10-K for the year ended December 31, 2022, the Company estimated that the expected restructuring expenses were $2.8 million as of December 31, 2022. As of March 31, 2023, the Company has updated its total expected restructuring plan costs to</w:t>
      </w:r>
    </w:p>
    <w:p>
      <w:pPr>
        <w:ind w:right="80"/>
        <w:spacing w:after="0" w:line="255" w:lineRule="auto"/>
        <w:rPr>
          <w:sz w:val="20"/>
          <w:szCs w:val="20"/>
          <w:color w:val="auto"/>
        </w:rPr>
      </w:pPr>
      <w:r>
        <w:rPr>
          <w:rFonts w:ascii="Arial" w:cs="Arial" w:eastAsia="Arial" w:hAnsi="Arial"/>
          <w:sz w:val="18"/>
          <w:szCs w:val="18"/>
          <w:color w:val="auto"/>
        </w:rPr>
        <w:t>$4.0 million. The Company reviews the restructuring plan and may incur incremental restructuring costs during the remainder of 2023 when determined as probable and estimable. The restructuring expenses are recorded under "Selling, general and administrative expenses" in the Company's unaudited consolidated statements of operations.</w:t>
      </w:r>
    </w:p>
    <w:p>
      <w:pPr>
        <w:spacing w:after="0" w:line="136"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At each reporting date, the Company evaluates its restructuring expense accrual to determine if the liabilities reported are still appropriate. Any changes in the estimated costs of executing the approved restructuring plan are reflected in the Company's unaudited consolidated statement of operations.</w:t>
      </w:r>
    </w:p>
    <w:p>
      <w:pPr>
        <w:spacing w:after="0" w:line="11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Table 2: Summary of Changes in Restructuring Expenses Accrual</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70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gridSpan w:val="3"/>
          </w:tcPr>
          <w:p>
            <w:pPr>
              <w:ind w:left="20"/>
              <w:spacing w:after="0" w:line="165" w:lineRule="exact"/>
              <w:rPr>
                <w:sz w:val="20"/>
                <w:szCs w:val="20"/>
                <w:color w:val="auto"/>
              </w:rPr>
            </w:pPr>
            <w:r>
              <w:rPr>
                <w:rFonts w:ascii="Arial" w:cs="Arial" w:eastAsia="Arial" w:hAnsi="Arial"/>
                <w:sz w:val="16"/>
                <w:szCs w:val="16"/>
                <w:color w:val="auto"/>
                <w:w w:val="93"/>
              </w:rPr>
              <w:t>Severance and related</w:t>
            </w:r>
          </w:p>
        </w:tc>
        <w:tc>
          <w:tcPr>
            <w:tcW w:w="12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gridSpan w:val="2"/>
          </w:tcPr>
          <w:p>
            <w:pPr>
              <w:jc w:val="center"/>
              <w:ind w:right="200"/>
              <w:spacing w:after="0" w:line="165" w:lineRule="exact"/>
              <w:rPr>
                <w:sz w:val="20"/>
                <w:szCs w:val="20"/>
                <w:color w:val="auto"/>
              </w:rPr>
            </w:pPr>
            <w:r>
              <w:rPr>
                <w:rFonts w:ascii="Arial" w:cs="Arial" w:eastAsia="Arial" w:hAnsi="Arial"/>
                <w:sz w:val="16"/>
                <w:szCs w:val="16"/>
                <w:color w:val="auto"/>
                <w:w w:val="90"/>
              </w:rPr>
              <w:t>Other related costs</w:t>
            </w:r>
          </w:p>
        </w:tc>
        <w:tc>
          <w:tcPr>
            <w:tcW w:w="3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vMerge w:val="restart"/>
          </w:tcPr>
          <w:p>
            <w:pPr>
              <w:ind w:left="220"/>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209"/>
        </w:trPr>
        <w:tc>
          <w:tcPr>
            <w:tcW w:w="67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94"/>
              </w:rPr>
              <w:t>benefit costs (1)</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40"/>
              <w:spacing w:after="0"/>
              <w:rPr>
                <w:sz w:val="20"/>
                <w:szCs w:val="20"/>
                <w:color w:val="auto"/>
              </w:rPr>
            </w:pPr>
            <w:r>
              <w:rPr>
                <w:rFonts w:ascii="Arial" w:cs="Arial" w:eastAsia="Arial" w:hAnsi="Arial"/>
                <w:sz w:val="16"/>
                <w:szCs w:val="16"/>
                <w:color w:val="auto"/>
                <w:w w:val="91"/>
              </w:rPr>
              <w:t>(1)</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4"/>
                <w:szCs w:val="14"/>
                <w:i w:val="1"/>
                <w:iCs w:val="1"/>
                <w:color w:val="auto"/>
                <w:w w:val="92"/>
              </w:rPr>
              <w:t>(in thousands)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6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December 31, 2022</w:t>
            </w: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center"/>
              <w:ind w:left="539"/>
              <w:spacing w:after="0"/>
              <w:rPr>
                <w:sz w:val="20"/>
                <w:szCs w:val="20"/>
                <w:color w:val="auto"/>
              </w:rPr>
            </w:pPr>
            <w:r>
              <w:rPr>
                <w:rFonts w:ascii="Arial" w:cs="Arial" w:eastAsia="Arial" w:hAnsi="Arial"/>
                <w:sz w:val="16"/>
                <w:szCs w:val="16"/>
                <w:color w:val="auto"/>
                <w:w w:val="94"/>
              </w:rPr>
              <w:t>2,763</w:t>
            </w:r>
          </w:p>
        </w:tc>
        <w:tc>
          <w:tcPr>
            <w:tcW w:w="0" w:type="dxa"/>
            <w:vAlign w:val="bottom"/>
          </w:tcPr>
          <w:p>
            <w:pPr>
              <w:spacing w:after="0"/>
              <w:rPr>
                <w:sz w:val="1"/>
                <w:szCs w:val="1"/>
                <w:color w:val="auto"/>
              </w:rPr>
            </w:pPr>
          </w:p>
        </w:tc>
      </w:tr>
      <w:tr>
        <w:trPr>
          <w:trHeight w:val="213"/>
        </w:trPr>
        <w:tc>
          <w:tcPr>
            <w:tcW w:w="6700" w:type="dxa"/>
            <w:vAlign w:val="bottom"/>
          </w:tcPr>
          <w:p>
            <w:pPr>
              <w:ind w:left="140"/>
              <w:spacing w:after="0"/>
              <w:rPr>
                <w:sz w:val="20"/>
                <w:szCs w:val="20"/>
                <w:color w:val="auto"/>
              </w:rPr>
            </w:pPr>
            <w:r>
              <w:rPr>
                <w:rFonts w:ascii="Arial" w:cs="Arial" w:eastAsia="Arial" w:hAnsi="Arial"/>
                <w:sz w:val="16"/>
                <w:szCs w:val="16"/>
                <w:color w:val="auto"/>
              </w:rPr>
              <w:t>Charges/(adjustments)</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1,300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center"/>
              <w:ind w:left="539"/>
              <w:spacing w:after="0"/>
              <w:rPr>
                <w:sz w:val="20"/>
                <w:szCs w:val="20"/>
                <w:color w:val="auto"/>
              </w:rPr>
            </w:pPr>
            <w:r>
              <w:rPr>
                <w:rFonts w:ascii="Arial" w:cs="Arial" w:eastAsia="Arial" w:hAnsi="Arial"/>
                <w:sz w:val="16"/>
                <w:szCs w:val="16"/>
                <w:color w:val="auto"/>
                <w:w w:val="94"/>
              </w:rPr>
              <w:t>1,200</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payments</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center"/>
              <w:ind w:left="519"/>
              <w:spacing w:after="0"/>
              <w:rPr>
                <w:sz w:val="20"/>
                <w:szCs w:val="20"/>
                <w:color w:val="auto"/>
              </w:rPr>
            </w:pPr>
            <w:r>
              <w:rPr>
                <w:rFonts w:ascii="Arial" w:cs="Arial" w:eastAsia="Arial" w:hAnsi="Arial"/>
                <w:sz w:val="16"/>
                <w:szCs w:val="16"/>
                <w:color w:val="auto"/>
                <w:w w:val="94"/>
              </w:rPr>
              <w:t>(1,673)</w:t>
            </w:r>
          </w:p>
        </w:tc>
        <w:tc>
          <w:tcPr>
            <w:tcW w:w="0" w:type="dxa"/>
            <w:vAlign w:val="bottom"/>
          </w:tcPr>
          <w:p>
            <w:pPr>
              <w:spacing w:after="0"/>
              <w:rPr>
                <w:sz w:val="1"/>
                <w:szCs w:val="1"/>
                <w:color w:val="auto"/>
              </w:rPr>
            </w:pPr>
          </w:p>
        </w:tc>
      </w:tr>
      <w:tr>
        <w:trPr>
          <w:trHeight w:val="213"/>
        </w:trPr>
        <w:tc>
          <w:tcPr>
            <w:tcW w:w="6700" w:type="dxa"/>
            <w:vAlign w:val="bottom"/>
          </w:tcPr>
          <w:p>
            <w:pPr>
              <w:ind w:left="20"/>
              <w:spacing w:after="0"/>
              <w:rPr>
                <w:sz w:val="20"/>
                <w:szCs w:val="20"/>
                <w:color w:val="auto"/>
              </w:rPr>
            </w:pPr>
            <w:r>
              <w:rPr>
                <w:rFonts w:ascii="Arial" w:cs="Arial" w:eastAsia="Arial" w:hAnsi="Arial"/>
                <w:sz w:val="16"/>
                <w:szCs w:val="16"/>
                <w:color w:val="auto"/>
              </w:rPr>
              <w:t>Balance at March 31, 2023</w:t>
            </w: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990</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1,300</w:t>
            </w:r>
          </w:p>
        </w:tc>
        <w:tc>
          <w:tcPr>
            <w:tcW w:w="8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center"/>
              <w:ind w:left="539"/>
              <w:spacing w:after="0"/>
              <w:rPr>
                <w:sz w:val="20"/>
                <w:szCs w:val="20"/>
                <w:color w:val="auto"/>
              </w:rPr>
            </w:pPr>
            <w:r>
              <w:rPr>
                <w:rFonts w:ascii="Arial" w:cs="Arial" w:eastAsia="Arial" w:hAnsi="Arial"/>
                <w:sz w:val="16"/>
                <w:szCs w:val="16"/>
                <w:color w:val="auto"/>
                <w:w w:val="94"/>
              </w:rPr>
              <w:t>2,290</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220" w:firstLine="8"/>
        <w:spacing w:after="0" w:line="293" w:lineRule="auto"/>
        <w:tabs>
          <w:tab w:leader="none" w:pos="204"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Restructuring-related liabilities are reported as part of "Other current liabilities" in the Company's unaudited consolidated balance sheets, see </w:t>
      </w:r>
      <w:r>
        <w:rPr>
          <w:rFonts w:ascii="Arial" w:cs="Arial" w:eastAsia="Arial" w:hAnsi="Arial"/>
          <w:sz w:val="14"/>
          <w:szCs w:val="14"/>
          <w:u w:val="single" w:color="auto"/>
          <w:color w:val="0000FF"/>
        </w:rPr>
        <w:t>Note 9 - Other Balance Sheet Components</w:t>
      </w:r>
      <w:r>
        <w:rPr>
          <w:rFonts w:ascii="Arial" w:cs="Arial" w:eastAsia="Arial" w:hAnsi="Arial"/>
          <w:sz w:val="14"/>
          <w:szCs w:val="14"/>
          <w:color w:val="auto"/>
        </w:rPr>
        <w:t xml:space="preserve"> for further details.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18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From time to time, new accounting standards are issued by the Financial Accounting Standard Board or other standard-setting bodies and are adopted by the Company as of the specified accounting date. Unless otherwise discussed, the Company believes that issued standards not yet effective will not have a material effect on its financial statements.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3. REVENUE RECOGNITION</w:t>
      </w:r>
    </w:p>
    <w:p>
      <w:pPr>
        <w:spacing w:after="0" w:line="17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account for revenue in accordance with ASC Topic 606, "Revenue from Contracts with Customers." The unit of account in ASC 606 is a performance obligation, which is a promise in a contract with a customer to transfer a good or service to the customer.</w:t>
      </w:r>
    </w:p>
    <w:p>
      <w:pPr>
        <w:spacing w:after="0" w:line="116"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The majority of our revenue is recognized over time, as control is transferred continuously to our customers who receive and consume benefits as we perform. Revenue transferred to customers over time accounted for 89% and 96% of our revenue for the three months ended March 31, 2023 and 2022, respectively. All of our business groups earn services revenue under a variety of contract types, including time and materials, firm-fixed price, firm-fixed price level of effort, and cost-plus fixed fee contract types, which may include variable consideration.</w:t>
      </w:r>
    </w:p>
    <w:p>
      <w:pPr>
        <w:spacing w:after="0" w:line="117"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For performance obligations in which control does not continuously transfer to the customer, we recognize revenue at the point in time in which each performance obligation is fully satisfied. This coincides with the point in time the customer obtains control of the product or service, which typically occurs upon customer acceptance or receipt of the product or service, given that we maintain control of the product or service until that point. Revenue transferred to customers at a point in time accounted for 11% and 4% of our revenue for the three months ended March 31, 2023 and 2022, respectively.</w:t>
      </w:r>
    </w:p>
    <w:p>
      <w:pPr>
        <w:spacing w:after="0" w:line="103"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color w:val="auto"/>
        </w:rPr>
        <w:t>Orders for the sale of software licenses may contain multiple performance obligations, such as maintenance, training, or consulting services, which are typically delivered over time, consistent with the transfer of control disclosed above for the provision of services. When an order contains multiple performance obligations, we allocate the transaction price to the performance obligations based on the standalone selling price of the product or service underlying each performance obligation. The standalone selling price represents the amount we would sell the product or service to a customer on a standalone basis.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u w:val="single" w:color="auto"/>
          <w:color w:val="auto"/>
        </w:rPr>
        <w:t>Table of Contents</w:t>
      </w:r>
    </w:p>
    <w:p>
      <w:pPr>
        <w:spacing w:after="0" w:line="200" w:lineRule="exact"/>
        <w:rPr>
          <w:sz w:val="20"/>
          <w:szCs w:val="20"/>
          <w:color w:val="auto"/>
        </w:rPr>
      </w:pPr>
    </w:p>
    <w:p>
      <w:pPr>
        <w:spacing w:after="0" w:line="349"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For certain performance obligations where we are not primarily responsible for fulfilling the promise to provide the goods or services to the customer, do not have inventory risk and have limited discretion in establishing the price for the goods or services, we recognize revenue on a net basis.</w:t>
      </w:r>
    </w:p>
    <w:p>
      <w:pPr>
        <w:spacing w:after="0" w:line="70"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We provide for anticipated losses on contracts during the period when the loss is determined by recording an expense for the total expected costs that exceeds the total estimated revenue for a performance obligation. No contract losses were recorded during the three months ended March 31, 2023 and 2022.</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Disaggregated Revenues</w:t>
      </w:r>
    </w:p>
    <w:p>
      <w:pPr>
        <w:spacing w:after="0" w:line="171"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 xml:space="preserve">In addition to our segment reporting, as further discussed in </w:t>
      </w:r>
      <w:r>
        <w:rPr>
          <w:rFonts w:ascii="Arial" w:cs="Arial" w:eastAsia="Arial" w:hAnsi="Arial"/>
          <w:sz w:val="16"/>
          <w:szCs w:val="16"/>
          <w:u w:val="single" w:color="auto"/>
          <w:color w:val="0000FF"/>
        </w:rPr>
        <w:t>Note 17 – Segment Information</w:t>
      </w:r>
      <w:r>
        <w:rPr>
          <w:rFonts w:ascii="Arial" w:cs="Arial" w:eastAsia="Arial" w:hAnsi="Arial"/>
          <w:sz w:val="16"/>
          <w:szCs w:val="16"/>
          <w:color w:val="auto"/>
        </w:rPr>
        <w:t>, we disaggregate our revenues by customer and contract types. We treat sales to U.S. customers as sales within the U.S. regardless of where the services are performed. Substantially most of our revenues are generated from U.S. customers, while international customers are de minimis; as such, the financial information by geographic location is not presented.</w:t>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Table 3.1: Revenue by Customer Type</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120" w:type="dxa"/>
            <w:vAlign w:val="bottom"/>
            <w:tcBorders>
              <w:top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3160" w:type="dxa"/>
            <w:vAlign w:val="bottom"/>
            <w:tcBorders>
              <w:top w:val="single" w:sz="8" w:color="auto"/>
              <w:bottom w:val="single" w:sz="8" w:color="auto"/>
            </w:tcBorders>
            <w:gridSpan w:val="9"/>
          </w:tcPr>
          <w:p>
            <w:pPr>
              <w:jc w:val="center"/>
              <w:ind w:right="1200"/>
              <w:spacing w:after="0"/>
              <w:rPr>
                <w:sz w:val="20"/>
                <w:szCs w:val="20"/>
                <w:color w:val="auto"/>
              </w:rPr>
            </w:pPr>
            <w:r>
              <w:rPr>
                <w:rFonts w:ascii="Arial" w:cs="Arial" w:eastAsia="Arial" w:hAnsi="Arial"/>
                <w:sz w:val="16"/>
                <w:szCs w:val="16"/>
                <w:color w:val="auto"/>
                <w:w w:val="91"/>
              </w:rPr>
              <w:t>For the Three Months Ended</w:t>
            </w:r>
          </w:p>
        </w:tc>
        <w:tc>
          <w:tcPr>
            <w:tcW w:w="88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2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5"/>
          </w:tcPr>
          <w:p>
            <w:pPr>
              <w:ind w:left="680"/>
              <w:spacing w:after="0"/>
              <w:rPr>
                <w:sz w:val="20"/>
                <w:szCs w:val="20"/>
                <w:color w:val="auto"/>
              </w:rPr>
            </w:pPr>
            <w:r>
              <w:rPr>
                <w:rFonts w:ascii="Arial" w:cs="Arial" w:eastAsia="Arial" w:hAnsi="Arial"/>
                <w:sz w:val="16"/>
                <w:szCs w:val="16"/>
                <w:color w:val="auto"/>
                <w:w w:val="97"/>
              </w:rPr>
              <w:t>March 31, 2023</w:t>
            </w:r>
          </w:p>
        </w:tc>
        <w:tc>
          <w:tcPr>
            <w:tcW w:w="90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4"/>
          </w:tcPr>
          <w:p>
            <w:pPr>
              <w:ind w:left="700"/>
              <w:spacing w:after="0"/>
              <w:rPr>
                <w:sz w:val="20"/>
                <w:szCs w:val="20"/>
                <w:color w:val="auto"/>
              </w:rPr>
            </w:pPr>
            <w:r>
              <w:rPr>
                <w:rFonts w:ascii="Arial" w:cs="Arial" w:eastAsia="Arial" w:hAnsi="Arial"/>
                <w:sz w:val="16"/>
                <w:szCs w:val="16"/>
                <w:color w:val="auto"/>
              </w:rPr>
              <w:t>March 31, 2022</w:t>
            </w: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2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Amount</w:t>
            </w:r>
          </w:p>
        </w:tc>
        <w:tc>
          <w:tcPr>
            <w:tcW w:w="80" w:type="dxa"/>
            <w:vAlign w:val="bottom"/>
            <w:gridSpan w:val="2"/>
          </w:tcPr>
          <w:p>
            <w:pPr>
              <w:spacing w:after="0"/>
              <w:rPr>
                <w:sz w:val="18"/>
                <w:szCs w:val="18"/>
                <w:color w:val="auto"/>
              </w:rPr>
            </w:pPr>
          </w:p>
        </w:tc>
        <w:tc>
          <w:tcPr>
            <w:tcW w:w="560" w:type="dxa"/>
            <w:vAlign w:val="bottom"/>
            <w:tcBorders>
              <w:bottom w:val="single" w:sz="8" w:color="auto"/>
            </w:tcBorders>
            <w:gridSpan w:val="2"/>
          </w:tcPr>
          <w:p>
            <w:pPr>
              <w:spacing w:after="0"/>
              <w:rPr>
                <w:sz w:val="18"/>
                <w:szCs w:val="18"/>
                <w:color w:val="auto"/>
              </w:rPr>
            </w:pPr>
          </w:p>
        </w:tc>
        <w:tc>
          <w:tcPr>
            <w:tcW w:w="900" w:type="dxa"/>
            <w:vAlign w:val="bottom"/>
            <w:tcBorders>
              <w:bottom w:val="single" w:sz="8" w:color="auto"/>
            </w:tcBorders>
          </w:tcPr>
          <w:p>
            <w:pPr>
              <w:jc w:val="right"/>
              <w:ind w:right="5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Amount</w:t>
            </w:r>
          </w:p>
        </w:tc>
        <w:tc>
          <w:tcPr>
            <w:tcW w:w="100" w:type="dxa"/>
            <w:vAlign w:val="bottom"/>
            <w:gridSpan w:val="2"/>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5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160" w:type="dxa"/>
            <w:vAlign w:val="bottom"/>
            <w:gridSpan w:val="9"/>
          </w:tcPr>
          <w:p>
            <w:pPr>
              <w:jc w:val="center"/>
              <w:ind w:right="1200"/>
              <w:spacing w:after="0"/>
              <w:rPr>
                <w:sz w:val="20"/>
                <w:szCs w:val="20"/>
                <w:color w:val="auto"/>
              </w:rPr>
            </w:pPr>
            <w:r>
              <w:rPr>
                <w:rFonts w:ascii="Arial" w:cs="Arial" w:eastAsia="Arial" w:hAnsi="Arial"/>
                <w:sz w:val="14"/>
                <w:szCs w:val="14"/>
                <w:i w:val="1"/>
                <w:iCs w:val="1"/>
                <w:color w:val="auto"/>
                <w:w w:val="95"/>
              </w:rPr>
              <w:t>(dollars in thousands)</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5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Federal</w:t>
            </w:r>
          </w:p>
        </w:tc>
        <w:tc>
          <w:tcPr>
            <w:tcW w:w="3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32,989</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94 %</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47,843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95 %</w:t>
            </w:r>
          </w:p>
        </w:tc>
        <w:tc>
          <w:tcPr>
            <w:tcW w:w="0" w:type="dxa"/>
            <w:vAlign w:val="bottom"/>
          </w:tcPr>
          <w:p>
            <w:pPr>
              <w:spacing w:after="0"/>
              <w:rPr>
                <w:sz w:val="1"/>
                <w:szCs w:val="1"/>
                <w:color w:val="auto"/>
              </w:rPr>
            </w:pPr>
          </w:p>
        </w:tc>
      </w:tr>
      <w:tr>
        <w:trPr>
          <w:trHeight w:val="213"/>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State &amp; local, and commercial</w:t>
            </w:r>
          </w:p>
        </w:tc>
        <w:tc>
          <w:tcPr>
            <w:tcW w:w="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2,233</w:t>
            </w: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6 %</w:t>
            </w: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2,317</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5 %</w:t>
            </w:r>
          </w:p>
        </w:tc>
        <w:tc>
          <w:tcPr>
            <w:tcW w:w="0" w:type="dxa"/>
            <w:vAlign w:val="bottom"/>
          </w:tcPr>
          <w:p>
            <w:pPr>
              <w:spacing w:after="0"/>
              <w:rPr>
                <w:sz w:val="1"/>
                <w:szCs w:val="1"/>
                <w:color w:val="auto"/>
              </w:rPr>
            </w:pPr>
          </w:p>
        </w:tc>
      </w:tr>
      <w:tr>
        <w:trPr>
          <w:trHeight w:val="237"/>
        </w:trPr>
        <w:tc>
          <w:tcPr>
            <w:tcW w:w="5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revenue</w:t>
            </w:r>
          </w:p>
        </w:tc>
        <w:tc>
          <w:tcPr>
            <w:tcW w:w="30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35,222</w:t>
            </w: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6"/>
                <w:szCs w:val="16"/>
                <w:color w:val="auto"/>
              </w:rPr>
              <w:t>100 %</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50,160</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Table 3.2: Revenue by Contract Type</w:t>
            </w: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5120" w:type="dxa"/>
            <w:vAlign w:val="bottom"/>
            <w:tcBorders>
              <w:bottom w:val="single" w:sz="8" w:color="auto"/>
            </w:tcBorders>
            <w:vMerge w:val="continue"/>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9"/>
          </w:tcPr>
          <w:p>
            <w:pPr>
              <w:jc w:val="center"/>
              <w:ind w:right="1160"/>
              <w:spacing w:after="0"/>
              <w:rPr>
                <w:sz w:val="20"/>
                <w:szCs w:val="20"/>
                <w:color w:val="auto"/>
              </w:rPr>
            </w:pPr>
            <w:r>
              <w:rPr>
                <w:rFonts w:ascii="Arial" w:cs="Arial" w:eastAsia="Arial" w:hAnsi="Arial"/>
                <w:sz w:val="16"/>
                <w:szCs w:val="16"/>
                <w:color w:val="auto"/>
                <w:w w:val="91"/>
              </w:rPr>
              <w:t>For the Three Months Ended</w:t>
            </w: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5"/>
          </w:tcPr>
          <w:p>
            <w:pPr>
              <w:ind w:left="700"/>
              <w:spacing w:after="0"/>
              <w:rPr>
                <w:sz w:val="20"/>
                <w:szCs w:val="20"/>
                <w:color w:val="auto"/>
              </w:rPr>
            </w:pPr>
            <w:r>
              <w:rPr>
                <w:rFonts w:ascii="Arial" w:cs="Arial" w:eastAsia="Arial" w:hAnsi="Arial"/>
                <w:sz w:val="16"/>
                <w:szCs w:val="16"/>
                <w:color w:val="auto"/>
                <w:w w:val="95"/>
              </w:rPr>
              <w:t>March 31, 2023</w:t>
            </w:r>
          </w:p>
        </w:tc>
        <w:tc>
          <w:tcPr>
            <w:tcW w:w="9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4"/>
          </w:tcPr>
          <w:p>
            <w:pPr>
              <w:ind w:left="700"/>
              <w:spacing w:after="0"/>
              <w:rPr>
                <w:sz w:val="20"/>
                <w:szCs w:val="20"/>
                <w:color w:val="auto"/>
              </w:rPr>
            </w:pPr>
            <w:r>
              <w:rPr>
                <w:rFonts w:ascii="Arial" w:cs="Arial" w:eastAsia="Arial" w:hAnsi="Arial"/>
                <w:sz w:val="16"/>
                <w:szCs w:val="16"/>
                <w:color w:val="auto"/>
              </w:rPr>
              <w:t>March 31, 2022</w:t>
            </w: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ind w:left="180"/>
              <w:spacing w:after="0"/>
              <w:rPr>
                <w:sz w:val="20"/>
                <w:szCs w:val="20"/>
                <w:color w:val="auto"/>
              </w:rPr>
            </w:pPr>
            <w:r>
              <w:rPr>
                <w:rFonts w:ascii="Arial" w:cs="Arial" w:eastAsia="Arial" w:hAnsi="Arial"/>
                <w:sz w:val="16"/>
                <w:szCs w:val="16"/>
                <w:color w:val="auto"/>
              </w:rPr>
              <w:t>Amount</w:t>
            </w:r>
          </w:p>
        </w:tc>
        <w:tc>
          <w:tcPr>
            <w:tcW w:w="80" w:type="dxa"/>
            <w:vAlign w:val="bottom"/>
            <w:gridSpan w:val="2"/>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54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ind w:left="180"/>
              <w:spacing w:after="0"/>
              <w:rPr>
                <w:sz w:val="20"/>
                <w:szCs w:val="20"/>
                <w:color w:val="auto"/>
              </w:rPr>
            </w:pPr>
            <w:r>
              <w:rPr>
                <w:rFonts w:ascii="Arial" w:cs="Arial" w:eastAsia="Arial" w:hAnsi="Arial"/>
                <w:sz w:val="16"/>
                <w:szCs w:val="16"/>
                <w:color w:val="auto"/>
              </w:rPr>
              <w:t>Amount</w:t>
            </w:r>
          </w:p>
        </w:tc>
        <w:tc>
          <w:tcPr>
            <w:tcW w:w="8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5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160" w:type="dxa"/>
            <w:vAlign w:val="bottom"/>
            <w:gridSpan w:val="9"/>
          </w:tcPr>
          <w:p>
            <w:pPr>
              <w:jc w:val="center"/>
              <w:ind w:right="1160"/>
              <w:spacing w:after="0"/>
              <w:rPr>
                <w:sz w:val="20"/>
                <w:szCs w:val="20"/>
                <w:color w:val="auto"/>
              </w:rPr>
            </w:pPr>
            <w:r>
              <w:rPr>
                <w:rFonts w:ascii="Arial" w:cs="Arial" w:eastAsia="Arial" w:hAnsi="Arial"/>
                <w:sz w:val="14"/>
                <w:szCs w:val="14"/>
                <w:i w:val="1"/>
                <w:iCs w:val="1"/>
                <w:color w:val="auto"/>
                <w:w w:val="95"/>
              </w:rPr>
              <w:t>(dollars in thousands)</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5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Firm fixed-price</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27,013</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77 %</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41,277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82 %</w:t>
            </w:r>
          </w:p>
        </w:tc>
        <w:tc>
          <w:tcPr>
            <w:tcW w:w="0" w:type="dxa"/>
            <w:vAlign w:val="bottom"/>
          </w:tcPr>
          <w:p>
            <w:pPr>
              <w:spacing w:after="0"/>
              <w:rPr>
                <w:sz w:val="1"/>
                <w:szCs w:val="1"/>
                <w:color w:val="auto"/>
              </w:rPr>
            </w:pPr>
          </w:p>
        </w:tc>
      </w:tr>
      <w:tr>
        <w:trPr>
          <w:trHeight w:val="213"/>
        </w:trPr>
        <w:tc>
          <w:tcPr>
            <w:tcW w:w="5120" w:type="dxa"/>
            <w:vAlign w:val="bottom"/>
          </w:tcPr>
          <w:p>
            <w:pPr>
              <w:ind w:left="20"/>
              <w:spacing w:after="0"/>
              <w:rPr>
                <w:sz w:val="20"/>
                <w:szCs w:val="20"/>
                <w:color w:val="auto"/>
              </w:rPr>
            </w:pPr>
            <w:r>
              <w:rPr>
                <w:rFonts w:ascii="Arial" w:cs="Arial" w:eastAsia="Arial" w:hAnsi="Arial"/>
                <w:sz w:val="16"/>
                <w:szCs w:val="16"/>
                <w:color w:val="auto"/>
              </w:rPr>
              <w:t>Time-and-materials</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3,556</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jc w:val="right"/>
              <w:ind w:right="220"/>
              <w:spacing w:after="0"/>
              <w:rPr>
                <w:sz w:val="20"/>
                <w:szCs w:val="20"/>
                <w:color w:val="auto"/>
              </w:rPr>
            </w:pPr>
            <w:r>
              <w:rPr>
                <w:rFonts w:ascii="Arial" w:cs="Arial" w:eastAsia="Arial" w:hAnsi="Arial"/>
                <w:sz w:val="16"/>
                <w:szCs w:val="16"/>
                <w:color w:val="auto"/>
              </w:rPr>
              <w:t>10 %</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2,916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jc w:val="right"/>
              <w:ind w:right="259"/>
              <w:spacing w:after="0"/>
              <w:rPr>
                <w:sz w:val="20"/>
                <w:szCs w:val="20"/>
                <w:color w:val="auto"/>
              </w:rPr>
            </w:pPr>
            <w:r>
              <w:rPr>
                <w:rFonts w:ascii="Arial" w:cs="Arial" w:eastAsia="Arial" w:hAnsi="Arial"/>
                <w:sz w:val="16"/>
                <w:szCs w:val="16"/>
                <w:color w:val="auto"/>
              </w:rPr>
              <w:t>6 %</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plus fixed fee</w:t>
            </w:r>
          </w:p>
        </w:tc>
        <w:tc>
          <w:tcPr>
            <w:tcW w:w="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4,653</w:t>
            </w:r>
          </w:p>
        </w:tc>
        <w:tc>
          <w:tcPr>
            <w:tcW w:w="4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6"/>
                <w:szCs w:val="16"/>
                <w:color w:val="auto"/>
              </w:rPr>
              <w:t>13 %</w:t>
            </w: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5,967</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12 %</w:t>
            </w:r>
          </w:p>
        </w:tc>
        <w:tc>
          <w:tcPr>
            <w:tcW w:w="0" w:type="dxa"/>
            <w:vAlign w:val="bottom"/>
          </w:tcPr>
          <w:p>
            <w:pPr>
              <w:spacing w:after="0"/>
              <w:rPr>
                <w:sz w:val="1"/>
                <w:szCs w:val="1"/>
                <w:color w:val="auto"/>
              </w:rPr>
            </w:pPr>
          </w:p>
        </w:tc>
      </w:tr>
      <w:tr>
        <w:trPr>
          <w:trHeight w:val="213"/>
        </w:trPr>
        <w:tc>
          <w:tcPr>
            <w:tcW w:w="5120" w:type="dxa"/>
            <w:vAlign w:val="bottom"/>
          </w:tcPr>
          <w:p>
            <w:pPr>
              <w:ind w:left="140"/>
              <w:spacing w:after="0"/>
              <w:rPr>
                <w:sz w:val="20"/>
                <w:szCs w:val="20"/>
                <w:color w:val="auto"/>
              </w:rPr>
            </w:pPr>
            <w:r>
              <w:rPr>
                <w:rFonts w:ascii="Arial" w:cs="Arial" w:eastAsia="Arial" w:hAnsi="Arial"/>
                <w:sz w:val="16"/>
                <w:szCs w:val="16"/>
                <w:color w:val="auto"/>
              </w:rPr>
              <w:t>Total revenue</w:t>
            </w:r>
          </w:p>
        </w:tc>
        <w:tc>
          <w:tcPr>
            <w:tcW w:w="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35,222</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jc w:val="right"/>
              <w:ind w:right="220"/>
              <w:spacing w:after="0"/>
              <w:rPr>
                <w:sz w:val="20"/>
                <w:szCs w:val="20"/>
                <w:color w:val="auto"/>
              </w:rPr>
            </w:pPr>
            <w:r>
              <w:rPr>
                <w:rFonts w:ascii="Arial" w:cs="Arial" w:eastAsia="Arial" w:hAnsi="Arial"/>
                <w:sz w:val="16"/>
                <w:szCs w:val="16"/>
                <w:color w:val="auto"/>
              </w:rPr>
              <w:t>100 %</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50,160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jc w:val="right"/>
              <w:ind w:right="2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Table 3.3: Revenue Concentration Greater than 10% of Total Revenue</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440" w:type="dxa"/>
            <w:vAlign w:val="bottom"/>
            <w:tcBorders>
              <w:top w:val="single" w:sz="8" w:color="auto"/>
            </w:tcBorders>
          </w:tcPr>
          <w:p>
            <w:pPr>
              <w:spacing w:after="0"/>
              <w:rPr>
                <w:sz w:val="18"/>
                <w:szCs w:val="18"/>
                <w:color w:val="auto"/>
              </w:rPr>
            </w:pPr>
          </w:p>
        </w:tc>
        <w:tc>
          <w:tcPr>
            <w:tcW w:w="25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4220" w:type="dxa"/>
            <w:vAlign w:val="bottom"/>
            <w:tcBorders>
              <w:top w:val="single" w:sz="8" w:color="auto"/>
              <w:bottom w:val="single" w:sz="8" w:color="auto"/>
            </w:tcBorders>
            <w:gridSpan w:val="6"/>
          </w:tcPr>
          <w:p>
            <w:pPr>
              <w:ind w:left="1160"/>
              <w:spacing w:after="0"/>
              <w:rPr>
                <w:sz w:val="20"/>
                <w:szCs w:val="20"/>
                <w:color w:val="auto"/>
              </w:rPr>
            </w:pPr>
            <w:r>
              <w:rPr>
                <w:rFonts w:ascii="Arial" w:cs="Arial" w:eastAsia="Arial" w:hAnsi="Arial"/>
                <w:sz w:val="16"/>
                <w:szCs w:val="16"/>
                <w:color w:val="auto"/>
              </w:rPr>
              <w:t>For the Three Months Ended</w:t>
            </w:r>
          </w:p>
        </w:tc>
      </w:tr>
      <w:tr>
        <w:trPr>
          <w:trHeight w:val="209"/>
        </w:trPr>
        <w:tc>
          <w:tcPr>
            <w:tcW w:w="4440" w:type="dxa"/>
            <w:vAlign w:val="bottom"/>
            <w:tcBorders>
              <w:bottom w:val="single" w:sz="8" w:color="CCEEFF"/>
            </w:tcBorders>
          </w:tcPr>
          <w:p>
            <w:pPr>
              <w:spacing w:after="0"/>
              <w:rPr>
                <w:sz w:val="18"/>
                <w:szCs w:val="18"/>
                <w:color w:val="auto"/>
              </w:rPr>
            </w:pPr>
          </w:p>
        </w:tc>
        <w:tc>
          <w:tcPr>
            <w:tcW w:w="25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w w:val="91"/>
              </w:rPr>
              <w:t>March 31, 2023</w:t>
            </w:r>
          </w:p>
        </w:tc>
        <w:tc>
          <w:tcPr>
            <w:tcW w:w="5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March 31, 2022</w:t>
            </w:r>
          </w:p>
        </w:tc>
      </w:tr>
      <w:tr>
        <w:trPr>
          <w:trHeight w:val="213"/>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Department of Defense ("DoD")</w:t>
            </w:r>
          </w:p>
        </w:tc>
        <w:tc>
          <w:tcPr>
            <w:tcW w:w="2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1180"/>
              <w:spacing w:after="0"/>
              <w:rPr>
                <w:sz w:val="20"/>
                <w:szCs w:val="20"/>
                <w:color w:val="auto"/>
              </w:rPr>
            </w:pPr>
            <w:r>
              <w:rPr>
                <w:rFonts w:ascii="Arial" w:cs="Arial" w:eastAsia="Arial" w:hAnsi="Arial"/>
                <w:sz w:val="16"/>
                <w:szCs w:val="16"/>
                <w:color w:val="auto"/>
                <w:w w:val="98"/>
              </w:rPr>
              <w:t>68 %</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71 %</w:t>
            </w:r>
          </w:p>
        </w:tc>
      </w:tr>
      <w:tr>
        <w:trPr>
          <w:trHeight w:val="210"/>
        </w:trPr>
        <w:tc>
          <w:tcPr>
            <w:tcW w:w="4440" w:type="dxa"/>
            <w:vAlign w:val="bottom"/>
          </w:tcPr>
          <w:p>
            <w:pPr>
              <w:ind w:left="20"/>
              <w:spacing w:after="0"/>
              <w:rPr>
                <w:sz w:val="20"/>
                <w:szCs w:val="20"/>
                <w:color w:val="auto"/>
              </w:rPr>
            </w:pPr>
            <w:r>
              <w:rPr>
                <w:rFonts w:ascii="Arial" w:cs="Arial" w:eastAsia="Arial" w:hAnsi="Arial"/>
                <w:sz w:val="16"/>
                <w:szCs w:val="16"/>
                <w:color w:val="auto"/>
              </w:rPr>
              <w:t>Civilian</w:t>
            </w:r>
          </w:p>
        </w:tc>
        <w:tc>
          <w:tcPr>
            <w:tcW w:w="2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gridSpan w:val="2"/>
          </w:tcPr>
          <w:p>
            <w:pPr>
              <w:ind w:left="1180"/>
              <w:spacing w:after="0"/>
              <w:rPr>
                <w:sz w:val="20"/>
                <w:szCs w:val="20"/>
                <w:color w:val="auto"/>
              </w:rPr>
            </w:pPr>
            <w:r>
              <w:rPr>
                <w:rFonts w:ascii="Arial" w:cs="Arial" w:eastAsia="Arial" w:hAnsi="Arial"/>
                <w:sz w:val="16"/>
                <w:szCs w:val="16"/>
                <w:color w:val="auto"/>
                <w:w w:val="98"/>
              </w:rPr>
              <w:t>26 %</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80" w:type="dxa"/>
            <w:vAlign w:val="bottom"/>
          </w:tcPr>
          <w:p>
            <w:pPr>
              <w:jc w:val="right"/>
              <w:ind w:right="479"/>
              <w:spacing w:after="0"/>
              <w:rPr>
                <w:sz w:val="20"/>
                <w:szCs w:val="20"/>
                <w:color w:val="auto"/>
              </w:rPr>
            </w:pPr>
            <w:r>
              <w:rPr>
                <w:rFonts w:ascii="Arial" w:cs="Arial" w:eastAsia="Arial" w:hAnsi="Arial"/>
                <w:sz w:val="16"/>
                <w:szCs w:val="16"/>
                <w:color w:val="auto"/>
              </w:rPr>
              <w:t>24 %</w:t>
            </w:r>
          </w:p>
        </w:tc>
      </w:tr>
      <w:tr>
        <w:trPr>
          <w:trHeight w:val="503"/>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Table 3.4: Contract Balances</w:t>
            </w:r>
          </w:p>
        </w:tc>
        <w:tc>
          <w:tcPr>
            <w:tcW w:w="25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r>
        <w:trPr>
          <w:trHeight w:val="210"/>
        </w:trPr>
        <w:tc>
          <w:tcPr>
            <w:tcW w:w="4440" w:type="dxa"/>
            <w:vAlign w:val="bottom"/>
          </w:tcPr>
          <w:p>
            <w:pPr>
              <w:spacing w:after="0"/>
              <w:rPr>
                <w:sz w:val="18"/>
                <w:szCs w:val="18"/>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Balance Sheet Presentation</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4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w w:val="89"/>
              </w:rPr>
              <w:t>March 31, 2023</w:t>
            </w:r>
          </w:p>
        </w:tc>
        <w:tc>
          <w:tcPr>
            <w:tcW w:w="5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91"/>
              </w:rPr>
              <w:t>December 31, 2022</w:t>
            </w:r>
          </w:p>
        </w:tc>
      </w:tr>
      <w:tr>
        <w:trPr>
          <w:trHeight w:val="214"/>
        </w:trPr>
        <w:tc>
          <w:tcPr>
            <w:tcW w:w="44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0" w:type="dxa"/>
            <w:vAlign w:val="bottom"/>
            <w:gridSpan w:val="4"/>
          </w:tcPr>
          <w:p>
            <w:pPr>
              <w:jc w:val="right"/>
              <w:ind w:right="20"/>
              <w:spacing w:after="0"/>
              <w:rPr>
                <w:sz w:val="20"/>
                <w:szCs w:val="20"/>
                <w:color w:val="auto"/>
              </w:rPr>
            </w:pPr>
            <w:r>
              <w:rPr>
                <w:rFonts w:ascii="Arial" w:cs="Arial" w:eastAsia="Arial" w:hAnsi="Arial"/>
                <w:sz w:val="14"/>
                <w:szCs w:val="14"/>
                <w:i w:val="1"/>
                <w:iCs w:val="1"/>
                <w:color w:val="auto"/>
              </w:rPr>
              <w:t>(in thousands)</w:t>
            </w:r>
          </w:p>
        </w:tc>
        <w:tc>
          <w:tcPr>
            <w:tcW w:w="1680" w:type="dxa"/>
            <w:vAlign w:val="bottom"/>
          </w:tcPr>
          <w:p>
            <w:pPr>
              <w:spacing w:after="0"/>
              <w:rPr>
                <w:sz w:val="18"/>
                <w:szCs w:val="18"/>
                <w:color w:val="auto"/>
              </w:rPr>
            </w:pPr>
          </w:p>
        </w:tc>
      </w:tr>
      <w:tr>
        <w:trPr>
          <w:trHeight w:val="25"/>
        </w:trPr>
        <w:tc>
          <w:tcPr>
            <w:tcW w:w="44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16"/>
        </w:trPr>
        <w:tc>
          <w:tcPr>
            <w:tcW w:w="44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Billed accounts receivables </w:t>
            </w:r>
            <w:r>
              <w:rPr>
                <w:rFonts w:ascii="Arial" w:cs="Arial" w:eastAsia="Arial" w:hAnsi="Arial"/>
                <w:sz w:val="21"/>
                <w:szCs w:val="21"/>
                <w:color w:val="auto"/>
                <w:vertAlign w:val="superscript"/>
              </w:rPr>
              <w:t>(1)</w:t>
            </w:r>
          </w:p>
        </w:tc>
        <w:tc>
          <w:tcPr>
            <w:tcW w:w="2560" w:type="dxa"/>
            <w:vAlign w:val="bottom"/>
            <w:gridSpan w:val="2"/>
            <w:shd w:val="clear" w:color="auto" w:fill="CCEEFF"/>
          </w:tcPr>
          <w:p>
            <w:pPr>
              <w:jc w:val="center"/>
              <w:ind w:right="40"/>
              <w:spacing w:after="0"/>
              <w:rPr>
                <w:sz w:val="20"/>
                <w:szCs w:val="20"/>
                <w:color w:val="auto"/>
              </w:rPr>
            </w:pPr>
            <w:r>
              <w:rPr>
                <w:rFonts w:ascii="Arial" w:cs="Arial" w:eastAsia="Arial" w:hAnsi="Arial"/>
                <w:sz w:val="16"/>
                <w:szCs w:val="16"/>
                <w:color w:val="auto"/>
                <w:w w:val="91"/>
              </w:rPr>
              <w:t>Accounts receivable, net</w:t>
            </w:r>
          </w:p>
        </w:tc>
        <w:tc>
          <w:tcPr>
            <w:tcW w:w="1560" w:type="dxa"/>
            <w:vAlign w:val="bottom"/>
            <w:gridSpan w:val="2"/>
            <w:shd w:val="clear" w:color="auto" w:fill="CCEEFF"/>
          </w:tcPr>
          <w:p>
            <w:pPr>
              <w:jc w:val="right"/>
              <w:ind w:right="1359"/>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18,297</w:t>
            </w: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13,521</w:t>
            </w:r>
          </w:p>
        </w:tc>
      </w:tr>
      <w:tr>
        <w:trPr>
          <w:trHeight w:val="213"/>
        </w:trPr>
        <w:tc>
          <w:tcPr>
            <w:tcW w:w="4440" w:type="dxa"/>
            <w:vAlign w:val="bottom"/>
          </w:tcPr>
          <w:p>
            <w:pPr>
              <w:ind w:left="20"/>
              <w:spacing w:after="0"/>
              <w:rPr>
                <w:sz w:val="20"/>
                <w:szCs w:val="20"/>
                <w:color w:val="auto"/>
              </w:rPr>
            </w:pPr>
            <w:r>
              <w:rPr>
                <w:rFonts w:ascii="Arial" w:cs="Arial" w:eastAsia="Arial" w:hAnsi="Arial"/>
                <w:sz w:val="16"/>
                <w:szCs w:val="16"/>
                <w:color w:val="auto"/>
              </w:rPr>
              <w:t>Unbilled accounts receivable</w:t>
            </w:r>
          </w:p>
        </w:tc>
        <w:tc>
          <w:tcPr>
            <w:tcW w:w="2560" w:type="dxa"/>
            <w:vAlign w:val="bottom"/>
            <w:gridSpan w:val="2"/>
          </w:tcPr>
          <w:p>
            <w:pPr>
              <w:jc w:val="center"/>
              <w:ind w:right="40"/>
              <w:spacing w:after="0"/>
              <w:rPr>
                <w:sz w:val="20"/>
                <w:szCs w:val="20"/>
                <w:color w:val="auto"/>
              </w:rPr>
            </w:pPr>
            <w:r>
              <w:rPr>
                <w:rFonts w:ascii="Arial" w:cs="Arial" w:eastAsia="Arial" w:hAnsi="Arial"/>
                <w:sz w:val="16"/>
                <w:szCs w:val="16"/>
                <w:color w:val="auto"/>
                <w:w w:val="91"/>
              </w:rPr>
              <w:t>Accounts receivable, net</w:t>
            </w:r>
          </w:p>
        </w:tc>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4,658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11,657</w:t>
            </w:r>
          </w:p>
        </w:tc>
      </w:tr>
      <w:tr>
        <w:trPr>
          <w:trHeight w:val="219"/>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 assets</w:t>
            </w:r>
          </w:p>
        </w:tc>
        <w:tc>
          <w:tcPr>
            <w:tcW w:w="2560" w:type="dxa"/>
            <w:vAlign w:val="bottom"/>
            <w:gridSpan w:val="2"/>
            <w:shd w:val="clear" w:color="auto" w:fill="CCEEFF"/>
          </w:tcPr>
          <w:p>
            <w:pPr>
              <w:jc w:val="center"/>
              <w:ind w:right="40"/>
              <w:spacing w:after="0"/>
              <w:rPr>
                <w:sz w:val="20"/>
                <w:szCs w:val="20"/>
                <w:color w:val="auto"/>
              </w:rPr>
            </w:pPr>
            <w:r>
              <w:rPr>
                <w:rFonts w:ascii="Arial" w:cs="Arial" w:eastAsia="Arial" w:hAnsi="Arial"/>
                <w:sz w:val="16"/>
                <w:szCs w:val="16"/>
                <w:color w:val="auto"/>
                <w:w w:val="91"/>
              </w:rPr>
              <w:t>Accounts receivable, net</w:t>
            </w:r>
          </w:p>
        </w:tc>
        <w:tc>
          <w:tcPr>
            <w:tcW w:w="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11,747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14,891</w:t>
            </w:r>
          </w:p>
        </w:tc>
      </w:tr>
      <w:tr>
        <w:trPr>
          <w:trHeight w:val="210"/>
        </w:trPr>
        <w:tc>
          <w:tcPr>
            <w:tcW w:w="4440" w:type="dxa"/>
            <w:vAlign w:val="bottom"/>
          </w:tcPr>
          <w:p>
            <w:pPr>
              <w:ind w:left="20"/>
              <w:spacing w:after="0"/>
              <w:rPr>
                <w:sz w:val="20"/>
                <w:szCs w:val="20"/>
                <w:color w:val="auto"/>
              </w:rPr>
            </w:pPr>
            <w:r>
              <w:rPr>
                <w:rFonts w:ascii="Arial" w:cs="Arial" w:eastAsia="Arial" w:hAnsi="Arial"/>
                <w:sz w:val="16"/>
                <w:szCs w:val="16"/>
                <w:color w:val="auto"/>
              </w:rPr>
              <w:t>Contract liabilities</w:t>
            </w:r>
          </w:p>
        </w:tc>
        <w:tc>
          <w:tcPr>
            <w:tcW w:w="2560" w:type="dxa"/>
            <w:vAlign w:val="bottom"/>
            <w:gridSpan w:val="2"/>
          </w:tcPr>
          <w:p>
            <w:pPr>
              <w:jc w:val="center"/>
              <w:ind w:right="40"/>
              <w:spacing w:after="0"/>
              <w:rPr>
                <w:sz w:val="20"/>
                <w:szCs w:val="20"/>
                <w:color w:val="auto"/>
              </w:rPr>
            </w:pPr>
            <w:r>
              <w:rPr>
                <w:rFonts w:ascii="Arial" w:cs="Arial" w:eastAsia="Arial" w:hAnsi="Arial"/>
                <w:sz w:val="16"/>
                <w:szCs w:val="16"/>
                <w:color w:val="auto"/>
                <w:w w:val="95"/>
              </w:rPr>
              <w:t>Contract liabilities</w:t>
            </w:r>
          </w:p>
        </w:tc>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7,203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6,444</w:t>
            </w:r>
          </w:p>
        </w:tc>
      </w:tr>
    </w:tbl>
    <w:p>
      <w:pPr>
        <w:spacing w:after="0" w:line="219" w:lineRule="exact"/>
        <w:rPr>
          <w:sz w:val="20"/>
          <w:szCs w:val="20"/>
          <w:color w:val="auto"/>
        </w:rPr>
      </w:pPr>
    </w:p>
    <w:p>
      <w:pPr>
        <w:ind w:left="160" w:hanging="152"/>
        <w:spacing w:after="0"/>
        <w:tabs>
          <w:tab w:leader="none" w:pos="160"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Net of allowance for credit losses.</w:t>
      </w:r>
    </w:p>
    <w:p>
      <w:pPr>
        <w:spacing w:after="0" w:line="146"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The significant change in the Company's contract assets and contract liabilities during the current period was primarily the result of the timing differences between the Company's performance, invoicing and customer payments. Revenue recognized for the three months ended March 31, 2023 and 2022, that was included in the contract liabilities balance at the beginning of each reporting period was $2.5 million and $2.5 million, respectively.</w:t>
      </w:r>
    </w:p>
    <w:p>
      <w:pPr>
        <w:spacing w:after="0" w:line="95"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As of March 31, 2023, we had approximately $77.4 million of remaining performance obligations, which we also refer to as funded backlog. We expect to recognize approximately 70% of our remaining performance obligations as revenue in 2023, an additional 29% in 2024, and the balance thereafter.</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i w:val="1"/>
          <w:iCs w:val="1"/>
          <w:u w:val="single" w:color="auto"/>
          <w:color w:val="auto"/>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4. ACCOUNTS RECEIVABLE, NET</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Table 4: Details of Accounts Receivable, Net</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Borders>
              <w:top w:val="single" w:sz="8" w:color="auto"/>
            </w:tcBorders>
          </w:tcPr>
          <w:p>
            <w:pPr>
              <w:spacing w:after="0"/>
              <w:rPr>
                <w:sz w:val="18"/>
                <w:szCs w:val="18"/>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March 31, 2023</w:t>
            </w:r>
          </w:p>
        </w:tc>
        <w:tc>
          <w:tcPr>
            <w:tcW w:w="5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w w:val="91"/>
              </w:rPr>
              <w:t>December 31, 2022</w:t>
            </w:r>
          </w:p>
        </w:tc>
      </w:tr>
      <w:tr>
        <w:trPr>
          <w:trHeight w:val="214"/>
        </w:trPr>
        <w:tc>
          <w:tcPr>
            <w:tcW w:w="70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1700" w:type="dxa"/>
            <w:vAlign w:val="bottom"/>
          </w:tcPr>
          <w:p>
            <w:pPr>
              <w:spacing w:after="0"/>
              <w:rPr>
                <w:sz w:val="18"/>
                <w:szCs w:val="18"/>
                <w:color w:val="auto"/>
              </w:rPr>
            </w:pPr>
          </w:p>
        </w:tc>
      </w:tr>
      <w:tr>
        <w:trPr>
          <w:trHeight w:val="26"/>
        </w:trPr>
        <w:tc>
          <w:tcPr>
            <w:tcW w:w="70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Billed accounts receivable</w:t>
            </w:r>
          </w:p>
        </w:tc>
        <w:tc>
          <w:tcPr>
            <w:tcW w:w="1560" w:type="dxa"/>
            <w:vAlign w:val="bottom"/>
            <w:shd w:val="clear" w:color="auto" w:fill="CCEEFF"/>
          </w:tcPr>
          <w:p>
            <w:pPr>
              <w:jc w:val="right"/>
              <w:ind w:right="137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18,520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13,655</w:t>
            </w:r>
          </w:p>
        </w:tc>
      </w:tr>
      <w:tr>
        <w:trPr>
          <w:trHeight w:val="213"/>
        </w:trPr>
        <w:tc>
          <w:tcPr>
            <w:tcW w:w="7000" w:type="dxa"/>
            <w:vAlign w:val="bottom"/>
          </w:tcPr>
          <w:p>
            <w:pPr>
              <w:ind w:left="20"/>
              <w:spacing w:after="0"/>
              <w:rPr>
                <w:sz w:val="20"/>
                <w:szCs w:val="20"/>
                <w:color w:val="auto"/>
              </w:rPr>
            </w:pPr>
            <w:r>
              <w:rPr>
                <w:rFonts w:ascii="Arial" w:cs="Arial" w:eastAsia="Arial" w:hAnsi="Arial"/>
                <w:sz w:val="16"/>
                <w:szCs w:val="16"/>
                <w:color w:val="auto"/>
              </w:rPr>
              <w:t>Unbilled accounts receivable</w:t>
            </w:r>
          </w:p>
        </w:tc>
        <w:tc>
          <w:tcPr>
            <w:tcW w:w="15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4,658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11,657</w:t>
            </w:r>
          </w:p>
        </w:tc>
      </w:tr>
      <w:tr>
        <w:trPr>
          <w:trHeight w:val="219"/>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 assets</w:t>
            </w:r>
          </w:p>
        </w:tc>
        <w:tc>
          <w:tcPr>
            <w:tcW w:w="15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11,747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14,891</w:t>
            </w:r>
          </w:p>
        </w:tc>
      </w:tr>
      <w:tr>
        <w:trPr>
          <w:trHeight w:val="216"/>
        </w:trPr>
        <w:tc>
          <w:tcPr>
            <w:tcW w:w="700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 xml:space="preserve">Allowance for credit losses </w:t>
            </w:r>
            <w:r>
              <w:rPr>
                <w:rFonts w:ascii="Arial" w:cs="Arial" w:eastAsia="Arial" w:hAnsi="Arial"/>
                <w:sz w:val="21"/>
                <w:szCs w:val="21"/>
                <w:color w:val="auto"/>
                <w:vertAlign w:val="superscript"/>
              </w:rPr>
              <w:t>(1)</w:t>
            </w:r>
          </w:p>
        </w:tc>
        <w:tc>
          <w:tcPr>
            <w:tcW w:w="15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w:t>
            </w:r>
          </w:p>
        </w:tc>
      </w:tr>
      <w:tr>
        <w:trPr>
          <w:trHeight w:val="232"/>
        </w:trPr>
        <w:tc>
          <w:tcPr>
            <w:tcW w:w="7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Accounts receivable, net</w:t>
            </w:r>
          </w:p>
        </w:tc>
        <w:tc>
          <w:tcPr>
            <w:tcW w:w="1560" w:type="dxa"/>
            <w:vAlign w:val="bottom"/>
            <w:tcBorders>
              <w:bottom w:val="single" w:sz="8" w:color="auto"/>
            </w:tcBorders>
            <w:shd w:val="clear" w:color="auto" w:fill="CCEEFF"/>
          </w:tcPr>
          <w:p>
            <w:pPr>
              <w:jc w:val="right"/>
              <w:ind w:right="137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34,702</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40,069</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vertAlign w:val="superscript"/>
        </w:rPr>
        <w:t>(1)</w:t>
      </w:r>
      <w:r>
        <w:rPr>
          <w:rFonts w:ascii="Arial" w:cs="Arial" w:eastAsia="Arial" w:hAnsi="Arial"/>
          <w:sz w:val="14"/>
          <w:szCs w:val="14"/>
          <w:color w:val="auto"/>
        </w:rPr>
        <w:t xml:space="preserve"> Includes provision for credit losses, net of recoveries.</w:t>
      </w:r>
    </w:p>
    <w:p>
      <w:pPr>
        <w:spacing w:after="0" w:line="127"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As our primary customer base includes agencies of the U.S. government, we have a concentration of credit risk associated with our accounts receivable, as 95% of our billed and unbilled accounts receivable as of March 31, 2023 were directly with U.S. government customers. While we acknowledge the potential material and adverse risk of such a significant concentration of credit risk, our past experience collecting substantially all of such receivables provides us with an informed basis that such risk, if any, is manageable. We perform ongoing credit evaluations of all of our customers and generally do not require collateral or other guarantee from our customers. We maintain allowances for potential losses.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5. INVENTORIES, NET</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Table 5: Details of Inventories, Net</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Borders>
              <w:top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March 31, 2023</w:t>
            </w:r>
          </w:p>
        </w:tc>
        <w:tc>
          <w:tcPr>
            <w:tcW w:w="4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w w:val="91"/>
              </w:rPr>
              <w:t>December 31, 2022</w:t>
            </w:r>
          </w:p>
        </w:tc>
      </w:tr>
      <w:tr>
        <w:trPr>
          <w:trHeight w:val="214"/>
        </w:trPr>
        <w:tc>
          <w:tcPr>
            <w:tcW w:w="70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940" w:type="dxa"/>
            <w:vAlign w:val="bottom"/>
            <w:gridSpan w:val="3"/>
          </w:tcPr>
          <w:p>
            <w:pPr>
              <w:ind w:left="100"/>
              <w:spacing w:after="0"/>
              <w:rPr>
                <w:sz w:val="20"/>
                <w:szCs w:val="20"/>
                <w:color w:val="auto"/>
              </w:rPr>
            </w:pPr>
            <w:r>
              <w:rPr>
                <w:rFonts w:ascii="Arial" w:cs="Arial" w:eastAsia="Arial" w:hAnsi="Arial"/>
                <w:sz w:val="14"/>
                <w:szCs w:val="14"/>
                <w:i w:val="1"/>
                <w:iCs w:val="1"/>
                <w:color w:val="auto"/>
                <w:w w:val="92"/>
              </w:rPr>
              <w:t>(in thousands)</w:t>
            </w:r>
          </w:p>
        </w:tc>
        <w:tc>
          <w:tcPr>
            <w:tcW w:w="1700" w:type="dxa"/>
            <w:vAlign w:val="bottom"/>
          </w:tcPr>
          <w:p>
            <w:pPr>
              <w:spacing w:after="0"/>
              <w:rPr>
                <w:sz w:val="18"/>
                <w:szCs w:val="18"/>
                <w:color w:val="auto"/>
              </w:rPr>
            </w:pPr>
          </w:p>
        </w:tc>
      </w:tr>
      <w:tr>
        <w:trPr>
          <w:trHeight w:val="26"/>
        </w:trPr>
        <w:tc>
          <w:tcPr>
            <w:tcW w:w="70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inventory</w:t>
            </w:r>
          </w:p>
        </w:tc>
        <w:tc>
          <w:tcPr>
            <w:tcW w:w="1600" w:type="dxa"/>
            <w:vAlign w:val="bottom"/>
            <w:shd w:val="clear" w:color="auto" w:fill="CCEEFF"/>
          </w:tcPr>
          <w:p>
            <w:pPr>
              <w:jc w:val="right"/>
              <w:ind w:right="141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2,394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3,642</w:t>
            </w:r>
          </w:p>
        </w:tc>
      </w:tr>
      <w:tr>
        <w:trPr>
          <w:trHeight w:val="213"/>
        </w:trPr>
        <w:tc>
          <w:tcPr>
            <w:tcW w:w="7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Allowance for inventory obsolescence</w:t>
            </w:r>
          </w:p>
        </w:tc>
        <w:tc>
          <w:tcPr>
            <w:tcW w:w="16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w w:val="96"/>
              </w:rPr>
              <w:t>(765)</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(765)</w:t>
            </w:r>
          </w:p>
        </w:tc>
      </w:tr>
      <w:tr>
        <w:trPr>
          <w:trHeight w:val="235"/>
        </w:trPr>
        <w:tc>
          <w:tcPr>
            <w:tcW w:w="7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Inventories, net</w:t>
            </w:r>
          </w:p>
        </w:tc>
        <w:tc>
          <w:tcPr>
            <w:tcW w:w="1600" w:type="dxa"/>
            <w:vAlign w:val="bottom"/>
            <w:tcBorders>
              <w:bottom w:val="single" w:sz="8" w:color="auto"/>
            </w:tcBorders>
            <w:shd w:val="clear" w:color="auto" w:fill="CCEEFF"/>
          </w:tcPr>
          <w:p>
            <w:pPr>
              <w:jc w:val="right"/>
              <w:ind w:right="141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1,629</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2,877</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6. PROPERTY AND EQUIPMENT, NET</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Table 6: Details of Property and Equipment, Net</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ind w:right="440"/>
              <w:spacing w:after="0"/>
              <w:rPr>
                <w:sz w:val="20"/>
                <w:szCs w:val="20"/>
                <w:color w:val="auto"/>
              </w:rPr>
            </w:pPr>
            <w:r>
              <w:rPr>
                <w:rFonts w:ascii="Arial" w:cs="Arial" w:eastAsia="Arial" w:hAnsi="Arial"/>
                <w:sz w:val="16"/>
                <w:szCs w:val="16"/>
                <w:color w:val="auto"/>
              </w:rPr>
              <w:t>March 31, 2023</w:t>
            </w:r>
          </w:p>
        </w:tc>
        <w:tc>
          <w:tcPr>
            <w:tcW w:w="8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w w:val="91"/>
              </w:rPr>
              <w:t>December 31, 2022</w:t>
            </w:r>
          </w:p>
        </w:tc>
      </w:tr>
      <w:tr>
        <w:trPr>
          <w:trHeight w:val="214"/>
        </w:trPr>
        <w:tc>
          <w:tcPr>
            <w:tcW w:w="7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2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1700" w:type="dxa"/>
            <w:vAlign w:val="bottom"/>
          </w:tcPr>
          <w:p>
            <w:pPr>
              <w:spacing w:after="0"/>
              <w:rPr>
                <w:sz w:val="18"/>
                <w:szCs w:val="18"/>
                <w:color w:val="auto"/>
              </w:rPr>
            </w:pPr>
          </w:p>
        </w:tc>
      </w:tr>
      <w:tr>
        <w:trPr>
          <w:trHeight w:val="25"/>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Furniture and equipment</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16,104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16,033</w:t>
            </w:r>
          </w:p>
        </w:tc>
      </w:tr>
      <w:tr>
        <w:trPr>
          <w:trHeight w:val="213"/>
        </w:trPr>
        <w:tc>
          <w:tcPr>
            <w:tcW w:w="7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Leasehold improvement</w:t>
            </w:r>
          </w:p>
        </w:tc>
        <w:tc>
          <w:tcPr>
            <w:tcW w:w="3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3,171</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3,145</w:t>
            </w:r>
          </w:p>
        </w:tc>
      </w:tr>
      <w:tr>
        <w:trPr>
          <w:trHeight w:val="213"/>
        </w:trPr>
        <w:tc>
          <w:tcPr>
            <w:tcW w:w="7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Property and equipment, at cost</w:t>
            </w:r>
          </w:p>
        </w:tc>
        <w:tc>
          <w:tcPr>
            <w:tcW w:w="3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19,275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19,178</w:t>
            </w:r>
          </w:p>
        </w:tc>
      </w:tr>
      <w:tr>
        <w:trPr>
          <w:trHeight w:val="213"/>
        </w:trPr>
        <w:tc>
          <w:tcPr>
            <w:tcW w:w="7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Accumulated depreciation and amortization</w:t>
            </w:r>
          </w:p>
        </w:tc>
        <w:tc>
          <w:tcPr>
            <w:tcW w:w="3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(14,869)</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(14,391)</w:t>
            </w:r>
          </w:p>
        </w:tc>
      </w:tr>
      <w:tr>
        <w:trPr>
          <w:trHeight w:val="234"/>
        </w:trPr>
        <w:tc>
          <w:tcPr>
            <w:tcW w:w="7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Property and equipment, net</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4,406</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4,787</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expense was $0.6 million for both three months ended March 31, 2023 and 2022,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7. GOODWILL</w:t>
      </w:r>
    </w:p>
    <w:p>
      <w:pPr>
        <w:spacing w:after="0" w:line="1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goodwill balance was $17.9 million as of March 31, 2023, and December 31, 2022, of which $3.0 million is allocated to the Security Solutions segment and $14.9 million is allocated to the Secure Networks segment. Goodwill is subject to annual impairment tests and if triggering events are present in the interim before the annual tests, we will assess impairment. No impairment charges were recorded for the three months ended March 31, 2023 and 2022.</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u w:val="single" w:color="auto"/>
          <w:color w:val="auto"/>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8. INTANGIBLE ASSETS, NET</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Table 8: Details of Intangible Assets, Net</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40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gridSpan w:val="3"/>
          </w:tcPr>
          <w:p>
            <w:pPr>
              <w:jc w:val="center"/>
              <w:ind w:right="80"/>
              <w:spacing w:after="0"/>
              <w:rPr>
                <w:sz w:val="20"/>
                <w:szCs w:val="20"/>
                <w:color w:val="auto"/>
              </w:rPr>
            </w:pPr>
            <w:r>
              <w:rPr>
                <w:rFonts w:ascii="Arial" w:cs="Arial" w:eastAsia="Arial" w:hAnsi="Arial"/>
                <w:sz w:val="16"/>
                <w:szCs w:val="16"/>
                <w:color w:val="auto"/>
                <w:w w:val="91"/>
              </w:rPr>
              <w:t>March 31, 2023</w:t>
            </w: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gridSpan w:val="4"/>
          </w:tcPr>
          <w:p>
            <w:pPr>
              <w:jc w:val="center"/>
              <w:spacing w:after="0"/>
              <w:rPr>
                <w:sz w:val="20"/>
                <w:szCs w:val="20"/>
                <w:color w:val="auto"/>
              </w:rPr>
            </w:pPr>
            <w:r>
              <w:rPr>
                <w:rFonts w:ascii="Arial" w:cs="Arial" w:eastAsia="Arial" w:hAnsi="Arial"/>
                <w:sz w:val="16"/>
                <w:szCs w:val="16"/>
                <w:color w:val="auto"/>
                <w:w w:val="89"/>
              </w:rPr>
              <w:t>December 31, 2022</w:t>
            </w: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r>
      <w:tr>
        <w:trPr>
          <w:trHeight w:val="143"/>
        </w:trPr>
        <w:tc>
          <w:tcPr>
            <w:tcW w:w="2400" w:type="dxa"/>
            <w:vAlign w:val="bottom"/>
          </w:tcPr>
          <w:p>
            <w:pPr>
              <w:spacing w:after="0"/>
              <w:rPr>
                <w:sz w:val="12"/>
                <w:szCs w:val="12"/>
                <w:color w:val="auto"/>
              </w:rPr>
            </w:pPr>
          </w:p>
        </w:tc>
        <w:tc>
          <w:tcPr>
            <w:tcW w:w="1600" w:type="dxa"/>
            <w:vAlign w:val="bottom"/>
          </w:tcPr>
          <w:p>
            <w:pPr>
              <w:jc w:val="center"/>
              <w:ind w:left="404"/>
              <w:spacing w:after="0" w:line="143" w:lineRule="exact"/>
              <w:rPr>
                <w:sz w:val="20"/>
                <w:szCs w:val="20"/>
                <w:color w:val="auto"/>
              </w:rPr>
            </w:pPr>
            <w:r>
              <w:rPr>
                <w:rFonts w:ascii="Arial" w:cs="Arial" w:eastAsia="Arial" w:hAnsi="Arial"/>
                <w:sz w:val="14"/>
                <w:szCs w:val="14"/>
                <w:color w:val="auto"/>
                <w:w w:val="94"/>
              </w:rPr>
              <w:t>Estimated Useful</w:t>
            </w:r>
          </w:p>
        </w:tc>
        <w:tc>
          <w:tcPr>
            <w:tcW w:w="120" w:type="dxa"/>
            <w:vAlign w:val="bottom"/>
          </w:tcPr>
          <w:p>
            <w:pPr>
              <w:spacing w:after="0"/>
              <w:rPr>
                <w:sz w:val="12"/>
                <w:szCs w:val="12"/>
                <w:color w:val="auto"/>
              </w:rPr>
            </w:pPr>
          </w:p>
        </w:tc>
        <w:tc>
          <w:tcPr>
            <w:tcW w:w="1100" w:type="dxa"/>
            <w:vAlign w:val="bottom"/>
            <w:gridSpan w:val="2"/>
          </w:tcPr>
          <w:p>
            <w:pPr>
              <w:spacing w:after="0" w:line="143" w:lineRule="exact"/>
              <w:rPr>
                <w:sz w:val="20"/>
                <w:szCs w:val="20"/>
                <w:color w:val="auto"/>
              </w:rPr>
            </w:pPr>
            <w:r>
              <w:rPr>
                <w:rFonts w:ascii="Arial" w:cs="Arial" w:eastAsia="Arial" w:hAnsi="Arial"/>
                <w:sz w:val="14"/>
                <w:szCs w:val="14"/>
                <w:color w:val="auto"/>
              </w:rPr>
              <w:t>Gross Carrying</w:t>
            </w:r>
          </w:p>
        </w:tc>
        <w:tc>
          <w:tcPr>
            <w:tcW w:w="140" w:type="dxa"/>
            <w:vAlign w:val="bottom"/>
          </w:tcPr>
          <w:p>
            <w:pPr>
              <w:spacing w:after="0"/>
              <w:rPr>
                <w:sz w:val="12"/>
                <w:szCs w:val="12"/>
                <w:color w:val="auto"/>
              </w:rPr>
            </w:pPr>
          </w:p>
        </w:tc>
        <w:tc>
          <w:tcPr>
            <w:tcW w:w="1080" w:type="dxa"/>
            <w:vAlign w:val="bottom"/>
            <w:gridSpan w:val="2"/>
          </w:tcPr>
          <w:p>
            <w:pPr>
              <w:jc w:val="center"/>
              <w:ind w:right="220"/>
              <w:spacing w:after="0" w:line="143" w:lineRule="exact"/>
              <w:rPr>
                <w:sz w:val="20"/>
                <w:szCs w:val="20"/>
                <w:color w:val="auto"/>
              </w:rPr>
            </w:pPr>
            <w:r>
              <w:rPr>
                <w:rFonts w:ascii="Arial" w:cs="Arial" w:eastAsia="Arial" w:hAnsi="Arial"/>
                <w:sz w:val="14"/>
                <w:szCs w:val="14"/>
                <w:color w:val="auto"/>
                <w:w w:val="96"/>
              </w:rPr>
              <w:t>Accumulated</w:t>
            </w:r>
          </w:p>
        </w:tc>
        <w:tc>
          <w:tcPr>
            <w:tcW w:w="160" w:type="dxa"/>
            <w:vAlign w:val="bottom"/>
          </w:tcPr>
          <w:p>
            <w:pPr>
              <w:spacing w:after="0"/>
              <w:rPr>
                <w:sz w:val="12"/>
                <w:szCs w:val="12"/>
                <w:color w:val="auto"/>
              </w:rPr>
            </w:pPr>
          </w:p>
        </w:tc>
        <w:tc>
          <w:tcPr>
            <w:tcW w:w="980" w:type="dxa"/>
            <w:vAlign w:val="bottom"/>
          </w:tcPr>
          <w:p>
            <w:pPr>
              <w:jc w:val="right"/>
              <w:ind w:right="102"/>
              <w:spacing w:after="0" w:line="143" w:lineRule="exact"/>
              <w:rPr>
                <w:sz w:val="20"/>
                <w:szCs w:val="20"/>
                <w:color w:val="auto"/>
              </w:rPr>
            </w:pPr>
            <w:r>
              <w:rPr>
                <w:rFonts w:ascii="Arial" w:cs="Arial" w:eastAsia="Arial" w:hAnsi="Arial"/>
                <w:sz w:val="14"/>
                <w:szCs w:val="14"/>
                <w:color w:val="auto"/>
                <w:w w:val="99"/>
              </w:rPr>
              <w:t>Net Carrying</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ind w:right="41"/>
              <w:spacing w:after="0" w:line="143" w:lineRule="exact"/>
              <w:rPr>
                <w:sz w:val="20"/>
                <w:szCs w:val="20"/>
                <w:color w:val="auto"/>
              </w:rPr>
            </w:pPr>
            <w:r>
              <w:rPr>
                <w:rFonts w:ascii="Arial" w:cs="Arial" w:eastAsia="Arial" w:hAnsi="Arial"/>
                <w:sz w:val="14"/>
                <w:szCs w:val="14"/>
                <w:color w:val="auto"/>
                <w:w w:val="93"/>
              </w:rPr>
              <w:t>Gross Carrying</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20"/>
              <w:spacing w:after="0" w:line="143" w:lineRule="exact"/>
              <w:rPr>
                <w:sz w:val="20"/>
                <w:szCs w:val="20"/>
                <w:color w:val="auto"/>
              </w:rPr>
            </w:pPr>
            <w:r>
              <w:rPr>
                <w:rFonts w:ascii="Arial" w:cs="Arial" w:eastAsia="Arial" w:hAnsi="Arial"/>
                <w:sz w:val="14"/>
                <w:szCs w:val="14"/>
                <w:color w:val="auto"/>
                <w:w w:val="96"/>
              </w:rPr>
              <w:t>Accumulated</w:t>
            </w:r>
          </w:p>
        </w:tc>
        <w:tc>
          <w:tcPr>
            <w:tcW w:w="160" w:type="dxa"/>
            <w:vAlign w:val="bottom"/>
          </w:tcPr>
          <w:p>
            <w:pPr>
              <w:spacing w:after="0"/>
              <w:rPr>
                <w:sz w:val="12"/>
                <w:szCs w:val="12"/>
                <w:color w:val="auto"/>
              </w:rPr>
            </w:pPr>
          </w:p>
        </w:tc>
        <w:tc>
          <w:tcPr>
            <w:tcW w:w="980" w:type="dxa"/>
            <w:vAlign w:val="bottom"/>
          </w:tcPr>
          <w:p>
            <w:pPr>
              <w:jc w:val="right"/>
              <w:ind w:right="101"/>
              <w:spacing w:after="0" w:line="143" w:lineRule="exact"/>
              <w:rPr>
                <w:sz w:val="20"/>
                <w:szCs w:val="20"/>
                <w:color w:val="auto"/>
              </w:rPr>
            </w:pPr>
            <w:r>
              <w:rPr>
                <w:rFonts w:ascii="Arial" w:cs="Arial" w:eastAsia="Arial" w:hAnsi="Arial"/>
                <w:sz w:val="14"/>
                <w:szCs w:val="14"/>
                <w:color w:val="auto"/>
                <w:w w:val="99"/>
              </w:rPr>
              <w:t>Net Carrying</w:t>
            </w:r>
          </w:p>
        </w:tc>
      </w:tr>
      <w:tr>
        <w:trPr>
          <w:trHeight w:val="188"/>
        </w:trPr>
        <w:tc>
          <w:tcPr>
            <w:tcW w:w="2400" w:type="dxa"/>
            <w:vAlign w:val="bottom"/>
          </w:tcPr>
          <w:p>
            <w:pPr>
              <w:spacing w:after="0"/>
              <w:rPr>
                <w:sz w:val="16"/>
                <w:szCs w:val="16"/>
                <w:color w:val="auto"/>
              </w:rPr>
            </w:pPr>
          </w:p>
        </w:tc>
        <w:tc>
          <w:tcPr>
            <w:tcW w:w="1600" w:type="dxa"/>
            <w:vAlign w:val="bottom"/>
          </w:tcPr>
          <w:p>
            <w:pPr>
              <w:jc w:val="center"/>
              <w:ind w:left="404"/>
              <w:spacing w:after="0"/>
              <w:rPr>
                <w:sz w:val="20"/>
                <w:szCs w:val="20"/>
                <w:color w:val="auto"/>
              </w:rPr>
            </w:pPr>
            <w:r>
              <w:rPr>
                <w:rFonts w:ascii="Arial" w:cs="Arial" w:eastAsia="Arial" w:hAnsi="Arial"/>
                <w:sz w:val="14"/>
                <w:szCs w:val="14"/>
                <w:color w:val="auto"/>
              </w:rPr>
              <w:t>Life</w:t>
            </w: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color w:val="auto"/>
              </w:rPr>
              <w:t>Amount</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color w:val="auto"/>
              </w:rPr>
              <w:t>Amortization</w:t>
            </w: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Value</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color w:val="auto"/>
              </w:rPr>
              <w:t>Amount</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color w:val="auto"/>
              </w:rPr>
              <w:t>Amortization</w:t>
            </w: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color w:val="auto"/>
              </w:rPr>
              <w:t>Value</w:t>
            </w:r>
          </w:p>
        </w:tc>
      </w:tr>
      <w:tr>
        <w:trPr>
          <w:trHeight w:val="217"/>
        </w:trPr>
        <w:tc>
          <w:tcPr>
            <w:tcW w:w="2400" w:type="dxa"/>
            <w:vAlign w:val="bottom"/>
          </w:tcPr>
          <w:p>
            <w:pPr>
              <w:spacing w:after="0"/>
              <w:rPr>
                <w:sz w:val="18"/>
                <w:szCs w:val="18"/>
                <w:color w:val="auto"/>
              </w:rPr>
            </w:pPr>
          </w:p>
        </w:tc>
        <w:tc>
          <w:tcPr>
            <w:tcW w:w="1600" w:type="dxa"/>
            <w:vAlign w:val="bottom"/>
          </w:tcPr>
          <w:p>
            <w:pPr>
              <w:jc w:val="center"/>
              <w:ind w:left="404"/>
              <w:spacing w:after="0"/>
              <w:rPr>
                <w:sz w:val="20"/>
                <w:szCs w:val="20"/>
                <w:color w:val="auto"/>
              </w:rPr>
            </w:pPr>
            <w:r>
              <w:rPr>
                <w:rFonts w:ascii="Arial" w:cs="Arial" w:eastAsia="Arial" w:hAnsi="Arial"/>
                <w:sz w:val="14"/>
                <w:szCs w:val="14"/>
                <w:i w:val="1"/>
                <w:iCs w:val="1"/>
                <w:color w:val="auto"/>
                <w:w w:val="95"/>
              </w:rPr>
              <w:t>(in years)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0" w:type="dxa"/>
            <w:vAlign w:val="bottom"/>
            <w:gridSpan w:val="4"/>
          </w:tcPr>
          <w:p>
            <w:pPr>
              <w:jc w:val="right"/>
              <w:ind w:right="681"/>
              <w:spacing w:after="0"/>
              <w:rPr>
                <w:sz w:val="20"/>
                <w:szCs w:val="20"/>
                <w:color w:val="auto"/>
              </w:rPr>
            </w:pPr>
            <w:r>
              <w:rPr>
                <w:rFonts w:ascii="Arial" w:cs="Arial" w:eastAsia="Arial" w:hAnsi="Arial"/>
                <w:sz w:val="14"/>
                <w:szCs w:val="14"/>
                <w:i w:val="1"/>
                <w:iCs w:val="1"/>
                <w:color w:val="auto"/>
              </w:rPr>
              <w:t>(in thousands)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6"/>
        </w:trPr>
        <w:tc>
          <w:tcPr>
            <w:tcW w:w="24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16"/>
        </w:trPr>
        <w:tc>
          <w:tcPr>
            <w:tcW w:w="2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Acquired technology</w:t>
            </w:r>
          </w:p>
        </w:tc>
        <w:tc>
          <w:tcPr>
            <w:tcW w:w="1600" w:type="dxa"/>
            <w:vAlign w:val="bottom"/>
            <w:shd w:val="clear" w:color="auto" w:fill="CCEEFF"/>
          </w:tcPr>
          <w:p>
            <w:pPr>
              <w:jc w:val="center"/>
              <w:ind w:left="404"/>
              <w:spacing w:after="0"/>
              <w:rPr>
                <w:sz w:val="20"/>
                <w:szCs w:val="20"/>
                <w:color w:val="auto"/>
              </w:rPr>
            </w:pPr>
            <w:r>
              <w:rPr>
                <w:rFonts w:ascii="Arial" w:cs="Arial" w:eastAsia="Arial" w:hAnsi="Arial"/>
                <w:sz w:val="16"/>
                <w:szCs w:val="16"/>
                <w:color w:val="auto"/>
                <w:w w:val="89"/>
              </w:rPr>
              <w:t>8</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3,630</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2,987</w:t>
            </w:r>
          </w:p>
        </w:tc>
      </w:tr>
      <w:tr>
        <w:trPr>
          <w:trHeight w:val="213"/>
        </w:trPr>
        <w:tc>
          <w:tcPr>
            <w:tcW w:w="2400" w:type="dxa"/>
            <w:vAlign w:val="bottom"/>
          </w:tcPr>
          <w:p>
            <w:pPr>
              <w:ind w:left="20"/>
              <w:spacing w:after="0"/>
              <w:rPr>
                <w:sz w:val="20"/>
                <w:szCs w:val="20"/>
                <w:color w:val="auto"/>
              </w:rPr>
            </w:pPr>
            <w:r>
              <w:rPr>
                <w:rFonts w:ascii="Arial" w:cs="Arial" w:eastAsia="Arial" w:hAnsi="Arial"/>
                <w:sz w:val="16"/>
                <w:szCs w:val="16"/>
                <w:color w:val="auto"/>
              </w:rPr>
              <w:t>Customer relationship</w:t>
            </w:r>
          </w:p>
        </w:tc>
        <w:tc>
          <w:tcPr>
            <w:tcW w:w="1600" w:type="dxa"/>
            <w:vAlign w:val="bottom"/>
          </w:tcPr>
          <w:p>
            <w:pPr>
              <w:jc w:val="center"/>
              <w:ind w:left="404"/>
              <w:spacing w:after="0"/>
              <w:rPr>
                <w:sz w:val="20"/>
                <w:szCs w:val="20"/>
                <w:color w:val="auto"/>
              </w:rPr>
            </w:pPr>
            <w:r>
              <w:rPr>
                <w:rFonts w:ascii="Arial" w:cs="Arial" w:eastAsia="Arial" w:hAnsi="Arial"/>
                <w:sz w:val="16"/>
                <w:szCs w:val="16"/>
                <w:color w:val="auto"/>
                <w:w w:val="89"/>
              </w:rPr>
              <w:t>3</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40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19"/>
        </w:trPr>
        <w:tc>
          <w:tcPr>
            <w:tcW w:w="2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Software development costs</w:t>
            </w:r>
          </w:p>
        </w:tc>
        <w:tc>
          <w:tcPr>
            <w:tcW w:w="1600" w:type="dxa"/>
            <w:vAlign w:val="bottom"/>
            <w:shd w:val="clear" w:color="auto" w:fill="CCEEFF"/>
          </w:tcPr>
          <w:p>
            <w:pPr>
              <w:jc w:val="center"/>
              <w:ind w:left="384"/>
              <w:spacing w:after="0"/>
              <w:rPr>
                <w:sz w:val="20"/>
                <w:szCs w:val="20"/>
                <w:color w:val="auto"/>
              </w:rPr>
            </w:pPr>
            <w:r>
              <w:rPr>
                <w:rFonts w:ascii="Arial" w:cs="Arial" w:eastAsia="Arial" w:hAnsi="Arial"/>
                <w:sz w:val="16"/>
                <w:szCs w:val="16"/>
                <w:color w:val="auto"/>
                <w:w w:val="93"/>
              </w:rPr>
              <w:t>2 - 5</w:t>
            </w: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39,005</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(8,096)</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30,909</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35,080</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(7,793)</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27,287</w:t>
            </w:r>
          </w:p>
        </w:tc>
      </w:tr>
      <w:tr>
        <w:trPr>
          <w:trHeight w:val="206"/>
        </w:trPr>
        <w:tc>
          <w:tcPr>
            <w:tcW w:w="2400" w:type="dxa"/>
            <w:vAlign w:val="bottom"/>
          </w:tcPr>
          <w:p>
            <w:pPr>
              <w:ind w:left="140"/>
              <w:spacing w:after="0"/>
              <w:rPr>
                <w:sz w:val="20"/>
                <w:szCs w:val="20"/>
                <w:color w:val="auto"/>
              </w:rPr>
            </w:pPr>
            <w:r>
              <w:rPr>
                <w:rFonts w:ascii="Arial" w:cs="Arial" w:eastAsia="Arial" w:hAnsi="Arial"/>
                <w:sz w:val="16"/>
                <w:szCs w:val="16"/>
                <w:color w:val="auto"/>
              </w:rPr>
              <w:t>Subtotal</w:t>
            </w: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42,675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(8,874)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33,801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38,750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(8,455)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30,295</w:t>
            </w:r>
          </w:p>
        </w:tc>
      </w:tr>
      <w:tr>
        <w:trPr>
          <w:trHeight w:val="219"/>
        </w:trPr>
        <w:tc>
          <w:tcPr>
            <w:tcW w:w="240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Software held for resale </w:t>
            </w:r>
            <w:r>
              <w:rPr>
                <w:rFonts w:ascii="Arial" w:cs="Arial" w:eastAsia="Arial" w:hAnsi="Arial"/>
                <w:sz w:val="21"/>
                <w:szCs w:val="21"/>
                <w:color w:val="auto"/>
                <w:vertAlign w:val="superscript"/>
              </w:rPr>
              <w:t>(1)</w:t>
            </w:r>
          </w:p>
        </w:tc>
        <w:tc>
          <w:tcPr>
            <w:tcW w:w="16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7,120</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7,120</w:t>
            </w:r>
          </w:p>
        </w:tc>
      </w:tr>
      <w:tr>
        <w:trPr>
          <w:trHeight w:val="209"/>
        </w:trPr>
        <w:tc>
          <w:tcPr>
            <w:tcW w:w="2400" w:type="dxa"/>
            <w:vAlign w:val="bottom"/>
          </w:tcPr>
          <w:p>
            <w:pPr>
              <w:ind w:left="140"/>
              <w:spacing w:after="0"/>
              <w:rPr>
                <w:sz w:val="20"/>
                <w:szCs w:val="20"/>
                <w:color w:val="auto"/>
              </w:rPr>
            </w:pPr>
            <w:r>
              <w:rPr>
                <w:rFonts w:ascii="Arial" w:cs="Arial" w:eastAsia="Arial" w:hAnsi="Arial"/>
                <w:sz w:val="16"/>
                <w:szCs w:val="16"/>
                <w:color w:val="auto"/>
              </w:rPr>
              <w:t>Total</w:t>
            </w:r>
          </w:p>
        </w:tc>
        <w:tc>
          <w:tcPr>
            <w:tcW w:w="16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42,675</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(8,874)</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33,801</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45,870</w:t>
            </w: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(8,455)</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37,415</w:t>
            </w:r>
          </w:p>
        </w:tc>
      </w:tr>
      <w:tr>
        <w:trPr>
          <w:trHeight w:val="21"/>
        </w:trPr>
        <w:tc>
          <w:tcPr>
            <w:tcW w:w="24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ind w:left="160" w:hanging="152"/>
        <w:spacing w:after="0"/>
        <w:tabs>
          <w:tab w:leader="none" w:pos="16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 xml:space="preserve">This amount is net of $0.6 million charged into cost for sales for the period ended December 31, 2022. See </w:t>
      </w:r>
      <w:r>
        <w:rPr>
          <w:rFonts w:ascii="Arial" w:cs="Arial" w:eastAsia="Arial" w:hAnsi="Arial"/>
          <w:sz w:val="14"/>
          <w:szCs w:val="14"/>
          <w:u w:val="single" w:color="auto"/>
          <w:color w:val="0000FF"/>
        </w:rPr>
        <w:t>Note 10 – Debt and Other Obligations</w:t>
      </w:r>
      <w:r>
        <w:rPr>
          <w:rFonts w:ascii="Arial" w:cs="Arial" w:eastAsia="Arial" w:hAnsi="Arial"/>
          <w:sz w:val="14"/>
          <w:szCs w:val="14"/>
          <w:color w:val="auto"/>
        </w:rPr>
        <w:t xml:space="preserve"> for related details.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Amortization expense related to capitalized software development costs was $0.3 million for both three months ended March 31, 2023 and 2022.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related to other intangible assets was $0.1 million for both three months ended March 31, 2023 and 2022.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9. OTHER BALANCE SHEET COMPONENTS</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Table 9.1: Details of Accounts Payable and Other Accrued Liabilities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Borders>
              <w:top w:val="single" w:sz="8" w:color="auto"/>
            </w:tcBorders>
          </w:tcPr>
          <w:p>
            <w:pPr>
              <w:spacing w:after="0"/>
              <w:rPr>
                <w:sz w:val="18"/>
                <w:szCs w:val="18"/>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March 31, 2023</w:t>
            </w:r>
          </w:p>
        </w:tc>
        <w:tc>
          <w:tcPr>
            <w:tcW w:w="5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w w:val="91"/>
              </w:rPr>
              <w:t>December 31, 2022</w:t>
            </w:r>
          </w:p>
        </w:tc>
        <w:tc>
          <w:tcPr>
            <w:tcW w:w="0" w:type="dxa"/>
            <w:vAlign w:val="bottom"/>
          </w:tcPr>
          <w:p>
            <w:pPr>
              <w:spacing w:after="0"/>
              <w:rPr>
                <w:sz w:val="1"/>
                <w:szCs w:val="1"/>
                <w:color w:val="auto"/>
              </w:rPr>
            </w:pPr>
          </w:p>
        </w:tc>
      </w:tr>
      <w:tr>
        <w:trPr>
          <w:trHeight w:val="214"/>
        </w:trPr>
        <w:tc>
          <w:tcPr>
            <w:tcW w:w="70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70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payable</w:t>
            </w:r>
          </w:p>
        </w:tc>
        <w:tc>
          <w:tcPr>
            <w:tcW w:w="1560" w:type="dxa"/>
            <w:vAlign w:val="bottom"/>
            <w:shd w:val="clear" w:color="auto" w:fill="CCEEFF"/>
          </w:tcPr>
          <w:p>
            <w:pPr>
              <w:jc w:val="right"/>
              <w:ind w:right="137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11,683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12,606</w:t>
            </w:r>
          </w:p>
        </w:tc>
        <w:tc>
          <w:tcPr>
            <w:tcW w:w="0" w:type="dxa"/>
            <w:vAlign w:val="bottom"/>
          </w:tcPr>
          <w:p>
            <w:pPr>
              <w:spacing w:after="0"/>
              <w:rPr>
                <w:sz w:val="1"/>
                <w:szCs w:val="1"/>
                <w:color w:val="auto"/>
              </w:rPr>
            </w:pPr>
          </w:p>
        </w:tc>
      </w:tr>
      <w:tr>
        <w:trPr>
          <w:trHeight w:val="213"/>
        </w:trPr>
        <w:tc>
          <w:tcPr>
            <w:tcW w:w="7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Accrued payables</w:t>
            </w:r>
          </w:p>
        </w:tc>
        <w:tc>
          <w:tcPr>
            <w:tcW w:w="15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6,328</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9,945</w:t>
            </w:r>
          </w:p>
        </w:tc>
        <w:tc>
          <w:tcPr>
            <w:tcW w:w="0" w:type="dxa"/>
            <w:vAlign w:val="bottom"/>
          </w:tcPr>
          <w:p>
            <w:pPr>
              <w:spacing w:after="0"/>
              <w:rPr>
                <w:sz w:val="1"/>
                <w:szCs w:val="1"/>
                <w:color w:val="auto"/>
              </w:rPr>
            </w:pPr>
          </w:p>
        </w:tc>
      </w:tr>
      <w:tr>
        <w:trPr>
          <w:trHeight w:val="234"/>
        </w:trPr>
        <w:tc>
          <w:tcPr>
            <w:tcW w:w="7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Accounts payable and other accrued liabilities</w:t>
            </w:r>
          </w:p>
        </w:tc>
        <w:tc>
          <w:tcPr>
            <w:tcW w:w="1560" w:type="dxa"/>
            <w:vAlign w:val="bottom"/>
            <w:tcBorders>
              <w:bottom w:val="single" w:sz="8" w:color="auto"/>
            </w:tcBorders>
            <w:shd w:val="clear" w:color="auto" w:fill="CCEEFF"/>
          </w:tcPr>
          <w:p>
            <w:pPr>
              <w:jc w:val="right"/>
              <w:ind w:right="137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18,011</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22,551</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Table 9.2: Details of Other Current Liabilities</w:t>
            </w: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7000" w:type="dxa"/>
            <w:vAlign w:val="bottom"/>
            <w:tcBorders>
              <w:bottom w:val="single" w:sz="8" w:color="auto"/>
            </w:tcBorders>
            <w:vMerge w:val="continue"/>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000" w:type="dxa"/>
            <w:vAlign w:val="bottom"/>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March 31, 2023</w:t>
            </w:r>
          </w:p>
        </w:tc>
        <w:tc>
          <w:tcPr>
            <w:tcW w:w="5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91"/>
              </w:rPr>
              <w:t>December 31, 2022</w:t>
            </w:r>
          </w:p>
        </w:tc>
        <w:tc>
          <w:tcPr>
            <w:tcW w:w="0" w:type="dxa"/>
            <w:vAlign w:val="bottom"/>
          </w:tcPr>
          <w:p>
            <w:pPr>
              <w:spacing w:after="0"/>
              <w:rPr>
                <w:sz w:val="1"/>
                <w:szCs w:val="1"/>
                <w:color w:val="auto"/>
              </w:rPr>
            </w:pPr>
          </w:p>
        </w:tc>
      </w:tr>
      <w:tr>
        <w:trPr>
          <w:trHeight w:val="214"/>
        </w:trPr>
        <w:tc>
          <w:tcPr>
            <w:tcW w:w="70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70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accrued expenses</w:t>
            </w:r>
          </w:p>
        </w:tc>
        <w:tc>
          <w:tcPr>
            <w:tcW w:w="1560" w:type="dxa"/>
            <w:vAlign w:val="bottom"/>
            <w:shd w:val="clear" w:color="auto" w:fill="CCEEFF"/>
          </w:tcPr>
          <w:p>
            <w:pPr>
              <w:jc w:val="right"/>
              <w:ind w:right="137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1,530</w:t>
            </w:r>
          </w:p>
        </w:tc>
        <w:tc>
          <w:tcPr>
            <w:tcW w:w="0" w:type="dxa"/>
            <w:vAlign w:val="bottom"/>
          </w:tcPr>
          <w:p>
            <w:pPr>
              <w:spacing w:after="0"/>
              <w:rPr>
                <w:sz w:val="1"/>
                <w:szCs w:val="1"/>
                <w:color w:val="auto"/>
              </w:rPr>
            </w:pPr>
          </w:p>
        </w:tc>
      </w:tr>
      <w:tr>
        <w:trPr>
          <w:trHeight w:val="213"/>
        </w:trPr>
        <w:tc>
          <w:tcPr>
            <w:tcW w:w="7000" w:type="dxa"/>
            <w:vAlign w:val="bottom"/>
          </w:tcPr>
          <w:p>
            <w:pPr>
              <w:ind w:left="20"/>
              <w:spacing w:after="0"/>
              <w:rPr>
                <w:sz w:val="20"/>
                <w:szCs w:val="20"/>
                <w:color w:val="auto"/>
              </w:rPr>
            </w:pPr>
            <w:r>
              <w:rPr>
                <w:rFonts w:ascii="Arial" w:cs="Arial" w:eastAsia="Arial" w:hAnsi="Arial"/>
                <w:sz w:val="16"/>
                <w:szCs w:val="16"/>
                <w:color w:val="auto"/>
              </w:rPr>
              <w:t>Restructuring expenses accrual</w:t>
            </w:r>
          </w:p>
        </w:tc>
        <w:tc>
          <w:tcPr>
            <w:tcW w:w="15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2,290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2,763</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5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692</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626</w:t>
            </w:r>
          </w:p>
        </w:tc>
        <w:tc>
          <w:tcPr>
            <w:tcW w:w="0" w:type="dxa"/>
            <w:vAlign w:val="bottom"/>
          </w:tcPr>
          <w:p>
            <w:pPr>
              <w:spacing w:after="0"/>
              <w:rPr>
                <w:sz w:val="1"/>
                <w:szCs w:val="1"/>
                <w:color w:val="auto"/>
              </w:rPr>
            </w:pPr>
          </w:p>
        </w:tc>
      </w:tr>
      <w:tr>
        <w:trPr>
          <w:trHeight w:val="206"/>
        </w:trPr>
        <w:tc>
          <w:tcPr>
            <w:tcW w:w="7000" w:type="dxa"/>
            <w:vAlign w:val="bottom"/>
          </w:tcPr>
          <w:p>
            <w:pPr>
              <w:ind w:left="140"/>
              <w:spacing w:after="0"/>
              <w:rPr>
                <w:sz w:val="20"/>
                <w:szCs w:val="20"/>
                <w:color w:val="auto"/>
              </w:rPr>
            </w:pPr>
            <w:r>
              <w:rPr>
                <w:rFonts w:ascii="Arial" w:cs="Arial" w:eastAsia="Arial" w:hAnsi="Arial"/>
                <w:sz w:val="16"/>
                <w:szCs w:val="16"/>
                <w:color w:val="auto"/>
              </w:rPr>
              <w:t>Other current liabilities</w:t>
            </w:r>
          </w:p>
        </w:tc>
        <w:tc>
          <w:tcPr>
            <w:tcW w:w="1560" w:type="dxa"/>
            <w:vAlign w:val="bottom"/>
            <w:tcBorders>
              <w:bottom w:val="single" w:sz="8" w:color="auto"/>
            </w:tcBorders>
          </w:tcPr>
          <w:p>
            <w:pPr>
              <w:jc w:val="right"/>
              <w:ind w:right="137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3,856</w:t>
            </w:r>
          </w:p>
        </w:tc>
        <w:tc>
          <w:tcPr>
            <w:tcW w:w="8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4,919</w:t>
            </w:r>
          </w:p>
        </w:tc>
        <w:tc>
          <w:tcPr>
            <w:tcW w:w="0" w:type="dxa"/>
            <w:vAlign w:val="bottom"/>
          </w:tcPr>
          <w:p>
            <w:pPr>
              <w:spacing w:after="0"/>
              <w:rPr>
                <w:sz w:val="1"/>
                <w:szCs w:val="1"/>
                <w:color w:val="auto"/>
              </w:rPr>
            </w:pPr>
          </w:p>
        </w:tc>
      </w:tr>
      <w:tr>
        <w:trPr>
          <w:trHeight w:val="24"/>
        </w:trPr>
        <w:tc>
          <w:tcPr>
            <w:tcW w:w="70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10. DEBT AND OTHER OBLIGATIONS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7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On December 30, 2022 (the "Closing Date"), we entered into a Credit Agreement (the "Credit Agreement"), by and among the Company, as borrower, Xacta Corporation, ubIQuity.com. inc, Teloworks, Inc., and Telos Identity Management Solutions, LLC, as guarantors, the lenders' party thereto (the "Lenders"), and JPMorgan Chase Bank N.A., as administrative agent for the Lenders (in such capacity, the "Agent"). The Credit Agreement provides for a $30.0 million senior secured revolving credit facility with a maturity date of December 30, 2025, with the option of issuing letters of credit thereunder with a sub-limit of $5.0 million, and with an uncommitted expansion feature of up to $30.0 million of additional revolver capacity (the "Loan"). The Loan is subject to acceleration in the event of customary events of default. The Company has not drawn any amount under the Loan.</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u w:val="single" w:color="auto"/>
          <w:color w:val="auto"/>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color w:val="auto"/>
        </w:rPr>
        <w:t>Borrowings under the Credit Agreement will accrue interest, at our option, at one of three variable rates, plus a specified margin. We can elect to borrow at</w:t>
      </w:r>
    </w:p>
    <w:p>
      <w:pPr>
        <w:spacing w:after="0" w:line="46" w:lineRule="exact"/>
        <w:rPr>
          <w:sz w:val="20"/>
          <w:szCs w:val="20"/>
          <w:color w:val="auto"/>
        </w:rPr>
      </w:pPr>
    </w:p>
    <w:p>
      <w:pPr>
        <w:ind w:firstLine="8"/>
        <w:spacing w:after="0" w:line="268" w:lineRule="auto"/>
        <w:tabs>
          <w:tab w:leader="none" w:pos="215"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Alternative Base Rate, plus 0.9%; (ii) Adjusted Daily Simple Secured Overnight Financing Rate ("SOFR"), plus 1.9%; and (iii) Adjusted Term SOFR, plus 1.9%, as such capitalized terms are defined and calculated in the Credit Agreement. The Company may elect to convert borrowings from one type of borrowing to another type per the terms of the Credit Agreement. After the occurrence and during the continuance of any event of default, the interest rate may increase by an additional 2.0%. We are obligated to pay accrued interest (i) with respect to amounts accruing interest based on the Alternative Base Rate, each calendar quarter and on the maturity date, (ii) with respect to amounts accruing interest based on Adjusted Daily Simple SOFR, on each one-month anniversary of the borrowing and on the maturity date, and (iii) with respect to amounts accruing interest based on Adjusted Term SOFR, at the end of the period specified per the Credit Agreement and on the maturity date. Upon five, three, or one day's prior notice, as applicable, we may prepay any portion or the entire amount of the Loan. We also paid costs and customary fees, including a closing fee, commitment fees and letter of credit participation fee, if any, payable to the Agent and Lenders, as applicable, in connection with the Loan.</w:t>
      </w:r>
    </w:p>
    <w:p>
      <w:pPr>
        <w:spacing w:after="0" w:line="12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Loan under the Credit Agreement is collateralized by substantially all of the Company's assets, including the Company's pledge of its domestic and material foreign subsidiary equity interests.</w:t>
      </w:r>
    </w:p>
    <w:p>
      <w:pPr>
        <w:spacing w:after="0" w:line="116"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The Loan has various covenants that may, among other things, affect our ability to create, incur, assume or suffer any indebtedness, merge into or consolidate with another entity, acquire entity interests, sell or transfer certain assets, enter into certain arrangements (such as sale and leaseback and swap agreements) or restrictive agreements, pay dividends and make certain restricted payments, and amend material documents related to any subordinated indebtedness and corporate agreements. The Credit Agreement also requires certain financial covenants to maintain a Senior Leverage Ratio on the last day of any fiscal quarter, no greater than 3 to 1. We were in compliance with all covenants as of March 31, 2023.</w:t>
      </w:r>
    </w:p>
    <w:p>
      <w:pPr>
        <w:spacing w:after="0" w:line="12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occurrence of an event of default under the Credit Agreement could result in the Loan and other obligations becoming immediately due and payable and allow the Lenders to exercise all rights and remedies available to them under the Credit Agreement.</w:t>
      </w:r>
    </w:p>
    <w:p>
      <w:pPr>
        <w:spacing w:after="0" w:line="116" w:lineRule="exact"/>
        <w:rPr>
          <w:sz w:val="20"/>
          <w:szCs w:val="20"/>
          <w:color w:val="auto"/>
        </w:rPr>
      </w:pPr>
    </w:p>
    <w:p>
      <w:pPr>
        <w:jc w:val="both"/>
        <w:ind w:right="440"/>
        <w:spacing w:after="0" w:line="263" w:lineRule="auto"/>
        <w:rPr>
          <w:sz w:val="20"/>
          <w:szCs w:val="20"/>
          <w:color w:val="auto"/>
        </w:rPr>
      </w:pPr>
      <w:r>
        <w:rPr>
          <w:rFonts w:ascii="Arial" w:cs="Arial" w:eastAsia="Arial" w:hAnsi="Arial"/>
          <w:sz w:val="18"/>
          <w:szCs w:val="18"/>
          <w:color w:val="auto"/>
        </w:rPr>
        <w:t>On April 12, 2023, the Credit Agreement was amended to exclude from collateral the (i) amount collectible from a third party related to an Accounts Receivable Purchase Agreement and (ii) receivables generated by the Company from the sale of goods supplied to this third party in an amount not to exceed $25.0 million.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Financing Obligations</w:t>
      </w:r>
    </w:p>
    <w:p>
      <w:pPr>
        <w:spacing w:after="0" w:line="1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We entered into a Master Purchase Agreement ("MPA") with a third-party buyer ("Buyer") for $9.1 million relating to software licenses under a specific delivery order ("DO") with our customer resulting in proceeds from other financing obligations of $9.1 million in November 2022. Under the MPA, we sold, assigned and transferred all of our rights, title and interest in (i) the DO payments from the customer and (ii) the underlying licenses. The DO covers a base period with an option for the customer to exercise three (3) additional 12-month periods through January 2026. The DO payments assigned to the Buyer are billable to the customer at the beginning of the base period and for each option year exercised. The underlying licenses were acquired for resale, see </w:t>
      </w:r>
      <w:r>
        <w:rPr>
          <w:rFonts w:ascii="Arial" w:cs="Arial" w:eastAsia="Arial" w:hAnsi="Arial"/>
          <w:sz w:val="18"/>
          <w:szCs w:val="18"/>
          <w:u w:val="single" w:color="auto"/>
          <w:color w:val="0000FF"/>
        </w:rPr>
        <w:t>Note 8 – Intangible Assets, net</w:t>
      </w:r>
      <w:r>
        <w:rPr>
          <w:rFonts w:ascii="Arial" w:cs="Arial" w:eastAsia="Arial" w:hAnsi="Arial"/>
          <w:sz w:val="18"/>
          <w:szCs w:val="18"/>
          <w:color w:val="auto"/>
        </w:rPr>
        <w:t xml:space="preserve"> for further details.</w:t>
      </w:r>
    </w:p>
    <w:p>
      <w:pPr>
        <w:spacing w:after="0" w:line="13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February 9, 2023, the customer notified us that it would not exercise the first option period under the DO. The MPA provides that, if the customer terminates the DO for non-renewal and the Buyer reasonably concludes that the customer's actions constitute grounds for filing a claim with the customer's contracting officer, Buyer and Telos will cooperate in preparing such a claim, which would be filed in Telos' name. Buyer has notified Telos of its intent to pursue a claim against the customer.</w:t>
      </w:r>
    </w:p>
    <w:p>
      <w:pPr>
        <w:spacing w:after="0" w:line="13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 xml:space="preserve">Concurrently, the Company transferred all the rights, title and interest in the underlying licenses in exchange for the extinguishment of the outstanding financing obligations. The Company evaluated the transfer of the underlying licenses as consideration paid for the outstanding financing obligations under ASC 470-10, </w:t>
      </w:r>
      <w:r>
        <w:rPr>
          <w:rFonts w:ascii="Arial" w:cs="Arial" w:eastAsia="Arial" w:hAnsi="Arial"/>
          <w:sz w:val="18"/>
          <w:szCs w:val="18"/>
          <w:i w:val="1"/>
          <w:iCs w:val="1"/>
          <w:color w:val="auto"/>
        </w:rPr>
        <w:t>Debt</w:t>
      </w:r>
      <w:r>
        <w:rPr>
          <w:rFonts w:ascii="Arial" w:cs="Arial" w:eastAsia="Arial" w:hAnsi="Arial"/>
          <w:sz w:val="18"/>
          <w:szCs w:val="18"/>
          <w:color w:val="auto"/>
        </w:rPr>
        <w:t>, and the provisions of the MPA, and concluded that the transaction resulted in an extinguishment of debt. The Company recorded the difference between the carrying value of the Company's debt instrument and the underlying licenses as a gain on early extinguishment of other financing obligations. During the three months ended March 31, 2023, the Company reported a gain of $1.4 million, which was recorded as "Other income" in the unaudited consolidated statements of operations.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11. ACQUISITION</w:t>
      </w:r>
    </w:p>
    <w:p>
      <w:pPr>
        <w:spacing w:after="0" w:line="17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On July 30, 2021, the Company acquired the assets of Diamond Fortress Technologies ("DFT") and wholly-owned subsidiaries for a total purchase consideration of $6.7 million, inclusive of $0.3 million related to a pre-existing contractual arrangement with DFT. Upon closing, $5.9 million of cash was paid with an additional $0.6 million payable to DFT 18 months after the close date (the "holdback"). The holdback amount has been discounted to its present value of $0.5 million using a discount rate relevant to the acquisition. On February 2, 2023, the Company paid DFT the holdback amount of $0.6 million.</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u w:val="single" w:color="auto"/>
          <w:color w:val="auto"/>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12. STOCK-BASED COMPENSATION</w:t>
      </w:r>
    </w:p>
    <w:p>
      <w:pPr>
        <w:spacing w:after="0" w:line="17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Company grants stock-based compensation awards under the 2016 Omnibus Long-Term Incentive Plan, as amended (the "2016 LTIP"). We may grant restricted stock awards ("RSA"), restricted stock units with time-based vesting ("RSUs") and PSUs. Awards granted under the 2016 LTIP vest over the periods determined by the Board of Directors or the Compensation Committee of the Board of Directors, which has the discretion to establish the terms, conditions and criteria of the various awards. The RSUs granted to eligible employees generally vest in installments over a period of up to three years. PSUs will vest upon the achievement of a defined performance target or market conditions for the Company's common stock, certain operational milestones over prescribed period, or at the end of the defined performance period from the date of grant.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There were no income tax benefits recognized on the share-based compensation expense for both periods.</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Table 12.1: Details of Stock Compensation Expense by Department</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1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spacing w:after="0"/>
              <w:rPr>
                <w:sz w:val="18"/>
                <w:szCs w:val="18"/>
                <w:color w:val="auto"/>
              </w:rPr>
            </w:pPr>
          </w:p>
        </w:tc>
        <w:tc>
          <w:tcPr>
            <w:tcW w:w="3080" w:type="dxa"/>
            <w:vAlign w:val="bottom"/>
            <w:tcBorders>
              <w:top w:val="single" w:sz="8" w:color="auto"/>
              <w:bottom w:val="single" w:sz="8" w:color="auto"/>
            </w:tcBorders>
            <w:gridSpan w:val="10"/>
          </w:tcPr>
          <w:p>
            <w:pPr>
              <w:jc w:val="right"/>
              <w:ind w:right="1099"/>
              <w:spacing w:after="0"/>
              <w:rPr>
                <w:sz w:val="20"/>
                <w:szCs w:val="20"/>
                <w:color w:val="auto"/>
              </w:rPr>
            </w:pPr>
            <w:r>
              <w:rPr>
                <w:rFonts w:ascii="Arial" w:cs="Arial" w:eastAsia="Arial" w:hAnsi="Arial"/>
                <w:sz w:val="16"/>
                <w:szCs w:val="16"/>
                <w:color w:val="auto"/>
                <w:w w:val="91"/>
              </w:rPr>
              <w:t>For the Three Months Ended</w:t>
            </w:r>
          </w:p>
        </w:tc>
        <w:tc>
          <w:tcPr>
            <w:tcW w:w="0" w:type="dxa"/>
            <w:vAlign w:val="bottom"/>
          </w:tcPr>
          <w:p>
            <w:pPr>
              <w:spacing w:after="0"/>
              <w:rPr>
                <w:sz w:val="1"/>
                <w:szCs w:val="1"/>
                <w:color w:val="auto"/>
              </w:rPr>
            </w:pPr>
          </w:p>
        </w:tc>
      </w:tr>
      <w:tr>
        <w:trPr>
          <w:trHeight w:val="209"/>
        </w:trPr>
        <w:tc>
          <w:tcPr>
            <w:tcW w:w="5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Borders>
              <w:bottom w:val="single" w:sz="8" w:color="auto"/>
            </w:tcBorders>
            <w:gridSpan w:val="3"/>
          </w:tcPr>
          <w:p>
            <w:pPr>
              <w:ind w:left="520"/>
              <w:spacing w:after="0"/>
              <w:rPr>
                <w:sz w:val="20"/>
                <w:szCs w:val="20"/>
                <w:color w:val="auto"/>
              </w:rPr>
            </w:pPr>
            <w:r>
              <w:rPr>
                <w:rFonts w:ascii="Arial" w:cs="Arial" w:eastAsia="Arial" w:hAnsi="Arial"/>
                <w:sz w:val="16"/>
                <w:szCs w:val="16"/>
                <w:color w:val="auto"/>
                <w:w w:val="91"/>
              </w:rPr>
              <w:t>March 31, 2023</w:t>
            </w:r>
          </w:p>
        </w:tc>
        <w:tc>
          <w:tcPr>
            <w:tcW w:w="4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4"/>
          </w:tcPr>
          <w:p>
            <w:pPr>
              <w:jc w:val="right"/>
              <w:ind w:right="439"/>
              <w:spacing w:after="0"/>
              <w:rPr>
                <w:sz w:val="20"/>
                <w:szCs w:val="20"/>
                <w:color w:val="auto"/>
              </w:rPr>
            </w:pPr>
            <w:r>
              <w:rPr>
                <w:rFonts w:ascii="Arial" w:cs="Arial" w:eastAsia="Arial" w:hAnsi="Arial"/>
                <w:sz w:val="16"/>
                <w:szCs w:val="16"/>
                <w:color w:val="auto"/>
                <w:w w:val="91"/>
              </w:rPr>
              <w:t>March 31, 2022</w:t>
            </w:r>
          </w:p>
        </w:tc>
        <w:tc>
          <w:tcPr>
            <w:tcW w:w="0" w:type="dxa"/>
            <w:vAlign w:val="bottom"/>
          </w:tcPr>
          <w:p>
            <w:pPr>
              <w:spacing w:after="0"/>
              <w:rPr>
                <w:sz w:val="1"/>
                <w:szCs w:val="1"/>
                <w:color w:val="auto"/>
              </w:rPr>
            </w:pPr>
          </w:p>
        </w:tc>
      </w:tr>
      <w:tr>
        <w:trPr>
          <w:trHeight w:val="214"/>
        </w:trPr>
        <w:tc>
          <w:tcPr>
            <w:tcW w:w="5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4"/>
          </w:tcPr>
          <w:p>
            <w:pPr>
              <w:jc w:val="right"/>
              <w:ind w:right="140"/>
              <w:spacing w:after="0"/>
              <w:rPr>
                <w:sz w:val="20"/>
                <w:szCs w:val="20"/>
                <w:color w:val="auto"/>
              </w:rPr>
            </w:pPr>
            <w:r>
              <w:rPr>
                <w:rFonts w:ascii="Arial" w:cs="Arial" w:eastAsia="Arial" w:hAnsi="Arial"/>
                <w:sz w:val="14"/>
                <w:szCs w:val="14"/>
                <w:i w:val="1"/>
                <w:iCs w:val="1"/>
                <w:color w:val="auto"/>
              </w:rPr>
              <w:t>(in thousands)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5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sales – services</w:t>
            </w:r>
          </w:p>
        </w:tc>
        <w:tc>
          <w:tcPr>
            <w:tcW w:w="14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97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w:t>
            </w:r>
          </w:p>
        </w:tc>
        <w:tc>
          <w:tcPr>
            <w:tcW w:w="660" w:type="dxa"/>
            <w:vAlign w:val="bottom"/>
            <w:gridSpan w:val="3"/>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1,007</w:t>
            </w:r>
          </w:p>
        </w:tc>
        <w:tc>
          <w:tcPr>
            <w:tcW w:w="0" w:type="dxa"/>
            <w:vAlign w:val="bottom"/>
          </w:tcPr>
          <w:p>
            <w:pPr>
              <w:spacing w:after="0"/>
              <w:rPr>
                <w:sz w:val="1"/>
                <w:szCs w:val="1"/>
                <w:color w:val="auto"/>
              </w:rPr>
            </w:pPr>
          </w:p>
        </w:tc>
      </w:tr>
      <w:tr>
        <w:trPr>
          <w:trHeight w:val="240"/>
        </w:trPr>
        <w:tc>
          <w:tcPr>
            <w:tcW w:w="5160" w:type="dxa"/>
            <w:vAlign w:val="bottom"/>
          </w:tcPr>
          <w:p>
            <w:pPr>
              <w:ind w:left="20"/>
              <w:spacing w:after="0"/>
              <w:rPr>
                <w:sz w:val="20"/>
                <w:szCs w:val="20"/>
                <w:color w:val="auto"/>
              </w:rPr>
            </w:pPr>
            <w:r>
              <w:rPr>
                <w:rFonts w:ascii="Arial" w:cs="Arial" w:eastAsia="Arial" w:hAnsi="Arial"/>
                <w:sz w:val="16"/>
                <w:szCs w:val="16"/>
                <w:color w:val="auto"/>
              </w:rPr>
              <w:t>Sales and marketing</w:t>
            </w: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58</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1,668</w:t>
            </w:r>
          </w:p>
        </w:tc>
        <w:tc>
          <w:tcPr>
            <w:tcW w:w="0" w:type="dxa"/>
            <w:vAlign w:val="bottom"/>
          </w:tcPr>
          <w:p>
            <w:pPr>
              <w:spacing w:after="0"/>
              <w:rPr>
                <w:sz w:val="1"/>
                <w:szCs w:val="1"/>
                <w:color w:val="auto"/>
              </w:rPr>
            </w:pPr>
          </w:p>
        </w:tc>
      </w:tr>
      <w:tr>
        <w:trPr>
          <w:trHeight w:val="246"/>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14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770</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1,295</w:t>
            </w:r>
          </w:p>
        </w:tc>
        <w:tc>
          <w:tcPr>
            <w:tcW w:w="0" w:type="dxa"/>
            <w:vAlign w:val="bottom"/>
          </w:tcPr>
          <w:p>
            <w:pPr>
              <w:spacing w:after="0"/>
              <w:rPr>
                <w:sz w:val="1"/>
                <w:szCs w:val="1"/>
                <w:color w:val="auto"/>
              </w:rPr>
            </w:pPr>
          </w:p>
        </w:tc>
      </w:tr>
      <w:tr>
        <w:trPr>
          <w:trHeight w:val="240"/>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General and administrative</w:t>
            </w:r>
          </w:p>
        </w:tc>
        <w:tc>
          <w:tcPr>
            <w:tcW w:w="14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8,345</w:t>
            </w: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11,961</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97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9,499</w:t>
            </w:r>
          </w:p>
        </w:tc>
        <w:tc>
          <w:tcPr>
            <w:tcW w:w="660" w:type="dxa"/>
            <w:vAlign w:val="bottom"/>
            <w:gridSpan w:val="3"/>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15,931</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Table 12.2: Restricted Stock Activity</w:t>
            </w:r>
          </w:p>
        </w:tc>
        <w:tc>
          <w:tcPr>
            <w:tcW w:w="14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5160" w:type="dxa"/>
            <w:vAlign w:val="bottom"/>
            <w:tcBorders>
              <w:bottom w:val="single" w:sz="8" w:color="auto"/>
            </w:tcBorders>
            <w:vMerge w:val="continue"/>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5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jc w:val="center"/>
              <w:ind w:right="39"/>
              <w:spacing w:after="0" w:line="162" w:lineRule="exact"/>
              <w:rPr>
                <w:sz w:val="20"/>
                <w:szCs w:val="20"/>
                <w:color w:val="auto"/>
              </w:rPr>
            </w:pPr>
            <w:r>
              <w:rPr>
                <w:rFonts w:ascii="Arial" w:cs="Arial" w:eastAsia="Arial" w:hAnsi="Arial"/>
                <w:sz w:val="16"/>
                <w:szCs w:val="16"/>
                <w:color w:val="auto"/>
                <w:w w:val="92"/>
              </w:rPr>
              <w:t>Weighted-Average</w:t>
            </w:r>
          </w:p>
        </w:tc>
        <w:tc>
          <w:tcPr>
            <w:tcW w:w="0" w:type="dxa"/>
            <w:vAlign w:val="bottom"/>
          </w:tcPr>
          <w:p>
            <w:pPr>
              <w:spacing w:after="0"/>
              <w:rPr>
                <w:sz w:val="1"/>
                <w:szCs w:val="1"/>
                <w:color w:val="auto"/>
              </w:rPr>
            </w:pPr>
          </w:p>
        </w:tc>
      </w:tr>
      <w:tr>
        <w:trPr>
          <w:trHeight w:val="162"/>
        </w:trPr>
        <w:tc>
          <w:tcPr>
            <w:tcW w:w="5160" w:type="dxa"/>
            <w:vAlign w:val="bottom"/>
          </w:tcPr>
          <w:p>
            <w:pPr>
              <w:spacing w:after="0"/>
              <w:rPr>
                <w:sz w:val="14"/>
                <w:szCs w:val="14"/>
                <w:color w:val="auto"/>
              </w:rPr>
            </w:pPr>
          </w:p>
        </w:tc>
        <w:tc>
          <w:tcPr>
            <w:tcW w:w="1460" w:type="dxa"/>
            <w:vAlign w:val="bottom"/>
            <w:vMerge w:val="restart"/>
          </w:tcPr>
          <w:p>
            <w:pPr>
              <w:jc w:val="right"/>
              <w:ind w:right="179"/>
              <w:spacing w:after="0"/>
              <w:rPr>
                <w:sz w:val="20"/>
                <w:szCs w:val="20"/>
                <w:color w:val="auto"/>
              </w:rPr>
            </w:pPr>
            <w:r>
              <w:rPr>
                <w:rFonts w:ascii="Arial" w:cs="Arial" w:eastAsia="Arial" w:hAnsi="Arial"/>
                <w:sz w:val="16"/>
                <w:szCs w:val="16"/>
                <w:color w:val="auto"/>
              </w:rPr>
              <w:t>Service-Based</w:t>
            </w:r>
          </w:p>
        </w:tc>
        <w:tc>
          <w:tcPr>
            <w:tcW w:w="80" w:type="dxa"/>
            <w:vAlign w:val="bottom"/>
            <w:vMerge w:val="restart"/>
          </w:tcPr>
          <w:p>
            <w:pPr>
              <w:spacing w:after="0"/>
              <w:rPr>
                <w:sz w:val="14"/>
                <w:szCs w:val="14"/>
                <w:color w:val="auto"/>
              </w:rPr>
            </w:pPr>
          </w:p>
        </w:tc>
        <w:tc>
          <w:tcPr>
            <w:tcW w:w="1460" w:type="dxa"/>
            <w:vAlign w:val="bottom"/>
            <w:gridSpan w:val="2"/>
            <w:vMerge w:val="restart"/>
          </w:tcPr>
          <w:p>
            <w:pPr>
              <w:jc w:val="right"/>
              <w:spacing w:after="0"/>
              <w:rPr>
                <w:sz w:val="20"/>
                <w:szCs w:val="20"/>
                <w:color w:val="auto"/>
              </w:rPr>
            </w:pPr>
            <w:r>
              <w:rPr>
                <w:rFonts w:ascii="Arial" w:cs="Arial" w:eastAsia="Arial" w:hAnsi="Arial"/>
                <w:sz w:val="16"/>
                <w:szCs w:val="16"/>
                <w:color w:val="auto"/>
                <w:w w:val="95"/>
              </w:rPr>
              <w:t>Performance-Based</w:t>
            </w:r>
          </w:p>
        </w:tc>
        <w:tc>
          <w:tcPr>
            <w:tcW w:w="80" w:type="dxa"/>
            <w:vAlign w:val="bottom"/>
            <w:vMerge w:val="restart"/>
          </w:tcPr>
          <w:p>
            <w:pPr>
              <w:spacing w:after="0"/>
              <w:rPr>
                <w:sz w:val="14"/>
                <w:szCs w:val="14"/>
                <w:color w:val="auto"/>
              </w:rPr>
            </w:pPr>
          </w:p>
        </w:tc>
        <w:tc>
          <w:tcPr>
            <w:tcW w:w="320" w:type="dxa"/>
            <w:vAlign w:val="bottom"/>
            <w:vMerge w:val="restart"/>
          </w:tcPr>
          <w:p>
            <w:pPr>
              <w:spacing w:after="0"/>
              <w:rPr>
                <w:sz w:val="14"/>
                <w:szCs w:val="14"/>
                <w:color w:val="auto"/>
              </w:rPr>
            </w:pPr>
          </w:p>
        </w:tc>
        <w:tc>
          <w:tcPr>
            <w:tcW w:w="1120" w:type="dxa"/>
            <w:vAlign w:val="bottom"/>
            <w:gridSpan w:val="4"/>
            <w:vMerge w:val="restart"/>
          </w:tcPr>
          <w:p>
            <w:pPr>
              <w:jc w:val="right"/>
              <w:ind w:right="300"/>
              <w:spacing w:after="0"/>
              <w:rPr>
                <w:sz w:val="20"/>
                <w:szCs w:val="20"/>
                <w:color w:val="auto"/>
              </w:rPr>
            </w:pPr>
            <w:r>
              <w:rPr>
                <w:rFonts w:ascii="Arial" w:cs="Arial" w:eastAsia="Arial" w:hAnsi="Arial"/>
                <w:sz w:val="16"/>
                <w:szCs w:val="16"/>
                <w:color w:val="auto"/>
                <w:w w:val="88"/>
              </w:rPr>
              <w:t>Total Shares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jc w:val="center"/>
              <w:ind w:right="39"/>
              <w:spacing w:after="0" w:line="162" w:lineRule="exact"/>
              <w:rPr>
                <w:sz w:val="20"/>
                <w:szCs w:val="20"/>
                <w:color w:val="auto"/>
              </w:rPr>
            </w:pPr>
            <w:r>
              <w:rPr>
                <w:rFonts w:ascii="Arial" w:cs="Arial" w:eastAsia="Arial" w:hAnsi="Arial"/>
                <w:sz w:val="16"/>
                <w:szCs w:val="16"/>
                <w:color w:val="auto"/>
                <w:w w:val="92"/>
              </w:rPr>
              <w:t>Grant Date Fair</w:t>
            </w:r>
          </w:p>
        </w:tc>
        <w:tc>
          <w:tcPr>
            <w:tcW w:w="0" w:type="dxa"/>
            <w:vAlign w:val="bottom"/>
          </w:tcPr>
          <w:p>
            <w:pPr>
              <w:spacing w:after="0"/>
              <w:rPr>
                <w:sz w:val="1"/>
                <w:szCs w:val="1"/>
                <w:color w:val="auto"/>
              </w:rPr>
            </w:pPr>
          </w:p>
        </w:tc>
      </w:tr>
      <w:tr>
        <w:trPr>
          <w:trHeight w:val="209"/>
        </w:trPr>
        <w:tc>
          <w:tcPr>
            <w:tcW w:w="516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460" w:type="dxa"/>
            <w:vAlign w:val="bottom"/>
            <w:tcBorders>
              <w:bottom w:val="single" w:sz="8" w:color="auto"/>
            </w:tcBorders>
            <w:gridSpan w:val="2"/>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gridSpan w:val="4"/>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color w:val="auto"/>
                <w:w w:val="92"/>
              </w:rPr>
              <w:t>Value</w:t>
            </w:r>
          </w:p>
        </w:tc>
        <w:tc>
          <w:tcPr>
            <w:tcW w:w="0" w:type="dxa"/>
            <w:vAlign w:val="bottom"/>
          </w:tcPr>
          <w:p>
            <w:pPr>
              <w:spacing w:after="0"/>
              <w:rPr>
                <w:sz w:val="1"/>
                <w:szCs w:val="1"/>
                <w:color w:val="auto"/>
              </w:rPr>
            </w:pPr>
          </w:p>
        </w:tc>
      </w:tr>
      <w:tr>
        <w:trPr>
          <w:trHeight w:val="212"/>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Unvested outstanding units as of December 31, 2022</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3,570,082</w:t>
            </w: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336,785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40"/>
              <w:spacing w:after="0"/>
              <w:rPr>
                <w:sz w:val="20"/>
                <w:szCs w:val="20"/>
                <w:color w:val="auto"/>
              </w:rPr>
            </w:pPr>
            <w:r>
              <w:rPr>
                <w:rFonts w:ascii="Arial" w:cs="Arial" w:eastAsia="Arial" w:hAnsi="Arial"/>
                <w:sz w:val="16"/>
                <w:szCs w:val="16"/>
                <w:color w:val="auto"/>
              </w:rPr>
              <w:t>3,906,867</w:t>
            </w: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19.53</w:t>
            </w:r>
          </w:p>
        </w:tc>
        <w:tc>
          <w:tcPr>
            <w:tcW w:w="0" w:type="dxa"/>
            <w:vAlign w:val="bottom"/>
          </w:tcPr>
          <w:p>
            <w:pPr>
              <w:spacing w:after="0"/>
              <w:rPr>
                <w:sz w:val="1"/>
                <w:szCs w:val="1"/>
                <w:color w:val="auto"/>
              </w:rPr>
            </w:pPr>
          </w:p>
        </w:tc>
      </w:tr>
      <w:tr>
        <w:trPr>
          <w:trHeight w:val="213"/>
        </w:trPr>
        <w:tc>
          <w:tcPr>
            <w:tcW w:w="5160" w:type="dxa"/>
            <w:vAlign w:val="bottom"/>
          </w:tcPr>
          <w:p>
            <w:pPr>
              <w:ind w:left="140"/>
              <w:spacing w:after="0"/>
              <w:rPr>
                <w:sz w:val="20"/>
                <w:szCs w:val="20"/>
                <w:color w:val="auto"/>
              </w:rPr>
            </w:pPr>
            <w:r>
              <w:rPr>
                <w:rFonts w:ascii="Arial" w:cs="Arial" w:eastAsia="Arial" w:hAnsi="Arial"/>
                <w:sz w:val="16"/>
                <w:szCs w:val="16"/>
                <w:color w:val="auto"/>
              </w:rPr>
              <w:t>Granted</w:t>
            </w:r>
          </w:p>
        </w:tc>
        <w:tc>
          <w:tcPr>
            <w:tcW w:w="1460" w:type="dxa"/>
            <w:vAlign w:val="bottom"/>
          </w:tcPr>
          <w:p>
            <w:pPr>
              <w:jc w:val="right"/>
              <w:spacing w:after="0"/>
              <w:rPr>
                <w:sz w:val="20"/>
                <w:szCs w:val="20"/>
                <w:color w:val="auto"/>
              </w:rPr>
            </w:pPr>
            <w:r>
              <w:rPr>
                <w:rFonts w:ascii="Arial" w:cs="Arial" w:eastAsia="Arial" w:hAnsi="Arial"/>
                <w:sz w:val="16"/>
                <w:szCs w:val="16"/>
                <w:color w:val="auto"/>
              </w:rPr>
              <w:t>205,540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gridSpan w:val="3"/>
          </w:tcPr>
          <w:p>
            <w:pPr>
              <w:jc w:val="right"/>
              <w:ind w:right="46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6"/>
                <w:szCs w:val="16"/>
                <w:color w:val="auto"/>
              </w:rPr>
              <w:t>205,540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3.87</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Vested</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(1,535,288)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60" w:type="dxa"/>
            <w:vAlign w:val="bottom"/>
            <w:gridSpan w:val="3"/>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112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(1,535,288)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26.71</w:t>
            </w:r>
          </w:p>
        </w:tc>
        <w:tc>
          <w:tcPr>
            <w:tcW w:w="0" w:type="dxa"/>
            <w:vAlign w:val="bottom"/>
          </w:tcPr>
          <w:p>
            <w:pPr>
              <w:spacing w:after="0"/>
              <w:rPr>
                <w:sz w:val="1"/>
                <w:szCs w:val="1"/>
                <w:color w:val="auto"/>
              </w:rPr>
            </w:pPr>
          </w:p>
        </w:tc>
      </w:tr>
      <w:tr>
        <w:trPr>
          <w:trHeight w:val="213"/>
        </w:trPr>
        <w:tc>
          <w:tcPr>
            <w:tcW w:w="51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Forfeited</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(370,807)</w:t>
            </w:r>
          </w:p>
        </w:tc>
        <w:tc>
          <w:tcPr>
            <w:tcW w:w="8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(71,177)</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w w:val="93"/>
              </w:rPr>
              <w:t>(441,984)</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14.66</w:t>
            </w:r>
          </w:p>
        </w:tc>
        <w:tc>
          <w:tcPr>
            <w:tcW w:w="0" w:type="dxa"/>
            <w:vAlign w:val="bottom"/>
          </w:tcPr>
          <w:p>
            <w:pPr>
              <w:spacing w:after="0"/>
              <w:rPr>
                <w:sz w:val="1"/>
                <w:szCs w:val="1"/>
                <w:color w:val="auto"/>
              </w:rPr>
            </w:pPr>
          </w:p>
        </w:tc>
      </w:tr>
      <w:tr>
        <w:trPr>
          <w:trHeight w:val="233"/>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Unvested outstanding units as of March 31, 2023</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1,869,527</w:t>
            </w:r>
          </w:p>
        </w:tc>
        <w:tc>
          <w:tcPr>
            <w:tcW w:w="8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265,608</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gridSpan w:val="4"/>
            <w:shd w:val="clear" w:color="auto" w:fill="CCEEFF"/>
          </w:tcPr>
          <w:p>
            <w:pPr>
              <w:jc w:val="right"/>
              <w:ind w:right="40"/>
              <w:spacing w:after="0"/>
              <w:rPr>
                <w:sz w:val="20"/>
                <w:szCs w:val="20"/>
                <w:color w:val="auto"/>
              </w:rPr>
            </w:pPr>
            <w:r>
              <w:rPr>
                <w:rFonts w:ascii="Arial" w:cs="Arial" w:eastAsia="Arial" w:hAnsi="Arial"/>
                <w:sz w:val="16"/>
                <w:szCs w:val="16"/>
                <w:color w:val="auto"/>
              </w:rPr>
              <w:t>2,135,135</w:t>
            </w: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14.67</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As of March 31, 2023, the intrinsic value of the RSUs and PSUs outstanding, exercisable, and vested or expected to vest was $5.4 million. There was approximately $15.2 million of total compensation costs related to stock-based awards not yet recognized as of March 31, 2023, which is expected to be recognized on a straight-line basis over a weighted-average remaining vesting period of 0.9 years.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13. SHARE REPURCHASES</w:t>
      </w:r>
    </w:p>
    <w:p>
      <w:pPr>
        <w:spacing w:after="0" w:line="17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On May 24, 2022, the Company announced that the Board of Directors approved a new share repurchase program ("SRP") authorizing the Company to repurchase up to $50.0 million of its common stock. Pursuant to this authorization, the Company may repurchase shares of its common stock on a discretionary basis from time to time through open market purchases. The repurchase program has no expiration date and may be modified, suspended, or terminated at any time.</w:t>
      </w:r>
    </w:p>
    <w:p>
      <w:pPr>
        <w:spacing w:after="0" w:line="13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There were no share purchases during the first quarter of 2023 and 2022. As of March 31, 2023, there was approximately $38.7 million of the authorization remaining for future common stock repurchases under the SRP.</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14. ACCUMULATED OTHER COMPREHENSIVE LOSS</w:t>
      </w:r>
    </w:p>
    <w:p>
      <w:pPr>
        <w:spacing w:after="0" w:line="198"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Our functional currency is the U.S. Dollar. For one of our wholly-owned subsidiaries, the functional currency is the local currency. For this subsidiary, the translation of its foreign currency into U.S. Dollars is performed for assets and liabilities using current foreign currency exchange rates in effect at the balance sheet date and for revenue and expense accounts using average foreign currency exchange rates during the periods presented. Translation gains and losses are included in stockholders’ equity as a component of accumulated other comprehensive loss.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Table 14: Details of Accumulated Other Comprehensive Loss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Borders>
              <w:top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March 31, 2023</w:t>
            </w:r>
          </w:p>
        </w:tc>
        <w:tc>
          <w:tcPr>
            <w:tcW w:w="4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w w:val="91"/>
              </w:rPr>
              <w:t>December 31, 2022</w:t>
            </w:r>
          </w:p>
        </w:tc>
      </w:tr>
      <w:tr>
        <w:trPr>
          <w:trHeight w:val="214"/>
        </w:trPr>
        <w:tc>
          <w:tcPr>
            <w:tcW w:w="70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1700" w:type="dxa"/>
            <w:vAlign w:val="bottom"/>
          </w:tcPr>
          <w:p>
            <w:pPr>
              <w:spacing w:after="0"/>
              <w:rPr>
                <w:sz w:val="18"/>
                <w:szCs w:val="18"/>
                <w:color w:val="auto"/>
              </w:rPr>
            </w:pPr>
          </w:p>
        </w:tc>
      </w:tr>
      <w:tr>
        <w:trPr>
          <w:trHeight w:val="26"/>
        </w:trPr>
        <w:tc>
          <w:tcPr>
            <w:tcW w:w="70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Cumulative foreign currency translation loss</w:t>
            </w:r>
          </w:p>
        </w:tc>
        <w:tc>
          <w:tcPr>
            <w:tcW w:w="1620" w:type="dxa"/>
            <w:vAlign w:val="bottom"/>
            <w:shd w:val="clear" w:color="auto" w:fill="CCEEFF"/>
          </w:tcPr>
          <w:p>
            <w:pPr>
              <w:jc w:val="right"/>
              <w:ind w:right="1439"/>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w:t>
            </w:r>
          </w:p>
        </w:tc>
      </w:tr>
      <w:tr>
        <w:trPr>
          <w:trHeight w:val="213"/>
        </w:trPr>
        <w:tc>
          <w:tcPr>
            <w:tcW w:w="7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Cumulative actuarial gain on pension liability adjustment</w:t>
            </w:r>
          </w:p>
        </w:tc>
        <w:tc>
          <w:tcPr>
            <w:tcW w:w="16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w:t>
            </w:r>
          </w:p>
        </w:tc>
      </w:tr>
      <w:tr>
        <w:trPr>
          <w:trHeight w:val="234"/>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Accumulated other comprehensive loss</w:t>
            </w:r>
          </w:p>
        </w:tc>
        <w:tc>
          <w:tcPr>
            <w:tcW w:w="1620" w:type="dxa"/>
            <w:vAlign w:val="bottom"/>
            <w:tcBorders>
              <w:bottom w:val="single" w:sz="8" w:color="auto"/>
            </w:tcBorders>
            <w:shd w:val="clear" w:color="auto" w:fill="CCEEFF"/>
          </w:tcPr>
          <w:p>
            <w:pPr>
              <w:jc w:val="right"/>
              <w:ind w:right="1439"/>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15. LOSS PER SHARE</w:t>
      </w:r>
    </w:p>
    <w:p>
      <w:pPr>
        <w:spacing w:after="0" w:line="17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For the period of net loss, potentially dilutive securities are not included in the calculation of diluted net earnings (loss) per share, because to do so would be anti-dilutive.</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Table 15: Potentially Dilutive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 w:lineRule="exact"/>
        <w:rPr>
          <w:sz w:val="20"/>
          <w:szCs w:val="20"/>
          <w:color w:val="auto"/>
        </w:rPr>
      </w:pPr>
    </w:p>
    <w:p>
      <w:pPr>
        <w:ind w:left="8180"/>
        <w:spacing w:after="0"/>
        <w:rPr>
          <w:sz w:val="20"/>
          <w:szCs w:val="20"/>
          <w:color w:val="auto"/>
        </w:rPr>
      </w:pPr>
      <w:r>
        <w:rPr>
          <w:rFonts w:ascii="Arial" w:cs="Arial" w:eastAsia="Arial" w:hAnsi="Arial"/>
          <w:sz w:val="16"/>
          <w:szCs w:val="16"/>
          <w:color w:val="auto"/>
        </w:rPr>
        <w:t>For the Three Months Ended</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Pr>
          <w:p>
            <w:pPr>
              <w:spacing w:after="0"/>
              <w:rPr>
                <w:sz w:val="18"/>
                <w:szCs w:val="18"/>
                <w:color w:val="auto"/>
              </w:rPr>
            </w:pPr>
          </w:p>
        </w:tc>
        <w:tc>
          <w:tcPr>
            <w:tcW w:w="164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6"/>
                <w:szCs w:val="16"/>
                <w:color w:val="auto"/>
                <w:w w:val="98"/>
              </w:rPr>
              <w:t>March 31, 2023</w:t>
            </w:r>
          </w:p>
        </w:tc>
        <w:tc>
          <w:tcPr>
            <w:tcW w:w="4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6"/>
                <w:szCs w:val="16"/>
                <w:color w:val="auto"/>
              </w:rPr>
              <w:t>March 31, 2022</w:t>
            </w:r>
          </w:p>
        </w:tc>
      </w:tr>
      <w:tr>
        <w:trPr>
          <w:trHeight w:val="214"/>
        </w:trPr>
        <w:tc>
          <w:tcPr>
            <w:tcW w:w="70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960" w:type="dxa"/>
            <w:vAlign w:val="bottom"/>
            <w:gridSpan w:val="3"/>
          </w:tcPr>
          <w:p>
            <w:pPr>
              <w:ind w:left="60"/>
              <w:spacing w:after="0"/>
              <w:rPr>
                <w:sz w:val="20"/>
                <w:szCs w:val="20"/>
                <w:color w:val="auto"/>
              </w:rPr>
            </w:pPr>
            <w:r>
              <w:rPr>
                <w:rFonts w:ascii="Arial" w:cs="Arial" w:eastAsia="Arial" w:hAnsi="Arial"/>
                <w:sz w:val="14"/>
                <w:szCs w:val="14"/>
                <w:i w:val="1"/>
                <w:iCs w:val="1"/>
                <w:color w:val="auto"/>
                <w:w w:val="99"/>
              </w:rPr>
              <w:t>(in thousands)</w:t>
            </w:r>
          </w:p>
        </w:tc>
        <w:tc>
          <w:tcPr>
            <w:tcW w:w="1640" w:type="dxa"/>
            <w:vAlign w:val="bottom"/>
          </w:tcPr>
          <w:p>
            <w:pPr>
              <w:spacing w:after="0"/>
              <w:rPr>
                <w:sz w:val="18"/>
                <w:szCs w:val="18"/>
                <w:color w:val="auto"/>
              </w:rPr>
            </w:pPr>
          </w:p>
        </w:tc>
      </w:tr>
      <w:tr>
        <w:trPr>
          <w:trHeight w:val="26"/>
        </w:trPr>
        <w:tc>
          <w:tcPr>
            <w:tcW w:w="70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13"/>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Unvested restricted stock and restricted stock units</w:t>
            </w:r>
          </w:p>
        </w:tc>
        <w:tc>
          <w:tcPr>
            <w:tcW w:w="164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410</w:t>
            </w:r>
          </w:p>
        </w:tc>
        <w:tc>
          <w:tcPr>
            <w:tcW w:w="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ind w:left="1420"/>
              <w:spacing w:after="0"/>
              <w:rPr>
                <w:sz w:val="20"/>
                <w:szCs w:val="20"/>
                <w:color w:val="auto"/>
              </w:rPr>
            </w:pPr>
            <w:r>
              <w:rPr>
                <w:rFonts w:ascii="Arial" w:cs="Arial" w:eastAsia="Arial" w:hAnsi="Arial"/>
                <w:sz w:val="16"/>
                <w:szCs w:val="16"/>
                <w:color w:val="auto"/>
              </w:rPr>
              <w:t>—</w:t>
            </w:r>
          </w:p>
        </w:tc>
      </w:tr>
      <w:tr>
        <w:trPr>
          <w:trHeight w:val="213"/>
        </w:trPr>
        <w:tc>
          <w:tcPr>
            <w:tcW w:w="8640" w:type="dxa"/>
            <w:vAlign w:val="bottom"/>
            <w:gridSpan w:val="2"/>
          </w:tcPr>
          <w:p>
            <w:pPr>
              <w:ind w:left="140"/>
              <w:spacing w:after="0"/>
              <w:rPr>
                <w:sz w:val="20"/>
                <w:szCs w:val="20"/>
                <w:color w:val="auto"/>
              </w:rPr>
            </w:pPr>
            <w:r>
              <w:rPr>
                <w:rFonts w:ascii="Arial" w:cs="Arial" w:eastAsia="Arial" w:hAnsi="Arial"/>
                <w:sz w:val="16"/>
                <w:szCs w:val="16"/>
                <w:color w:val="auto"/>
              </w:rPr>
              <w:t>Total</w:t>
            </w:r>
          </w:p>
        </w:tc>
        <w:tc>
          <w:tcPr>
            <w:tcW w:w="440" w:type="dxa"/>
            <w:vAlign w:val="bottom"/>
          </w:tcPr>
          <w:p>
            <w:pPr>
              <w:jc w:val="right"/>
              <w:spacing w:after="0"/>
              <w:rPr>
                <w:sz w:val="20"/>
                <w:szCs w:val="20"/>
                <w:color w:val="auto"/>
              </w:rPr>
            </w:pPr>
            <w:r>
              <w:rPr>
                <w:rFonts w:ascii="Arial" w:cs="Arial" w:eastAsia="Arial" w:hAnsi="Arial"/>
                <w:sz w:val="16"/>
                <w:szCs w:val="16"/>
                <w:color w:val="auto"/>
              </w:rPr>
              <w:t>410</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tcPr>
          <w:p>
            <w:pPr>
              <w:ind w:left="1420"/>
              <w:spacing w:after="0"/>
              <w:rPr>
                <w:sz w:val="20"/>
                <w:szCs w:val="20"/>
                <w:color w:val="auto"/>
              </w:rPr>
            </w:pPr>
            <w:r>
              <w:rPr>
                <w:rFonts w:ascii="Arial" w:cs="Arial" w:eastAsia="Arial" w:hAnsi="Arial"/>
                <w:sz w:val="16"/>
                <w:szCs w:val="16"/>
                <w:color w:val="auto"/>
              </w:rPr>
              <w:t>—</w:t>
            </w:r>
          </w:p>
        </w:tc>
      </w:tr>
      <w:tr>
        <w:trPr>
          <w:trHeight w:val="20"/>
        </w:trPr>
        <w:tc>
          <w:tcPr>
            <w:tcW w:w="700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For the three months ended March 31, 2023 and 2022, PSUs in the amount of 265,608 and 439,786, respectively, have been excluded from the calculation of potentially dilutive securities above because the issuance of shares is contingent upon the satisfaction of certain conditions which were not satisfied by the end of the period.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16. RELATED PARTY TRANSACTIONS</w:t>
      </w:r>
    </w:p>
    <w:p>
      <w:pPr>
        <w:spacing w:after="0" w:line="171"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color w:val="auto"/>
        </w:rPr>
        <w:t>Emmett J. Wood, the brother of our Chairman and CEO, had been an employee of the Company since 1996. The amounts paid to him as compensation were $249,000 and $512,000 for the three months ended March 31, 2023 and 2022, respectively. Additionally, Mr. Wood owned 199,785 and 178,041 shares of the Company’s common stock as of March 31, 2023 and December 31, 2022, respectively. In January 2023, he tendered his resignation as an employee effective February 7, 2023.</w:t>
      </w:r>
    </w:p>
    <w:p>
      <w:pPr>
        <w:spacing w:after="0" w:line="133"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One of the Company’s directors serves as a consultant to the Company. On January 1, 2023, the director and the Company amended the consulting agreement under which he provides services ("2023 consulting agreement"), extending his services through June 30, 2023, with the option to further extend for another six months by mutual agreement of the parties. The Company, at its election, would pay the director's 2023 consultancy fees in a fixed amount, in the form of restricted stock units. On January 3, 2023, the Company granted the director 16,859 RSUs for his consulting services, one-half of which vested on March 3, 2023, and the other half vesting on or about May 18, 2023, subject to the director's continued performance under the 2023 consulting agreement. During the three months ended March 31, 2022, the Company paid $25,000, and granted him 26,091 RSUs on February 1, 2022, for his consulting services in 2022, which RSUs vested quarterly in four equal amounts through the end of the year.</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17. SEGMENT INFORMATION</w:t>
      </w:r>
    </w:p>
    <w:p>
      <w:pPr>
        <w:spacing w:after="0" w:line="171"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We operate our business in two reportable and operating segments: Security Solutions and Secure Networks. These segments enable the alignment of our strategies and objectives and provide a framework for the timely and rational allocation of resources within the business lines.</w:t>
      </w:r>
    </w:p>
    <w:p>
      <w:pPr>
        <w:spacing w:after="0" w:line="73"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Our Security Solutions segment is primarily focused on cybersecurity, cloud and identity solutions, and secure messaging through Xacta</w:t>
      </w:r>
      <w:r>
        <w:rPr>
          <w:rFonts w:ascii="Arial" w:cs="Arial" w:eastAsia="Arial" w:hAnsi="Arial"/>
          <w:sz w:val="20"/>
          <w:szCs w:val="20"/>
          <w:color w:val="auto"/>
          <w:vertAlign w:val="superscript"/>
        </w:rPr>
        <w:t>®</w:t>
      </w:r>
      <w:r>
        <w:rPr>
          <w:rFonts w:ascii="Arial" w:cs="Arial" w:eastAsia="Arial" w:hAnsi="Arial"/>
          <w:sz w:val="16"/>
          <w:szCs w:val="16"/>
          <w:color w:val="auto"/>
        </w:rPr>
        <w:t>, Telos Ghost</w:t>
      </w:r>
      <w:r>
        <w:rPr>
          <w:rFonts w:ascii="Arial" w:cs="Arial" w:eastAsia="Arial" w:hAnsi="Arial"/>
          <w:sz w:val="20"/>
          <w:szCs w:val="20"/>
          <w:color w:val="auto"/>
          <w:vertAlign w:val="superscript"/>
        </w:rPr>
        <w:t>®</w:t>
      </w:r>
      <w:r>
        <w:rPr>
          <w:rFonts w:ascii="Arial" w:cs="Arial" w:eastAsia="Arial" w:hAnsi="Arial"/>
          <w:sz w:val="16"/>
          <w:szCs w:val="16"/>
          <w:color w:val="auto"/>
        </w:rPr>
        <w:t>, Telos Advanced Cyber Analytics ("Telos ACA"), Telos AMHS and Telos ID offerings. We recognize revenue on contracts from providing various system platforms in the cloud, on-premises, and in hybrid cloud environments, as well as software sales or software-as-a-service. Revenue associated with the segment's custom solutions is recognized as work progresses or upon delivery of services and products. Fluctuation in revenue from period to period is the result of the volume of software sales, and the progress or completion of cloud or cybersecurity solutions during the period. The majority of the operating costs relate to labor, material, and overhead costs. Software sales have immaterial operation costs associated with them, thus yielding higher margins. Gross profit and margin are a function of operational efficiency on security solutions and changes in the volume of software sales.</w:t>
      </w:r>
    </w:p>
    <w:p>
      <w:pPr>
        <w:spacing w:after="0" w:line="80"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Our Secure Networks segment provides secure networking architectures and solutions to our customers through secure mobility solutions, and network management and defense services. Revenue is recognized over time as the work progresses on contracts related to managing network services and information delivery. Contract costs include labor, material, and overhead costs. Variances in costs recognized from period to period primarily reflect increases and decreases in activity levels on individual contracts.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u w:val="single" w:color="auto"/>
          <w:color w:val="auto"/>
        </w:rPr>
        <w:t>Table of Contents</w:t>
      </w:r>
    </w:p>
    <w:p>
      <w:pPr>
        <w:spacing w:after="0" w:line="200" w:lineRule="exact"/>
        <w:rPr>
          <w:sz w:val="20"/>
          <w:szCs w:val="20"/>
          <w:color w:val="auto"/>
        </w:rPr>
      </w:pPr>
    </w:p>
    <w:p>
      <w:pPr>
        <w:spacing w:after="0" w:line="39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Table 17: Results of Operations by Business Segment</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3920" w:type="dxa"/>
            <w:vAlign w:val="bottom"/>
            <w:tcBorders>
              <w:top w:val="single" w:sz="8" w:color="auto"/>
              <w:bottom w:val="single" w:sz="8" w:color="auto"/>
            </w:tcBorders>
            <w:gridSpan w:val="4"/>
          </w:tcPr>
          <w:p>
            <w:pPr>
              <w:jc w:val="right"/>
              <w:ind w:right="1099"/>
              <w:spacing w:after="0"/>
              <w:rPr>
                <w:sz w:val="20"/>
                <w:szCs w:val="20"/>
                <w:color w:val="auto"/>
              </w:rPr>
            </w:pPr>
            <w:r>
              <w:rPr>
                <w:rFonts w:ascii="Arial" w:cs="Arial" w:eastAsia="Arial" w:hAnsi="Arial"/>
                <w:sz w:val="16"/>
                <w:szCs w:val="16"/>
                <w:color w:val="auto"/>
              </w:rPr>
              <w:t>For the Three Months Ended</w:t>
            </w:r>
          </w:p>
        </w:tc>
      </w:tr>
      <w:tr>
        <w:trPr>
          <w:trHeight w:val="209"/>
        </w:trPr>
        <w:tc>
          <w:tcPr>
            <w:tcW w:w="7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440"/>
              <w:spacing w:after="0"/>
              <w:rPr>
                <w:sz w:val="20"/>
                <w:szCs w:val="20"/>
                <w:color w:val="auto"/>
              </w:rPr>
            </w:pPr>
            <w:r>
              <w:rPr>
                <w:rFonts w:ascii="Arial" w:cs="Arial" w:eastAsia="Arial" w:hAnsi="Arial"/>
                <w:sz w:val="16"/>
                <w:szCs w:val="16"/>
                <w:color w:val="auto"/>
              </w:rPr>
              <w:t>March 31, 2023</w:t>
            </w:r>
          </w:p>
        </w:tc>
        <w:tc>
          <w:tcPr>
            <w:tcW w:w="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w w:val="98"/>
              </w:rPr>
              <w:t>March 31, 2022</w:t>
            </w:r>
          </w:p>
        </w:tc>
      </w:tr>
      <w:tr>
        <w:trPr>
          <w:trHeight w:val="214"/>
        </w:trPr>
        <w:tc>
          <w:tcPr>
            <w:tcW w:w="7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8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1640" w:type="dxa"/>
            <w:vAlign w:val="bottom"/>
          </w:tcPr>
          <w:p>
            <w:pPr>
              <w:spacing w:after="0"/>
              <w:rPr>
                <w:sz w:val="18"/>
                <w:szCs w:val="18"/>
                <w:color w:val="auto"/>
              </w:rPr>
            </w:pPr>
          </w:p>
        </w:tc>
      </w:tr>
      <w:tr>
        <w:trPr>
          <w:trHeight w:val="26"/>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3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13"/>
        </w:trPr>
        <w:tc>
          <w:tcPr>
            <w:tcW w:w="7000" w:type="dxa"/>
            <w:vAlign w:val="bottom"/>
          </w:tcPr>
          <w:p>
            <w:pPr>
              <w:ind w:left="140"/>
              <w:spacing w:after="0"/>
              <w:rPr>
                <w:sz w:val="20"/>
                <w:szCs w:val="20"/>
                <w:color w:val="auto"/>
              </w:rPr>
            </w:pPr>
            <w:r>
              <w:rPr>
                <w:rFonts w:ascii="Arial" w:cs="Arial" w:eastAsia="Arial" w:hAnsi="Arial"/>
                <w:sz w:val="16"/>
                <w:szCs w:val="16"/>
                <w:color w:val="auto"/>
              </w:rPr>
              <w:t>Security Solutions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19,773</w:t>
            </w:r>
          </w:p>
        </w:tc>
        <w:tc>
          <w:tcPr>
            <w:tcW w:w="8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26,919</w:t>
            </w:r>
          </w:p>
        </w:tc>
      </w:tr>
      <w:tr>
        <w:trPr>
          <w:trHeight w:val="219"/>
        </w:trPr>
        <w:tc>
          <w:tcPr>
            <w:tcW w:w="7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Secure Networks</w:t>
            </w:r>
          </w:p>
        </w:tc>
        <w:tc>
          <w:tcPr>
            <w:tcW w:w="3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15,449</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23,241</w:t>
            </w:r>
          </w:p>
        </w:tc>
      </w:tr>
      <w:tr>
        <w:trPr>
          <w:trHeight w:val="207"/>
        </w:trPr>
        <w:tc>
          <w:tcPr>
            <w:tcW w:w="700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Total revenue</w:t>
            </w:r>
          </w:p>
        </w:tc>
        <w:tc>
          <w:tcPr>
            <w:tcW w:w="3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35,222</w:t>
            </w:r>
          </w:p>
        </w:tc>
        <w:tc>
          <w:tcPr>
            <w:tcW w:w="8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50,160</w:t>
            </w:r>
          </w:p>
        </w:tc>
      </w:tr>
      <w:tr>
        <w:trPr>
          <w:trHeight w:val="199"/>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3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213"/>
        </w:trPr>
        <w:tc>
          <w:tcPr>
            <w:tcW w:w="7000" w:type="dxa"/>
            <w:vAlign w:val="bottom"/>
          </w:tcPr>
          <w:p>
            <w:pPr>
              <w:ind w:left="140"/>
              <w:spacing w:after="0"/>
              <w:rPr>
                <w:sz w:val="20"/>
                <w:szCs w:val="20"/>
                <w:color w:val="auto"/>
              </w:rPr>
            </w:pPr>
            <w:r>
              <w:rPr>
                <w:rFonts w:ascii="Arial" w:cs="Arial" w:eastAsia="Arial" w:hAnsi="Arial"/>
                <w:sz w:val="16"/>
                <w:szCs w:val="16"/>
                <w:color w:val="auto"/>
              </w:rPr>
              <w:t>Security Solutions</w:t>
            </w:r>
          </w:p>
        </w:tc>
        <w:tc>
          <w:tcPr>
            <w:tcW w:w="3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10,274</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15,051</w:t>
            </w:r>
          </w:p>
        </w:tc>
      </w:tr>
      <w:tr>
        <w:trPr>
          <w:trHeight w:val="219"/>
        </w:trPr>
        <w:tc>
          <w:tcPr>
            <w:tcW w:w="7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Secure Networks</w:t>
            </w:r>
          </w:p>
        </w:tc>
        <w:tc>
          <w:tcPr>
            <w:tcW w:w="3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3,208</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3,820</w:t>
            </w:r>
          </w:p>
        </w:tc>
      </w:tr>
      <w:tr>
        <w:trPr>
          <w:trHeight w:val="207"/>
        </w:trPr>
        <w:tc>
          <w:tcPr>
            <w:tcW w:w="7000" w:type="dxa"/>
            <w:vAlign w:val="bottom"/>
          </w:tcPr>
          <w:p>
            <w:pPr>
              <w:ind w:left="240"/>
              <w:spacing w:after="0"/>
              <w:rPr>
                <w:sz w:val="20"/>
                <w:szCs w:val="20"/>
                <w:color w:val="auto"/>
              </w:rPr>
            </w:pPr>
            <w:r>
              <w:rPr>
                <w:rFonts w:ascii="Arial" w:cs="Arial" w:eastAsia="Arial" w:hAnsi="Arial"/>
                <w:sz w:val="16"/>
                <w:szCs w:val="16"/>
                <w:color w:val="auto"/>
              </w:rPr>
              <w:t>Total gross profit</w:t>
            </w:r>
          </w:p>
        </w:tc>
        <w:tc>
          <w:tcPr>
            <w:tcW w:w="32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13,482</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18,871</w:t>
            </w:r>
          </w:p>
        </w:tc>
      </w:tr>
      <w:tr>
        <w:trPr>
          <w:trHeight w:val="219"/>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3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26,452</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35,238</w:t>
            </w:r>
          </w:p>
        </w:tc>
      </w:tr>
      <w:tr>
        <w:trPr>
          <w:trHeight w:val="207"/>
        </w:trPr>
        <w:tc>
          <w:tcPr>
            <w:tcW w:w="7000" w:type="dxa"/>
            <w:vAlign w:val="bottom"/>
          </w:tcPr>
          <w:p>
            <w:pPr>
              <w:ind w:left="20"/>
              <w:spacing w:after="0"/>
              <w:rPr>
                <w:sz w:val="20"/>
                <w:szCs w:val="20"/>
                <w:color w:val="auto"/>
              </w:rPr>
            </w:pPr>
            <w:r>
              <w:rPr>
                <w:rFonts w:ascii="Arial" w:cs="Arial" w:eastAsia="Arial" w:hAnsi="Arial"/>
                <w:sz w:val="16"/>
                <w:szCs w:val="16"/>
                <w:color w:val="auto"/>
              </w:rPr>
              <w:t>Operating loss</w:t>
            </w:r>
          </w:p>
        </w:tc>
        <w:tc>
          <w:tcPr>
            <w:tcW w:w="32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(12,970)</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(16,367)</w:t>
            </w:r>
          </w:p>
        </w:tc>
      </w:tr>
      <w:tr>
        <w:trPr>
          <w:trHeight w:val="219"/>
        </w:trPr>
        <w:tc>
          <w:tcPr>
            <w:tcW w:w="7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income</w:t>
            </w:r>
          </w:p>
        </w:tc>
        <w:tc>
          <w:tcPr>
            <w:tcW w:w="3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2,496</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13"/>
        </w:trPr>
        <w:tc>
          <w:tcPr>
            <w:tcW w:w="70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Interest expense</w:t>
            </w:r>
          </w:p>
        </w:tc>
        <w:tc>
          <w:tcPr>
            <w:tcW w:w="3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w:t>
            </w: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w:t>
            </w:r>
          </w:p>
        </w:tc>
      </w:tr>
      <w:tr>
        <w:trPr>
          <w:trHeight w:val="213"/>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before income taxes</w:t>
            </w:r>
          </w:p>
        </w:tc>
        <w:tc>
          <w:tcPr>
            <w:tcW w:w="3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(10,723)</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(16,545)</w:t>
            </w:r>
          </w:p>
        </w:tc>
      </w:tr>
      <w:tr>
        <w:trPr>
          <w:trHeight w:val="213"/>
        </w:trPr>
        <w:tc>
          <w:tcPr>
            <w:tcW w:w="70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Provision for income taxes</w:t>
            </w:r>
          </w:p>
        </w:tc>
        <w:tc>
          <w:tcPr>
            <w:tcW w:w="3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w:t>
            </w:r>
          </w:p>
        </w:tc>
      </w:tr>
      <w:tr>
        <w:trPr>
          <w:trHeight w:val="237"/>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(10,746)</w:t>
            </w: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(16,616)</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360"/>
        <w:spacing w:after="0" w:line="311" w:lineRule="auto"/>
        <w:rPr>
          <w:sz w:val="20"/>
          <w:szCs w:val="20"/>
          <w:color w:val="auto"/>
        </w:rPr>
      </w:pPr>
      <w:r>
        <w:rPr>
          <w:rFonts w:ascii="Arial" w:cs="Arial" w:eastAsia="Arial" w:hAnsi="Arial"/>
          <w:sz w:val="16"/>
          <w:szCs w:val="16"/>
          <w:color w:val="auto"/>
        </w:rPr>
        <w:t>We measure each segment's profitability based on gross profit. We account for inter-segment sales and transfers as if the sales or transfers were to third parties, that is, at current market prices. Interest income, interest expense, other income and expense items, and income taxes, as reported in the consolidated financial statements, are not part of the segment profitability measure and are primarily recorded at the corporate level.</w:t>
      </w:r>
    </w:p>
    <w:p>
      <w:pPr>
        <w:spacing w:after="0" w:line="9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Management does not utilize total assets by segment to evaluate segment performance or allocate resources. As a result, assets are not tracked by segment, and therefore, total assets by segment are not disclosed.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18. COMMITMENTS AND CONTINGENCIES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117"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On February 7, 2022, Telos and certain of its current and former officers were named as defendants in a lawsuit filed in the United States District Court for the Eastern District of Virginia ("Court"). In the complaint, the Plaintiffs, who purport to represent a class of purchasers of Telos common stock between November 19, 2020, and March 16, 2022, allege that the defendants violated securities laws by failing to disclose delays relating to the launch of certain contracts between Telos and the Transportation Security Administration ("TSA") and the Centers for Medicare and Medicaid Services and to take into account those delays when providing a financial forecast for the Company's 2021 performance. On June 15, 2022, the Plaintiffs filed a consolidated complaint which added claims (i) concerning Telos' disclosure of revenue projections for these contracts, (ii) against the directors of Telos at the time of its initial public offering, and (iii) pursuant to Sections 11 and 15 of the Securities Act of 1933. On February 1, 2023, the Court dismissed the lawsuit in its entirety for failure to state a claim. The Court's order of dismissal provided the Plaintiffs twenty-one days within which to file a motion for leave to file an amended complaint, should they have a good faith basis to do so. On March 1, 2023, the Plaintiffs filed a motion for leave to file an amended complaint, and on March 13, 2023, the Court granted the parties' consent motion permitting the filing of a consolidated amended class action complaint and establishing a briefing schedule for Telos' forthcoming motion to dismiss that amended complaint. On April 14, 2023, Telos moved to dismiss the consolidated amended class action complaint.</w:t>
      </w:r>
    </w:p>
    <w:p>
      <w:pPr>
        <w:spacing w:after="0" w:line="1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does not believe that there are claims or proceedings that would have a material adverse effect on the business, or the unaudited consolidated financial statements of the Company as of March 31, 2023.</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u w:val="single" w:color="auto"/>
          <w:color w:val="auto"/>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 Government Contracts</w:t>
      </w:r>
    </w:p>
    <w:p>
      <w:pPr>
        <w:spacing w:after="0" w:line="17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As a U.S. government contractor, we are subject to various audits and investigations by the U.S. government to determine whether our operations are being conducted in accordance with applicable regulatory requirements. U.S. government investigations of our operations, whether relating to government contracts or conducted for other reasons, could result in administrative, civil, or criminal liabilities, including repayments, fines or penalties being imposed upon us, suspension, proposed debarment, debarment from eligibility for future U.S. government contracting, or suspension of export privileges. Suspension or debarment could have a material adverse effect on us because of our dependence on contracts with the U.S. government. U.S. government investigations often take years to complete and many result in no adverse action against us. We also provide products and services to customers outside of the United States, which are subject to U.S. and foreign laws and regulations and foreign procurement policies and practices. Our compliance with local regulations or applicable U.S. government regulations also may be audited or investigated.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19. SUPPLEMENTAL CASH FLOW INFORMATION</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Table 19.1: Details of Cash, Cash Equivalents, and Restricted Cash</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6"/>
                <w:szCs w:val="16"/>
                <w:color w:val="auto"/>
              </w:rPr>
              <w:t>March 31, 2023</w:t>
            </w:r>
          </w:p>
        </w:tc>
        <w:tc>
          <w:tcPr>
            <w:tcW w:w="8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w w:val="91"/>
              </w:rPr>
              <w:t>December 31, 2022</w:t>
            </w:r>
          </w:p>
        </w:tc>
      </w:tr>
      <w:tr>
        <w:trPr>
          <w:trHeight w:val="214"/>
        </w:trPr>
        <w:tc>
          <w:tcPr>
            <w:tcW w:w="7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2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1700" w:type="dxa"/>
            <w:vAlign w:val="bottom"/>
          </w:tcPr>
          <w:p>
            <w:pPr>
              <w:spacing w:after="0"/>
              <w:rPr>
                <w:sz w:val="18"/>
                <w:szCs w:val="18"/>
                <w:color w:val="auto"/>
              </w:rPr>
            </w:pPr>
          </w:p>
        </w:tc>
      </w:tr>
      <w:tr>
        <w:trPr>
          <w:trHeight w:val="26"/>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112,462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119,305</w:t>
            </w:r>
          </w:p>
        </w:tc>
      </w:tr>
      <w:tr>
        <w:trPr>
          <w:trHeight w:val="216"/>
        </w:trPr>
        <w:tc>
          <w:tcPr>
            <w:tcW w:w="700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 xml:space="preserve">Restricted cash </w:t>
            </w:r>
            <w:r>
              <w:rPr>
                <w:rFonts w:ascii="Arial" w:cs="Arial" w:eastAsia="Arial" w:hAnsi="Arial"/>
                <w:sz w:val="21"/>
                <w:szCs w:val="21"/>
                <w:color w:val="auto"/>
                <w:vertAlign w:val="superscript"/>
              </w:rPr>
              <w:t>(1)</w:t>
            </w:r>
          </w:p>
        </w:tc>
        <w:tc>
          <w:tcPr>
            <w:tcW w:w="3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w:t>
            </w:r>
          </w:p>
        </w:tc>
      </w:tr>
      <w:tr>
        <w:trPr>
          <w:trHeight w:val="231"/>
        </w:trPr>
        <w:tc>
          <w:tcPr>
            <w:tcW w:w="7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Cash, cash equivalents, and restricted cash</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112,595</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119,438</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160" w:hanging="152"/>
        <w:spacing w:after="0"/>
        <w:tabs>
          <w:tab w:leader="none" w:pos="160" w:val="left"/>
        </w:tabs>
        <w:numPr>
          <w:ilvl w:val="0"/>
          <w:numId w:val="7"/>
        </w:numPr>
        <w:rPr>
          <w:rFonts w:ascii="Arial" w:cs="Arial" w:eastAsia="Arial" w:hAnsi="Arial"/>
          <w:sz w:val="17"/>
          <w:szCs w:val="17"/>
          <w:color w:val="auto"/>
          <w:vertAlign w:val="superscript"/>
        </w:rPr>
      </w:pPr>
      <w:r>
        <w:rPr>
          <w:rFonts w:ascii="Arial" w:cs="Arial" w:eastAsia="Arial" w:hAnsi="Arial"/>
          <w:sz w:val="13"/>
          <w:szCs w:val="13"/>
          <w:color w:val="auto"/>
        </w:rPr>
        <w:t>Restricted cash consists of a commercial money market account held as a deposit on the Ashburn lease and is recorded under "Other assets" on the unaudited consolidated balance sheets.</w:t>
      </w:r>
    </w:p>
    <w:p>
      <w:pPr>
        <w:spacing w:after="0" w:line="18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Table 19.2: Supplemental Cash Flow Information</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Borders>
              <w:top w:val="single" w:sz="8" w:color="auto"/>
            </w:tcBorders>
          </w:tcPr>
          <w:p>
            <w:pPr>
              <w:spacing w:after="0"/>
              <w:rPr>
                <w:sz w:val="18"/>
                <w:szCs w:val="18"/>
                <w:color w:val="auto"/>
              </w:rPr>
            </w:pPr>
          </w:p>
        </w:tc>
        <w:tc>
          <w:tcPr>
            <w:tcW w:w="3820" w:type="dxa"/>
            <w:vAlign w:val="bottom"/>
            <w:tcBorders>
              <w:top w:val="single" w:sz="8" w:color="auto"/>
              <w:bottom w:val="single" w:sz="8" w:color="auto"/>
            </w:tcBorders>
            <w:gridSpan w:val="4"/>
          </w:tcPr>
          <w:p>
            <w:pPr>
              <w:jc w:val="right"/>
              <w:ind w:right="679"/>
              <w:spacing w:after="0"/>
              <w:rPr>
                <w:sz w:val="20"/>
                <w:szCs w:val="20"/>
                <w:color w:val="auto"/>
              </w:rPr>
            </w:pPr>
            <w:r>
              <w:rPr>
                <w:rFonts w:ascii="Arial" w:cs="Arial" w:eastAsia="Arial" w:hAnsi="Arial"/>
                <w:sz w:val="16"/>
                <w:szCs w:val="16"/>
                <w:color w:val="auto"/>
              </w:rPr>
              <w:t>For the Three Months Ended</w:t>
            </w:r>
          </w:p>
        </w:tc>
        <w:tc>
          <w:tcPr>
            <w:tcW w:w="420" w:type="dxa"/>
            <w:vAlign w:val="bottom"/>
            <w:tcBorders>
              <w:top w:val="single" w:sz="8" w:color="auto"/>
              <w:bottom w:val="single" w:sz="8" w:color="auto"/>
            </w:tcBorders>
          </w:tcPr>
          <w:p>
            <w:pPr>
              <w:spacing w:after="0"/>
              <w:rPr>
                <w:sz w:val="18"/>
                <w:szCs w:val="18"/>
                <w:color w:val="auto"/>
              </w:rPr>
            </w:pPr>
          </w:p>
        </w:tc>
      </w:tr>
      <w:tr>
        <w:trPr>
          <w:trHeight w:val="210"/>
        </w:trPr>
        <w:tc>
          <w:tcPr>
            <w:tcW w:w="700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March 31, 2023</w:t>
            </w:r>
          </w:p>
        </w:tc>
        <w:tc>
          <w:tcPr>
            <w:tcW w:w="4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March 31, 2022</w:t>
            </w:r>
          </w:p>
        </w:tc>
        <w:tc>
          <w:tcPr>
            <w:tcW w:w="420" w:type="dxa"/>
            <w:vAlign w:val="bottom"/>
            <w:tcBorders>
              <w:bottom w:val="single" w:sz="8" w:color="auto"/>
            </w:tcBorders>
          </w:tcPr>
          <w:p>
            <w:pPr>
              <w:spacing w:after="0"/>
              <w:rPr>
                <w:sz w:val="18"/>
                <w:szCs w:val="18"/>
                <w:color w:val="auto"/>
              </w:rPr>
            </w:pPr>
          </w:p>
        </w:tc>
      </w:tr>
      <w:tr>
        <w:trPr>
          <w:trHeight w:val="214"/>
        </w:trPr>
        <w:tc>
          <w:tcPr>
            <w:tcW w:w="70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20" w:type="dxa"/>
            <w:vAlign w:val="bottom"/>
            <w:gridSpan w:val="3"/>
          </w:tcPr>
          <w:p>
            <w:pPr>
              <w:jc w:val="right"/>
              <w:ind w:right="1199"/>
              <w:spacing w:after="0"/>
              <w:rPr>
                <w:sz w:val="20"/>
                <w:szCs w:val="20"/>
                <w:color w:val="auto"/>
              </w:rPr>
            </w:pPr>
            <w:r>
              <w:rPr>
                <w:rFonts w:ascii="Arial" w:cs="Arial" w:eastAsia="Arial" w:hAnsi="Arial"/>
                <w:sz w:val="14"/>
                <w:szCs w:val="14"/>
                <w:i w:val="1"/>
                <w:iCs w:val="1"/>
                <w:color w:val="auto"/>
              </w:rPr>
              <w:t>(in thousands)</w:t>
            </w:r>
          </w:p>
        </w:tc>
        <w:tc>
          <w:tcPr>
            <w:tcW w:w="420" w:type="dxa"/>
            <w:vAlign w:val="bottom"/>
          </w:tcPr>
          <w:p>
            <w:pPr>
              <w:spacing w:after="0"/>
              <w:rPr>
                <w:sz w:val="18"/>
                <w:szCs w:val="18"/>
                <w:color w:val="auto"/>
              </w:rPr>
            </w:pPr>
          </w:p>
        </w:tc>
      </w:tr>
      <w:tr>
        <w:trPr>
          <w:trHeight w:val="26"/>
        </w:trPr>
        <w:tc>
          <w:tcPr>
            <w:tcW w:w="70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during the period for:</w:t>
            </w:r>
          </w:p>
        </w:tc>
        <w:tc>
          <w:tcPr>
            <w:tcW w:w="1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r>
      <w:tr>
        <w:trPr>
          <w:trHeight w:val="213"/>
        </w:trPr>
        <w:tc>
          <w:tcPr>
            <w:tcW w:w="7000" w:type="dxa"/>
            <w:vAlign w:val="bottom"/>
          </w:tcPr>
          <w:p>
            <w:pPr>
              <w:ind w:left="140"/>
              <w:spacing w:after="0"/>
              <w:rPr>
                <w:sz w:val="20"/>
                <w:szCs w:val="20"/>
                <w:color w:val="auto"/>
              </w:rPr>
            </w:pPr>
            <w:r>
              <w:rPr>
                <w:rFonts w:ascii="Arial" w:cs="Arial" w:eastAsia="Arial" w:hAnsi="Arial"/>
                <w:sz w:val="16"/>
                <w:szCs w:val="16"/>
                <w:color w:val="auto"/>
              </w:rPr>
              <w:t>Interest</w:t>
            </w:r>
          </w:p>
        </w:tc>
        <w:tc>
          <w:tcPr>
            <w:tcW w:w="1600" w:type="dxa"/>
            <w:vAlign w:val="bottom"/>
          </w:tcPr>
          <w:p>
            <w:pPr>
              <w:jc w:val="right"/>
              <w:ind w:right="1419"/>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219</w:t>
            </w:r>
          </w:p>
        </w:tc>
        <w:tc>
          <w:tcPr>
            <w:tcW w:w="80" w:type="dxa"/>
            <w:vAlign w:val="bottom"/>
          </w:tcPr>
          <w:p>
            <w:pPr>
              <w:spacing w:after="0"/>
              <w:rPr>
                <w:sz w:val="18"/>
                <w:szCs w:val="18"/>
                <w:color w:val="auto"/>
              </w:rPr>
            </w:pPr>
          </w:p>
        </w:tc>
        <w:tc>
          <w:tcPr>
            <w:tcW w:w="1660" w:type="dxa"/>
            <w:vAlign w:val="bottom"/>
          </w:tcPr>
          <w:p>
            <w:pPr>
              <w:jc w:val="right"/>
              <w:ind w:right="1479"/>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179</w:t>
            </w:r>
          </w:p>
        </w:tc>
      </w:tr>
      <w:tr>
        <w:trPr>
          <w:trHeight w:val="219"/>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Non-cash investing and financing activities:</w:t>
            </w:r>
          </w:p>
        </w:tc>
        <w:tc>
          <w:tcPr>
            <w:tcW w:w="16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r>
      <w:tr>
        <w:trPr>
          <w:trHeight w:val="213"/>
        </w:trPr>
        <w:tc>
          <w:tcPr>
            <w:tcW w:w="7000" w:type="dxa"/>
            <w:vAlign w:val="bottom"/>
          </w:tcPr>
          <w:p>
            <w:pPr>
              <w:ind w:left="140"/>
              <w:spacing w:after="0"/>
              <w:rPr>
                <w:sz w:val="20"/>
                <w:szCs w:val="20"/>
                <w:color w:val="auto"/>
              </w:rPr>
            </w:pPr>
            <w:r>
              <w:rPr>
                <w:rFonts w:ascii="Arial" w:cs="Arial" w:eastAsia="Arial" w:hAnsi="Arial"/>
                <w:sz w:val="16"/>
                <w:szCs w:val="16"/>
                <w:color w:val="auto"/>
              </w:rPr>
              <w:t>Operating lease ROU assets obtained in exchange for operating lease liabilities</w:t>
            </w:r>
          </w:p>
        </w:tc>
        <w:tc>
          <w:tcPr>
            <w:tcW w:w="1600" w:type="dxa"/>
            <w:vAlign w:val="bottom"/>
          </w:tcPr>
          <w:p>
            <w:pPr>
              <w:jc w:val="right"/>
              <w:ind w:right="1419"/>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117</w:t>
            </w:r>
          </w:p>
        </w:tc>
        <w:tc>
          <w:tcPr>
            <w:tcW w:w="80" w:type="dxa"/>
            <w:vAlign w:val="bottom"/>
          </w:tcPr>
          <w:p>
            <w:pPr>
              <w:spacing w:after="0"/>
              <w:rPr>
                <w:sz w:val="18"/>
                <w:szCs w:val="18"/>
                <w:color w:val="auto"/>
              </w:rPr>
            </w:pPr>
          </w:p>
        </w:tc>
        <w:tc>
          <w:tcPr>
            <w:tcW w:w="1660" w:type="dxa"/>
            <w:vAlign w:val="bottom"/>
          </w:tcPr>
          <w:p>
            <w:pPr>
              <w:jc w:val="right"/>
              <w:ind w:right="1479"/>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147</w:t>
            </w:r>
          </w:p>
        </w:tc>
      </w:tr>
      <w:tr>
        <w:trPr>
          <w:trHeight w:val="219"/>
        </w:trPr>
        <w:tc>
          <w:tcPr>
            <w:tcW w:w="7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Capital expenditure activity in accounts payable and other accrued liabilities</w:t>
            </w:r>
          </w:p>
        </w:tc>
        <w:tc>
          <w:tcPr>
            <w:tcW w:w="16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w:t>
            </w: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000" w:type="dxa"/>
            <w:vAlign w:val="bottom"/>
          </w:tcPr>
          <w:p>
            <w:pPr>
              <w:ind w:left="140"/>
              <w:spacing w:after="0"/>
              <w:rPr>
                <w:sz w:val="20"/>
                <w:szCs w:val="20"/>
                <w:color w:val="auto"/>
              </w:rPr>
            </w:pPr>
            <w:r>
              <w:rPr>
                <w:rFonts w:ascii="Arial" w:cs="Arial" w:eastAsia="Arial" w:hAnsi="Arial"/>
                <w:sz w:val="16"/>
                <w:szCs w:val="16"/>
                <w:color w:val="auto"/>
              </w:rPr>
              <w:t>Withholding tax on net share settlement under other current liabilities</w:t>
            </w:r>
          </w:p>
        </w:tc>
        <w:tc>
          <w:tcPr>
            <w:tcW w:w="16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65</w:t>
            </w:r>
          </w:p>
        </w:tc>
        <w:tc>
          <w:tcPr>
            <w:tcW w:w="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Issuance of common stock for 401K match</w:t>
            </w:r>
          </w:p>
        </w:tc>
        <w:tc>
          <w:tcPr>
            <w:tcW w:w="16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1,942</w:t>
            </w: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7000" w:type="dxa"/>
            <w:vAlign w:val="bottom"/>
          </w:tcPr>
          <w:p>
            <w:pPr>
              <w:ind w:left="140"/>
              <w:spacing w:after="0"/>
              <w:rPr>
                <w:sz w:val="20"/>
                <w:szCs w:val="20"/>
                <w:color w:val="auto"/>
              </w:rPr>
            </w:pPr>
            <w:r>
              <w:rPr>
                <w:rFonts w:ascii="Arial" w:cs="Arial" w:eastAsia="Arial" w:hAnsi="Arial"/>
                <w:sz w:val="16"/>
                <w:szCs w:val="16"/>
                <w:color w:val="auto"/>
              </w:rPr>
              <w:t>Intangible assets transferred to extinguish the other financing obligations</w:t>
            </w:r>
          </w:p>
        </w:tc>
        <w:tc>
          <w:tcPr>
            <w:tcW w:w="16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9"/>
              </w:rPr>
              <w:t>7,089</w:t>
            </w:r>
          </w:p>
        </w:tc>
        <w:tc>
          <w:tcPr>
            <w:tcW w:w="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20. REVISION OF PRIOR YEAR INTERIM FINANCIAL STATEMENTS</w:t>
      </w:r>
    </w:p>
    <w:p>
      <w:pPr>
        <w:spacing w:after="0" w:line="171" w:lineRule="exact"/>
        <w:rPr>
          <w:sz w:val="20"/>
          <w:szCs w:val="20"/>
          <w:color w:val="auto"/>
        </w:rPr>
      </w:pPr>
    </w:p>
    <w:p>
      <w:pPr>
        <w:ind w:right="320"/>
        <w:spacing w:after="0" w:line="293" w:lineRule="auto"/>
        <w:rPr>
          <w:sz w:val="20"/>
          <w:szCs w:val="20"/>
          <w:color w:val="auto"/>
        </w:rPr>
      </w:pPr>
      <w:r>
        <w:rPr>
          <w:rFonts w:ascii="Arial" w:cs="Arial" w:eastAsia="Arial" w:hAnsi="Arial"/>
          <w:sz w:val="16"/>
          <w:szCs w:val="16"/>
          <w:color w:val="auto"/>
        </w:rPr>
        <w:t>During the course of preparing the Company's consolidated financial statements for the year ended December 31, 2022, we identified that stock-based compensation expense related to the PSU awards with market conditions was erroneously reversed when those PSUs were forfeited during the quarter ended March 31, 2022. Due to the error, general and administrative expense was understated by $1.6 million in the first quarter of 2022. Although the Company has determined that the error did not have a material impact on its previously issued interim consolidated financial statements, it revised the previously reported interim financial information in conjunction with the issuance of its quarterly filings on Form 10-Q for the quarter ended March 31, 2023. The errors had no net impact on cash flows from operating, investing or financing activities in the consolidated statement of cash flows.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u w:val="single" w:color="auto"/>
          <w:color w:val="auto"/>
        </w:rPr>
        <w:t>Table of Contents</w:t>
      </w:r>
    </w:p>
    <w:p>
      <w:pPr>
        <w:spacing w:after="0" w:line="200" w:lineRule="exact"/>
        <w:rPr>
          <w:sz w:val="20"/>
          <w:szCs w:val="20"/>
          <w:color w:val="auto"/>
        </w:rPr>
      </w:pPr>
    </w:p>
    <w:p>
      <w:pPr>
        <w:spacing w:after="0" w:line="34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following tables set forth the effects of the revisions of previously issued unaudited quarterly consolidated financial statements to correct for prior period error.</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Table 20.1: Impact of the Correction to the Unaudited Consolidated Statement of Operations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0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4360" w:type="dxa"/>
            <w:vAlign w:val="bottom"/>
            <w:tcBorders>
              <w:top w:val="single" w:sz="8" w:color="auto"/>
              <w:bottom w:val="single" w:sz="8" w:color="auto"/>
            </w:tcBorders>
            <w:gridSpan w:val="7"/>
          </w:tcPr>
          <w:p>
            <w:pPr>
              <w:jc w:val="center"/>
              <w:ind w:right="99"/>
              <w:spacing w:after="0"/>
              <w:rPr>
                <w:sz w:val="20"/>
                <w:szCs w:val="20"/>
                <w:color w:val="auto"/>
              </w:rPr>
            </w:pPr>
            <w:r>
              <w:rPr>
                <w:rFonts w:ascii="Arial" w:cs="Arial" w:eastAsia="Arial" w:hAnsi="Arial"/>
                <w:sz w:val="16"/>
                <w:szCs w:val="16"/>
                <w:color w:val="auto"/>
                <w:w w:val="91"/>
              </w:rPr>
              <w:t>For the Three Months Ended March 31, 2022</w:t>
            </w:r>
          </w:p>
        </w:tc>
        <w:tc>
          <w:tcPr>
            <w:tcW w:w="0" w:type="dxa"/>
            <w:vAlign w:val="bottom"/>
          </w:tcPr>
          <w:p>
            <w:pPr>
              <w:spacing w:after="0"/>
              <w:rPr>
                <w:sz w:val="1"/>
                <w:szCs w:val="1"/>
                <w:color w:val="auto"/>
              </w:rPr>
            </w:pPr>
          </w:p>
        </w:tc>
      </w:tr>
      <w:tr>
        <w:trPr>
          <w:trHeight w:val="162"/>
        </w:trPr>
        <w:tc>
          <w:tcPr>
            <w:tcW w:w="6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jc w:val="center"/>
              <w:ind w:right="260"/>
              <w:spacing w:after="0" w:line="162" w:lineRule="exact"/>
              <w:rPr>
                <w:sz w:val="20"/>
                <w:szCs w:val="20"/>
                <w:color w:val="auto"/>
              </w:rPr>
            </w:pPr>
            <w:r>
              <w:rPr>
                <w:rFonts w:ascii="Arial" w:cs="Arial" w:eastAsia="Arial" w:hAnsi="Arial"/>
                <w:sz w:val="16"/>
                <w:szCs w:val="16"/>
                <w:color w:val="auto"/>
                <w:w w:val="92"/>
              </w:rPr>
              <w:t>As Previously</w:t>
            </w:r>
          </w:p>
        </w:tc>
        <w:tc>
          <w:tcPr>
            <w:tcW w:w="220" w:type="dxa"/>
            <w:vAlign w:val="bottom"/>
          </w:tcPr>
          <w:p>
            <w:pPr>
              <w:spacing w:after="0"/>
              <w:rPr>
                <w:sz w:val="14"/>
                <w:szCs w:val="14"/>
                <w:color w:val="auto"/>
              </w:rPr>
            </w:pPr>
          </w:p>
        </w:tc>
        <w:tc>
          <w:tcPr>
            <w:tcW w:w="1240" w:type="dxa"/>
            <w:vAlign w:val="bottom"/>
            <w:vMerge w:val="restart"/>
          </w:tcPr>
          <w:p>
            <w:pPr>
              <w:jc w:val="center"/>
              <w:ind w:right="120"/>
              <w:spacing w:after="0"/>
              <w:rPr>
                <w:sz w:val="20"/>
                <w:szCs w:val="20"/>
                <w:color w:val="auto"/>
              </w:rPr>
            </w:pPr>
            <w:r>
              <w:rPr>
                <w:rFonts w:ascii="Arial" w:cs="Arial" w:eastAsia="Arial" w:hAnsi="Arial"/>
                <w:sz w:val="16"/>
                <w:szCs w:val="16"/>
                <w:color w:val="auto"/>
                <w:w w:val="94"/>
              </w:rPr>
              <w:t>Adjustment</w:t>
            </w:r>
          </w:p>
        </w:tc>
        <w:tc>
          <w:tcPr>
            <w:tcW w:w="80" w:type="dxa"/>
            <w:vAlign w:val="bottom"/>
            <w:vMerge w:val="restart"/>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vMerge w:val="restart"/>
          </w:tcPr>
          <w:p>
            <w:pPr>
              <w:jc w:val="right"/>
              <w:ind w:right="279"/>
              <w:spacing w:after="0"/>
              <w:rPr>
                <w:sz w:val="20"/>
                <w:szCs w:val="20"/>
                <w:color w:val="auto"/>
              </w:rPr>
            </w:pPr>
            <w:r>
              <w:rPr>
                <w:rFonts w:ascii="Arial" w:cs="Arial" w:eastAsia="Arial" w:hAnsi="Arial"/>
                <w:sz w:val="16"/>
                <w:szCs w:val="16"/>
                <w:color w:val="auto"/>
                <w:w w:val="96"/>
              </w:rPr>
              <w:t>As Revised</w:t>
            </w:r>
          </w:p>
        </w:tc>
        <w:tc>
          <w:tcPr>
            <w:tcW w:w="0" w:type="dxa"/>
            <w:vAlign w:val="bottom"/>
          </w:tcPr>
          <w:p>
            <w:pPr>
              <w:spacing w:after="0"/>
              <w:rPr>
                <w:sz w:val="1"/>
                <w:szCs w:val="1"/>
                <w:color w:val="auto"/>
              </w:rPr>
            </w:pPr>
          </w:p>
        </w:tc>
      </w:tr>
      <w:tr>
        <w:trPr>
          <w:trHeight w:val="209"/>
        </w:trPr>
        <w:tc>
          <w:tcPr>
            <w:tcW w:w="67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color w:val="auto"/>
                <w:w w:val="88"/>
              </w:rPr>
              <w:t>Reported</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0" w:type="dxa"/>
            <w:vAlign w:val="bottom"/>
            <w:gridSpan w:val="6"/>
          </w:tcPr>
          <w:p>
            <w:pPr>
              <w:jc w:val="center"/>
              <w:ind w:left="899"/>
              <w:spacing w:after="0"/>
              <w:rPr>
                <w:sz w:val="20"/>
                <w:szCs w:val="20"/>
                <w:color w:val="auto"/>
              </w:rPr>
            </w:pPr>
            <w:r>
              <w:rPr>
                <w:rFonts w:ascii="Arial" w:cs="Arial" w:eastAsia="Arial" w:hAnsi="Arial"/>
                <w:sz w:val="14"/>
                <w:szCs w:val="14"/>
                <w:i w:val="1"/>
                <w:iCs w:val="1"/>
                <w:color w:val="auto"/>
                <w:w w:val="92"/>
              </w:rPr>
              <w:t>(in thousands, except per share data)</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6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22,923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24,556</w:t>
            </w:r>
          </w:p>
        </w:tc>
        <w:tc>
          <w:tcPr>
            <w:tcW w:w="0" w:type="dxa"/>
            <w:vAlign w:val="bottom"/>
          </w:tcPr>
          <w:p>
            <w:pPr>
              <w:spacing w:after="0"/>
              <w:rPr>
                <w:sz w:val="1"/>
                <w:szCs w:val="1"/>
                <w:color w:val="auto"/>
              </w:rPr>
            </w:pPr>
          </w:p>
        </w:tc>
      </w:tr>
      <w:tr>
        <w:trPr>
          <w:trHeight w:val="213"/>
        </w:trPr>
        <w:tc>
          <w:tcPr>
            <w:tcW w:w="6700" w:type="dxa"/>
            <w:vAlign w:val="bottom"/>
          </w:tcPr>
          <w:p>
            <w:pPr>
              <w:ind w:left="20"/>
              <w:spacing w:after="0"/>
              <w:rPr>
                <w:sz w:val="20"/>
                <w:szCs w:val="20"/>
                <w:color w:val="auto"/>
              </w:rPr>
            </w:pPr>
            <w:r>
              <w:rPr>
                <w:rFonts w:ascii="Arial" w:cs="Arial" w:eastAsia="Arial" w:hAnsi="Arial"/>
                <w:sz w:val="16"/>
                <w:szCs w:val="16"/>
                <w:color w:val="auto"/>
              </w:rPr>
              <w:t>Total selling, general and administrative expenses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33,605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1,633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35,238</w:t>
            </w:r>
          </w:p>
        </w:tc>
        <w:tc>
          <w:tcPr>
            <w:tcW w:w="0" w:type="dxa"/>
            <w:vAlign w:val="bottom"/>
          </w:tcPr>
          <w:p>
            <w:pPr>
              <w:spacing w:after="0"/>
              <w:rPr>
                <w:sz w:val="1"/>
                <w:szCs w:val="1"/>
                <w:color w:val="auto"/>
              </w:rPr>
            </w:pPr>
          </w:p>
        </w:tc>
      </w:tr>
      <w:tr>
        <w:trPr>
          <w:trHeight w:val="219"/>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loss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(14,734)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(16,367)</w:t>
            </w:r>
          </w:p>
        </w:tc>
        <w:tc>
          <w:tcPr>
            <w:tcW w:w="0" w:type="dxa"/>
            <w:vAlign w:val="bottom"/>
          </w:tcPr>
          <w:p>
            <w:pPr>
              <w:spacing w:after="0"/>
              <w:rPr>
                <w:sz w:val="1"/>
                <w:szCs w:val="1"/>
                <w:color w:val="auto"/>
              </w:rPr>
            </w:pPr>
          </w:p>
        </w:tc>
      </w:tr>
      <w:tr>
        <w:trPr>
          <w:trHeight w:val="213"/>
        </w:trPr>
        <w:tc>
          <w:tcPr>
            <w:tcW w:w="6700" w:type="dxa"/>
            <w:vAlign w:val="bottom"/>
          </w:tcPr>
          <w:p>
            <w:pPr>
              <w:ind w:left="20"/>
              <w:spacing w:after="0"/>
              <w:rPr>
                <w:sz w:val="20"/>
                <w:szCs w:val="20"/>
                <w:color w:val="auto"/>
              </w:rPr>
            </w:pPr>
            <w:r>
              <w:rPr>
                <w:rFonts w:ascii="Arial" w:cs="Arial" w:eastAsia="Arial" w:hAnsi="Arial"/>
                <w:sz w:val="16"/>
                <w:szCs w:val="16"/>
                <w:color w:val="auto"/>
              </w:rPr>
              <w:t>Loss before income taxes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(14,912)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(1,633)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(16,545)</w:t>
            </w:r>
          </w:p>
        </w:tc>
        <w:tc>
          <w:tcPr>
            <w:tcW w:w="0" w:type="dxa"/>
            <w:vAlign w:val="bottom"/>
          </w:tcPr>
          <w:p>
            <w:pPr>
              <w:spacing w:after="0"/>
              <w:rPr>
                <w:sz w:val="1"/>
                <w:szCs w:val="1"/>
                <w:color w:val="auto"/>
              </w:rPr>
            </w:pPr>
          </w:p>
        </w:tc>
      </w:tr>
      <w:tr>
        <w:trPr>
          <w:trHeight w:val="219"/>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(14,983)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(16,616)</w:t>
            </w:r>
          </w:p>
        </w:tc>
        <w:tc>
          <w:tcPr>
            <w:tcW w:w="0" w:type="dxa"/>
            <w:vAlign w:val="bottom"/>
          </w:tcPr>
          <w:p>
            <w:pPr>
              <w:spacing w:after="0"/>
              <w:rPr>
                <w:sz w:val="1"/>
                <w:szCs w:val="1"/>
                <w:color w:val="auto"/>
              </w:rPr>
            </w:pPr>
          </w:p>
        </w:tc>
      </w:tr>
      <w:tr>
        <w:trPr>
          <w:trHeight w:val="270"/>
        </w:trPr>
        <w:tc>
          <w:tcPr>
            <w:tcW w:w="6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per share, basic</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(0.25)</w:t>
            </w:r>
          </w:p>
        </w:tc>
        <w:tc>
          <w:tcPr>
            <w:tcW w:w="0" w:type="dxa"/>
            <w:vAlign w:val="bottom"/>
          </w:tcPr>
          <w:p>
            <w:pPr>
              <w:spacing w:after="0"/>
              <w:rPr>
                <w:sz w:val="1"/>
                <w:szCs w:val="1"/>
                <w:color w:val="auto"/>
              </w:rPr>
            </w:pPr>
          </w:p>
        </w:tc>
      </w:tr>
      <w:tr>
        <w:trPr>
          <w:trHeight w:val="210"/>
        </w:trPr>
        <w:tc>
          <w:tcPr>
            <w:tcW w:w="6700" w:type="dxa"/>
            <w:vAlign w:val="bottom"/>
          </w:tcPr>
          <w:p>
            <w:pPr>
              <w:ind w:left="20"/>
              <w:spacing w:after="0"/>
              <w:rPr>
                <w:sz w:val="20"/>
                <w:szCs w:val="20"/>
                <w:color w:val="auto"/>
              </w:rPr>
            </w:pPr>
            <w:r>
              <w:rPr>
                <w:rFonts w:ascii="Arial" w:cs="Arial" w:eastAsia="Arial" w:hAnsi="Arial"/>
                <w:sz w:val="16"/>
                <w:szCs w:val="16"/>
                <w:color w:val="auto"/>
              </w:rPr>
              <w:t>Net loss per share, diluted</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(0.22)</w:t>
            </w:r>
          </w:p>
        </w:tc>
        <w:tc>
          <w:tcPr>
            <w:tcW w:w="8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(0.03)</w:t>
            </w:r>
          </w:p>
        </w:tc>
        <w:tc>
          <w:tcPr>
            <w:tcW w:w="8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(0.25)</w:t>
            </w:r>
          </w:p>
        </w:tc>
        <w:tc>
          <w:tcPr>
            <w:tcW w:w="0" w:type="dxa"/>
            <w:vAlign w:val="bottom"/>
          </w:tcPr>
          <w:p>
            <w:pPr>
              <w:spacing w:after="0"/>
              <w:rPr>
                <w:sz w:val="1"/>
                <w:szCs w:val="1"/>
                <w:color w:val="auto"/>
              </w:rPr>
            </w:pPr>
          </w:p>
        </w:tc>
      </w:tr>
      <w:tr>
        <w:trPr>
          <w:trHeight w:val="503"/>
        </w:trPr>
        <w:tc>
          <w:tcPr>
            <w:tcW w:w="8240" w:type="dxa"/>
            <w:vAlign w:val="bottom"/>
            <w:tcBorders>
              <w:bottom w:val="single" w:sz="8" w:color="auto"/>
            </w:tcBorders>
            <w:gridSpan w:val="4"/>
          </w:tcPr>
          <w:p>
            <w:pPr>
              <w:ind w:left="20"/>
              <w:spacing w:after="0"/>
              <w:rPr>
                <w:sz w:val="20"/>
                <w:szCs w:val="20"/>
                <w:color w:val="auto"/>
              </w:rPr>
            </w:pPr>
            <w:r>
              <w:rPr>
                <w:rFonts w:ascii="Arial" w:cs="Arial" w:eastAsia="Arial" w:hAnsi="Arial"/>
                <w:sz w:val="16"/>
                <w:szCs w:val="16"/>
                <w:b w:val="1"/>
                <w:bCs w:val="1"/>
                <w:color w:val="auto"/>
              </w:rPr>
              <w:t>Table 20.2: Impact of the Correction to the Unaudited Consolidated Statement of Comprehensive Loss</w:t>
            </w: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7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360" w:type="dxa"/>
            <w:vAlign w:val="bottom"/>
            <w:tcBorders>
              <w:bottom w:val="single" w:sz="8" w:color="auto"/>
            </w:tcBorders>
            <w:gridSpan w:val="7"/>
          </w:tcPr>
          <w:p>
            <w:pPr>
              <w:jc w:val="center"/>
              <w:ind w:right="99"/>
              <w:spacing w:after="0"/>
              <w:rPr>
                <w:sz w:val="20"/>
                <w:szCs w:val="20"/>
                <w:color w:val="auto"/>
              </w:rPr>
            </w:pPr>
            <w:r>
              <w:rPr>
                <w:rFonts w:ascii="Arial" w:cs="Arial" w:eastAsia="Arial" w:hAnsi="Arial"/>
                <w:sz w:val="16"/>
                <w:szCs w:val="16"/>
                <w:color w:val="auto"/>
                <w:w w:val="91"/>
              </w:rPr>
              <w:t>For the Three Months Ended March 31, 2022</w:t>
            </w:r>
          </w:p>
        </w:tc>
        <w:tc>
          <w:tcPr>
            <w:tcW w:w="0" w:type="dxa"/>
            <w:vAlign w:val="bottom"/>
          </w:tcPr>
          <w:p>
            <w:pPr>
              <w:spacing w:after="0"/>
              <w:rPr>
                <w:sz w:val="1"/>
                <w:szCs w:val="1"/>
                <w:color w:val="auto"/>
              </w:rPr>
            </w:pPr>
          </w:p>
        </w:tc>
      </w:tr>
      <w:tr>
        <w:trPr>
          <w:trHeight w:val="162"/>
        </w:trPr>
        <w:tc>
          <w:tcPr>
            <w:tcW w:w="6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jc w:val="center"/>
              <w:ind w:right="260"/>
              <w:spacing w:after="0" w:line="162" w:lineRule="exact"/>
              <w:rPr>
                <w:sz w:val="20"/>
                <w:szCs w:val="20"/>
                <w:color w:val="auto"/>
              </w:rPr>
            </w:pPr>
            <w:r>
              <w:rPr>
                <w:rFonts w:ascii="Arial" w:cs="Arial" w:eastAsia="Arial" w:hAnsi="Arial"/>
                <w:sz w:val="16"/>
                <w:szCs w:val="16"/>
                <w:color w:val="auto"/>
                <w:w w:val="92"/>
              </w:rPr>
              <w:t>As Previously</w:t>
            </w:r>
          </w:p>
        </w:tc>
        <w:tc>
          <w:tcPr>
            <w:tcW w:w="220" w:type="dxa"/>
            <w:vAlign w:val="bottom"/>
          </w:tcPr>
          <w:p>
            <w:pPr>
              <w:spacing w:after="0"/>
              <w:rPr>
                <w:sz w:val="14"/>
                <w:szCs w:val="14"/>
                <w:color w:val="auto"/>
              </w:rPr>
            </w:pPr>
          </w:p>
        </w:tc>
        <w:tc>
          <w:tcPr>
            <w:tcW w:w="1240" w:type="dxa"/>
            <w:vAlign w:val="bottom"/>
            <w:vMerge w:val="restart"/>
          </w:tcPr>
          <w:p>
            <w:pPr>
              <w:jc w:val="center"/>
              <w:ind w:right="120"/>
              <w:spacing w:after="0"/>
              <w:rPr>
                <w:sz w:val="20"/>
                <w:szCs w:val="20"/>
                <w:color w:val="auto"/>
              </w:rPr>
            </w:pPr>
            <w:r>
              <w:rPr>
                <w:rFonts w:ascii="Arial" w:cs="Arial" w:eastAsia="Arial" w:hAnsi="Arial"/>
                <w:sz w:val="16"/>
                <w:szCs w:val="16"/>
                <w:color w:val="auto"/>
                <w:w w:val="94"/>
              </w:rPr>
              <w:t>Adjustment</w:t>
            </w:r>
          </w:p>
        </w:tc>
        <w:tc>
          <w:tcPr>
            <w:tcW w:w="80" w:type="dxa"/>
            <w:vAlign w:val="bottom"/>
            <w:vMerge w:val="restart"/>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vMerge w:val="restart"/>
          </w:tcPr>
          <w:p>
            <w:pPr>
              <w:jc w:val="right"/>
              <w:ind w:right="279"/>
              <w:spacing w:after="0"/>
              <w:rPr>
                <w:sz w:val="20"/>
                <w:szCs w:val="20"/>
                <w:color w:val="auto"/>
              </w:rPr>
            </w:pPr>
            <w:r>
              <w:rPr>
                <w:rFonts w:ascii="Arial" w:cs="Arial" w:eastAsia="Arial" w:hAnsi="Arial"/>
                <w:sz w:val="16"/>
                <w:szCs w:val="16"/>
                <w:color w:val="auto"/>
                <w:w w:val="96"/>
              </w:rPr>
              <w:t>As Revised</w:t>
            </w:r>
          </w:p>
        </w:tc>
        <w:tc>
          <w:tcPr>
            <w:tcW w:w="0" w:type="dxa"/>
            <w:vAlign w:val="bottom"/>
          </w:tcPr>
          <w:p>
            <w:pPr>
              <w:spacing w:after="0"/>
              <w:rPr>
                <w:sz w:val="1"/>
                <w:szCs w:val="1"/>
                <w:color w:val="auto"/>
              </w:rPr>
            </w:pPr>
          </w:p>
        </w:tc>
      </w:tr>
      <w:tr>
        <w:trPr>
          <w:trHeight w:val="209"/>
        </w:trPr>
        <w:tc>
          <w:tcPr>
            <w:tcW w:w="67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color w:val="auto"/>
                <w:w w:val="88"/>
              </w:rPr>
              <w:t>Reported</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i w:val="1"/>
                <w:iCs w:val="1"/>
                <w:color w:val="auto"/>
                <w:w w:val="92"/>
              </w:rPr>
              <w:t>(in thousands)</w:t>
            </w: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6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(14,983)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(16,616)</w:t>
            </w:r>
          </w:p>
        </w:tc>
        <w:tc>
          <w:tcPr>
            <w:tcW w:w="0" w:type="dxa"/>
            <w:vAlign w:val="bottom"/>
          </w:tcPr>
          <w:p>
            <w:pPr>
              <w:spacing w:after="0"/>
              <w:rPr>
                <w:sz w:val="1"/>
                <w:szCs w:val="1"/>
                <w:color w:val="auto"/>
              </w:rPr>
            </w:pPr>
          </w:p>
        </w:tc>
      </w:tr>
      <w:tr>
        <w:trPr>
          <w:trHeight w:val="210"/>
        </w:trPr>
        <w:tc>
          <w:tcPr>
            <w:tcW w:w="6700" w:type="dxa"/>
            <w:vAlign w:val="bottom"/>
          </w:tcPr>
          <w:p>
            <w:pPr>
              <w:ind w:left="20"/>
              <w:spacing w:after="0"/>
              <w:rPr>
                <w:sz w:val="20"/>
                <w:szCs w:val="20"/>
                <w:color w:val="auto"/>
              </w:rPr>
            </w:pPr>
            <w:r>
              <w:rPr>
                <w:rFonts w:ascii="Arial" w:cs="Arial" w:eastAsia="Arial" w:hAnsi="Arial"/>
                <w:sz w:val="16"/>
                <w:szCs w:val="16"/>
                <w:color w:val="auto"/>
              </w:rPr>
              <w:t>Comprehensive loss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(14,954)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(1,633)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(16,587)</w:t>
            </w:r>
          </w:p>
        </w:tc>
        <w:tc>
          <w:tcPr>
            <w:tcW w:w="0" w:type="dxa"/>
            <w:vAlign w:val="bottom"/>
          </w:tcPr>
          <w:p>
            <w:pPr>
              <w:spacing w:after="0"/>
              <w:rPr>
                <w:sz w:val="1"/>
                <w:szCs w:val="1"/>
                <w:color w:val="auto"/>
              </w:rPr>
            </w:pPr>
          </w:p>
        </w:tc>
      </w:tr>
      <w:tr>
        <w:trPr>
          <w:trHeight w:val="489"/>
        </w:trPr>
        <w:tc>
          <w:tcPr>
            <w:tcW w:w="8240" w:type="dxa"/>
            <w:vAlign w:val="bottom"/>
            <w:tcBorders>
              <w:bottom w:val="single" w:sz="8" w:color="auto"/>
            </w:tcBorders>
            <w:gridSpan w:val="4"/>
          </w:tcPr>
          <w:p>
            <w:pPr>
              <w:ind w:left="20"/>
              <w:spacing w:after="0"/>
              <w:rPr>
                <w:sz w:val="20"/>
                <w:szCs w:val="20"/>
                <w:color w:val="auto"/>
              </w:rPr>
            </w:pPr>
            <w:r>
              <w:rPr>
                <w:rFonts w:ascii="Arial" w:cs="Arial" w:eastAsia="Arial" w:hAnsi="Arial"/>
                <w:sz w:val="16"/>
                <w:szCs w:val="16"/>
                <w:b w:val="1"/>
                <w:bCs w:val="1"/>
                <w:color w:val="auto"/>
                <w:w w:val="94"/>
              </w:rPr>
              <w:t>Table 20.3: Impact of the Correction to the Unaudited Consolidated Statement of Changes in Stockholders' Equity</w:t>
            </w: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7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360" w:type="dxa"/>
            <w:vAlign w:val="bottom"/>
            <w:tcBorders>
              <w:bottom w:val="single" w:sz="8" w:color="auto"/>
            </w:tcBorders>
            <w:gridSpan w:val="7"/>
          </w:tcPr>
          <w:p>
            <w:pPr>
              <w:jc w:val="center"/>
              <w:ind w:right="99"/>
              <w:spacing w:after="0"/>
              <w:rPr>
                <w:sz w:val="20"/>
                <w:szCs w:val="20"/>
                <w:color w:val="auto"/>
              </w:rPr>
            </w:pPr>
            <w:r>
              <w:rPr>
                <w:rFonts w:ascii="Arial" w:cs="Arial" w:eastAsia="Arial" w:hAnsi="Arial"/>
                <w:sz w:val="16"/>
                <w:szCs w:val="16"/>
                <w:color w:val="auto"/>
                <w:w w:val="91"/>
              </w:rPr>
              <w:t>For the Three Months Ended March 31, 2022</w:t>
            </w:r>
          </w:p>
        </w:tc>
        <w:tc>
          <w:tcPr>
            <w:tcW w:w="0" w:type="dxa"/>
            <w:vAlign w:val="bottom"/>
          </w:tcPr>
          <w:p>
            <w:pPr>
              <w:spacing w:after="0"/>
              <w:rPr>
                <w:sz w:val="1"/>
                <w:szCs w:val="1"/>
                <w:color w:val="auto"/>
              </w:rPr>
            </w:pPr>
          </w:p>
        </w:tc>
      </w:tr>
      <w:tr>
        <w:trPr>
          <w:trHeight w:val="162"/>
        </w:trPr>
        <w:tc>
          <w:tcPr>
            <w:tcW w:w="6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jc w:val="center"/>
              <w:ind w:right="260"/>
              <w:spacing w:after="0" w:line="162" w:lineRule="exact"/>
              <w:rPr>
                <w:sz w:val="20"/>
                <w:szCs w:val="20"/>
                <w:color w:val="auto"/>
              </w:rPr>
            </w:pPr>
            <w:r>
              <w:rPr>
                <w:rFonts w:ascii="Arial" w:cs="Arial" w:eastAsia="Arial" w:hAnsi="Arial"/>
                <w:sz w:val="16"/>
                <w:szCs w:val="16"/>
                <w:color w:val="auto"/>
                <w:w w:val="92"/>
              </w:rPr>
              <w:t>As Previously</w:t>
            </w:r>
          </w:p>
        </w:tc>
        <w:tc>
          <w:tcPr>
            <w:tcW w:w="220" w:type="dxa"/>
            <w:vAlign w:val="bottom"/>
          </w:tcPr>
          <w:p>
            <w:pPr>
              <w:spacing w:after="0"/>
              <w:rPr>
                <w:sz w:val="14"/>
                <w:szCs w:val="14"/>
                <w:color w:val="auto"/>
              </w:rPr>
            </w:pPr>
          </w:p>
        </w:tc>
        <w:tc>
          <w:tcPr>
            <w:tcW w:w="1240" w:type="dxa"/>
            <w:vAlign w:val="bottom"/>
            <w:vMerge w:val="restart"/>
          </w:tcPr>
          <w:p>
            <w:pPr>
              <w:jc w:val="center"/>
              <w:ind w:right="120"/>
              <w:spacing w:after="0"/>
              <w:rPr>
                <w:sz w:val="20"/>
                <w:szCs w:val="20"/>
                <w:color w:val="auto"/>
              </w:rPr>
            </w:pPr>
            <w:r>
              <w:rPr>
                <w:rFonts w:ascii="Arial" w:cs="Arial" w:eastAsia="Arial" w:hAnsi="Arial"/>
                <w:sz w:val="16"/>
                <w:szCs w:val="16"/>
                <w:color w:val="auto"/>
                <w:w w:val="94"/>
              </w:rPr>
              <w:t>Adjustment</w:t>
            </w:r>
          </w:p>
        </w:tc>
        <w:tc>
          <w:tcPr>
            <w:tcW w:w="80" w:type="dxa"/>
            <w:vAlign w:val="bottom"/>
            <w:vMerge w:val="restart"/>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vMerge w:val="restart"/>
          </w:tcPr>
          <w:p>
            <w:pPr>
              <w:jc w:val="right"/>
              <w:ind w:right="279"/>
              <w:spacing w:after="0"/>
              <w:rPr>
                <w:sz w:val="20"/>
                <w:szCs w:val="20"/>
                <w:color w:val="auto"/>
              </w:rPr>
            </w:pPr>
            <w:r>
              <w:rPr>
                <w:rFonts w:ascii="Arial" w:cs="Arial" w:eastAsia="Arial" w:hAnsi="Arial"/>
                <w:sz w:val="16"/>
                <w:szCs w:val="16"/>
                <w:color w:val="auto"/>
                <w:w w:val="96"/>
              </w:rPr>
              <w:t>As Revised</w:t>
            </w:r>
          </w:p>
        </w:tc>
        <w:tc>
          <w:tcPr>
            <w:tcW w:w="0" w:type="dxa"/>
            <w:vAlign w:val="bottom"/>
          </w:tcPr>
          <w:p>
            <w:pPr>
              <w:spacing w:after="0"/>
              <w:rPr>
                <w:sz w:val="1"/>
                <w:szCs w:val="1"/>
                <w:color w:val="auto"/>
              </w:rPr>
            </w:pPr>
          </w:p>
        </w:tc>
      </w:tr>
      <w:tr>
        <w:trPr>
          <w:trHeight w:val="209"/>
        </w:trPr>
        <w:tc>
          <w:tcPr>
            <w:tcW w:w="67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color w:val="auto"/>
                <w:w w:val="88"/>
              </w:rPr>
              <w:t>Reported</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i w:val="1"/>
                <w:iCs w:val="1"/>
                <w:color w:val="auto"/>
                <w:w w:val="92"/>
              </w:rPr>
              <w:t>(in thousands)</w:t>
            </w: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6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12,647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14,280</w:t>
            </w:r>
          </w:p>
        </w:tc>
        <w:tc>
          <w:tcPr>
            <w:tcW w:w="0" w:type="dxa"/>
            <w:vAlign w:val="bottom"/>
          </w:tcPr>
          <w:p>
            <w:pPr>
              <w:spacing w:after="0"/>
              <w:rPr>
                <w:sz w:val="1"/>
                <w:szCs w:val="1"/>
                <w:color w:val="auto"/>
              </w:rPr>
            </w:pPr>
          </w:p>
        </w:tc>
      </w:tr>
      <w:tr>
        <w:trPr>
          <w:trHeight w:val="213"/>
        </w:trPr>
        <w:tc>
          <w:tcPr>
            <w:tcW w:w="6700" w:type="dxa"/>
            <w:vAlign w:val="bottom"/>
          </w:tcPr>
          <w:p>
            <w:pPr>
              <w:ind w:left="20"/>
              <w:spacing w:after="0"/>
              <w:rPr>
                <w:sz w:val="20"/>
                <w:szCs w:val="20"/>
                <w:color w:val="auto"/>
              </w:rPr>
            </w:pPr>
            <w:r>
              <w:rPr>
                <w:rFonts w:ascii="Arial" w:cs="Arial" w:eastAsia="Arial" w:hAnsi="Arial"/>
                <w:sz w:val="16"/>
                <w:szCs w:val="16"/>
                <w:color w:val="auto"/>
              </w:rPr>
              <w:t>Additional paid-in capital, end</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376,913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1,633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378,546</w:t>
            </w:r>
          </w:p>
        </w:tc>
        <w:tc>
          <w:tcPr>
            <w:tcW w:w="0" w:type="dxa"/>
            <w:vAlign w:val="bottom"/>
          </w:tcPr>
          <w:p>
            <w:pPr>
              <w:spacing w:after="0"/>
              <w:rPr>
                <w:sz w:val="1"/>
                <w:szCs w:val="1"/>
                <w:color w:val="auto"/>
              </w:rPr>
            </w:pPr>
          </w:p>
        </w:tc>
      </w:tr>
      <w:tr>
        <w:trPr>
          <w:trHeight w:val="219"/>
        </w:trPr>
        <w:tc>
          <w:tcPr>
            <w:tcW w:w="6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00" w:type="dxa"/>
            <w:vAlign w:val="bottom"/>
          </w:tcPr>
          <w:p>
            <w:pPr>
              <w:ind w:left="20"/>
              <w:spacing w:after="0"/>
              <w:rPr>
                <w:sz w:val="20"/>
                <w:szCs w:val="20"/>
                <w:color w:val="auto"/>
              </w:rPr>
            </w:pPr>
            <w:r>
              <w:rPr>
                <w:rFonts w:ascii="Arial" w:cs="Arial" w:eastAsia="Arial" w:hAnsi="Arial"/>
                <w:sz w:val="16"/>
                <w:szCs w:val="16"/>
                <w:color w:val="auto"/>
              </w:rPr>
              <w:t>Net loss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(14,983)</w:t>
            </w:r>
          </w:p>
        </w:tc>
        <w:tc>
          <w:tcPr>
            <w:tcW w:w="8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(1,633)</w:t>
            </w:r>
          </w:p>
        </w:tc>
        <w:tc>
          <w:tcPr>
            <w:tcW w:w="8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(16,616)</w:t>
            </w:r>
          </w:p>
        </w:tc>
        <w:tc>
          <w:tcPr>
            <w:tcW w:w="0" w:type="dxa"/>
            <w:vAlign w:val="bottom"/>
          </w:tcPr>
          <w:p>
            <w:pPr>
              <w:spacing w:after="0"/>
              <w:rPr>
                <w:sz w:val="1"/>
                <w:szCs w:val="1"/>
                <w:color w:val="auto"/>
              </w:rPr>
            </w:pPr>
          </w:p>
        </w:tc>
      </w:tr>
      <w:tr>
        <w:trPr>
          <w:trHeight w:val="219"/>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Accumulated deficit, end</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(201,960)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(203,593)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3820"/>
        <w:spacing w:after="0" w:line="407"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spacing w:after="0" w:line="4"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This Quarterly Report on Form 10-Q contains forward-looking statements. Any statements contained herein that are not statements of historical fact may be deemed to be forward-looking statements. Without limiting the foregoing, the words "believes," "anticipates," "plans," "expects," and similar expressions are intended to identify forward-looking statements. Several important factors could cause the Company's actual results to differ materially from those indicated by such forward-looking statements. These factors include, without limitation, those set forth in the risk factors section included in the Company's Form 10-K for the year ended December 31, 2022, as filed with the Securities and Exchange Commission on March 16, 2023.</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Business Overview</w:t>
      </w:r>
    </w:p>
    <w:p>
      <w:pPr>
        <w:spacing w:after="0" w:line="17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offer technologically advanced, software-based security solutions that empower and protect the world's most security-conscious organizations against rapidly evolving, sophisticated and pervasive threats. Our portfolio of security products, services and expertise empowers our customers with capabilities to reach new markets, serve their stakeholders more effectively, and successfully defend the nation or their enterprise. We protect our customers' people, information, and digital assets so they can pursue their corporate goals and conduct their global missions with confidence in their security and privacy. Our primary customers include the U.S. federal government, large commercial businesses, state and local governments, and international customers. Our consolidated revenue is largely attributable to prime contracts or to subcontracts with our contractors engaged in work for the U.S. government, with the remaining attributable to state, local and commercial markets.</w:t>
      </w:r>
    </w:p>
    <w:p>
      <w:pPr>
        <w:spacing w:after="0" w:line="12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 xml:space="preserve">Information regarding our two reportable segments – Security Solutions and Secure Networks – is presented in </w:t>
      </w:r>
      <w:r>
        <w:rPr>
          <w:rFonts w:ascii="Arial" w:cs="Arial" w:eastAsia="Arial" w:hAnsi="Arial"/>
          <w:sz w:val="18"/>
          <w:szCs w:val="18"/>
          <w:u w:val="single" w:color="auto"/>
          <w:color w:val="0000FF"/>
        </w:rPr>
        <w:t>Note 17 - Segment Information</w:t>
      </w:r>
      <w:r>
        <w:rPr>
          <w:rFonts w:ascii="Arial" w:cs="Arial" w:eastAsia="Arial" w:hAnsi="Arial"/>
          <w:sz w:val="18"/>
          <w:szCs w:val="18"/>
          <w:color w:val="auto"/>
        </w:rPr>
        <w:t xml:space="preserve"> to the unaudited consolidated financial statements at Item 1 of this Form 10-Q.</w:t>
      </w:r>
    </w:p>
    <w:p>
      <w:pPr>
        <w:spacing w:after="0" w:line="11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Fiscal year 2023 will be a transition year for Telos focusing on streamlining our operations and rebuilding and growing the revenue base by generating new business wins. Our 2023 business development priorities are to:</w:t>
      </w:r>
    </w:p>
    <w:p>
      <w:pPr>
        <w:spacing w:after="0" w:line="116"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Reorganize internally to consolidate and centralize business development resources;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Add new talent to drive execution of solution development and new business generation;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Maximize existing strategic partnerships for market expansion;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 our opportunity portfolio and quality of contract vehicles.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Budget</w:t>
      </w:r>
    </w:p>
    <w:p>
      <w:pPr>
        <w:spacing w:after="0" w:line="17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final fiscal year ("FY") 2023 omnibus appropriations legislation approved in December 2022 provided an increase in total defense spending of $44 billion above the budget proposed last spring by the White House, and represented a $76 billion increase above the previous year's funding level. It also included significant increases in federal civilian agency (non-defense) cybersecurity funding, including a 15% increase from last year for the Cybersecurity and Infrastructure Security Agency ("CISA") for various program enhancements and new initiatives.</w:t>
      </w:r>
    </w:p>
    <w:p>
      <w:pPr>
        <w:spacing w:after="0" w:line="117"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In March 2023, the White House released its proposed FY2024 budget, which calls for a further $26 billion increase for the DoD next year, roughly 3% above the FY2023 enacted level. Congress may seek to boost this increase to offset current and expected inflationary trends and the threats posed by foreign adversaries. The President's budget also proposes increased investments for cybersecurity within numerous federal civilian departments and agencies, including $3.1 billion in funding for CISA, a 5% increase, of which $98 million is intended to implement the Cyber Incident Reporting for Critical Infrastructure Act.</w:t>
      </w:r>
    </w:p>
    <w:p>
      <w:pPr>
        <w:spacing w:after="0" w:line="13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In general, the President's budget also reflects the prioritization of accelerated cloud adoption, IT modernization, further private sector collaboration for sector risk management responsibilities, ensuring adequate cyber threat information sharing, and supply chain risk management. These priorities align with the solutions Telos has been developing and bringing to market for the past several years.</w:t>
      </w:r>
    </w:p>
    <w:p>
      <w:pPr>
        <w:spacing w:after="0" w:line="13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However, for both defense and non-defense spending, it remains to be seen how a divided Congress and the White House can reconcile their differences over fiscal policy before the start of FY2024 on October 1, 2023. Failing to do so could mean the federal government will begin another fiscal year under the constraints of a continuing resolution, with funding frozen at FY2023 levels and restrictions likely on new contracts and acceleration of current programs.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u w:val="single" w:color="auto"/>
          <w:color w:val="auto"/>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Cybersecurity Landscape</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recent years, we saw cybersecurity threats become more complex, leveraging a wide variety of tactics to exploit their victims. The continuing and increasingly damaging ransomware and other cyberattacks against federal, state and local governments, education, and private sector enterprises have resulted in intensified efforts to better defend against such attacks. With this growing threat, below are trends to consider when looking at the cybersecurity landscape:</w:t>
      </w:r>
    </w:p>
    <w:p>
      <w:pPr>
        <w:spacing w:after="0" w:line="13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u w:val="single" w:color="auto"/>
          <w:color w:val="auto"/>
        </w:rPr>
        <w:t>Rising Threats, Rising Liability</w:t>
      </w:r>
      <w:r>
        <w:rPr>
          <w:rFonts w:ascii="Arial" w:cs="Arial" w:eastAsia="Arial" w:hAnsi="Arial"/>
          <w:sz w:val="18"/>
          <w:szCs w:val="18"/>
          <w:color w:val="auto"/>
        </w:rPr>
        <w:t>: Ransomware remains arguably the most severe cyber threat to enterprises in the commercial, state, and local government</w:t>
      </w:r>
      <w:r>
        <w:rPr>
          <w:rFonts w:ascii="Arial" w:cs="Arial" w:eastAsia="Arial" w:hAnsi="Arial"/>
          <w:sz w:val="18"/>
          <w:szCs w:val="18"/>
          <w:i w:val="1"/>
          <w:iCs w:val="1"/>
          <w:color w:val="auto"/>
        </w:rPr>
        <w:t xml:space="preserve"> </w:t>
      </w:r>
      <w:r>
        <w:rPr>
          <w:rFonts w:ascii="Arial" w:cs="Arial" w:eastAsia="Arial" w:hAnsi="Arial"/>
          <w:sz w:val="18"/>
          <w:szCs w:val="18"/>
          <w:color w:val="auto"/>
        </w:rPr>
        <w:t>and education sectors.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The Nation's Critical Systems Are Still at Risk</w:t>
      </w:r>
      <w:r>
        <w:rPr>
          <w:rFonts w:ascii="Arial" w:cs="Arial" w:eastAsia="Arial" w:hAnsi="Arial"/>
          <w:sz w:val="17"/>
          <w:szCs w:val="17"/>
          <w:i w:val="1"/>
          <w:iCs w:val="1"/>
          <w:color w:val="auto"/>
        </w:rPr>
        <w:t xml:space="preserve">: </w:t>
      </w:r>
      <w:r>
        <w:rPr>
          <w:rFonts w:ascii="Arial" w:cs="Arial" w:eastAsia="Arial" w:hAnsi="Arial"/>
          <w:sz w:val="17"/>
          <w:szCs w:val="17"/>
          <w:color w:val="auto"/>
        </w:rPr>
        <w:t>Critical infrastructure and industrial IoT are among the categories at greatest risk of cyberattacks.</w:t>
      </w:r>
    </w:p>
    <w:p>
      <w:pPr>
        <w:spacing w:after="0" w:line="183"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i w:val="1"/>
          <w:iCs w:val="1"/>
          <w:u w:val="single" w:color="auto"/>
          <w:color w:val="auto"/>
        </w:rPr>
        <w:t>The Challenging Complexity of Regulatory Compliance</w:t>
      </w:r>
      <w:r>
        <w:rPr>
          <w:rFonts w:ascii="Arial" w:cs="Arial" w:eastAsia="Arial" w:hAnsi="Arial"/>
          <w:sz w:val="18"/>
          <w:szCs w:val="18"/>
          <w:i w:val="1"/>
          <w:iCs w:val="1"/>
          <w:color w:val="auto"/>
        </w:rPr>
        <w:t xml:space="preserve">: </w:t>
      </w:r>
      <w:r>
        <w:rPr>
          <w:rFonts w:ascii="Arial" w:cs="Arial" w:eastAsia="Arial" w:hAnsi="Arial"/>
          <w:sz w:val="18"/>
          <w:szCs w:val="18"/>
          <w:color w:val="auto"/>
        </w:rPr>
        <w:t>Government mandates stronger security in highly regulated industries. These government</w:t>
      </w:r>
      <w:r>
        <w:rPr>
          <w:rFonts w:ascii="Arial" w:cs="Arial" w:eastAsia="Arial" w:hAnsi="Arial"/>
          <w:sz w:val="18"/>
          <w:szCs w:val="18"/>
          <w:i w:val="1"/>
          <w:iCs w:val="1"/>
          <w:color w:val="auto"/>
        </w:rPr>
        <w:t xml:space="preserve"> </w:t>
      </w:r>
      <w:r>
        <w:rPr>
          <w:rFonts w:ascii="Arial" w:cs="Arial" w:eastAsia="Arial" w:hAnsi="Arial"/>
          <w:sz w:val="18"/>
          <w:szCs w:val="18"/>
          <w:color w:val="auto"/>
        </w:rPr>
        <w:t>initiatives and audit fatigue continue to burden these organizations, with automation solutions being recognized as the most effective remedy for the many repetitive and redundant tasks that security compliance requires.</w:t>
      </w:r>
    </w:p>
    <w:p>
      <w:pPr>
        <w:spacing w:after="0" w:line="13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i w:val="1"/>
          <w:iCs w:val="1"/>
          <w:u w:val="single" w:color="auto"/>
          <w:color w:val="auto"/>
        </w:rPr>
        <w:t>Identity Assurance and Privacy Protection are Essential for Today's Enterprises</w:t>
      </w:r>
      <w:r>
        <w:rPr>
          <w:rFonts w:ascii="Arial" w:cs="Arial" w:eastAsia="Arial" w:hAnsi="Arial"/>
          <w:sz w:val="18"/>
          <w:szCs w:val="18"/>
          <w:i w:val="1"/>
          <w:iCs w:val="1"/>
          <w:color w:val="auto"/>
        </w:rPr>
        <w:t xml:space="preserve">: </w:t>
      </w:r>
      <w:r>
        <w:rPr>
          <w:rFonts w:ascii="Arial" w:cs="Arial" w:eastAsia="Arial" w:hAnsi="Arial"/>
          <w:sz w:val="18"/>
          <w:szCs w:val="18"/>
          <w:color w:val="auto"/>
        </w:rPr>
        <w:t>Identity and access management continues to be a major cybersecurity</w:t>
      </w:r>
      <w:r>
        <w:rPr>
          <w:rFonts w:ascii="Arial" w:cs="Arial" w:eastAsia="Arial" w:hAnsi="Arial"/>
          <w:sz w:val="18"/>
          <w:szCs w:val="18"/>
          <w:i w:val="1"/>
          <w:iCs w:val="1"/>
          <w:color w:val="auto"/>
        </w:rPr>
        <w:t xml:space="preserve"> </w:t>
      </w:r>
      <w:r>
        <w:rPr>
          <w:rFonts w:ascii="Arial" w:cs="Arial" w:eastAsia="Arial" w:hAnsi="Arial"/>
          <w:sz w:val="18"/>
          <w:szCs w:val="18"/>
          <w:color w:val="auto"/>
        </w:rPr>
        <w:t>concern for organizations and individuals that need to ensure their security and protect their privacy. Trusted identities are essential to confidence in IT and physical security strategies and to the success of Zero Trust security models and architectures.</w:t>
      </w:r>
    </w:p>
    <w:p>
      <w:pPr>
        <w:spacing w:after="0" w:line="13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i w:val="1"/>
          <w:iCs w:val="1"/>
          <w:u w:val="single" w:color="auto"/>
          <w:color w:val="auto"/>
        </w:rPr>
        <w:t>Global Networks and Worldwide Communications Need Baked-in Security</w:t>
      </w:r>
      <w:r>
        <w:rPr>
          <w:rFonts w:ascii="Arial" w:cs="Arial" w:eastAsia="Arial" w:hAnsi="Arial"/>
          <w:sz w:val="18"/>
          <w:szCs w:val="18"/>
          <w:i w:val="1"/>
          <w:iCs w:val="1"/>
          <w:color w:val="auto"/>
        </w:rPr>
        <w:t xml:space="preserve">: </w:t>
      </w:r>
      <w:r>
        <w:rPr>
          <w:rFonts w:ascii="Arial" w:cs="Arial" w:eastAsia="Arial" w:hAnsi="Arial"/>
          <w:sz w:val="18"/>
          <w:szCs w:val="18"/>
          <w:color w:val="auto"/>
        </w:rPr>
        <w:t>Enterprises also need resilient cyber and information security capabilities to</w:t>
      </w:r>
      <w:r>
        <w:rPr>
          <w:rFonts w:ascii="Arial" w:cs="Arial" w:eastAsia="Arial" w:hAnsi="Arial"/>
          <w:sz w:val="18"/>
          <w:szCs w:val="18"/>
          <w:i w:val="1"/>
          <w:iCs w:val="1"/>
          <w:color w:val="auto"/>
        </w:rPr>
        <w:t xml:space="preserve"> </w:t>
      </w:r>
      <w:r>
        <w:rPr>
          <w:rFonts w:ascii="Arial" w:cs="Arial" w:eastAsia="Arial" w:hAnsi="Arial"/>
          <w:sz w:val="18"/>
          <w:szCs w:val="18"/>
          <w:color w:val="auto"/>
        </w:rPr>
        <w:t>protect and defend critical infrastructure to ensure mission success.</w:t>
      </w:r>
    </w:p>
    <w:p>
      <w:pPr>
        <w:spacing w:after="0" w:line="111" w:lineRule="exact"/>
        <w:rPr>
          <w:sz w:val="20"/>
          <w:szCs w:val="20"/>
          <w:color w:val="auto"/>
        </w:rPr>
      </w:pPr>
    </w:p>
    <w:p>
      <w:pPr>
        <w:jc w:val="both"/>
        <w:ind w:right="60"/>
        <w:spacing w:after="0" w:line="231" w:lineRule="auto"/>
        <w:rPr>
          <w:sz w:val="20"/>
          <w:szCs w:val="20"/>
          <w:color w:val="auto"/>
        </w:rPr>
      </w:pPr>
      <w:r>
        <w:rPr>
          <w:rFonts w:ascii="Arial" w:cs="Arial" w:eastAsia="Arial" w:hAnsi="Arial"/>
          <w:sz w:val="18"/>
          <w:szCs w:val="18"/>
          <w:color w:val="auto"/>
        </w:rPr>
        <w:t>Telos has several available solutions (Xacta, Telos Ghost, Telos ACA and IDTrust 360</w:t>
      </w:r>
      <w:r>
        <w:rPr>
          <w:rFonts w:ascii="Arial" w:cs="Arial" w:eastAsia="Arial" w:hAnsi="Arial"/>
          <w:sz w:val="23"/>
          <w:szCs w:val="23"/>
          <w:color w:val="auto"/>
          <w:vertAlign w:val="superscript"/>
        </w:rPr>
        <w:t>®</w:t>
      </w:r>
      <w:r>
        <w:rPr>
          <w:rFonts w:ascii="Arial" w:cs="Arial" w:eastAsia="Arial" w:hAnsi="Arial"/>
          <w:sz w:val="18"/>
          <w:szCs w:val="18"/>
          <w:color w:val="auto"/>
        </w:rPr>
        <w:t>) to help our customers protect and secure their on-premise, cyber, and cloud-based networks, and mitigate risk to critical infrastructure. Further, Secure Networks offers secure mobility solutions and management expertise to defend against cyber threats and vulnerabilities.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75"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Backlog is a useful measure in developing our annual budgeted revenue by estimating for the upcoming year our continuing business from existing customers and active contracts. We consider backlog, both funded and unfunded (as explained below), other expected annual renewals, and expansion planned by our current customers.</w:t>
      </w:r>
    </w:p>
    <w:p>
      <w:pPr>
        <w:spacing w:after="0" w:line="13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Total backlog consists of the aggregate contract revenues remaining to be earned by us at a given time over the life of our contracts, whether funded or unfunded. Funded backlog consists of the aggregate contract revenues remaining to be earned at a given time, which, in the case of U.S. government contracts, means that they have been funded by the procuring agency. Unfunded backlog is the difference between total backlog and funded backlog and includes potential revenues that may be earned if customers exercise delivery orders and/or renewal options to continue these contracts. Based on historical experience, we generally assume option year renewals to be exercised. Most of our customers fund contracts on the basis of one year or less, and, as a result, funded backlog is generally expected to be earned within one year from any point in time, whereas unfunded backlog is expected to be earned over a longer period.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17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 number of factors have contributed to our first quarter results of operations, the most significant of which are described below. More details on these changes are presented below within our "Results of Operations" section.</w:t>
      </w:r>
    </w:p>
    <w:p>
      <w:pPr>
        <w:spacing w:after="0" w:line="116" w:lineRule="exact"/>
        <w:rPr>
          <w:sz w:val="20"/>
          <w:szCs w:val="20"/>
          <w:color w:val="auto"/>
        </w:rPr>
      </w:pPr>
    </w:p>
    <w:p>
      <w:pPr>
        <w:ind w:left="340" w:right="100" w:hanging="332"/>
        <w:spacing w:after="0" w:line="277" w:lineRule="auto"/>
        <w:tabs>
          <w:tab w:leader="none" w:pos="335" w:val="left"/>
        </w:tabs>
        <w:numPr>
          <w:ilvl w:val="0"/>
          <w:numId w:val="9"/>
        </w:numPr>
        <w:rPr>
          <w:rFonts w:ascii="Arial" w:cs="Arial" w:eastAsia="Arial" w:hAnsi="Arial"/>
          <w:sz w:val="18"/>
          <w:szCs w:val="18"/>
          <w:i w:val="1"/>
          <w:iCs w:val="1"/>
          <w:color w:val="auto"/>
        </w:rPr>
      </w:pPr>
      <w:r>
        <w:rPr>
          <w:rFonts w:ascii="Arial" w:cs="Arial" w:eastAsia="Arial" w:hAnsi="Arial"/>
          <w:sz w:val="18"/>
          <w:szCs w:val="18"/>
          <w:color w:val="auto"/>
        </w:rPr>
        <w:t>The winding down of certain projects, completion of several large programs, and new business wins below expectations in 2022, resulted in a decline in current year revenue.</w:t>
      </w:r>
    </w:p>
    <w:p>
      <w:pPr>
        <w:spacing w:after="0" w:line="116" w:lineRule="exact"/>
        <w:rPr>
          <w:rFonts w:ascii="Arial" w:cs="Arial" w:eastAsia="Arial" w:hAnsi="Arial"/>
          <w:sz w:val="18"/>
          <w:szCs w:val="18"/>
          <w:i w:val="1"/>
          <w:iCs w:val="1"/>
          <w:color w:val="auto"/>
        </w:rPr>
      </w:pPr>
    </w:p>
    <w:p>
      <w:pPr>
        <w:ind w:left="320" w:hanging="312"/>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Gross margin expansion due to a shift in mix across the portfolio driven by the wind-down of lower margin programs.</w:t>
      </w:r>
    </w:p>
    <w:p>
      <w:pPr>
        <w:spacing w:after="0" w:line="171" w:lineRule="exact"/>
        <w:rPr>
          <w:rFonts w:ascii="Arial" w:cs="Arial" w:eastAsia="Arial" w:hAnsi="Arial"/>
          <w:sz w:val="18"/>
          <w:szCs w:val="18"/>
          <w:color w:val="auto"/>
        </w:rPr>
      </w:pPr>
    </w:p>
    <w:p>
      <w:pPr>
        <w:ind w:left="340" w:right="20" w:hanging="332"/>
        <w:spacing w:after="0" w:line="311" w:lineRule="auto"/>
        <w:tabs>
          <w:tab w:leader="none" w:pos="335"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restructuring plan committed in the fourth quarter of 2022 is continuously being implemented in fiscal year 2023, with the majority of the affected employees separating from the business in early 2023. The restructuring expenses include severance-related benefit costs (including outplacement services and continuing health insurance coverage), and external consulting and advisory fees related to implementing the restructuring plan.</w:t>
      </w:r>
    </w:p>
    <w:p>
      <w:pPr>
        <w:spacing w:after="0" w:line="94" w:lineRule="exact"/>
        <w:rPr>
          <w:rFonts w:ascii="Arial" w:cs="Arial" w:eastAsia="Arial" w:hAnsi="Arial"/>
          <w:sz w:val="16"/>
          <w:szCs w:val="16"/>
          <w:color w:val="auto"/>
        </w:rPr>
      </w:pPr>
    </w:p>
    <w:p>
      <w:pPr>
        <w:ind w:left="320" w:hanging="312"/>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Reported a $1.4 million gain on early extinguishment of other financing obligations.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u w:val="single" w:color="auto"/>
          <w:color w:val="auto"/>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1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Table MD&amp;A 1: Consolidated Results of Operations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8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4100" w:type="dxa"/>
            <w:vAlign w:val="bottom"/>
            <w:tcBorders>
              <w:top w:val="single" w:sz="8" w:color="auto"/>
              <w:bottom w:val="single" w:sz="8" w:color="auto"/>
            </w:tcBorders>
            <w:gridSpan w:val="4"/>
          </w:tcPr>
          <w:p>
            <w:pPr>
              <w:jc w:val="right"/>
              <w:ind w:right="1199"/>
              <w:spacing w:after="0"/>
              <w:rPr>
                <w:sz w:val="20"/>
                <w:szCs w:val="20"/>
                <w:color w:val="auto"/>
              </w:rPr>
            </w:pPr>
            <w:r>
              <w:rPr>
                <w:rFonts w:ascii="Arial" w:cs="Arial" w:eastAsia="Arial" w:hAnsi="Arial"/>
                <w:sz w:val="16"/>
                <w:szCs w:val="16"/>
                <w:color w:val="auto"/>
              </w:rPr>
              <w:t>For the Three Months Ended</w:t>
            </w:r>
          </w:p>
        </w:tc>
      </w:tr>
      <w:tr>
        <w:trPr>
          <w:trHeight w:val="209"/>
        </w:trPr>
        <w:tc>
          <w:tcPr>
            <w:tcW w:w="68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480"/>
              <w:spacing w:after="0"/>
              <w:rPr>
                <w:sz w:val="20"/>
                <w:szCs w:val="20"/>
                <w:color w:val="auto"/>
              </w:rPr>
            </w:pPr>
            <w:r>
              <w:rPr>
                <w:rFonts w:ascii="Arial" w:cs="Arial" w:eastAsia="Arial" w:hAnsi="Arial"/>
                <w:sz w:val="16"/>
                <w:szCs w:val="16"/>
                <w:color w:val="auto"/>
              </w:rPr>
              <w:t>March 31, 2023</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March 31, 2022</w:t>
            </w:r>
          </w:p>
        </w:tc>
      </w:tr>
      <w:tr>
        <w:trPr>
          <w:trHeight w:val="214"/>
        </w:trPr>
        <w:tc>
          <w:tcPr>
            <w:tcW w:w="6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100" w:type="dxa"/>
            <w:vAlign w:val="bottom"/>
            <w:gridSpan w:val="4"/>
          </w:tcPr>
          <w:p>
            <w:pPr>
              <w:jc w:val="right"/>
              <w:ind w:right="1499"/>
              <w:spacing w:after="0"/>
              <w:rPr>
                <w:sz w:val="20"/>
                <w:szCs w:val="20"/>
                <w:color w:val="auto"/>
              </w:rPr>
            </w:pPr>
            <w:r>
              <w:rPr>
                <w:rFonts w:ascii="Arial" w:cs="Arial" w:eastAsia="Arial" w:hAnsi="Arial"/>
                <w:sz w:val="14"/>
                <w:szCs w:val="14"/>
                <w:i w:val="1"/>
                <w:iCs w:val="1"/>
                <w:color w:val="auto"/>
              </w:rPr>
              <w:t>(dollars in thousands)</w:t>
            </w:r>
          </w:p>
        </w:tc>
      </w:tr>
      <w:tr>
        <w:trPr>
          <w:trHeight w:val="26"/>
        </w:trPr>
        <w:tc>
          <w:tcPr>
            <w:tcW w:w="6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8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35,222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50,160</w:t>
            </w:r>
          </w:p>
        </w:tc>
      </w:tr>
      <w:tr>
        <w:trPr>
          <w:trHeight w:val="213"/>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sales</w:t>
            </w:r>
          </w:p>
        </w:tc>
        <w:tc>
          <w:tcPr>
            <w:tcW w:w="3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21,740</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31,289</w:t>
            </w:r>
          </w:p>
        </w:tc>
      </w:tr>
      <w:tr>
        <w:trPr>
          <w:trHeight w:val="212"/>
        </w:trPr>
        <w:tc>
          <w:tcPr>
            <w:tcW w:w="6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Gross profit</w:t>
            </w:r>
          </w:p>
        </w:tc>
        <w:tc>
          <w:tcPr>
            <w:tcW w:w="320" w:type="dxa"/>
            <w:vAlign w:val="bottom"/>
            <w:shd w:val="clear" w:color="auto" w:fill="CCEEFF"/>
          </w:tcPr>
          <w:p>
            <w:pPr>
              <w:spacing w:after="0"/>
              <w:rPr>
                <w:sz w:val="18"/>
                <w:szCs w:val="18"/>
                <w:color w:val="auto"/>
              </w:rPr>
            </w:pPr>
          </w:p>
        </w:tc>
        <w:tc>
          <w:tcPr>
            <w:tcW w:w="18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13,482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18,871</w:t>
            </w:r>
          </w:p>
        </w:tc>
      </w:tr>
      <w:tr>
        <w:trPr>
          <w:trHeight w:val="213"/>
        </w:trPr>
        <w:tc>
          <w:tcPr>
            <w:tcW w:w="6820" w:type="dxa"/>
            <w:vAlign w:val="bottom"/>
          </w:tcPr>
          <w:p>
            <w:pPr>
              <w:ind w:left="140"/>
              <w:spacing w:after="0"/>
              <w:rPr>
                <w:sz w:val="20"/>
                <w:szCs w:val="20"/>
                <w:color w:val="auto"/>
              </w:rPr>
            </w:pPr>
            <w:r>
              <w:rPr>
                <w:rFonts w:ascii="Arial" w:cs="Arial" w:eastAsia="Arial" w:hAnsi="Arial"/>
                <w:sz w:val="16"/>
                <w:szCs w:val="16"/>
                <w:b w:val="1"/>
                <w:bCs w:val="1"/>
                <w:i w:val="1"/>
                <w:iCs w:val="1"/>
                <w:color w:val="auto"/>
              </w:rPr>
              <w:t>Gross margin</w:t>
            </w:r>
          </w:p>
        </w:tc>
        <w:tc>
          <w:tcPr>
            <w:tcW w:w="3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i w:val="1"/>
                <w:iCs w:val="1"/>
                <w:color w:val="auto"/>
              </w:rPr>
              <w:t>38.3 %</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i w:val="1"/>
                <w:iCs w:val="1"/>
                <w:color w:val="auto"/>
              </w:rPr>
              <w:t>37.6 %</w:t>
            </w:r>
          </w:p>
        </w:tc>
      </w:tr>
      <w:tr>
        <w:trPr>
          <w:trHeight w:val="219"/>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32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26,452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35,238</w:t>
            </w:r>
          </w:p>
        </w:tc>
      </w:tr>
      <w:tr>
        <w:trPr>
          <w:trHeight w:val="213"/>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i w:val="1"/>
                <w:iCs w:val="1"/>
                <w:color w:val="auto"/>
              </w:rPr>
              <w:t>Selling, general and administrative expenses as percentage of revenue</w:t>
            </w:r>
          </w:p>
        </w:tc>
        <w:tc>
          <w:tcPr>
            <w:tcW w:w="3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i w:val="1"/>
                <w:iCs w:val="1"/>
                <w:color w:val="auto"/>
              </w:rPr>
              <w:t>75.1 %</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i w:val="1"/>
                <w:iCs w:val="1"/>
                <w:color w:val="auto"/>
              </w:rPr>
              <w:t>70.3 %</w:t>
            </w:r>
          </w:p>
        </w:tc>
      </w:tr>
      <w:tr>
        <w:trPr>
          <w:trHeight w:val="212"/>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loss</w:t>
            </w:r>
          </w:p>
        </w:tc>
        <w:tc>
          <w:tcPr>
            <w:tcW w:w="320" w:type="dxa"/>
            <w:vAlign w:val="bottom"/>
            <w:shd w:val="clear" w:color="auto" w:fill="CCEEFF"/>
          </w:tcPr>
          <w:p>
            <w:pPr>
              <w:spacing w:after="0"/>
              <w:rPr>
                <w:sz w:val="18"/>
                <w:szCs w:val="18"/>
                <w:color w:val="auto"/>
              </w:rPr>
            </w:pPr>
          </w:p>
        </w:tc>
        <w:tc>
          <w:tcPr>
            <w:tcW w:w="18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(12,970)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(16,367)</w:t>
            </w:r>
          </w:p>
        </w:tc>
      </w:tr>
      <w:tr>
        <w:trPr>
          <w:trHeight w:val="213"/>
        </w:trPr>
        <w:tc>
          <w:tcPr>
            <w:tcW w:w="6820" w:type="dxa"/>
            <w:vAlign w:val="bottom"/>
          </w:tcPr>
          <w:p>
            <w:pPr>
              <w:ind w:left="140"/>
              <w:spacing w:after="0"/>
              <w:rPr>
                <w:sz w:val="20"/>
                <w:szCs w:val="20"/>
                <w:color w:val="auto"/>
              </w:rPr>
            </w:pPr>
            <w:r>
              <w:rPr>
                <w:rFonts w:ascii="Arial" w:cs="Arial" w:eastAsia="Arial" w:hAnsi="Arial"/>
                <w:sz w:val="16"/>
                <w:szCs w:val="16"/>
                <w:color w:val="auto"/>
              </w:rPr>
              <w:t>Other income</w:t>
            </w:r>
          </w:p>
        </w:tc>
        <w:tc>
          <w:tcPr>
            <w:tcW w:w="320" w:type="dxa"/>
            <w:vAlign w:val="bottom"/>
          </w:tcPr>
          <w:p>
            <w:pPr>
              <w:spacing w:after="0"/>
              <w:rPr>
                <w:sz w:val="18"/>
                <w:szCs w:val="18"/>
                <w:color w:val="auto"/>
              </w:rPr>
            </w:pPr>
          </w:p>
        </w:tc>
        <w:tc>
          <w:tcPr>
            <w:tcW w:w="1840" w:type="dxa"/>
            <w:vAlign w:val="bottom"/>
          </w:tcPr>
          <w:p>
            <w:pPr>
              <w:jc w:val="right"/>
              <w:ind w:right="120"/>
              <w:spacing w:after="0"/>
              <w:rPr>
                <w:sz w:val="20"/>
                <w:szCs w:val="20"/>
                <w:color w:val="auto"/>
              </w:rPr>
            </w:pPr>
            <w:r>
              <w:rPr>
                <w:rFonts w:ascii="Arial" w:cs="Arial" w:eastAsia="Arial" w:hAnsi="Arial"/>
                <w:sz w:val="16"/>
                <w:szCs w:val="16"/>
                <w:color w:val="auto"/>
              </w:rPr>
              <w:t>2,496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jc w:val="right"/>
              <w:ind w:right="119"/>
              <w:spacing w:after="0"/>
              <w:rPr>
                <w:sz w:val="20"/>
                <w:szCs w:val="20"/>
                <w:color w:val="auto"/>
              </w:rPr>
            </w:pPr>
            <w:r>
              <w:rPr>
                <w:rFonts w:ascii="Arial" w:cs="Arial" w:eastAsia="Arial" w:hAnsi="Arial"/>
                <w:sz w:val="16"/>
                <w:szCs w:val="16"/>
                <w:color w:val="auto"/>
              </w:rPr>
              <w:t>12</w:t>
            </w:r>
          </w:p>
        </w:tc>
      </w:tr>
      <w:tr>
        <w:trPr>
          <w:trHeight w:val="219"/>
        </w:trPr>
        <w:tc>
          <w:tcPr>
            <w:tcW w:w="6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expense</w:t>
            </w:r>
          </w:p>
        </w:tc>
        <w:tc>
          <w:tcPr>
            <w:tcW w:w="32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(249)</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(190)</w:t>
            </w:r>
          </w:p>
        </w:tc>
      </w:tr>
      <w:tr>
        <w:trPr>
          <w:trHeight w:val="206"/>
        </w:trPr>
        <w:tc>
          <w:tcPr>
            <w:tcW w:w="6820" w:type="dxa"/>
            <w:vAlign w:val="bottom"/>
          </w:tcPr>
          <w:p>
            <w:pPr>
              <w:ind w:left="20"/>
              <w:spacing w:after="0"/>
              <w:rPr>
                <w:sz w:val="20"/>
                <w:szCs w:val="20"/>
                <w:color w:val="auto"/>
              </w:rPr>
            </w:pPr>
            <w:r>
              <w:rPr>
                <w:rFonts w:ascii="Arial" w:cs="Arial" w:eastAsia="Arial" w:hAnsi="Arial"/>
                <w:sz w:val="16"/>
                <w:szCs w:val="16"/>
                <w:color w:val="auto"/>
              </w:rPr>
              <w:t>Loss before income taxes</w:t>
            </w:r>
          </w:p>
        </w:tc>
        <w:tc>
          <w:tcPr>
            <w:tcW w:w="320" w:type="dxa"/>
            <w:vAlign w:val="bottom"/>
          </w:tcPr>
          <w:p>
            <w:pPr>
              <w:spacing w:after="0"/>
              <w:rPr>
                <w:sz w:val="17"/>
                <w:szCs w:val="17"/>
                <w:color w:val="auto"/>
              </w:rPr>
            </w:pPr>
          </w:p>
        </w:tc>
        <w:tc>
          <w:tcPr>
            <w:tcW w:w="1840" w:type="dxa"/>
            <w:vAlign w:val="bottom"/>
          </w:tcPr>
          <w:p>
            <w:pPr>
              <w:jc w:val="right"/>
              <w:ind w:right="80"/>
              <w:spacing w:after="0"/>
              <w:rPr>
                <w:sz w:val="20"/>
                <w:szCs w:val="20"/>
                <w:color w:val="auto"/>
              </w:rPr>
            </w:pPr>
            <w:r>
              <w:rPr>
                <w:rFonts w:ascii="Arial" w:cs="Arial" w:eastAsia="Arial" w:hAnsi="Arial"/>
                <w:sz w:val="16"/>
                <w:szCs w:val="16"/>
                <w:color w:val="auto"/>
              </w:rPr>
              <w:t>(10,723)</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40" w:type="dxa"/>
            <w:vAlign w:val="bottom"/>
          </w:tcPr>
          <w:p>
            <w:pPr>
              <w:jc w:val="right"/>
              <w:ind w:right="79"/>
              <w:spacing w:after="0"/>
              <w:rPr>
                <w:sz w:val="20"/>
                <w:szCs w:val="20"/>
                <w:color w:val="auto"/>
              </w:rPr>
            </w:pPr>
            <w:r>
              <w:rPr>
                <w:rFonts w:ascii="Arial" w:cs="Arial" w:eastAsia="Arial" w:hAnsi="Arial"/>
                <w:sz w:val="16"/>
                <w:szCs w:val="16"/>
                <w:color w:val="auto"/>
              </w:rPr>
              <w:t>(16,545)</w:t>
            </w:r>
          </w:p>
        </w:tc>
      </w:tr>
      <w:tr>
        <w:trPr>
          <w:trHeight w:val="216"/>
        </w:trPr>
        <w:tc>
          <w:tcPr>
            <w:tcW w:w="6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Provision for income taxes</w:t>
            </w:r>
          </w:p>
        </w:tc>
        <w:tc>
          <w:tcPr>
            <w:tcW w:w="32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(23)</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(71)</w:t>
            </w:r>
          </w:p>
        </w:tc>
      </w:tr>
      <w:tr>
        <w:trPr>
          <w:trHeight w:val="212"/>
        </w:trPr>
        <w:tc>
          <w:tcPr>
            <w:tcW w:w="6820" w:type="dxa"/>
            <w:vAlign w:val="bottom"/>
          </w:tcPr>
          <w:p>
            <w:pPr>
              <w:ind w:left="20"/>
              <w:spacing w:after="0"/>
              <w:rPr>
                <w:sz w:val="20"/>
                <w:szCs w:val="20"/>
                <w:color w:val="auto"/>
              </w:rPr>
            </w:pPr>
            <w:r>
              <w:rPr>
                <w:rFonts w:ascii="Arial" w:cs="Arial" w:eastAsia="Arial" w:hAnsi="Arial"/>
                <w:sz w:val="16"/>
                <w:szCs w:val="16"/>
                <w:color w:val="auto"/>
              </w:rPr>
              <w:t>Net loss</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(10,746)</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(16,616)</w:t>
            </w:r>
          </w:p>
        </w:tc>
      </w:tr>
      <w:tr>
        <w:trPr>
          <w:trHeight w:val="21"/>
        </w:trPr>
        <w:tc>
          <w:tcPr>
            <w:tcW w:w="6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Results</w:t>
      </w:r>
    </w:p>
    <w:p>
      <w:pPr>
        <w:spacing w:after="0" w:line="171"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Our business segments have different factors driving revenue fluctuations and profitability. The discussion of the changes in our revenue and profitability are covered in greater detail under the section that follows "Segment Results." We generate revenue from the delivery of products and services to our customers. Cost of sales, for both products and services, consists of labor, materials, subcontracting costs and an allocation of indirect costs.</w:t>
      </w:r>
    </w:p>
    <w:p>
      <w:pPr>
        <w:spacing w:after="0" w:line="9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Selling, general, and administrative expenses decreased by $8.8 million, or 24.9% , in the first quarter of 2023 compared to the same period in 2022. This is primarily due to reduced stock-based compensation costs of $5.8 million, and decreased labor costs of $3.8 million, partially offset by $1.2 million in restructuring charges.</w:t>
      </w:r>
    </w:p>
    <w:p>
      <w:pPr>
        <w:spacing w:after="0" w:line="130"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Other income increased by $2.5 million due to increases in dividend income from money market placements of $1.1 million, and gain on early extinguishment of other financing obligations of $1.4 million in the first quarter of 2023 without similar gain in the same period in 2022. There was no significant change in interest expense between comparable periods.</w:t>
      </w:r>
    </w:p>
    <w:p>
      <w:pPr>
        <w:spacing w:after="0" w:line="130"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The change in the income tax provision for the first quarter of 2023 compared to the same period in 2022 is based on the estimated annual effective tax rate applied to the pretax loss incurred for the quarter plus discrete tax items, based on our expectation of pretax loss for the fiscal year.</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Results</w:t>
      </w:r>
    </w:p>
    <w:p>
      <w:pPr>
        <w:spacing w:after="0" w:line="17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accounting policies of each business segment are the same as those followed by the Company as a whole. Management evaluates business segment performance based on gross profit.</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Table MD&amp;A 2: Security Solutions Segment - Financial Results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8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4100" w:type="dxa"/>
            <w:vAlign w:val="bottom"/>
            <w:tcBorders>
              <w:top w:val="single" w:sz="8" w:color="auto"/>
              <w:bottom w:val="single" w:sz="8" w:color="auto"/>
            </w:tcBorders>
            <w:gridSpan w:val="4"/>
          </w:tcPr>
          <w:p>
            <w:pPr>
              <w:jc w:val="right"/>
              <w:ind w:right="1199"/>
              <w:spacing w:after="0"/>
              <w:rPr>
                <w:sz w:val="20"/>
                <w:szCs w:val="20"/>
                <w:color w:val="auto"/>
              </w:rPr>
            </w:pPr>
            <w:r>
              <w:rPr>
                <w:rFonts w:ascii="Arial" w:cs="Arial" w:eastAsia="Arial" w:hAnsi="Arial"/>
                <w:sz w:val="16"/>
                <w:szCs w:val="16"/>
                <w:color w:val="auto"/>
              </w:rPr>
              <w:t>For the Three Months Ended</w:t>
            </w:r>
          </w:p>
        </w:tc>
      </w:tr>
      <w:tr>
        <w:trPr>
          <w:trHeight w:val="209"/>
        </w:trPr>
        <w:tc>
          <w:tcPr>
            <w:tcW w:w="68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481"/>
              <w:spacing w:after="0"/>
              <w:rPr>
                <w:sz w:val="20"/>
                <w:szCs w:val="20"/>
                <w:color w:val="auto"/>
              </w:rPr>
            </w:pPr>
            <w:r>
              <w:rPr>
                <w:rFonts w:ascii="Arial" w:cs="Arial" w:eastAsia="Arial" w:hAnsi="Arial"/>
                <w:sz w:val="16"/>
                <w:szCs w:val="16"/>
                <w:color w:val="auto"/>
              </w:rPr>
              <w:t>March 31, 2023</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March 31, 2022</w:t>
            </w:r>
          </w:p>
        </w:tc>
      </w:tr>
      <w:tr>
        <w:trPr>
          <w:trHeight w:val="214"/>
        </w:trPr>
        <w:tc>
          <w:tcPr>
            <w:tcW w:w="6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100" w:type="dxa"/>
            <w:vAlign w:val="bottom"/>
            <w:gridSpan w:val="4"/>
          </w:tcPr>
          <w:p>
            <w:pPr>
              <w:jc w:val="right"/>
              <w:ind w:right="1499"/>
              <w:spacing w:after="0"/>
              <w:rPr>
                <w:sz w:val="20"/>
                <w:szCs w:val="20"/>
                <w:color w:val="auto"/>
              </w:rPr>
            </w:pPr>
            <w:r>
              <w:rPr>
                <w:rFonts w:ascii="Arial" w:cs="Arial" w:eastAsia="Arial" w:hAnsi="Arial"/>
                <w:sz w:val="14"/>
                <w:szCs w:val="14"/>
                <w:i w:val="1"/>
                <w:iCs w:val="1"/>
                <w:color w:val="auto"/>
              </w:rPr>
              <w:t>(dollars in thousands)</w:t>
            </w:r>
          </w:p>
        </w:tc>
      </w:tr>
      <w:tr>
        <w:trPr>
          <w:trHeight w:val="25"/>
        </w:trPr>
        <w:tc>
          <w:tcPr>
            <w:tcW w:w="6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8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19,773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26,919</w:t>
            </w:r>
          </w:p>
        </w:tc>
      </w:tr>
      <w:tr>
        <w:trPr>
          <w:trHeight w:val="213"/>
        </w:trPr>
        <w:tc>
          <w:tcPr>
            <w:tcW w:w="682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320" w:type="dxa"/>
            <w:vAlign w:val="bottom"/>
          </w:tcPr>
          <w:p>
            <w:pPr>
              <w:spacing w:after="0"/>
              <w:rPr>
                <w:sz w:val="18"/>
                <w:szCs w:val="18"/>
                <w:color w:val="auto"/>
              </w:rPr>
            </w:pPr>
          </w:p>
        </w:tc>
        <w:tc>
          <w:tcPr>
            <w:tcW w:w="1840" w:type="dxa"/>
            <w:vAlign w:val="bottom"/>
          </w:tcPr>
          <w:p>
            <w:pPr>
              <w:jc w:val="right"/>
              <w:ind w:right="121"/>
              <w:spacing w:after="0"/>
              <w:rPr>
                <w:sz w:val="20"/>
                <w:szCs w:val="20"/>
                <w:color w:val="auto"/>
              </w:rPr>
            </w:pPr>
            <w:r>
              <w:rPr>
                <w:rFonts w:ascii="Arial" w:cs="Arial" w:eastAsia="Arial" w:hAnsi="Arial"/>
                <w:sz w:val="16"/>
                <w:szCs w:val="16"/>
                <w:color w:val="auto"/>
              </w:rPr>
              <w:t>10,274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jc w:val="right"/>
              <w:ind w:right="119"/>
              <w:spacing w:after="0"/>
              <w:rPr>
                <w:sz w:val="20"/>
                <w:szCs w:val="20"/>
                <w:color w:val="auto"/>
              </w:rPr>
            </w:pPr>
            <w:r>
              <w:rPr>
                <w:rFonts w:ascii="Arial" w:cs="Arial" w:eastAsia="Arial" w:hAnsi="Arial"/>
                <w:sz w:val="16"/>
                <w:szCs w:val="16"/>
                <w:color w:val="auto"/>
              </w:rPr>
              <w:t>15,051</w:t>
            </w:r>
          </w:p>
        </w:tc>
      </w:tr>
      <w:tr>
        <w:trPr>
          <w:trHeight w:val="219"/>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Gross margin</w:t>
            </w:r>
          </w:p>
        </w:tc>
        <w:tc>
          <w:tcPr>
            <w:tcW w:w="3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52.0 %</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55.9 %</w:t>
            </w:r>
          </w:p>
        </w:tc>
      </w:tr>
    </w:tbl>
    <w:p>
      <w:pPr>
        <w:spacing w:after="0" w:line="2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For the three months ended March 31, 2023, Security Solutions segment revenue decreased by $7.1 million, or 26.5%, compared to the same period in 2022, primarily due to the loss of a program and lower volume on two other programs.</w:t>
      </w:r>
    </w:p>
    <w:p>
      <w:pPr>
        <w:spacing w:after="0" w:line="1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Gross profit for Security Solutions decreased by $4.8 million, or 31.7%, for the first quarter of 2023 compared with the same period in 2022, primarily due to the decrease in revenue. Further, the segment gross margin decreased to 52.0% for the first quarter of 2023 from 55.9% for the same period in 2022. The gross margin contraction in the first quarter of 2023 was the result of changes in the mix of programs within the portfolio and lower margin on certain projects within the segment.</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i w:val="1"/>
          <w:iCs w:val="1"/>
          <w:u w:val="single" w:color="auto"/>
          <w:color w:val="auto"/>
        </w:rPr>
        <w:t>Table of Contents</w:t>
      </w:r>
    </w:p>
    <w:p>
      <w:pPr>
        <w:spacing w:after="0" w:line="200" w:lineRule="exact"/>
        <w:rPr>
          <w:sz w:val="20"/>
          <w:szCs w:val="20"/>
          <w:color w:val="auto"/>
        </w:rPr>
      </w:pPr>
    </w:p>
    <w:p>
      <w:pPr>
        <w:spacing w:after="0" w:line="39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Table MD&amp;A 3: Secure Networks Segment - Financial Results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8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4120" w:type="dxa"/>
            <w:vAlign w:val="bottom"/>
            <w:tcBorders>
              <w:top w:val="single" w:sz="8" w:color="auto"/>
              <w:bottom w:val="single" w:sz="8" w:color="auto"/>
            </w:tcBorders>
            <w:gridSpan w:val="4"/>
          </w:tcPr>
          <w:p>
            <w:pPr>
              <w:jc w:val="right"/>
              <w:ind w:right="1219"/>
              <w:spacing w:after="0"/>
              <w:rPr>
                <w:sz w:val="20"/>
                <w:szCs w:val="20"/>
                <w:color w:val="auto"/>
              </w:rPr>
            </w:pPr>
            <w:r>
              <w:rPr>
                <w:rFonts w:ascii="Arial" w:cs="Arial" w:eastAsia="Arial" w:hAnsi="Arial"/>
                <w:sz w:val="16"/>
                <w:szCs w:val="16"/>
                <w:color w:val="auto"/>
              </w:rPr>
              <w:t>For the Three Months Ended</w:t>
            </w:r>
          </w:p>
        </w:tc>
      </w:tr>
      <w:tr>
        <w:trPr>
          <w:trHeight w:val="209"/>
        </w:trPr>
        <w:tc>
          <w:tcPr>
            <w:tcW w:w="67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501"/>
              <w:spacing w:after="0"/>
              <w:rPr>
                <w:sz w:val="20"/>
                <w:szCs w:val="20"/>
                <w:color w:val="auto"/>
              </w:rPr>
            </w:pPr>
            <w:r>
              <w:rPr>
                <w:rFonts w:ascii="Arial" w:cs="Arial" w:eastAsia="Arial" w:hAnsi="Arial"/>
                <w:sz w:val="16"/>
                <w:szCs w:val="16"/>
                <w:color w:val="auto"/>
              </w:rPr>
              <w:t>March 31, 2023</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March 31, 2022</w:t>
            </w:r>
          </w:p>
        </w:tc>
      </w:tr>
      <w:tr>
        <w:trPr>
          <w:trHeight w:val="214"/>
        </w:trPr>
        <w:tc>
          <w:tcPr>
            <w:tcW w:w="6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120" w:type="dxa"/>
            <w:vAlign w:val="bottom"/>
            <w:gridSpan w:val="4"/>
          </w:tcPr>
          <w:p>
            <w:pPr>
              <w:jc w:val="right"/>
              <w:ind w:right="1519"/>
              <w:spacing w:after="0"/>
              <w:rPr>
                <w:sz w:val="20"/>
                <w:szCs w:val="20"/>
                <w:color w:val="auto"/>
              </w:rPr>
            </w:pPr>
            <w:r>
              <w:rPr>
                <w:rFonts w:ascii="Arial" w:cs="Arial" w:eastAsia="Arial" w:hAnsi="Arial"/>
                <w:sz w:val="14"/>
                <w:szCs w:val="14"/>
                <w:i w:val="1"/>
                <w:iCs w:val="1"/>
                <w:color w:val="auto"/>
              </w:rPr>
              <w:t>(dollars in thousands)</w:t>
            </w:r>
          </w:p>
        </w:tc>
      </w:tr>
      <w:tr>
        <w:trPr>
          <w:trHeight w:val="26"/>
        </w:trPr>
        <w:tc>
          <w:tcPr>
            <w:tcW w:w="6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16"/>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8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15,449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23,241</w:t>
            </w:r>
          </w:p>
        </w:tc>
      </w:tr>
      <w:tr>
        <w:trPr>
          <w:trHeight w:val="213"/>
        </w:trPr>
        <w:tc>
          <w:tcPr>
            <w:tcW w:w="678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340" w:type="dxa"/>
            <w:vAlign w:val="bottom"/>
          </w:tcPr>
          <w:p>
            <w:pPr>
              <w:spacing w:after="0"/>
              <w:rPr>
                <w:sz w:val="18"/>
                <w:szCs w:val="18"/>
                <w:color w:val="auto"/>
              </w:rPr>
            </w:pPr>
          </w:p>
        </w:tc>
        <w:tc>
          <w:tcPr>
            <w:tcW w:w="1840" w:type="dxa"/>
            <w:vAlign w:val="bottom"/>
          </w:tcPr>
          <w:p>
            <w:pPr>
              <w:jc w:val="right"/>
              <w:ind w:right="121"/>
              <w:spacing w:after="0"/>
              <w:rPr>
                <w:sz w:val="20"/>
                <w:szCs w:val="20"/>
                <w:color w:val="auto"/>
              </w:rPr>
            </w:pPr>
            <w:r>
              <w:rPr>
                <w:rFonts w:ascii="Arial" w:cs="Arial" w:eastAsia="Arial" w:hAnsi="Arial"/>
                <w:sz w:val="16"/>
                <w:szCs w:val="16"/>
                <w:color w:val="auto"/>
              </w:rPr>
              <w:t>3,208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jc w:val="right"/>
              <w:ind w:right="119"/>
              <w:spacing w:after="0"/>
              <w:rPr>
                <w:sz w:val="20"/>
                <w:szCs w:val="20"/>
                <w:color w:val="auto"/>
              </w:rPr>
            </w:pPr>
            <w:r>
              <w:rPr>
                <w:rFonts w:ascii="Arial" w:cs="Arial" w:eastAsia="Arial" w:hAnsi="Arial"/>
                <w:sz w:val="16"/>
                <w:szCs w:val="16"/>
                <w:color w:val="auto"/>
              </w:rPr>
              <w:t>3,820</w:t>
            </w:r>
          </w:p>
        </w:tc>
      </w:tr>
      <w:tr>
        <w:trPr>
          <w:trHeight w:val="219"/>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Gross margin</w:t>
            </w: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20.8 %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16.4 %</w:t>
            </w:r>
          </w:p>
        </w:tc>
      </w:tr>
    </w:tbl>
    <w:p>
      <w:pPr>
        <w:spacing w:after="0" w:line="24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Secure Networks segment revenue for the three months ended March 31, 2023 decreased by $7.8 million, or 33.5%, compared to the same period in 2022, due to the successful wind-down of large programs in the second half of 2022 and 2023 as expected.</w:t>
      </w:r>
    </w:p>
    <w:p>
      <w:pPr>
        <w:spacing w:after="0" w:line="1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Gross profit for Secure Networks decreased by $0.6 million, or 16.0%, for the first quarter of 2023 compared with the same period in 2022 due to the lower revenue, offset by improved margin across the portfolio. Segment gross margin increased to 20.8% for the first quarter of 2023 from 16.4% for the same period in 2022 due to improved margin performance on several programs and a shift in mix across the portfolio driven by the wind-down of lower margin programs.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75"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In addition to our results determined in accordance with U.S. GAAP, we believe the non-GAAP financial measures of EBITDA, Adjusted EBITDA, Adjusted EBITDA Margin, Adjusted Net Income/(Loss), Adjusted Earnings Per Share ("EPS") and Free Cash Flow are useful in evaluating our operating performance. We believe that this non-GAAP financial information, when taken collectively with our GAAP results, may be helpful to readers of our financial statements because it provides consistency and comparability with past financial performance and assists in comparisons with other companies, some of which use similar non-GAAP financial information to supplement their GAAP results. The non-GAAP financial information is presented for supplemental informational purposes only, should not be considered a substitute for financial information presented in accordance with GAAP, and may be different from similarly-titled non-GAAP measures used by other companies. A reconciliation is provided below for each of these non-GAAP financial measures to the most directly comparable financial measure stated in accordance with GAAP.</w:t>
      </w:r>
    </w:p>
    <w:p>
      <w:pPr>
        <w:spacing w:after="0" w:line="12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use these non-GAAP financial measures to understand and evaluate our core operating performance and trends, to prepare and approve our annual budget, to develop short-term and long-term operating plans, and to evaluate the performance of certain management personnel when determining incentive compensation. We believe these non-GAAP financial measures facilitate comparison of our operating performance on a consistent basis between periods by excluding certain items that may, or could, have a disproportionately positive or negative impact on our results of operations in any particular period. When viewed in combination with our results prepared in accordance with GAAP, these non-GAAP financial measures help provide a broader picture of factors and trends affecting our results of operations.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EBITDA, Adjusted EBITDA and Adjusted EBITDA Margin</w:t>
      </w:r>
    </w:p>
    <w:p>
      <w:pPr>
        <w:spacing w:after="0" w:line="17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EBITDA, Adjusted EBITDA and Adjusted EBITDA Margin are supplemental measures of operating performance that are not made under GAAP and do not represent, and should not be considered as, an alternative to net loss as determined by GAAP. We define EBITDA as net (loss)/income, adjusted for non-operating (income)/expense, interest expense, (benefit from)/provision for income taxes, and depreciation and amortization. We define Adjusted EBITDA as EBITDA, adjusted for stock-based compensation expense and restructuring expenses/(adjustments). We define Adjusted EBITDA Margin as Adjusted EBITDA as a percentage of total revenue.</w:t>
      </w:r>
    </w:p>
    <w:p>
      <w:pPr>
        <w:spacing w:after="0" w:line="17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Table MD&amp;A 4: Reconciliation of Net Loss to EBITDA, Adjusted EBITDA and Adjusted EBITDA Margin</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74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3280" w:type="dxa"/>
            <w:vAlign w:val="bottom"/>
            <w:tcBorders>
              <w:top w:val="single" w:sz="8" w:color="auto"/>
              <w:bottom w:val="single" w:sz="8" w:color="auto"/>
            </w:tcBorders>
            <w:gridSpan w:val="6"/>
          </w:tcPr>
          <w:p>
            <w:pPr>
              <w:jc w:val="center"/>
              <w:ind w:right="1100"/>
              <w:spacing w:after="0"/>
              <w:rPr>
                <w:sz w:val="20"/>
                <w:szCs w:val="20"/>
                <w:color w:val="auto"/>
              </w:rPr>
            </w:pPr>
            <w:r>
              <w:rPr>
                <w:rFonts w:ascii="Arial" w:cs="Arial" w:eastAsia="Arial" w:hAnsi="Arial"/>
                <w:sz w:val="16"/>
                <w:szCs w:val="16"/>
                <w:color w:val="auto"/>
                <w:w w:val="90"/>
              </w:rPr>
              <w:t>For the Three Months Ended</w:t>
            </w:r>
          </w:p>
        </w:tc>
        <w:tc>
          <w:tcPr>
            <w:tcW w:w="1060" w:type="dxa"/>
            <w:vAlign w:val="bottom"/>
            <w:tcBorders>
              <w:top w:val="single" w:sz="8" w:color="auto"/>
              <w:bottom w:val="single" w:sz="8" w:color="auto"/>
            </w:tcBorders>
          </w:tcPr>
          <w:p>
            <w:pPr>
              <w:spacing w:after="0"/>
              <w:rPr>
                <w:sz w:val="18"/>
                <w:szCs w:val="18"/>
                <w:color w:val="auto"/>
              </w:rPr>
            </w:pPr>
          </w:p>
        </w:tc>
      </w:tr>
      <w:tr>
        <w:trPr>
          <w:trHeight w:val="210"/>
        </w:trPr>
        <w:tc>
          <w:tcPr>
            <w:tcW w:w="47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ind w:left="780"/>
              <w:spacing w:after="0"/>
              <w:rPr>
                <w:sz w:val="20"/>
                <w:szCs w:val="20"/>
                <w:color w:val="auto"/>
              </w:rPr>
            </w:pPr>
            <w:r>
              <w:rPr>
                <w:rFonts w:ascii="Arial" w:cs="Arial" w:eastAsia="Arial" w:hAnsi="Arial"/>
                <w:sz w:val="16"/>
                <w:szCs w:val="16"/>
                <w:color w:val="auto"/>
                <w:w w:val="93"/>
              </w:rPr>
              <w:t>March 31, 2023</w:t>
            </w:r>
          </w:p>
        </w:tc>
        <w:tc>
          <w:tcPr>
            <w:tcW w:w="10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ind w:left="780"/>
              <w:spacing w:after="0"/>
              <w:rPr>
                <w:sz w:val="20"/>
                <w:szCs w:val="20"/>
                <w:color w:val="auto"/>
              </w:rPr>
            </w:pPr>
            <w:r>
              <w:rPr>
                <w:rFonts w:ascii="Arial" w:cs="Arial" w:eastAsia="Arial" w:hAnsi="Arial"/>
                <w:sz w:val="16"/>
                <w:szCs w:val="16"/>
                <w:color w:val="auto"/>
                <w:w w:val="93"/>
              </w:rPr>
              <w:t>March 31, 2022</w:t>
            </w:r>
          </w:p>
        </w:tc>
        <w:tc>
          <w:tcPr>
            <w:tcW w:w="1060" w:type="dxa"/>
            <w:vAlign w:val="bottom"/>
            <w:tcBorders>
              <w:bottom w:val="single" w:sz="8" w:color="auto"/>
            </w:tcBorders>
          </w:tcPr>
          <w:p>
            <w:pPr>
              <w:spacing w:after="0"/>
              <w:rPr>
                <w:sz w:val="18"/>
                <w:szCs w:val="18"/>
                <w:color w:val="auto"/>
              </w:rPr>
            </w:pPr>
          </w:p>
        </w:tc>
      </w:tr>
      <w:tr>
        <w:trPr>
          <w:trHeight w:val="210"/>
        </w:trPr>
        <w:tc>
          <w:tcPr>
            <w:tcW w:w="47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Amount</w:t>
            </w:r>
          </w:p>
        </w:tc>
        <w:tc>
          <w:tcPr>
            <w:tcW w:w="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60"/>
              <w:spacing w:after="0"/>
              <w:rPr>
                <w:sz w:val="20"/>
                <w:szCs w:val="20"/>
                <w:color w:val="auto"/>
              </w:rPr>
            </w:pPr>
            <w:r>
              <w:rPr>
                <w:rFonts w:ascii="Arial" w:cs="Arial" w:eastAsia="Arial" w:hAnsi="Arial"/>
                <w:sz w:val="16"/>
                <w:szCs w:val="16"/>
                <w:color w:val="auto"/>
                <w:w w:val="98"/>
              </w:rPr>
              <w:t>Margin</w:t>
            </w: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Amount</w:t>
            </w:r>
          </w:p>
        </w:tc>
        <w:tc>
          <w:tcPr>
            <w:tcW w:w="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Margin</w:t>
            </w:r>
          </w:p>
        </w:tc>
      </w:tr>
      <w:tr>
        <w:trPr>
          <w:trHeight w:val="214"/>
        </w:trPr>
        <w:tc>
          <w:tcPr>
            <w:tcW w:w="4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80" w:type="dxa"/>
            <w:vAlign w:val="bottom"/>
            <w:gridSpan w:val="6"/>
          </w:tcPr>
          <w:p>
            <w:pPr>
              <w:jc w:val="center"/>
              <w:ind w:right="1100"/>
              <w:spacing w:after="0"/>
              <w:rPr>
                <w:sz w:val="20"/>
                <w:szCs w:val="20"/>
                <w:color w:val="auto"/>
              </w:rPr>
            </w:pPr>
            <w:r>
              <w:rPr>
                <w:rFonts w:ascii="Arial" w:cs="Arial" w:eastAsia="Arial" w:hAnsi="Arial"/>
                <w:sz w:val="14"/>
                <w:szCs w:val="14"/>
                <w:i w:val="1"/>
                <w:iCs w:val="1"/>
                <w:color w:val="auto"/>
                <w:w w:val="94"/>
              </w:rPr>
              <w:t>(dollars in thousands)</w:t>
            </w:r>
          </w:p>
        </w:tc>
        <w:tc>
          <w:tcPr>
            <w:tcW w:w="1060" w:type="dxa"/>
            <w:vAlign w:val="bottom"/>
          </w:tcPr>
          <w:p>
            <w:pPr>
              <w:spacing w:after="0"/>
              <w:rPr>
                <w:sz w:val="18"/>
                <w:szCs w:val="18"/>
                <w:color w:val="auto"/>
              </w:rPr>
            </w:pPr>
          </w:p>
        </w:tc>
      </w:tr>
      <w:tr>
        <w:trPr>
          <w:trHeight w:val="25"/>
        </w:trPr>
        <w:tc>
          <w:tcPr>
            <w:tcW w:w="4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(10,746)</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(30.5 %)</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(16,616)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(33.1 %)</w:t>
            </w:r>
          </w:p>
        </w:tc>
      </w:tr>
      <w:tr>
        <w:trPr>
          <w:trHeight w:val="213"/>
        </w:trPr>
        <w:tc>
          <w:tcPr>
            <w:tcW w:w="4740" w:type="dxa"/>
            <w:vAlign w:val="bottom"/>
          </w:tcPr>
          <w:p>
            <w:pPr>
              <w:ind w:left="140"/>
              <w:spacing w:after="0"/>
              <w:rPr>
                <w:sz w:val="20"/>
                <w:szCs w:val="20"/>
                <w:color w:val="auto"/>
              </w:rPr>
            </w:pPr>
            <w:r>
              <w:rPr>
                <w:rFonts w:ascii="Arial" w:cs="Arial" w:eastAsia="Arial" w:hAnsi="Arial"/>
                <w:sz w:val="16"/>
                <w:szCs w:val="16"/>
                <w:color w:val="auto"/>
              </w:rPr>
              <w:t>Other income</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(2,496)</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ind w:right="260"/>
              <w:spacing w:after="0"/>
              <w:rPr>
                <w:sz w:val="20"/>
                <w:szCs w:val="20"/>
                <w:color w:val="auto"/>
              </w:rPr>
            </w:pPr>
            <w:r>
              <w:rPr>
                <w:rFonts w:ascii="Arial" w:cs="Arial" w:eastAsia="Arial" w:hAnsi="Arial"/>
                <w:sz w:val="16"/>
                <w:szCs w:val="16"/>
                <w:color w:val="auto"/>
              </w:rPr>
              <w:t>(7.1 %)</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ind w:right="259"/>
              <w:spacing w:after="0"/>
              <w:rPr>
                <w:sz w:val="20"/>
                <w:szCs w:val="20"/>
                <w:color w:val="auto"/>
              </w:rPr>
            </w:pPr>
            <w:r>
              <w:rPr>
                <w:rFonts w:ascii="Arial" w:cs="Arial" w:eastAsia="Arial" w:hAnsi="Arial"/>
                <w:sz w:val="16"/>
                <w:szCs w:val="16"/>
                <w:color w:val="auto"/>
              </w:rPr>
              <w:t>— %</w:t>
            </w:r>
          </w:p>
        </w:tc>
      </w:tr>
      <w:tr>
        <w:trPr>
          <w:trHeight w:val="219"/>
        </w:trPr>
        <w:tc>
          <w:tcPr>
            <w:tcW w:w="4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expense</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0.7 %</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0.4 %</w:t>
            </w:r>
          </w:p>
        </w:tc>
      </w:tr>
      <w:tr>
        <w:trPr>
          <w:trHeight w:val="213"/>
        </w:trPr>
        <w:tc>
          <w:tcPr>
            <w:tcW w:w="4740" w:type="dxa"/>
            <w:vAlign w:val="bottom"/>
          </w:tcPr>
          <w:p>
            <w:pPr>
              <w:ind w:left="140"/>
              <w:spacing w:after="0"/>
              <w:rPr>
                <w:sz w:val="20"/>
                <w:szCs w:val="20"/>
                <w:color w:val="auto"/>
              </w:rPr>
            </w:pPr>
            <w:r>
              <w:rPr>
                <w:rFonts w:ascii="Arial" w:cs="Arial" w:eastAsia="Arial" w:hAnsi="Arial"/>
                <w:sz w:val="16"/>
                <w:szCs w:val="16"/>
                <w:color w:val="auto"/>
              </w:rPr>
              <w:t>Provision for income taxes</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23</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ind w:right="260"/>
              <w:spacing w:after="0"/>
              <w:rPr>
                <w:sz w:val="20"/>
                <w:szCs w:val="20"/>
                <w:color w:val="auto"/>
              </w:rPr>
            </w:pPr>
            <w:r>
              <w:rPr>
                <w:rFonts w:ascii="Arial" w:cs="Arial" w:eastAsia="Arial" w:hAnsi="Arial"/>
                <w:sz w:val="16"/>
                <w:szCs w:val="16"/>
                <w:color w:val="auto"/>
              </w:rPr>
              <w:t>0.1 %</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71</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ind w:right="259"/>
              <w:spacing w:after="0"/>
              <w:rPr>
                <w:sz w:val="20"/>
                <w:szCs w:val="20"/>
                <w:color w:val="auto"/>
              </w:rPr>
            </w:pPr>
            <w:r>
              <w:rPr>
                <w:rFonts w:ascii="Arial" w:cs="Arial" w:eastAsia="Arial" w:hAnsi="Arial"/>
                <w:sz w:val="16"/>
                <w:szCs w:val="16"/>
                <w:color w:val="auto"/>
              </w:rPr>
              <w:t>0.1 %</w:t>
            </w:r>
          </w:p>
        </w:tc>
      </w:tr>
      <w:tr>
        <w:trPr>
          <w:trHeight w:val="219"/>
        </w:trPr>
        <w:tc>
          <w:tcPr>
            <w:tcW w:w="4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Depreciation and amortization</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1,425</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6"/>
                <w:szCs w:val="16"/>
                <w:color w:val="auto"/>
              </w:rPr>
              <w:t>4.0 %</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1,405</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2.8 %</w:t>
            </w:r>
          </w:p>
        </w:tc>
      </w:tr>
      <w:tr>
        <w:trPr>
          <w:trHeight w:val="206"/>
        </w:trPr>
        <w:tc>
          <w:tcPr>
            <w:tcW w:w="4740" w:type="dxa"/>
            <w:vAlign w:val="bottom"/>
          </w:tcPr>
          <w:p>
            <w:pPr>
              <w:ind w:left="20"/>
              <w:spacing w:after="0"/>
              <w:rPr>
                <w:sz w:val="20"/>
                <w:szCs w:val="20"/>
                <w:color w:val="auto"/>
              </w:rPr>
            </w:pPr>
            <w:r>
              <w:rPr>
                <w:rFonts w:ascii="Arial" w:cs="Arial" w:eastAsia="Arial" w:hAnsi="Arial"/>
                <w:sz w:val="16"/>
                <w:szCs w:val="16"/>
                <w:color w:val="auto"/>
              </w:rPr>
              <w:t>EBITDA</w:t>
            </w:r>
          </w:p>
        </w:tc>
        <w:tc>
          <w:tcPr>
            <w:tcW w:w="3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(11,545)</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jc w:val="right"/>
              <w:ind w:right="260"/>
              <w:spacing w:after="0"/>
              <w:rPr>
                <w:sz w:val="20"/>
                <w:szCs w:val="20"/>
                <w:color w:val="auto"/>
              </w:rPr>
            </w:pPr>
            <w:r>
              <w:rPr>
                <w:rFonts w:ascii="Arial" w:cs="Arial" w:eastAsia="Arial" w:hAnsi="Arial"/>
                <w:sz w:val="16"/>
                <w:szCs w:val="16"/>
                <w:color w:val="auto"/>
              </w:rPr>
              <w:t>(32.8 %)</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(14,962)</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jc w:val="right"/>
              <w:ind w:right="259"/>
              <w:spacing w:after="0"/>
              <w:rPr>
                <w:sz w:val="20"/>
                <w:szCs w:val="20"/>
                <w:color w:val="auto"/>
              </w:rPr>
            </w:pPr>
            <w:r>
              <w:rPr>
                <w:rFonts w:ascii="Arial" w:cs="Arial" w:eastAsia="Arial" w:hAnsi="Arial"/>
                <w:sz w:val="16"/>
                <w:szCs w:val="16"/>
                <w:color w:val="auto"/>
              </w:rPr>
              <w:t>(29.8 %)</w:t>
            </w:r>
          </w:p>
        </w:tc>
      </w:tr>
      <w:tr>
        <w:trPr>
          <w:trHeight w:val="219"/>
        </w:trPr>
        <w:tc>
          <w:tcPr>
            <w:tcW w:w="4740" w:type="dxa"/>
            <w:vAlign w:val="bottom"/>
            <w:shd w:val="clear" w:color="auto" w:fill="CCEEFF"/>
          </w:tcPr>
          <w:p>
            <w:pPr>
              <w:ind w:left="140"/>
              <w:spacing w:after="0" w:line="219" w:lineRule="exact"/>
              <w:rPr>
                <w:sz w:val="20"/>
                <w:szCs w:val="20"/>
                <w:color w:val="auto"/>
              </w:rPr>
            </w:pPr>
            <w:r>
              <w:rPr>
                <w:rFonts w:ascii="Arial" w:cs="Arial" w:eastAsia="Arial" w:hAnsi="Arial"/>
                <w:sz w:val="16"/>
                <w:szCs w:val="16"/>
                <w:color w:val="auto"/>
              </w:rPr>
              <w:t xml:space="preserve">Stock-based compensation expense </w:t>
            </w:r>
            <w:r>
              <w:rPr>
                <w:rFonts w:ascii="Arial" w:cs="Arial" w:eastAsia="Arial" w:hAnsi="Arial"/>
                <w:sz w:val="21"/>
                <w:szCs w:val="21"/>
                <w:color w:val="auto"/>
                <w:vertAlign w:val="superscript"/>
              </w:rPr>
              <w:t>(1)</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9,499</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27.0 %</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15,931</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31.7 %</w:t>
            </w:r>
          </w:p>
        </w:tc>
      </w:tr>
      <w:tr>
        <w:trPr>
          <w:trHeight w:val="216"/>
        </w:trPr>
        <w:tc>
          <w:tcPr>
            <w:tcW w:w="4740" w:type="dxa"/>
            <w:vAlign w:val="bottom"/>
          </w:tcPr>
          <w:p>
            <w:pPr>
              <w:ind w:left="140"/>
              <w:spacing w:after="0" w:line="216" w:lineRule="exact"/>
              <w:rPr>
                <w:sz w:val="20"/>
                <w:szCs w:val="20"/>
                <w:color w:val="auto"/>
              </w:rPr>
            </w:pPr>
            <w:r>
              <w:rPr>
                <w:rFonts w:ascii="Arial" w:cs="Arial" w:eastAsia="Arial" w:hAnsi="Arial"/>
                <w:sz w:val="16"/>
                <w:szCs w:val="16"/>
                <w:color w:val="auto"/>
              </w:rPr>
              <w:t xml:space="preserve">Restructuring expenses/(adjustments) </w:t>
            </w:r>
            <w:r>
              <w:rPr>
                <w:rFonts w:ascii="Arial" w:cs="Arial" w:eastAsia="Arial" w:hAnsi="Arial"/>
                <w:sz w:val="21"/>
                <w:szCs w:val="21"/>
                <w:color w:val="auto"/>
                <w:vertAlign w:val="superscript"/>
              </w:rPr>
              <w:t>(2)</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1,200</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ind w:right="260"/>
              <w:spacing w:after="0"/>
              <w:rPr>
                <w:sz w:val="20"/>
                <w:szCs w:val="20"/>
                <w:color w:val="auto"/>
              </w:rPr>
            </w:pPr>
            <w:r>
              <w:rPr>
                <w:rFonts w:ascii="Arial" w:cs="Arial" w:eastAsia="Arial" w:hAnsi="Arial"/>
                <w:sz w:val="16"/>
                <w:szCs w:val="16"/>
                <w:color w:val="auto"/>
              </w:rPr>
              <w:t>3.4 %</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gridSpan w:val="3"/>
          </w:tcPr>
          <w:p>
            <w:pPr>
              <w:jc w:val="right"/>
              <w:ind w:right="66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59"/>
              <w:spacing w:after="0"/>
              <w:rPr>
                <w:sz w:val="20"/>
                <w:szCs w:val="20"/>
                <w:color w:val="auto"/>
              </w:rPr>
            </w:pPr>
            <w:r>
              <w:rPr>
                <w:rFonts w:ascii="Arial" w:cs="Arial" w:eastAsia="Arial" w:hAnsi="Arial"/>
                <w:sz w:val="16"/>
                <w:szCs w:val="16"/>
                <w:color w:val="auto"/>
              </w:rPr>
              <w:t>— %</w:t>
            </w:r>
          </w:p>
        </w:tc>
      </w:tr>
      <w:tr>
        <w:trPr>
          <w:trHeight w:val="234"/>
        </w:trPr>
        <w:tc>
          <w:tcPr>
            <w:tcW w:w="4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EBITDA</w:t>
            </w: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ind w:right="260"/>
              <w:spacing w:after="0"/>
              <w:rPr>
                <w:sz w:val="20"/>
                <w:szCs w:val="20"/>
                <w:color w:val="auto"/>
              </w:rPr>
            </w:pPr>
            <w:r>
              <w:rPr>
                <w:rFonts w:ascii="Arial" w:cs="Arial" w:eastAsia="Arial" w:hAnsi="Arial"/>
                <w:sz w:val="16"/>
                <w:szCs w:val="16"/>
                <w:color w:val="auto"/>
              </w:rPr>
              <w:t>(2.4 %)</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1.9 %</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i w:val="1"/>
          <w:iCs w:val="1"/>
          <w:u w:val="single" w:color="auto"/>
          <w:color w:val="auto"/>
        </w:rPr>
        <w:t>Table of Contents</w:t>
      </w:r>
    </w:p>
    <w:p>
      <w:pPr>
        <w:spacing w:after="0" w:line="200" w:lineRule="exact"/>
        <w:rPr>
          <w:sz w:val="20"/>
          <w:szCs w:val="20"/>
          <w:color w:val="auto"/>
        </w:rPr>
      </w:pPr>
    </w:p>
    <w:p>
      <w:pPr>
        <w:spacing w:after="0" w:line="345" w:lineRule="exact"/>
        <w:rPr>
          <w:sz w:val="20"/>
          <w:szCs w:val="20"/>
          <w:color w:val="auto"/>
        </w:rPr>
      </w:pPr>
    </w:p>
    <w:p>
      <w:pPr>
        <w:ind w:left="180" w:right="20" w:hanging="172"/>
        <w:spacing w:after="0" w:line="242" w:lineRule="auto"/>
        <w:tabs>
          <w:tab w:leader="none" w:pos="163" w:val="left"/>
        </w:tabs>
        <w:numPr>
          <w:ilvl w:val="0"/>
          <w:numId w:val="10"/>
        </w:numPr>
        <w:rPr>
          <w:rFonts w:ascii="Arial" w:cs="Arial" w:eastAsia="Arial" w:hAnsi="Arial"/>
          <w:sz w:val="19"/>
          <w:szCs w:val="19"/>
          <w:color w:val="auto"/>
          <w:vertAlign w:val="superscript"/>
        </w:rPr>
      </w:pPr>
      <w:r>
        <w:rPr>
          <w:rFonts w:ascii="Arial" w:cs="Arial" w:eastAsia="Arial" w:hAnsi="Arial"/>
          <w:sz w:val="14"/>
          <w:szCs w:val="14"/>
          <w:color w:val="auto"/>
        </w:rPr>
        <w:t>The Stock-based Compensation adjustment to EBITDA as of March 31, 2023 and 2022 is made up of $7.9 million and $14.3 million, respectively, of stock-based compensation expense for the awarded RSUs and PSUs, and $1.6 million and $1.7 million, respectively, of other sources of stock-based compensation expense. The other sources of stock-based compensation consist of accrued compensation, which the Company intends to settle in shares of the Company's common stock. However, it is the Company’s discretion whether this compensation will ultimately be paid in stock or cash. The Company has the right to dictate the form of these payments up until the date at which they are paid. Any change to the expected payment form would result in out of quarter adjustments to this add back to Adjusted EBITDA.</w:t>
      </w:r>
    </w:p>
    <w:p>
      <w:pPr>
        <w:spacing w:after="0" w:line="156" w:lineRule="exact"/>
        <w:rPr>
          <w:rFonts w:ascii="Arial" w:cs="Arial" w:eastAsia="Arial" w:hAnsi="Arial"/>
          <w:sz w:val="19"/>
          <w:szCs w:val="19"/>
          <w:color w:val="auto"/>
          <w:vertAlign w:val="superscript"/>
        </w:rPr>
      </w:pPr>
    </w:p>
    <w:p>
      <w:pPr>
        <w:ind w:left="180" w:right="240" w:hanging="172"/>
        <w:spacing w:after="0" w:line="226" w:lineRule="auto"/>
        <w:tabs>
          <w:tab w:leader="none" w:pos="163" w:val="left"/>
        </w:tabs>
        <w:numPr>
          <w:ilvl w:val="0"/>
          <w:numId w:val="10"/>
        </w:numPr>
        <w:rPr>
          <w:rFonts w:ascii="Arial" w:cs="Arial" w:eastAsia="Arial" w:hAnsi="Arial"/>
          <w:sz w:val="19"/>
          <w:szCs w:val="19"/>
          <w:color w:val="auto"/>
          <w:vertAlign w:val="superscript"/>
        </w:rPr>
      </w:pPr>
      <w:r>
        <w:rPr>
          <w:rFonts w:ascii="Arial" w:cs="Arial" w:eastAsia="Arial" w:hAnsi="Arial"/>
          <w:sz w:val="14"/>
          <w:szCs w:val="14"/>
          <w:color w:val="auto"/>
        </w:rPr>
        <w:t>The restructuring expenses/(adjustments) to EBITDA include severance and other related benefit costs (including outplacement services and continuing health insurance coverage), external consulting and advisory fees related to implementing the restructuring plan.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Net Loss and Adjusted EPS</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Adjusted Net Loss and Adjusted EPS are supplemental measures of operating performance that are not made under GAAP and do not represent, and should not be considered as, alternatives to net income/(loss) as determined by GAAP. We define Adjusted Net Loss as net loss, adjusted for non-operating (income)/expense, stock-based compensation expense and restructuring expense/(adjustments). We define Adjusted EPS as Adjusted Net Loss divided by the weighted-average number of common shares outstanding for the period.</w:t>
      </w:r>
    </w:p>
    <w:p>
      <w:pPr>
        <w:spacing w:after="0" w:line="17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Table MD&amp;A 5: Reconciliation of Net Loss to Non-GAAP Adjusted Net Loss and Adjusted EPS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76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2780" w:type="dxa"/>
            <w:vAlign w:val="bottom"/>
            <w:tcBorders>
              <w:top w:val="single" w:sz="8" w:color="auto"/>
              <w:bottom w:val="single" w:sz="8" w:color="auto"/>
            </w:tcBorders>
            <w:gridSpan w:val="5"/>
          </w:tcPr>
          <w:p>
            <w:pPr>
              <w:jc w:val="center"/>
              <w:ind w:right="580"/>
              <w:spacing w:after="0"/>
              <w:rPr>
                <w:sz w:val="20"/>
                <w:szCs w:val="20"/>
                <w:color w:val="auto"/>
              </w:rPr>
            </w:pPr>
            <w:r>
              <w:rPr>
                <w:rFonts w:ascii="Arial" w:cs="Arial" w:eastAsia="Arial" w:hAnsi="Arial"/>
                <w:sz w:val="16"/>
                <w:szCs w:val="16"/>
                <w:color w:val="auto"/>
                <w:w w:val="91"/>
              </w:rPr>
              <w:t>For the Three Months Ended</w:t>
            </w:r>
          </w:p>
        </w:tc>
        <w:tc>
          <w:tcPr>
            <w:tcW w:w="5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r>
      <w:tr>
        <w:trPr>
          <w:trHeight w:val="209"/>
        </w:trPr>
        <w:tc>
          <w:tcPr>
            <w:tcW w:w="47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ind w:left="780"/>
              <w:spacing w:after="0"/>
              <w:rPr>
                <w:sz w:val="20"/>
                <w:szCs w:val="20"/>
                <w:color w:val="auto"/>
              </w:rPr>
            </w:pPr>
            <w:r>
              <w:rPr>
                <w:rFonts w:ascii="Arial" w:cs="Arial" w:eastAsia="Arial" w:hAnsi="Arial"/>
                <w:sz w:val="16"/>
                <w:szCs w:val="16"/>
                <w:color w:val="auto"/>
                <w:w w:val="93"/>
              </w:rPr>
              <w:t>March 31, 2023</w:t>
            </w:r>
          </w:p>
        </w:tc>
        <w:tc>
          <w:tcPr>
            <w:tcW w:w="10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3"/>
          </w:tcPr>
          <w:p>
            <w:pPr>
              <w:ind w:left="800"/>
              <w:spacing w:after="0"/>
              <w:rPr>
                <w:sz w:val="20"/>
                <w:szCs w:val="20"/>
                <w:color w:val="auto"/>
              </w:rPr>
            </w:pPr>
            <w:r>
              <w:rPr>
                <w:rFonts w:ascii="Arial" w:cs="Arial" w:eastAsia="Arial" w:hAnsi="Arial"/>
                <w:sz w:val="16"/>
                <w:szCs w:val="16"/>
                <w:color w:val="auto"/>
                <w:w w:val="97"/>
              </w:rPr>
              <w:t>March 31, 2022</w:t>
            </w:r>
          </w:p>
        </w:tc>
        <w:tc>
          <w:tcPr>
            <w:tcW w:w="1020" w:type="dxa"/>
            <w:vAlign w:val="bottom"/>
            <w:tcBorders>
              <w:bottom w:val="single" w:sz="8" w:color="auto"/>
            </w:tcBorders>
          </w:tcPr>
          <w:p>
            <w:pPr>
              <w:spacing w:after="0"/>
              <w:rPr>
                <w:sz w:val="18"/>
                <w:szCs w:val="18"/>
                <w:color w:val="auto"/>
              </w:rPr>
            </w:pPr>
          </w:p>
        </w:tc>
      </w:tr>
      <w:tr>
        <w:trPr>
          <w:trHeight w:val="162"/>
        </w:trPr>
        <w:tc>
          <w:tcPr>
            <w:tcW w:w="4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gridSpan w:val="2"/>
          </w:tcPr>
          <w:p>
            <w:pPr>
              <w:ind w:left="180"/>
              <w:spacing w:after="0" w:line="162" w:lineRule="exact"/>
              <w:rPr>
                <w:sz w:val="20"/>
                <w:szCs w:val="20"/>
                <w:color w:val="auto"/>
              </w:rPr>
            </w:pPr>
            <w:r>
              <w:rPr>
                <w:rFonts w:ascii="Arial" w:cs="Arial" w:eastAsia="Arial" w:hAnsi="Arial"/>
                <w:sz w:val="16"/>
                <w:szCs w:val="16"/>
                <w:color w:val="auto"/>
              </w:rPr>
              <w:t>Adjusted</w:t>
            </w:r>
          </w:p>
        </w:tc>
        <w:tc>
          <w:tcPr>
            <w:tcW w:w="1620" w:type="dxa"/>
            <w:vAlign w:val="bottom"/>
            <w:gridSpan w:val="3"/>
          </w:tcPr>
          <w:p>
            <w:pPr>
              <w:jc w:val="center"/>
              <w:ind w:right="80"/>
              <w:spacing w:after="0" w:line="162" w:lineRule="exact"/>
              <w:rPr>
                <w:sz w:val="20"/>
                <w:szCs w:val="20"/>
                <w:color w:val="auto"/>
              </w:rPr>
            </w:pPr>
            <w:r>
              <w:rPr>
                <w:rFonts w:ascii="Arial" w:cs="Arial" w:eastAsia="Arial" w:hAnsi="Arial"/>
                <w:sz w:val="16"/>
                <w:szCs w:val="16"/>
                <w:color w:val="auto"/>
                <w:w w:val="91"/>
              </w:rPr>
              <w:t>Adjusted Earnings Per</w:t>
            </w:r>
          </w:p>
        </w:tc>
        <w:tc>
          <w:tcPr>
            <w:tcW w:w="300" w:type="dxa"/>
            <w:vAlign w:val="bottom"/>
          </w:tcPr>
          <w:p>
            <w:pPr>
              <w:spacing w:after="0"/>
              <w:rPr>
                <w:sz w:val="14"/>
                <w:szCs w:val="14"/>
                <w:color w:val="auto"/>
              </w:rPr>
            </w:pPr>
          </w:p>
        </w:tc>
        <w:tc>
          <w:tcPr>
            <w:tcW w:w="1360" w:type="dxa"/>
            <w:vAlign w:val="bottom"/>
            <w:gridSpan w:val="2"/>
          </w:tcPr>
          <w:p>
            <w:pPr>
              <w:ind w:left="200"/>
              <w:spacing w:after="0" w:line="162" w:lineRule="exact"/>
              <w:rPr>
                <w:sz w:val="20"/>
                <w:szCs w:val="20"/>
                <w:color w:val="auto"/>
              </w:rPr>
            </w:pPr>
            <w:r>
              <w:rPr>
                <w:rFonts w:ascii="Arial" w:cs="Arial" w:eastAsia="Arial" w:hAnsi="Arial"/>
                <w:sz w:val="16"/>
                <w:szCs w:val="16"/>
                <w:color w:val="auto"/>
              </w:rPr>
              <w:t>Adjusted</w:t>
            </w:r>
          </w:p>
        </w:tc>
        <w:tc>
          <w:tcPr>
            <w:tcW w:w="1560" w:type="dxa"/>
            <w:vAlign w:val="bottom"/>
            <w:gridSpan w:val="2"/>
          </w:tcPr>
          <w:p>
            <w:pPr>
              <w:jc w:val="right"/>
              <w:spacing w:after="0" w:line="162" w:lineRule="exact"/>
              <w:rPr>
                <w:sz w:val="20"/>
                <w:szCs w:val="20"/>
                <w:color w:val="auto"/>
              </w:rPr>
            </w:pPr>
            <w:r>
              <w:rPr>
                <w:rFonts w:ascii="Arial" w:cs="Arial" w:eastAsia="Arial" w:hAnsi="Arial"/>
                <w:sz w:val="16"/>
                <w:szCs w:val="16"/>
                <w:color w:val="auto"/>
                <w:w w:val="92"/>
              </w:rPr>
              <w:t>Adjusted Earnings Per</w:t>
            </w:r>
          </w:p>
        </w:tc>
      </w:tr>
      <w:tr>
        <w:trPr>
          <w:trHeight w:val="209"/>
        </w:trPr>
        <w:tc>
          <w:tcPr>
            <w:tcW w:w="47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Net Loss</w:t>
            </w:r>
          </w:p>
        </w:tc>
        <w:tc>
          <w:tcPr>
            <w:tcW w:w="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420"/>
              <w:spacing w:after="0"/>
              <w:rPr>
                <w:sz w:val="20"/>
                <w:szCs w:val="20"/>
                <w:color w:val="auto"/>
              </w:rPr>
            </w:pPr>
            <w:r>
              <w:rPr>
                <w:rFonts w:ascii="Arial" w:cs="Arial" w:eastAsia="Arial" w:hAnsi="Arial"/>
                <w:sz w:val="16"/>
                <w:szCs w:val="16"/>
                <w:color w:val="auto"/>
                <w:w w:val="88"/>
              </w:rPr>
              <w:t>Share</w:t>
            </w: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Net Loss</w:t>
            </w:r>
          </w:p>
        </w:tc>
        <w:tc>
          <w:tcPr>
            <w:tcW w:w="8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w w:val="93"/>
              </w:rPr>
              <w:t>Share</w:t>
            </w:r>
          </w:p>
        </w:tc>
      </w:tr>
      <w:tr>
        <w:trPr>
          <w:trHeight w:val="214"/>
        </w:trPr>
        <w:tc>
          <w:tcPr>
            <w:tcW w:w="4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780" w:type="dxa"/>
            <w:vAlign w:val="bottom"/>
            <w:gridSpan w:val="5"/>
          </w:tcPr>
          <w:p>
            <w:pPr>
              <w:jc w:val="center"/>
              <w:ind w:right="580"/>
              <w:spacing w:after="0"/>
              <w:rPr>
                <w:sz w:val="20"/>
                <w:szCs w:val="20"/>
                <w:color w:val="auto"/>
              </w:rPr>
            </w:pPr>
            <w:r>
              <w:rPr>
                <w:rFonts w:ascii="Arial" w:cs="Arial" w:eastAsia="Arial" w:hAnsi="Arial"/>
                <w:sz w:val="14"/>
                <w:szCs w:val="14"/>
                <w:i w:val="1"/>
                <w:iCs w:val="1"/>
                <w:color w:val="auto"/>
                <w:w w:val="91"/>
              </w:rPr>
              <w:t>(in thousands, except per share data)</w:t>
            </w: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6"/>
        </w:trPr>
        <w:tc>
          <w:tcPr>
            <w:tcW w:w="4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16"/>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 GAAP measure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(10,746)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center"/>
              <w:ind w:left="520"/>
              <w:spacing w:after="0"/>
              <w:rPr>
                <w:sz w:val="20"/>
                <w:szCs w:val="20"/>
                <w:color w:val="auto"/>
              </w:rPr>
            </w:pPr>
            <w:r>
              <w:rPr>
                <w:rFonts w:ascii="Arial" w:cs="Arial" w:eastAsia="Arial" w:hAnsi="Arial"/>
                <w:sz w:val="16"/>
                <w:szCs w:val="16"/>
                <w:color w:val="auto"/>
                <w:w w:val="95"/>
              </w:rPr>
              <w:t>(0.16)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(16,616)</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(0.25)</w:t>
            </w:r>
          </w:p>
        </w:tc>
      </w:tr>
      <w:tr>
        <w:trPr>
          <w:trHeight w:val="213"/>
        </w:trPr>
        <w:tc>
          <w:tcPr>
            <w:tcW w:w="4760" w:type="dxa"/>
            <w:vAlign w:val="bottom"/>
          </w:tcPr>
          <w:p>
            <w:pPr>
              <w:ind w:left="20"/>
              <w:spacing w:after="0"/>
              <w:rPr>
                <w:sz w:val="20"/>
                <w:szCs w:val="20"/>
                <w:color w:val="auto"/>
              </w:rPr>
            </w:pPr>
            <w:r>
              <w:rPr>
                <w:rFonts w:ascii="Arial" w:cs="Arial" w:eastAsia="Arial" w:hAnsi="Arial"/>
                <w:sz w:val="16"/>
                <w:szCs w:val="16"/>
                <w:color w:val="auto"/>
              </w:rPr>
              <w:t>Adjustments:</w:t>
            </w: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4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income</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(2,496)</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left="520"/>
              <w:spacing w:after="0"/>
              <w:rPr>
                <w:sz w:val="20"/>
                <w:szCs w:val="20"/>
                <w:color w:val="auto"/>
              </w:rPr>
            </w:pPr>
            <w:r>
              <w:rPr>
                <w:rFonts w:ascii="Arial" w:cs="Arial" w:eastAsia="Arial" w:hAnsi="Arial"/>
                <w:sz w:val="16"/>
                <w:szCs w:val="16"/>
                <w:color w:val="auto"/>
                <w:w w:val="95"/>
              </w:rPr>
              <w:t>(0.04)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4760" w:type="dxa"/>
            <w:vAlign w:val="bottom"/>
          </w:tcPr>
          <w:p>
            <w:pPr>
              <w:ind w:left="220"/>
              <w:spacing w:after="0" w:line="216" w:lineRule="exact"/>
              <w:rPr>
                <w:sz w:val="20"/>
                <w:szCs w:val="20"/>
                <w:color w:val="auto"/>
              </w:rPr>
            </w:pPr>
            <w:r>
              <w:rPr>
                <w:rFonts w:ascii="Arial" w:cs="Arial" w:eastAsia="Arial" w:hAnsi="Arial"/>
                <w:sz w:val="16"/>
                <w:szCs w:val="16"/>
                <w:color w:val="auto"/>
              </w:rPr>
              <w:t xml:space="preserve">Stock-based compensation expense </w:t>
            </w:r>
            <w:r>
              <w:rPr>
                <w:rFonts w:ascii="Arial" w:cs="Arial" w:eastAsia="Arial" w:hAnsi="Arial"/>
                <w:sz w:val="21"/>
                <w:szCs w:val="21"/>
                <w:color w:val="auto"/>
                <w:vertAlign w:val="superscript"/>
              </w:rPr>
              <w:t>(1)</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9,499</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center"/>
              <w:ind w:left="560"/>
              <w:spacing w:after="0"/>
              <w:rPr>
                <w:sz w:val="20"/>
                <w:szCs w:val="20"/>
                <w:color w:val="auto"/>
              </w:rPr>
            </w:pPr>
            <w:r>
              <w:rPr>
                <w:rFonts w:ascii="Arial" w:cs="Arial" w:eastAsia="Arial" w:hAnsi="Arial"/>
                <w:sz w:val="16"/>
                <w:szCs w:val="16"/>
                <w:color w:val="auto"/>
                <w:w w:val="89"/>
              </w:rPr>
              <w:t>0.14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15,931</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0.24</w:t>
            </w:r>
          </w:p>
        </w:tc>
      </w:tr>
      <w:tr>
        <w:trPr>
          <w:trHeight w:val="216"/>
        </w:trPr>
        <w:tc>
          <w:tcPr>
            <w:tcW w:w="4760" w:type="dxa"/>
            <w:vAlign w:val="bottom"/>
            <w:shd w:val="clear" w:color="auto" w:fill="CCEEFF"/>
          </w:tcPr>
          <w:p>
            <w:pPr>
              <w:ind w:left="220"/>
              <w:spacing w:after="0" w:line="216" w:lineRule="exact"/>
              <w:rPr>
                <w:sz w:val="20"/>
                <w:szCs w:val="20"/>
                <w:color w:val="auto"/>
              </w:rPr>
            </w:pPr>
            <w:r>
              <w:rPr>
                <w:rFonts w:ascii="Arial" w:cs="Arial" w:eastAsia="Arial" w:hAnsi="Arial"/>
                <w:sz w:val="16"/>
                <w:szCs w:val="16"/>
                <w:color w:val="auto"/>
              </w:rPr>
              <w:t xml:space="preserve">Restructuring expenses/(adjustments) </w:t>
            </w:r>
            <w:r>
              <w:rPr>
                <w:rFonts w:ascii="Arial" w:cs="Arial" w:eastAsia="Arial" w:hAnsi="Arial"/>
                <w:sz w:val="21"/>
                <w:szCs w:val="21"/>
                <w:color w:val="auto"/>
                <w:vertAlign w:val="superscript"/>
              </w:rPr>
              <w:t>(2)</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jc w:val="center"/>
              <w:ind w:left="560"/>
              <w:spacing w:after="0"/>
              <w:rPr>
                <w:sz w:val="20"/>
                <w:szCs w:val="20"/>
                <w:color w:val="auto"/>
              </w:rPr>
            </w:pPr>
            <w:r>
              <w:rPr>
                <w:rFonts w:ascii="Arial" w:cs="Arial" w:eastAsia="Arial" w:hAnsi="Arial"/>
                <w:sz w:val="16"/>
                <w:szCs w:val="16"/>
                <w:color w:val="auto"/>
                <w:w w:val="89"/>
              </w:rPr>
              <w:t>0.02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4760" w:type="dxa"/>
            <w:vAlign w:val="bottom"/>
          </w:tcPr>
          <w:p>
            <w:pPr>
              <w:ind w:left="20"/>
              <w:spacing w:after="0"/>
              <w:rPr>
                <w:sz w:val="20"/>
                <w:szCs w:val="20"/>
                <w:color w:val="auto"/>
              </w:rPr>
            </w:pPr>
            <w:r>
              <w:rPr>
                <w:rFonts w:ascii="Arial" w:cs="Arial" w:eastAsia="Arial" w:hAnsi="Arial"/>
                <w:sz w:val="16"/>
                <w:szCs w:val="16"/>
                <w:color w:val="auto"/>
              </w:rPr>
              <w:t>Adjusted net loss - non-GAAP measure</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(2,543)</w:t>
            </w:r>
          </w:p>
        </w:tc>
        <w:tc>
          <w:tcPr>
            <w:tcW w:w="8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center"/>
              <w:ind w:left="520"/>
              <w:spacing w:after="0"/>
              <w:rPr>
                <w:sz w:val="20"/>
                <w:szCs w:val="20"/>
                <w:color w:val="auto"/>
              </w:rPr>
            </w:pPr>
            <w:r>
              <w:rPr>
                <w:rFonts w:ascii="Arial" w:cs="Arial" w:eastAsia="Arial" w:hAnsi="Arial"/>
                <w:sz w:val="16"/>
                <w:szCs w:val="16"/>
                <w:color w:val="auto"/>
                <w:w w:val="95"/>
              </w:rPr>
              <w:t>(0.04)</w:t>
            </w:r>
          </w:p>
        </w:tc>
        <w:tc>
          <w:tcPr>
            <w:tcW w:w="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(697)</w:t>
            </w:r>
          </w:p>
        </w:tc>
        <w:tc>
          <w:tcPr>
            <w:tcW w:w="8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(0.01)</w:t>
            </w:r>
          </w:p>
        </w:tc>
      </w:tr>
      <w:tr>
        <w:trPr>
          <w:trHeight w:val="20"/>
        </w:trPr>
        <w:tc>
          <w:tcPr>
            <w:tcW w:w="47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10"/>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Weighted-average shares of common stock outstanding, basic</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68,176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67,559</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bl>
    <w:p>
      <w:pPr>
        <w:spacing w:after="0" w:line="224" w:lineRule="exact"/>
        <w:rPr>
          <w:sz w:val="20"/>
          <w:szCs w:val="20"/>
          <w:color w:val="auto"/>
        </w:rPr>
      </w:pPr>
    </w:p>
    <w:p>
      <w:pPr>
        <w:ind w:left="180" w:right="20" w:hanging="172"/>
        <w:spacing w:after="0" w:line="264" w:lineRule="auto"/>
        <w:tabs>
          <w:tab w:leader="none" w:pos="163" w:val="left"/>
        </w:tabs>
        <w:numPr>
          <w:ilvl w:val="0"/>
          <w:numId w:val="11"/>
        </w:numPr>
        <w:rPr>
          <w:rFonts w:ascii="Arial" w:cs="Arial" w:eastAsia="Arial" w:hAnsi="Arial"/>
          <w:sz w:val="9"/>
          <w:szCs w:val="9"/>
          <w:color w:val="auto"/>
        </w:rPr>
      </w:pPr>
      <w:r>
        <w:rPr>
          <w:rFonts w:ascii="Arial" w:cs="Arial" w:eastAsia="Arial" w:hAnsi="Arial"/>
          <w:sz w:val="14"/>
          <w:szCs w:val="14"/>
          <w:color w:val="auto"/>
        </w:rPr>
        <w:t>The Stock-based Compensation adjustment to Net Loss as of March 31, 2023 and 2022 is made up of $7.9 million and $14.3 million, respectively, of stock-based compensation expense for the awarded RSUs and PSUs, and $1.6 million and $1.7 million, respectively, of other sources of stock-based compensation expense. The other sources of stock-based compensation consist of accrued compensation, which the Company intends to settle in shares of the Company's common stock. However, it is the Company’s discretion whether this compensation will ultimately be paid in stock or cash. The Company has the right to dictate the form of these payments up until the date at which they are paid. Any change to the expected payment form would result in out of quarter adjustments to this add back to Adjusted Net Loss.</w:t>
      </w:r>
    </w:p>
    <w:p>
      <w:pPr>
        <w:spacing w:after="0" w:line="140" w:lineRule="exact"/>
        <w:rPr>
          <w:rFonts w:ascii="Arial" w:cs="Arial" w:eastAsia="Arial" w:hAnsi="Arial"/>
          <w:sz w:val="9"/>
          <w:szCs w:val="9"/>
          <w:color w:val="auto"/>
        </w:rPr>
      </w:pPr>
    </w:p>
    <w:p>
      <w:pPr>
        <w:ind w:left="180" w:right="320" w:hanging="172"/>
        <w:spacing w:after="0" w:line="293" w:lineRule="auto"/>
        <w:tabs>
          <w:tab w:leader="none" w:pos="163" w:val="left"/>
        </w:tabs>
        <w:numPr>
          <w:ilvl w:val="0"/>
          <w:numId w:val="11"/>
        </w:numPr>
        <w:rPr>
          <w:rFonts w:ascii="Arial" w:cs="Arial" w:eastAsia="Arial" w:hAnsi="Arial"/>
          <w:sz w:val="9"/>
          <w:szCs w:val="9"/>
          <w:color w:val="auto"/>
        </w:rPr>
      </w:pPr>
      <w:r>
        <w:rPr>
          <w:rFonts w:ascii="Arial" w:cs="Arial" w:eastAsia="Arial" w:hAnsi="Arial"/>
          <w:sz w:val="14"/>
          <w:szCs w:val="14"/>
          <w:color w:val="auto"/>
        </w:rPr>
        <w:t>The restructuring expenses/(adjustments) to net loss include severance and other related benefit costs (including outplacement services and continuing health insurance coverage), external consulting and advisory fees related to implementing the restructuring plan.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Free Cash Flow</w:t>
      </w:r>
    </w:p>
    <w:p>
      <w:pPr>
        <w:spacing w:after="0" w:line="17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Free cash flow, as reconciled in the table below, is a non-GAAP financial measure defined as net cash provided by/(used in) operating activities, less purchases of property and equipment, and capitalized software development costs. This non-GAAP financial measure may be a useful measure for investors and other users of our financial statements as a supplemental measure of our cash performance and to assess the quality of our earnings as a key performance measure in evaluating management.</w:t>
      </w:r>
    </w:p>
    <w:p>
      <w:pPr>
        <w:spacing w:after="0" w:line="17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Table MD&amp;A 6: Free Cash Flow</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Borders>
              <w:top w:val="single" w:sz="8" w:color="auto"/>
            </w:tcBorders>
          </w:tcPr>
          <w:p>
            <w:pPr>
              <w:spacing w:after="0"/>
              <w:rPr>
                <w:sz w:val="18"/>
                <w:szCs w:val="18"/>
                <w:color w:val="auto"/>
              </w:rPr>
            </w:pPr>
          </w:p>
        </w:tc>
        <w:tc>
          <w:tcPr>
            <w:tcW w:w="3720" w:type="dxa"/>
            <w:vAlign w:val="bottom"/>
            <w:tcBorders>
              <w:top w:val="single" w:sz="8" w:color="auto"/>
              <w:bottom w:val="single" w:sz="8" w:color="auto"/>
            </w:tcBorders>
            <w:gridSpan w:val="4"/>
          </w:tcPr>
          <w:p>
            <w:pPr>
              <w:jc w:val="right"/>
              <w:ind w:right="579"/>
              <w:spacing w:after="0"/>
              <w:rPr>
                <w:sz w:val="20"/>
                <w:szCs w:val="20"/>
                <w:color w:val="auto"/>
              </w:rPr>
            </w:pPr>
            <w:r>
              <w:rPr>
                <w:rFonts w:ascii="Arial" w:cs="Arial" w:eastAsia="Arial" w:hAnsi="Arial"/>
                <w:sz w:val="16"/>
                <w:szCs w:val="16"/>
                <w:color w:val="auto"/>
              </w:rPr>
              <w:t>For the Three Months Ended</w:t>
            </w:r>
          </w:p>
        </w:tc>
        <w:tc>
          <w:tcPr>
            <w:tcW w:w="520" w:type="dxa"/>
            <w:vAlign w:val="bottom"/>
            <w:tcBorders>
              <w:top w:val="single" w:sz="8" w:color="auto"/>
              <w:bottom w:val="single" w:sz="8" w:color="auto"/>
            </w:tcBorders>
          </w:tcPr>
          <w:p>
            <w:pPr>
              <w:spacing w:after="0"/>
              <w:rPr>
                <w:sz w:val="18"/>
                <w:szCs w:val="18"/>
                <w:color w:val="auto"/>
              </w:rPr>
            </w:pPr>
          </w:p>
        </w:tc>
      </w:tr>
      <w:tr>
        <w:trPr>
          <w:trHeight w:val="210"/>
        </w:trPr>
        <w:tc>
          <w:tcPr>
            <w:tcW w:w="7000" w:type="dxa"/>
            <w:vAlign w:val="bottom"/>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March 31, 2023</w:t>
            </w:r>
          </w:p>
        </w:tc>
        <w:tc>
          <w:tcPr>
            <w:tcW w:w="5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March 31, 2022</w:t>
            </w:r>
          </w:p>
        </w:tc>
        <w:tc>
          <w:tcPr>
            <w:tcW w:w="520" w:type="dxa"/>
            <w:vAlign w:val="bottom"/>
            <w:tcBorders>
              <w:bottom w:val="single" w:sz="8" w:color="auto"/>
            </w:tcBorders>
          </w:tcPr>
          <w:p>
            <w:pPr>
              <w:spacing w:after="0"/>
              <w:rPr>
                <w:sz w:val="18"/>
                <w:szCs w:val="18"/>
                <w:color w:val="auto"/>
              </w:rPr>
            </w:pPr>
          </w:p>
        </w:tc>
      </w:tr>
      <w:tr>
        <w:trPr>
          <w:trHeight w:val="214"/>
        </w:trPr>
        <w:tc>
          <w:tcPr>
            <w:tcW w:w="70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160" w:type="dxa"/>
            <w:vAlign w:val="bottom"/>
            <w:gridSpan w:val="3"/>
          </w:tcPr>
          <w:p>
            <w:pPr>
              <w:jc w:val="right"/>
              <w:ind w:right="1099"/>
              <w:spacing w:after="0"/>
              <w:rPr>
                <w:sz w:val="20"/>
                <w:szCs w:val="20"/>
                <w:color w:val="auto"/>
              </w:rPr>
            </w:pPr>
            <w:r>
              <w:rPr>
                <w:rFonts w:ascii="Arial" w:cs="Arial" w:eastAsia="Arial" w:hAnsi="Arial"/>
                <w:sz w:val="14"/>
                <w:szCs w:val="14"/>
                <w:i w:val="1"/>
                <w:iCs w:val="1"/>
                <w:color w:val="auto"/>
              </w:rPr>
              <w:t>(in thousands)</w:t>
            </w:r>
          </w:p>
        </w:tc>
        <w:tc>
          <w:tcPr>
            <w:tcW w:w="520" w:type="dxa"/>
            <w:vAlign w:val="bottom"/>
          </w:tcPr>
          <w:p>
            <w:pPr>
              <w:spacing w:after="0"/>
              <w:rPr>
                <w:sz w:val="18"/>
                <w:szCs w:val="18"/>
                <w:color w:val="auto"/>
              </w:rPr>
            </w:pPr>
          </w:p>
        </w:tc>
      </w:tr>
      <w:tr>
        <w:trPr>
          <w:trHeight w:val="25"/>
        </w:trPr>
        <w:tc>
          <w:tcPr>
            <w:tcW w:w="70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in)/provided by operating activities</w:t>
            </w:r>
          </w:p>
        </w:tc>
        <w:tc>
          <w:tcPr>
            <w:tcW w:w="1560" w:type="dxa"/>
            <w:vAlign w:val="bottom"/>
            <w:shd w:val="clear" w:color="auto" w:fill="CCEEFF"/>
          </w:tcPr>
          <w:p>
            <w:pPr>
              <w:jc w:val="right"/>
              <w:ind w:right="137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37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w:t>
            </w:r>
          </w:p>
        </w:tc>
      </w:tr>
      <w:tr>
        <w:trPr>
          <w:trHeight w:val="213"/>
        </w:trPr>
        <w:tc>
          <w:tcPr>
            <w:tcW w:w="7000" w:type="dxa"/>
            <w:vAlign w:val="bottom"/>
          </w:tcPr>
          <w:p>
            <w:pPr>
              <w:ind w:left="20"/>
              <w:spacing w:after="0"/>
              <w:rPr>
                <w:sz w:val="20"/>
                <w:szCs w:val="20"/>
                <w:color w:val="auto"/>
              </w:rPr>
            </w:pPr>
            <w:r>
              <w:rPr>
                <w:rFonts w:ascii="Arial" w:cs="Arial" w:eastAsia="Arial" w:hAnsi="Arial"/>
                <w:sz w:val="16"/>
                <w:szCs w:val="16"/>
                <w:color w:val="auto"/>
              </w:rPr>
              <w:t>Adjustments:</w:t>
            </w:r>
          </w:p>
        </w:tc>
        <w:tc>
          <w:tcPr>
            <w:tcW w:w="1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9"/>
        </w:trPr>
        <w:tc>
          <w:tcPr>
            <w:tcW w:w="7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Purchases of property and equipment</w:t>
            </w:r>
          </w:p>
        </w:tc>
        <w:tc>
          <w:tcPr>
            <w:tcW w:w="15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(546)</w:t>
            </w:r>
          </w:p>
        </w:tc>
      </w:tr>
      <w:tr>
        <w:trPr>
          <w:trHeight w:val="213"/>
        </w:trPr>
        <w:tc>
          <w:tcPr>
            <w:tcW w:w="70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Capitalized software development costs</w:t>
            </w:r>
          </w:p>
        </w:tc>
        <w:tc>
          <w:tcPr>
            <w:tcW w:w="15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(3,800)</w:t>
            </w:r>
          </w:p>
        </w:tc>
        <w:tc>
          <w:tcPr>
            <w:tcW w:w="8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(2,795)</w:t>
            </w:r>
          </w:p>
        </w:tc>
      </w:tr>
      <w:tr>
        <w:trPr>
          <w:trHeight w:val="238"/>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Free cash flow</w:t>
            </w:r>
          </w:p>
        </w:tc>
        <w:tc>
          <w:tcPr>
            <w:tcW w:w="1560" w:type="dxa"/>
            <w:vAlign w:val="bottom"/>
            <w:tcBorders>
              <w:bottom w:val="single" w:sz="8" w:color="auto"/>
            </w:tcBorders>
            <w:shd w:val="clear" w:color="auto" w:fill="CCEEFF"/>
          </w:tcPr>
          <w:p>
            <w:pPr>
              <w:jc w:val="right"/>
              <w:ind w:right="137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(4,123)</w:t>
            </w:r>
          </w:p>
        </w:tc>
        <w:tc>
          <w:tcPr>
            <w:tcW w:w="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ind w:right="137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(3,092)</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u w:val="single" w:color="auto"/>
          <w:color w:val="auto"/>
        </w:rPr>
        <w:t>Table of Contents</w:t>
      </w:r>
    </w:p>
    <w:p>
      <w:pPr>
        <w:spacing w:after="0" w:line="200" w:lineRule="exact"/>
        <w:rPr>
          <w:sz w:val="20"/>
          <w:szCs w:val="20"/>
          <w:color w:val="auto"/>
        </w:rPr>
      </w:pPr>
    </w:p>
    <w:p>
      <w:pPr>
        <w:spacing w:after="0" w:line="349"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Each of EBITDA, Adjusted EBITDA, Adjusted EBITDA Margin, Adjusted Net Income/(Loss), Adjusted EPS and Free Cash Flow has limitations as an analytical tool, and you should not consider any of them in isolation, or as a substitute for analysis of our results as reported under GAAP. Among other limitations, each of EBITDA, Adjusted EBITDA, Adjusted EBITDA Margin, Adjusted Net Income/(Loss), Adjusted EPS and Free Cash Flow does not reflect our cash expenditures, or future requirements, for capital expenditures or contractual commitments, does not reflect the impact of certain cash charges resulting from matters we consider not to be indicative of our ongoing operations, and does not reflect income tax expense or benefit. Other companies in our industry may calculate Adjusted EBITDA, Adjusted EBITDA Margin, Adjusted Net Income/(Loss), Adjusted EPS and Free Cash Flow differently than we do, which limits their usefulness as comparative measures. Because of these limitations, neither EBITDA, Adjusted EBITDA, Adjusted EBITDA Margin, Adjusted Net Income/(Loss), Adjusted EPS nor Free Cash Flow should be considered as a replacement for net (loss)/income, earnings per share or net cash flows provided by/(used in) operating activities, as determined by GAAP, or as a measure of our profitability. We compensate for these limitations by relying primarily on our GAAP results and using non-GAAP measures only for supplemental purposes.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primary sources of liquidity are cash on hand, future operating cash flows, and, if needed, borrowings under our $30.0 million revolving credit facility, with an available expansion feature of up to $30.0 million of additional revolver facility. While a variety of factors related to sources and uses of cash, such as timeliness of accounts receivable collections, vendor credit terms, or significant collateral requirements, ultimately impact our liquidity, such factors may or may not have a direct impact on our liquidity.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2023, we had cash and cash equivalents of $112.5 million and our working capital was $116.5 million.</w:t>
      </w:r>
    </w:p>
    <w:p>
      <w:pPr>
        <w:spacing w:after="0" w:line="17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We place a strong emphasis on liquidity management. This focus gives us the flexibility for capital deployment while preserving a strong balance sheet to position us for future opportunities. We believe we have adequate funds on hand to execute our financial and operating strategy. Our overall financial position and liquidity are strong. Although no assurances can be given, we believe the available cash balances and access to our revolving credit facility are sufficient to maintain the liquidity we require to meet our operating, investing and financing needs for the next 12 months.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Table MD&amp;A 7: Net Change in Cash, Cash Equivalents, and Restricted Cash</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000" w:type="dxa"/>
            <w:vAlign w:val="bottom"/>
            <w:tcBorders>
              <w:top w:val="single" w:sz="8" w:color="auto"/>
            </w:tcBorders>
          </w:tcPr>
          <w:p>
            <w:pPr>
              <w:spacing w:after="0"/>
              <w:rPr>
                <w:sz w:val="18"/>
                <w:szCs w:val="18"/>
                <w:color w:val="auto"/>
              </w:rPr>
            </w:pPr>
          </w:p>
        </w:tc>
        <w:tc>
          <w:tcPr>
            <w:tcW w:w="3720" w:type="dxa"/>
            <w:vAlign w:val="bottom"/>
            <w:tcBorders>
              <w:top w:val="single" w:sz="8" w:color="auto"/>
              <w:bottom w:val="single" w:sz="8" w:color="auto"/>
            </w:tcBorders>
            <w:gridSpan w:val="4"/>
          </w:tcPr>
          <w:p>
            <w:pPr>
              <w:jc w:val="right"/>
              <w:ind w:right="579"/>
              <w:spacing w:after="0"/>
              <w:rPr>
                <w:sz w:val="20"/>
                <w:szCs w:val="20"/>
                <w:color w:val="auto"/>
              </w:rPr>
            </w:pPr>
            <w:r>
              <w:rPr>
                <w:rFonts w:ascii="Arial" w:cs="Arial" w:eastAsia="Arial" w:hAnsi="Arial"/>
                <w:sz w:val="16"/>
                <w:szCs w:val="16"/>
                <w:color w:val="auto"/>
              </w:rPr>
              <w:t>For the Three Months Ended</w:t>
            </w:r>
          </w:p>
        </w:tc>
        <w:tc>
          <w:tcPr>
            <w:tcW w:w="520" w:type="dxa"/>
            <w:vAlign w:val="bottom"/>
            <w:tcBorders>
              <w:top w:val="single" w:sz="8" w:color="auto"/>
              <w:bottom w:val="single" w:sz="8" w:color="auto"/>
            </w:tcBorders>
          </w:tcPr>
          <w:p>
            <w:pPr>
              <w:spacing w:after="0"/>
              <w:rPr>
                <w:sz w:val="18"/>
                <w:szCs w:val="18"/>
                <w:color w:val="auto"/>
              </w:rPr>
            </w:pPr>
          </w:p>
        </w:tc>
      </w:tr>
      <w:tr>
        <w:trPr>
          <w:trHeight w:val="210"/>
        </w:trPr>
        <w:tc>
          <w:tcPr>
            <w:tcW w:w="7000" w:type="dxa"/>
            <w:vAlign w:val="bottom"/>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March 31, 2023</w:t>
            </w:r>
          </w:p>
        </w:tc>
        <w:tc>
          <w:tcPr>
            <w:tcW w:w="5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March 31, 2022</w:t>
            </w:r>
          </w:p>
        </w:tc>
        <w:tc>
          <w:tcPr>
            <w:tcW w:w="520" w:type="dxa"/>
            <w:vAlign w:val="bottom"/>
            <w:tcBorders>
              <w:bottom w:val="single" w:sz="8" w:color="auto"/>
            </w:tcBorders>
          </w:tcPr>
          <w:p>
            <w:pPr>
              <w:spacing w:after="0"/>
              <w:rPr>
                <w:sz w:val="18"/>
                <w:szCs w:val="18"/>
                <w:color w:val="auto"/>
              </w:rPr>
            </w:pPr>
          </w:p>
        </w:tc>
      </w:tr>
      <w:tr>
        <w:trPr>
          <w:trHeight w:val="214"/>
        </w:trPr>
        <w:tc>
          <w:tcPr>
            <w:tcW w:w="70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160" w:type="dxa"/>
            <w:vAlign w:val="bottom"/>
            <w:gridSpan w:val="3"/>
          </w:tcPr>
          <w:p>
            <w:pPr>
              <w:jc w:val="right"/>
              <w:ind w:right="1099"/>
              <w:spacing w:after="0"/>
              <w:rPr>
                <w:sz w:val="20"/>
                <w:szCs w:val="20"/>
                <w:color w:val="auto"/>
              </w:rPr>
            </w:pPr>
            <w:r>
              <w:rPr>
                <w:rFonts w:ascii="Arial" w:cs="Arial" w:eastAsia="Arial" w:hAnsi="Arial"/>
                <w:sz w:val="14"/>
                <w:szCs w:val="14"/>
                <w:i w:val="1"/>
                <w:iCs w:val="1"/>
                <w:color w:val="auto"/>
              </w:rPr>
              <w:t>(in thousands)</w:t>
            </w:r>
          </w:p>
        </w:tc>
        <w:tc>
          <w:tcPr>
            <w:tcW w:w="520" w:type="dxa"/>
            <w:vAlign w:val="bottom"/>
          </w:tcPr>
          <w:p>
            <w:pPr>
              <w:spacing w:after="0"/>
              <w:rPr>
                <w:sz w:val="18"/>
                <w:szCs w:val="18"/>
                <w:color w:val="auto"/>
              </w:rPr>
            </w:pPr>
          </w:p>
        </w:tc>
      </w:tr>
      <w:tr>
        <w:trPr>
          <w:trHeight w:val="25"/>
        </w:trPr>
        <w:tc>
          <w:tcPr>
            <w:tcW w:w="70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in)/provided by operating activities</w:t>
            </w:r>
          </w:p>
        </w:tc>
        <w:tc>
          <w:tcPr>
            <w:tcW w:w="1560" w:type="dxa"/>
            <w:vAlign w:val="bottom"/>
            <w:shd w:val="clear" w:color="auto" w:fill="CCEEFF"/>
          </w:tcPr>
          <w:p>
            <w:pPr>
              <w:jc w:val="right"/>
              <w:ind w:right="137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37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w:t>
            </w:r>
          </w:p>
        </w:tc>
      </w:tr>
      <w:tr>
        <w:trPr>
          <w:trHeight w:val="213"/>
        </w:trPr>
        <w:tc>
          <w:tcPr>
            <w:tcW w:w="700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15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94"/>
              </w:rPr>
              <w:t>(4,587)</w:t>
            </w: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94"/>
              </w:rPr>
              <w:t>(3,341)</w:t>
            </w:r>
          </w:p>
        </w:tc>
      </w:tr>
      <w:tr>
        <w:trPr>
          <w:trHeight w:val="216"/>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financing activities</w:t>
            </w:r>
          </w:p>
        </w:tc>
        <w:tc>
          <w:tcPr>
            <w:tcW w:w="15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(2,156)</w:t>
            </w:r>
          </w:p>
        </w:tc>
        <w:tc>
          <w:tcPr>
            <w:tcW w:w="8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(3,237)</w:t>
            </w:r>
          </w:p>
        </w:tc>
      </w:tr>
      <w:tr>
        <w:trPr>
          <w:trHeight w:val="213"/>
        </w:trPr>
        <w:tc>
          <w:tcPr>
            <w:tcW w:w="7000" w:type="dxa"/>
            <w:vAlign w:val="bottom"/>
          </w:tcPr>
          <w:p>
            <w:pPr>
              <w:ind w:left="140"/>
              <w:spacing w:after="0"/>
              <w:rPr>
                <w:sz w:val="20"/>
                <w:szCs w:val="20"/>
                <w:color w:val="auto"/>
              </w:rPr>
            </w:pPr>
            <w:r>
              <w:rPr>
                <w:rFonts w:ascii="Arial" w:cs="Arial" w:eastAsia="Arial" w:hAnsi="Arial"/>
                <w:sz w:val="16"/>
                <w:szCs w:val="16"/>
                <w:color w:val="auto"/>
              </w:rPr>
              <w:t>Net change in cash, cash equivalents, and restricted cash</w:t>
            </w:r>
          </w:p>
        </w:tc>
        <w:tc>
          <w:tcPr>
            <w:tcW w:w="1560" w:type="dxa"/>
            <w:vAlign w:val="bottom"/>
            <w:tcBorders>
              <w:bottom w:val="single" w:sz="8" w:color="auto"/>
            </w:tcBorders>
          </w:tcPr>
          <w:p>
            <w:pPr>
              <w:jc w:val="right"/>
              <w:ind w:right="137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(6,843)</w:t>
            </w:r>
          </w:p>
        </w:tc>
        <w:tc>
          <w:tcPr>
            <w:tcW w:w="80" w:type="dxa"/>
            <w:vAlign w:val="bottom"/>
          </w:tcPr>
          <w:p>
            <w:pPr>
              <w:spacing w:after="0"/>
              <w:rPr>
                <w:sz w:val="18"/>
                <w:szCs w:val="18"/>
                <w:color w:val="auto"/>
              </w:rPr>
            </w:pPr>
          </w:p>
        </w:tc>
        <w:tc>
          <w:tcPr>
            <w:tcW w:w="1560" w:type="dxa"/>
            <w:vAlign w:val="bottom"/>
            <w:tcBorders>
              <w:bottom w:val="single" w:sz="8" w:color="auto"/>
            </w:tcBorders>
          </w:tcPr>
          <w:p>
            <w:pPr>
              <w:jc w:val="right"/>
              <w:ind w:right="137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(6,329)</w:t>
            </w:r>
          </w:p>
        </w:tc>
      </w:tr>
      <w:tr>
        <w:trPr>
          <w:trHeight w:val="20"/>
        </w:trPr>
        <w:tc>
          <w:tcPr>
            <w:tcW w:w="70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Net cash used in operating activities for the three months ended March 31, 2023, was $0.1 million, a decrease of $0.35 million compared to the same period in 2022. The change is primarily driven by the Company's operating losses, the timing of receipts of customer payments, the timing of payments to vendors and employees, and the timing of inventory turnover, adjusted for certain non-cash items that do not impact cash flows from operating activities.</w:t>
      </w:r>
    </w:p>
    <w:p>
      <w:pPr>
        <w:spacing w:after="0" w:line="9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Net cash used in investing activities for the three months ended March 31, 2023 increased by $1.2 million compared to the same period of the prior year primarily, due to the investment in software development costs of $3.8 million and $2.8 million for the three months ended March 31, 2023 and 2022, respectively, and payment of the DFT holdback amount of $0.6 million in February 2023. This is partially offset by the slight decrease in purchases of property and equipment.</w:t>
      </w:r>
    </w:p>
    <w:p>
      <w:pPr>
        <w:spacing w:after="0" w:line="133"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Net cash used in financing activities for the three months ended March 31, 2023, decreased by $1.1 million compared to the same period in 2022. This is primarily attributable to the decrease in payment of tax withholding related to net share settlement of equity awards of $1.5 million in the first quarter of 2023 compared with $2.9 million in the same period of 2022.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U.S. requires us to make estimates, judgments, and assumptions that affect the amounts reported. Actual results could differ from those estimates. The 2022 Form 10-K, as filed with the SEC on March 16, 2023, includes a summary of critical accounting policies we believe are the most important to aid in understanding our financial results. There have been no changes to those critical accounting policies that have had a material impact on our reported amounts of assets, liabilities, revenues, or expenses during the three months ended March 31, 2023.</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u w:val="single" w:color="auto"/>
          <w:color w:val="auto"/>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7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 maintains disclosure controls and procedures (as defined in Rules 13a-15(e) and 15d-15(e) under the Securities Exchange Act of 1934, as amended (the "Exchange Act")), which are designed to ensure that information required to be disclosed by the Company in reports that it files or submits under the Exchange Act, including this Report, are recorded, processed, summarized and reported within the time periods specified in the SEC's rules and forms. These disclosure controls and procedures include controls and procedures designed to ensure that information required to be disclosed by the Company under the Exchange Act is accumulated and communicated to the Company's management, including its principal executive officer ("CEO") and principal financial officer ("CFO") as appropriate to allow timely decisions regarding required disclosure.</w:t>
      </w:r>
    </w:p>
    <w:p>
      <w:pPr>
        <w:spacing w:after="0" w:line="12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Company's management, including the Company's CEO and CFO, conducted an evaluation of the effectiveness of the Company's disclosure controls and procedures as of the end of the period covered by this Report and, based on that evaluation, the CEO and CFO concluded that the Company’s disclosure controls and procedures were effective at the reasonable assurance level as of March 31, 2023.</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Remediation of Previously Disclosed Material Weakness in Internal Control over Financial Reporting</w:t>
      </w:r>
    </w:p>
    <w:p>
      <w:pPr>
        <w:spacing w:after="0" w:line="17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As previously disclosed in Item 9A of our Annual Report on Form 10-K for the year ended December 31, 2022, management identified a material weakness as of that date. The material weakness identified as of December 31, 2022 was related to ineffective design and maintenance of controls over the assessment of the accounting for forfeitures of non-standard equity awards. In response to the material weakness, we implemented changes to our internal control over financial reporting, which consisted primarily of enhancement of existing processes and controls over the accounting for the forfeiture of non-standard equity awards. We have completed documentation of these corrective actions and, based on the evidence obtained in validating the design and operating effectiveness of the implemented control, we have concluded that the previously disclosed material weakness has been remediated as of March 31, 2023.</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71"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The change described in the "Remediation of Previously Disclosed Material Weakness in Internal Control over Financial Reporting" above represents a change in our internal control over financial reporting (as defined in Exchange Act Rule 13a-15(f)) which occured during the three months ended March 31, 2023 that has materially affected, or is reasonably likely to materially affect, our internal control over financial reporting.</w:t>
      </w:r>
    </w:p>
    <w:p>
      <w:pPr>
        <w:spacing w:after="0" w:line="111"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Other than this change, there were no other changes in the Company's internal control over financial reporting during the first quarter of 2023 identified in connection with management’s evaluation required by paragraph (d) of Rules 13a-15 and 15d-15 under the Exchange Act, that have materially affected, or are reasonably likely to materially affect, the Company’s internal control over financial reporting.</w:t>
      </w:r>
    </w:p>
    <w:p>
      <w:pPr>
        <w:spacing w:after="0" w:line="200" w:lineRule="exact"/>
        <w:rPr>
          <w:sz w:val="20"/>
          <w:szCs w:val="20"/>
          <w:color w:val="auto"/>
        </w:rPr>
      </w:pPr>
    </w:p>
    <w:p>
      <w:pPr>
        <w:spacing w:after="0" w:line="3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Information regarding legal proceedings is included under </w:t>
      </w:r>
      <w:r>
        <w:rPr>
          <w:rFonts w:ascii="Arial" w:cs="Arial" w:eastAsia="Arial" w:hAnsi="Arial"/>
          <w:sz w:val="16"/>
          <w:szCs w:val="16"/>
          <w:u w:val="single" w:color="auto"/>
          <w:color w:val="0000FF"/>
        </w:rPr>
        <w:t>Note 18 – Commitments and Contingencies</w:t>
      </w:r>
      <w:r>
        <w:rPr>
          <w:rFonts w:ascii="Arial" w:cs="Arial" w:eastAsia="Arial" w:hAnsi="Arial"/>
          <w:sz w:val="16"/>
          <w:szCs w:val="16"/>
          <w:color w:val="auto"/>
        </w:rPr>
        <w:t xml:space="preserve"> to the unaudited consolidated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have disclosed under "Item 1A – Risk Factors" in our Annual Report on Form 10-K for the year ended December 31, 2022, the risk factors which may materially affect our business, financial conditions or results of operations. Except as set forth below, there have been no material changes from the risk factors previously disclosed. You should carefully consider the risk factors set forth below and in the Annual Report on Form 10-K, and other information set forth elsewhere in this Quarterly Report on Form 10-Q. You should be aware that these risk factors and other information may not describe every risk facing our company. In addition, the risks and uncertainties not currently known to us or that we currently do not believe are material could also materially and adversely affect our business, financial condition or results of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impairment charge of goodwill or other intangibles could have a material adverse impact on our results of operations.</w:t>
      </w:r>
    </w:p>
    <w:p>
      <w:pPr>
        <w:spacing w:after="0" w:line="17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Goodwill was $17.9 million as of March 31, 2023, and December 31, 2022, of which $3.0 million is allocated to the Security Solutions segment and $14.9 million is allocated to the Secure Networks segment. Intangible assets were $33.8 million and $37.4 million as of March 31, 2023, and December 31, 2022, respectively. Under generally accepted accounting principles ("GAAP"), we are required to test the carrying value of goodwill and intangible assets at least annually or sooner if events occur that indicate impairment could exist. These events or circumstances could include a significant change in the business climate, including a sustained decline in a reporting unit’s fair value, legal and regulatory factors, operating performance indicators, competition and other factors. GAAP requires us to assign and then test goodwill at the reporting unit level.</w:t>
      </w:r>
    </w:p>
    <w:p>
      <w:pPr>
        <w:spacing w:after="0" w:line="12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If over a sustained period of time we experience a decrease in our stock price and market capitalization, which may serve as an estimate of the fair value of our reporting unit, an indication of impairment may have occurred. If the fair value of our reporting unit is less than its net book value, we may be required to record goodwill impairment charges in the future. In addition, if the revenue and cash flows generated from any of our other intangible assets is not sufficient to support its net book value, we may be required to record an impairment charge.</w:t>
      </w:r>
    </w:p>
    <w:p>
      <w:pPr>
        <w:spacing w:after="0" w:line="133"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During the first quarter of 2023, the price per share of our common stock as traded on the NASDAQ Global Market declined below net book value per share. If our stock price remains below net book value per share or other negative business factors described above exist, we may be required to perform a goodwill impairment analysis before the end of the year. That analysis or the annual analysis may result in an impairment charge that could be significant and could have a material adverse impact on our results of operations for the period in which the charge is taken.</w:t>
      </w:r>
    </w:p>
    <w:p>
      <w:pPr>
        <w:spacing w:after="0" w:line="117"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b w:val="1"/>
          <w:bCs w:val="1"/>
          <w:i w:val="1"/>
          <w:iCs w:val="1"/>
          <w:color w:val="auto"/>
        </w:rPr>
        <w:t>A decline in the federal budget, changes in spending or budgetary priorities of the U.S. government, a prolonged U.S. government shutdown or delays in contract awards may significantly and adversely affect our future revenues, cash flow and financial results.</w:t>
      </w:r>
    </w:p>
    <w:p>
      <w:pPr>
        <w:spacing w:after="0" w:line="92"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In recent years, U.S. government appropriations have been affected by larger U.S. government budgetary issues and related legislation. As a result, DoD funding levels have fluctuated and have been difficult to predict. Future spending levels are subject to a wide range of factors, including Congressional action. In addition, in recent years the U.S. government has been unable to complete its budget process before the end of its fiscal year, resulting in both a government shutdown and continuing resolutions to extend sufficient funds only for U.S. government agencies to continue operating. Most recently, the federal government was shut down due to a lack of funding for over one month between late 2018 and early 2019. Additionally, the national debt has recently threatened to reach the statutory debt ceiling in 2023, and such an event in future years could result in the U.S. government defaulting on its debts.</w:t>
      </w:r>
    </w:p>
    <w:p>
      <w:pPr>
        <w:spacing w:after="0" w:line="1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a result, government spending levels are difficult to predict beyond the near term due to numerous factors, including the external threat environment, future government priorities and the state of government finances. Significant changes in government spending or changes in U.S. government priorities, policies and requirements could have a material adverse effect on our results of operations, financial condition or liquidity. Furthermore, a U.S. government default on its sovereign debt would have broad adverse macroeconomic effects that could materially and adversely affect our results of operations, financial condition or liquidity.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5" w:lineRule="exact"/>
        <w:rPr>
          <w:sz w:val="20"/>
          <w:szCs w:val="20"/>
          <w:color w:val="auto"/>
        </w:rPr>
      </w:pPr>
    </w:p>
    <w:p>
      <w:pPr>
        <w:ind w:left="260" w:hanging="252"/>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None.</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None.</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u w:val="single" w:color="auto"/>
          <w:color w:val="auto"/>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60" w:type="dxa"/>
            <w:vAlign w:val="bottom"/>
            <w:gridSpan w:val="5"/>
          </w:tcPr>
          <w:p>
            <w:pPr>
              <w:jc w:val="center"/>
              <w:spacing w:after="0"/>
              <w:rPr>
                <w:sz w:val="20"/>
                <w:szCs w:val="20"/>
                <w:color w:val="auto"/>
              </w:rPr>
            </w:pPr>
            <w:r>
              <w:rPr>
                <w:rFonts w:ascii="Arial" w:cs="Arial" w:eastAsia="Arial" w:hAnsi="Arial"/>
                <w:sz w:val="16"/>
                <w:szCs w:val="16"/>
                <w:b w:val="1"/>
                <w:bCs w:val="1"/>
                <w:color w:val="auto"/>
                <w:w w:val="97"/>
              </w:rPr>
              <w:t>Exhibit</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40" w:type="dxa"/>
            <w:vAlign w:val="bottom"/>
            <w:gridSpan w:val="5"/>
            <w:vMerge w:val="restart"/>
          </w:tcPr>
          <w:p>
            <w:pPr>
              <w:ind w:left="442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213"/>
        </w:trPr>
        <w:tc>
          <w:tcPr>
            <w:tcW w:w="126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w w:val="95"/>
              </w:rPr>
              <w:t>Number</w:t>
            </w:r>
          </w:p>
        </w:tc>
        <w:tc>
          <w:tcPr>
            <w:tcW w:w="3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640" w:type="dxa"/>
            <w:vAlign w:val="bottom"/>
            <w:tcBorders>
              <w:bottom w:val="single" w:sz="8" w:color="auto"/>
            </w:tcBorders>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780" w:type="dxa"/>
            <w:vAlign w:val="bottom"/>
            <w:gridSpan w:val="4"/>
            <w:shd w:val="clear" w:color="auto" w:fill="CCEEFF"/>
          </w:tcPr>
          <w:p>
            <w:pPr>
              <w:jc w:val="center"/>
              <w:ind w:left="419"/>
              <w:spacing w:after="0" w:line="172" w:lineRule="exact"/>
              <w:rPr>
                <w:sz w:val="20"/>
                <w:szCs w:val="20"/>
                <w:color w:val="auto"/>
              </w:rPr>
            </w:pPr>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1</w:t>
            </w:r>
          </w:p>
        </w:tc>
        <w:tc>
          <w:tcPr>
            <w:tcW w:w="480" w:type="dxa"/>
            <w:vAlign w:val="bottom"/>
            <w:shd w:val="clear" w:color="auto" w:fill="CCEEFF"/>
          </w:tcPr>
          <w:p>
            <w:pPr>
              <w:spacing w:after="0"/>
              <w:rPr>
                <w:sz w:val="14"/>
                <w:szCs w:val="14"/>
                <w:color w:val="auto"/>
              </w:rPr>
            </w:pPr>
          </w:p>
        </w:tc>
        <w:tc>
          <w:tcPr>
            <w:tcW w:w="320" w:type="dxa"/>
            <w:vAlign w:val="bottom"/>
            <w:shd w:val="clear" w:color="auto" w:fill="CCEEFF"/>
          </w:tcPr>
          <w:p>
            <w:pPr>
              <w:ind w:left="20"/>
              <w:spacing w:after="0" w:line="172" w:lineRule="exact"/>
              <w:rPr>
                <w:sz w:val="20"/>
                <w:szCs w:val="20"/>
                <w:color w:val="auto"/>
              </w:rPr>
            </w:pPr>
            <w:r>
              <w:rPr>
                <w:rFonts w:ascii="Arial" w:cs="Arial" w:eastAsia="Arial" w:hAnsi="Arial"/>
                <w:sz w:val="16"/>
                <w:szCs w:val="16"/>
                <w:color w:val="auto"/>
              </w:rPr>
              <w:t>*</w:t>
            </w:r>
          </w:p>
        </w:tc>
        <w:tc>
          <w:tcPr>
            <w:tcW w:w="9660" w:type="dxa"/>
            <w:vAlign w:val="bottom"/>
            <w:gridSpan w:val="6"/>
            <w:shd w:val="clear" w:color="auto" w:fill="CCEEFF"/>
          </w:tcPr>
          <w:p>
            <w:pPr>
              <w:ind w:left="20"/>
              <w:spacing w:after="0" w:line="172" w:lineRule="exact"/>
              <w:rPr>
                <w:sz w:val="20"/>
                <w:szCs w:val="20"/>
                <w:color w:val="auto"/>
              </w:rPr>
            </w:pPr>
            <w:r>
              <w:rPr>
                <w:rFonts w:ascii="Arial" w:cs="Arial" w:eastAsia="Arial" w:hAnsi="Arial"/>
                <w:sz w:val="16"/>
                <w:szCs w:val="16"/>
                <w:color w:val="0000FF"/>
              </w:rPr>
              <w:t>First Amendment to Credit Agreement between, among others, Telos Corporation and JP Morgan Chase Bank, dated April 12, 2023</w:t>
            </w:r>
          </w:p>
        </w:tc>
        <w:tc>
          <w:tcPr>
            <w:tcW w:w="0" w:type="dxa"/>
            <w:vAlign w:val="bottom"/>
          </w:tcPr>
          <w:p>
            <w:pPr>
              <w:spacing w:after="0"/>
              <w:rPr>
                <w:sz w:val="1"/>
                <w:szCs w:val="1"/>
                <w:color w:val="auto"/>
              </w:rPr>
            </w:pPr>
          </w:p>
        </w:tc>
      </w:tr>
      <w:tr>
        <w:trPr>
          <w:trHeight w:val="20"/>
        </w:trPr>
        <w:tc>
          <w:tcPr>
            <w:tcW w:w="5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38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80" w:type="dxa"/>
            <w:vAlign w:val="bottom"/>
            <w:gridSpan w:val="4"/>
          </w:tcPr>
          <w:p>
            <w:pPr>
              <w:jc w:val="center"/>
              <w:ind w:left="419"/>
              <w:spacing w:after="0" w:line="175" w:lineRule="exact"/>
              <w:rPr>
                <w:sz w:val="20"/>
                <w:szCs w:val="20"/>
                <w:color w:val="auto"/>
              </w:rPr>
            </w:pPr>
            <w:r>
              <w:rPr>
                <w:rFonts w:ascii="Arial" w:cs="Arial" w:eastAsia="Arial" w:hAnsi="Arial"/>
                <w:sz w:val="16"/>
                <w:szCs w:val="16"/>
                <w:color w:val="0000FF"/>
                <w:w w:val="89"/>
              </w:rPr>
              <w:t>31.</w:t>
            </w:r>
            <w:r>
              <w:rPr>
                <w:rFonts w:ascii="Arial" w:cs="Arial" w:eastAsia="Arial" w:hAnsi="Arial"/>
                <w:sz w:val="16"/>
                <w:szCs w:val="16"/>
                <w:u w:val="single" w:color="auto"/>
                <w:color w:val="0000FF"/>
                <w:w w:val="89"/>
              </w:rPr>
              <w:t>1</w:t>
            </w:r>
          </w:p>
        </w:tc>
        <w:tc>
          <w:tcPr>
            <w:tcW w:w="480" w:type="dxa"/>
            <w:vAlign w:val="bottom"/>
          </w:tcPr>
          <w:p>
            <w:pPr>
              <w:spacing w:after="0"/>
              <w:rPr>
                <w:sz w:val="15"/>
                <w:szCs w:val="15"/>
                <w:color w:val="auto"/>
              </w:rPr>
            </w:pPr>
          </w:p>
        </w:tc>
        <w:tc>
          <w:tcPr>
            <w:tcW w:w="9980" w:type="dxa"/>
            <w:vAlign w:val="bottom"/>
            <w:gridSpan w:val="7"/>
          </w:tcPr>
          <w:p>
            <w:pPr>
              <w:ind w:left="20"/>
              <w:spacing w:after="0" w:line="175" w:lineRule="exact"/>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color w:val="0000FF"/>
              </w:rPr>
              <w:t>Certification of Chief Executive Officer pursuant to Section 302 of the Sarbanes-Oxley Act of 2002</w:t>
            </w:r>
          </w:p>
        </w:tc>
        <w:tc>
          <w:tcPr>
            <w:tcW w:w="0" w:type="dxa"/>
            <w:vAlign w:val="bottom"/>
          </w:tcPr>
          <w:p>
            <w:pPr>
              <w:spacing w:after="0"/>
              <w:rPr>
                <w:sz w:val="1"/>
                <w:szCs w:val="1"/>
                <w:color w:val="auto"/>
              </w:rPr>
            </w:pPr>
          </w:p>
        </w:tc>
      </w:tr>
      <w:tr>
        <w:trPr>
          <w:trHeight w:val="21"/>
        </w:trPr>
        <w:tc>
          <w:tcPr>
            <w:tcW w:w="50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80" w:type="dxa"/>
            <w:vAlign w:val="bottom"/>
            <w:gridSpan w:val="4"/>
            <w:shd w:val="clear" w:color="auto" w:fill="CCEEFF"/>
          </w:tcPr>
          <w:p>
            <w:pPr>
              <w:jc w:val="center"/>
              <w:ind w:left="419"/>
              <w:spacing w:after="0" w:line="175" w:lineRule="exact"/>
              <w:rPr>
                <w:sz w:val="20"/>
                <w:szCs w:val="20"/>
                <w:color w:val="auto"/>
              </w:rPr>
            </w:pPr>
            <w:r>
              <w:rPr>
                <w:rFonts w:ascii="Arial" w:cs="Arial" w:eastAsia="Arial" w:hAnsi="Arial"/>
                <w:sz w:val="16"/>
                <w:szCs w:val="16"/>
                <w:color w:val="0000FF"/>
                <w:w w:val="89"/>
              </w:rPr>
              <w:t>31.</w:t>
            </w:r>
            <w:r>
              <w:rPr>
                <w:rFonts w:ascii="Arial" w:cs="Arial" w:eastAsia="Arial" w:hAnsi="Arial"/>
                <w:sz w:val="16"/>
                <w:szCs w:val="16"/>
                <w:u w:val="single" w:color="auto"/>
                <w:color w:val="0000FF"/>
                <w:w w:val="89"/>
              </w:rPr>
              <w:t>2</w:t>
            </w:r>
          </w:p>
        </w:tc>
        <w:tc>
          <w:tcPr>
            <w:tcW w:w="480" w:type="dxa"/>
            <w:vAlign w:val="bottom"/>
            <w:shd w:val="clear" w:color="auto" w:fill="CCEEFF"/>
          </w:tcPr>
          <w:p>
            <w:pPr>
              <w:spacing w:after="0"/>
              <w:rPr>
                <w:sz w:val="15"/>
                <w:szCs w:val="15"/>
                <w:color w:val="auto"/>
              </w:rPr>
            </w:pPr>
          </w:p>
        </w:tc>
        <w:tc>
          <w:tcPr>
            <w:tcW w:w="9980" w:type="dxa"/>
            <w:vAlign w:val="bottom"/>
            <w:gridSpan w:val="7"/>
            <w:shd w:val="clear" w:color="auto" w:fill="CCEEFF"/>
          </w:tcPr>
          <w:p>
            <w:pPr>
              <w:ind w:left="20"/>
              <w:spacing w:after="0" w:line="175" w:lineRule="exact"/>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color w:val="0000FF"/>
              </w:rPr>
              <w:t>Certification of Chief Financial Officer pursuant to Section 302 of the Sarbanes-Oxley Act of 2002</w:t>
            </w:r>
          </w:p>
        </w:tc>
        <w:tc>
          <w:tcPr>
            <w:tcW w:w="0" w:type="dxa"/>
            <w:vAlign w:val="bottom"/>
          </w:tcPr>
          <w:p>
            <w:pPr>
              <w:spacing w:after="0"/>
              <w:rPr>
                <w:sz w:val="1"/>
                <w:szCs w:val="1"/>
                <w:color w:val="auto"/>
              </w:rPr>
            </w:pPr>
          </w:p>
        </w:tc>
      </w:tr>
      <w:tr>
        <w:trPr>
          <w:trHeight w:val="21"/>
        </w:trPr>
        <w:tc>
          <w:tcPr>
            <w:tcW w:w="5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00" w:type="dxa"/>
            <w:vAlign w:val="bottom"/>
          </w:tcPr>
          <w:p>
            <w:pPr>
              <w:spacing w:after="0"/>
              <w:rPr>
                <w:sz w:val="15"/>
                <w:szCs w:val="15"/>
                <w:color w:val="auto"/>
              </w:rPr>
            </w:pPr>
          </w:p>
        </w:tc>
        <w:tc>
          <w:tcPr>
            <w:tcW w:w="280" w:type="dxa"/>
            <w:vAlign w:val="bottom"/>
            <w:gridSpan w:val="3"/>
          </w:tcPr>
          <w:p>
            <w:pPr>
              <w:jc w:val="center"/>
              <w:spacing w:after="0" w:line="175" w:lineRule="exact"/>
              <w:rPr>
                <w:sz w:val="20"/>
                <w:szCs w:val="20"/>
                <w:color w:val="auto"/>
              </w:rPr>
            </w:pPr>
            <w:r>
              <w:rPr>
                <w:rFonts w:ascii="Arial" w:cs="Arial" w:eastAsia="Arial" w:hAnsi="Arial"/>
                <w:sz w:val="16"/>
                <w:szCs w:val="16"/>
                <w:color w:val="0000FF"/>
                <w:w w:val="89"/>
              </w:rPr>
              <w:t>32</w:t>
            </w:r>
          </w:p>
        </w:tc>
        <w:tc>
          <w:tcPr>
            <w:tcW w:w="480" w:type="dxa"/>
            <w:vAlign w:val="bottom"/>
          </w:tcPr>
          <w:p>
            <w:pPr>
              <w:spacing w:after="0"/>
              <w:rPr>
                <w:sz w:val="15"/>
                <w:szCs w:val="15"/>
                <w:color w:val="auto"/>
              </w:rPr>
            </w:pPr>
          </w:p>
        </w:tc>
        <w:tc>
          <w:tcPr>
            <w:tcW w:w="9980" w:type="dxa"/>
            <w:vAlign w:val="bottom"/>
            <w:gridSpan w:val="7"/>
          </w:tcPr>
          <w:p>
            <w:pPr>
              <w:ind w:left="20"/>
              <w:spacing w:after="0" w:line="175" w:lineRule="exact"/>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color w:val="0000FF"/>
              </w:rPr>
              <w:t>Certification pursuant to 18 U.S.C. Section 1350, as Adopted pursuant to Section 906 of the Sarbanes-Oxley Act of 2002</w:t>
            </w:r>
          </w:p>
        </w:tc>
        <w:tc>
          <w:tcPr>
            <w:tcW w:w="0" w:type="dxa"/>
            <w:vAlign w:val="bottom"/>
          </w:tcPr>
          <w:p>
            <w:pPr>
              <w:spacing w:after="0"/>
              <w:rPr>
                <w:sz w:val="1"/>
                <w:szCs w:val="1"/>
                <w:color w:val="auto"/>
              </w:rPr>
            </w:pPr>
          </w:p>
        </w:tc>
      </w:tr>
      <w:tr>
        <w:trPr>
          <w:trHeight w:val="21"/>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380" w:type="dxa"/>
            <w:vAlign w:val="bottom"/>
            <w:tcBorders>
              <w:top w:val="single" w:sz="8" w:color="0000FF"/>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260" w:type="dxa"/>
            <w:vAlign w:val="bottom"/>
            <w:gridSpan w:val="5"/>
            <w:shd w:val="clear" w:color="auto" w:fill="CCEEFF"/>
          </w:tcPr>
          <w:p>
            <w:pPr>
              <w:jc w:val="center"/>
              <w:spacing w:after="0" w:line="166" w:lineRule="exact"/>
              <w:rPr>
                <w:sz w:val="20"/>
                <w:szCs w:val="20"/>
                <w:color w:val="auto"/>
              </w:rPr>
            </w:pPr>
            <w:r>
              <w:rPr>
                <w:rFonts w:ascii="Arial" w:cs="Arial" w:eastAsia="Arial" w:hAnsi="Arial"/>
                <w:sz w:val="16"/>
                <w:szCs w:val="16"/>
                <w:color w:val="auto"/>
                <w:w w:val="93"/>
              </w:rPr>
              <w:t>101.INS</w:t>
            </w:r>
          </w:p>
        </w:tc>
        <w:tc>
          <w:tcPr>
            <w:tcW w:w="9980" w:type="dxa"/>
            <w:vAlign w:val="bottom"/>
            <w:gridSpan w:val="7"/>
            <w:shd w:val="clear" w:color="auto" w:fill="CCEEFF"/>
          </w:tcPr>
          <w:p>
            <w:pPr>
              <w:ind w:left="20"/>
              <w:spacing w:after="0" w:line="166" w:lineRule="exact"/>
              <w:rPr>
                <w:sz w:val="20"/>
                <w:szCs w:val="20"/>
                <w:color w:val="auto"/>
              </w:rPr>
            </w:pPr>
            <w:r>
              <w:rPr>
                <w:rFonts w:ascii="Arial" w:cs="Arial" w:eastAsia="Arial" w:hAnsi="Arial"/>
                <w:sz w:val="16"/>
                <w:szCs w:val="16"/>
                <w:color w:val="auto"/>
                <w:w w:val="96"/>
              </w:rPr>
              <w:t>*   XBRL Instance Document - the instance document does not appear in the Interactive Data File because its XBRL tags are embedded within the</w:t>
            </w:r>
          </w:p>
        </w:tc>
        <w:tc>
          <w:tcPr>
            <w:tcW w:w="0" w:type="dxa"/>
            <w:vAlign w:val="bottom"/>
          </w:tcPr>
          <w:p>
            <w:pPr>
              <w:spacing w:after="0"/>
              <w:rPr>
                <w:sz w:val="1"/>
                <w:szCs w:val="1"/>
                <w:color w:val="auto"/>
              </w:rPr>
            </w:pPr>
          </w:p>
        </w:tc>
      </w:tr>
      <w:tr>
        <w:trPr>
          <w:trHeight w:val="212"/>
        </w:trPr>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60" w:type="dxa"/>
            <w:vAlign w:val="bottom"/>
            <w:gridSpan w:val="6"/>
            <w:shd w:val="clear" w:color="auto" w:fill="CCEEFF"/>
          </w:tcPr>
          <w:p>
            <w:pPr>
              <w:ind w:left="20"/>
              <w:spacing w:after="0"/>
              <w:rPr>
                <w:sz w:val="20"/>
                <w:szCs w:val="20"/>
                <w:color w:val="auto"/>
              </w:rPr>
            </w:pPr>
            <w:r>
              <w:rPr>
                <w:rFonts w:ascii="Arial" w:cs="Arial" w:eastAsia="Arial" w:hAnsi="Arial"/>
                <w:sz w:val="16"/>
                <w:szCs w:val="16"/>
                <w:color w:val="auto"/>
              </w:rPr>
              <w:t>Inline XBRL document</w:t>
            </w:r>
          </w:p>
        </w:tc>
        <w:tc>
          <w:tcPr>
            <w:tcW w:w="0" w:type="dxa"/>
            <w:vAlign w:val="bottom"/>
          </w:tcPr>
          <w:p>
            <w:pPr>
              <w:spacing w:after="0"/>
              <w:rPr>
                <w:sz w:val="1"/>
                <w:szCs w:val="1"/>
                <w:color w:val="auto"/>
              </w:rPr>
            </w:pPr>
          </w:p>
        </w:tc>
      </w:tr>
      <w:tr>
        <w:trPr>
          <w:trHeight w:val="213"/>
        </w:trPr>
        <w:tc>
          <w:tcPr>
            <w:tcW w:w="1260" w:type="dxa"/>
            <w:vAlign w:val="bottom"/>
            <w:gridSpan w:val="5"/>
          </w:tcPr>
          <w:p>
            <w:pPr>
              <w:jc w:val="center"/>
              <w:spacing w:after="0"/>
              <w:rPr>
                <w:sz w:val="20"/>
                <w:szCs w:val="20"/>
                <w:color w:val="auto"/>
              </w:rPr>
            </w:pPr>
            <w:r>
              <w:rPr>
                <w:rFonts w:ascii="Arial" w:cs="Arial" w:eastAsia="Arial" w:hAnsi="Arial"/>
                <w:sz w:val="16"/>
                <w:szCs w:val="16"/>
                <w:color w:val="auto"/>
                <w:w w:val="92"/>
              </w:rPr>
              <w:t>101.SCH</w:t>
            </w:r>
          </w:p>
        </w:tc>
        <w:tc>
          <w:tcPr>
            <w:tcW w:w="9980" w:type="dxa"/>
            <w:vAlign w:val="bottom"/>
            <w:gridSpan w:val="7"/>
          </w:tcPr>
          <w:p>
            <w:pPr>
              <w:ind w:left="20"/>
              <w:spacing w:after="0"/>
              <w:rPr>
                <w:sz w:val="20"/>
                <w:szCs w:val="20"/>
                <w:color w:val="auto"/>
              </w:rPr>
            </w:pPr>
            <w:r>
              <w:rPr>
                <w:rFonts w:ascii="Arial" w:cs="Arial" w:eastAsia="Arial" w:hAnsi="Arial"/>
                <w:sz w:val="16"/>
                <w:szCs w:val="16"/>
                <w:color w:val="auto"/>
              </w:rPr>
              <w:t>*   XBRL Taxonomy Extension Schema Document</w:t>
            </w:r>
          </w:p>
        </w:tc>
        <w:tc>
          <w:tcPr>
            <w:tcW w:w="0" w:type="dxa"/>
            <w:vAlign w:val="bottom"/>
          </w:tcPr>
          <w:p>
            <w:pPr>
              <w:spacing w:after="0"/>
              <w:rPr>
                <w:sz w:val="1"/>
                <w:szCs w:val="1"/>
                <w:color w:val="auto"/>
              </w:rPr>
            </w:pPr>
          </w:p>
        </w:tc>
      </w:tr>
      <w:tr>
        <w:trPr>
          <w:trHeight w:val="219"/>
        </w:trPr>
        <w:tc>
          <w:tcPr>
            <w:tcW w:w="1260" w:type="dxa"/>
            <w:vAlign w:val="bottom"/>
            <w:gridSpan w:val="5"/>
            <w:shd w:val="clear" w:color="auto" w:fill="CCEEFF"/>
          </w:tcPr>
          <w:p>
            <w:pPr>
              <w:jc w:val="center"/>
              <w:spacing w:after="0"/>
              <w:rPr>
                <w:sz w:val="20"/>
                <w:szCs w:val="20"/>
                <w:color w:val="auto"/>
              </w:rPr>
            </w:pPr>
            <w:r>
              <w:rPr>
                <w:rFonts w:ascii="Arial" w:cs="Arial" w:eastAsia="Arial" w:hAnsi="Arial"/>
                <w:sz w:val="16"/>
                <w:szCs w:val="16"/>
                <w:color w:val="auto"/>
                <w:w w:val="96"/>
              </w:rPr>
              <w:t>101.CAL</w:t>
            </w:r>
          </w:p>
        </w:tc>
        <w:tc>
          <w:tcPr>
            <w:tcW w:w="9980" w:type="dxa"/>
            <w:vAlign w:val="bottom"/>
            <w:gridSpan w:val="7"/>
            <w:shd w:val="clear" w:color="auto" w:fill="CCEEFF"/>
          </w:tcPr>
          <w:p>
            <w:pPr>
              <w:ind w:left="20"/>
              <w:spacing w:after="0"/>
              <w:rPr>
                <w:sz w:val="20"/>
                <w:szCs w:val="20"/>
                <w:color w:val="auto"/>
              </w:rPr>
            </w:pPr>
            <w:r>
              <w:rPr>
                <w:rFonts w:ascii="Arial" w:cs="Arial" w:eastAsia="Arial" w:hAnsi="Arial"/>
                <w:sz w:val="16"/>
                <w:szCs w:val="16"/>
                <w:color w:val="auto"/>
              </w:rPr>
              <w:t>*   XBRL Taxonomy Extension Calculation Linkbase Document</w:t>
            </w:r>
          </w:p>
        </w:tc>
        <w:tc>
          <w:tcPr>
            <w:tcW w:w="0" w:type="dxa"/>
            <w:vAlign w:val="bottom"/>
          </w:tcPr>
          <w:p>
            <w:pPr>
              <w:spacing w:after="0"/>
              <w:rPr>
                <w:sz w:val="1"/>
                <w:szCs w:val="1"/>
                <w:color w:val="auto"/>
              </w:rPr>
            </w:pPr>
          </w:p>
        </w:tc>
      </w:tr>
      <w:tr>
        <w:trPr>
          <w:trHeight w:val="213"/>
        </w:trPr>
        <w:tc>
          <w:tcPr>
            <w:tcW w:w="1260" w:type="dxa"/>
            <w:vAlign w:val="bottom"/>
            <w:gridSpan w:val="5"/>
          </w:tcPr>
          <w:p>
            <w:pPr>
              <w:jc w:val="center"/>
              <w:spacing w:after="0"/>
              <w:rPr>
                <w:sz w:val="20"/>
                <w:szCs w:val="20"/>
                <w:color w:val="auto"/>
              </w:rPr>
            </w:pPr>
            <w:r>
              <w:rPr>
                <w:rFonts w:ascii="Arial" w:cs="Arial" w:eastAsia="Arial" w:hAnsi="Arial"/>
                <w:sz w:val="16"/>
                <w:szCs w:val="16"/>
                <w:color w:val="auto"/>
                <w:w w:val="94"/>
              </w:rPr>
              <w:t>101.DEF</w:t>
            </w:r>
          </w:p>
        </w:tc>
        <w:tc>
          <w:tcPr>
            <w:tcW w:w="9980" w:type="dxa"/>
            <w:vAlign w:val="bottom"/>
            <w:gridSpan w:val="7"/>
          </w:tcPr>
          <w:p>
            <w:pPr>
              <w:ind w:left="20"/>
              <w:spacing w:after="0"/>
              <w:rPr>
                <w:sz w:val="20"/>
                <w:szCs w:val="20"/>
                <w:color w:val="auto"/>
              </w:rPr>
            </w:pPr>
            <w:r>
              <w:rPr>
                <w:rFonts w:ascii="Arial" w:cs="Arial" w:eastAsia="Arial" w:hAnsi="Arial"/>
                <w:sz w:val="16"/>
                <w:szCs w:val="16"/>
                <w:color w:val="auto"/>
              </w:rPr>
              <w:t>*   XBRL Taxonomy Extension Definition Linkbase Document</w:t>
            </w:r>
          </w:p>
        </w:tc>
        <w:tc>
          <w:tcPr>
            <w:tcW w:w="0" w:type="dxa"/>
            <w:vAlign w:val="bottom"/>
          </w:tcPr>
          <w:p>
            <w:pPr>
              <w:spacing w:after="0"/>
              <w:rPr>
                <w:sz w:val="1"/>
                <w:szCs w:val="1"/>
                <w:color w:val="auto"/>
              </w:rPr>
            </w:pPr>
          </w:p>
        </w:tc>
      </w:tr>
      <w:tr>
        <w:trPr>
          <w:trHeight w:val="219"/>
        </w:trPr>
        <w:tc>
          <w:tcPr>
            <w:tcW w:w="1260" w:type="dxa"/>
            <w:vAlign w:val="bottom"/>
            <w:gridSpan w:val="5"/>
            <w:shd w:val="clear" w:color="auto" w:fill="CCEEFF"/>
          </w:tcPr>
          <w:p>
            <w:pPr>
              <w:jc w:val="center"/>
              <w:spacing w:after="0"/>
              <w:rPr>
                <w:sz w:val="20"/>
                <w:szCs w:val="20"/>
                <w:color w:val="auto"/>
              </w:rPr>
            </w:pPr>
            <w:r>
              <w:rPr>
                <w:rFonts w:ascii="Arial" w:cs="Arial" w:eastAsia="Arial" w:hAnsi="Arial"/>
                <w:sz w:val="16"/>
                <w:szCs w:val="16"/>
                <w:color w:val="auto"/>
                <w:w w:val="97"/>
              </w:rPr>
              <w:t>101.LAB</w:t>
            </w:r>
          </w:p>
        </w:tc>
        <w:tc>
          <w:tcPr>
            <w:tcW w:w="9980" w:type="dxa"/>
            <w:vAlign w:val="bottom"/>
            <w:gridSpan w:val="7"/>
            <w:shd w:val="clear" w:color="auto" w:fill="CCEEFF"/>
          </w:tcPr>
          <w:p>
            <w:pPr>
              <w:ind w:left="20"/>
              <w:spacing w:after="0"/>
              <w:rPr>
                <w:sz w:val="20"/>
                <w:szCs w:val="20"/>
                <w:color w:val="auto"/>
              </w:rPr>
            </w:pPr>
            <w:r>
              <w:rPr>
                <w:rFonts w:ascii="Arial" w:cs="Arial" w:eastAsia="Arial" w:hAnsi="Arial"/>
                <w:sz w:val="16"/>
                <w:szCs w:val="16"/>
                <w:color w:val="auto"/>
              </w:rPr>
              <w:t>*   XBRL Taxonomy Extension Label Linkbase Document</w:t>
            </w:r>
          </w:p>
        </w:tc>
        <w:tc>
          <w:tcPr>
            <w:tcW w:w="0" w:type="dxa"/>
            <w:vAlign w:val="bottom"/>
          </w:tcPr>
          <w:p>
            <w:pPr>
              <w:spacing w:after="0"/>
              <w:rPr>
                <w:sz w:val="1"/>
                <w:szCs w:val="1"/>
                <w:color w:val="auto"/>
              </w:rPr>
            </w:pPr>
          </w:p>
        </w:tc>
      </w:tr>
      <w:tr>
        <w:trPr>
          <w:trHeight w:val="213"/>
        </w:trPr>
        <w:tc>
          <w:tcPr>
            <w:tcW w:w="1260" w:type="dxa"/>
            <w:vAlign w:val="bottom"/>
            <w:gridSpan w:val="5"/>
          </w:tcPr>
          <w:p>
            <w:pPr>
              <w:jc w:val="center"/>
              <w:spacing w:after="0"/>
              <w:rPr>
                <w:sz w:val="20"/>
                <w:szCs w:val="20"/>
                <w:color w:val="auto"/>
              </w:rPr>
            </w:pPr>
            <w:r>
              <w:rPr>
                <w:rFonts w:ascii="Arial" w:cs="Arial" w:eastAsia="Arial" w:hAnsi="Arial"/>
                <w:sz w:val="16"/>
                <w:szCs w:val="16"/>
                <w:color w:val="auto"/>
                <w:w w:val="90"/>
              </w:rPr>
              <w:t>101.PRE</w:t>
            </w:r>
          </w:p>
        </w:tc>
        <w:tc>
          <w:tcPr>
            <w:tcW w:w="9980" w:type="dxa"/>
            <w:vAlign w:val="bottom"/>
            <w:gridSpan w:val="7"/>
          </w:tcPr>
          <w:p>
            <w:pPr>
              <w:ind w:left="20"/>
              <w:spacing w:after="0"/>
              <w:rPr>
                <w:sz w:val="20"/>
                <w:szCs w:val="20"/>
                <w:color w:val="auto"/>
              </w:rPr>
            </w:pPr>
            <w:r>
              <w:rPr>
                <w:rFonts w:ascii="Arial" w:cs="Arial" w:eastAsia="Arial" w:hAnsi="Arial"/>
                <w:sz w:val="16"/>
                <w:szCs w:val="16"/>
                <w:color w:val="auto"/>
              </w:rPr>
              <w:t>*   XBRL Taxonomy Extension Presentation Linkbase Document</w:t>
            </w:r>
          </w:p>
        </w:tc>
        <w:tc>
          <w:tcPr>
            <w:tcW w:w="0" w:type="dxa"/>
            <w:vAlign w:val="bottom"/>
          </w:tcPr>
          <w:p>
            <w:pPr>
              <w:spacing w:after="0"/>
              <w:rPr>
                <w:sz w:val="1"/>
                <w:szCs w:val="1"/>
                <w:color w:val="auto"/>
              </w:rPr>
            </w:pPr>
          </w:p>
        </w:tc>
      </w:tr>
      <w:tr>
        <w:trPr>
          <w:trHeight w:val="216"/>
        </w:trPr>
        <w:tc>
          <w:tcPr>
            <w:tcW w:w="780" w:type="dxa"/>
            <w:vAlign w:val="bottom"/>
            <w:tcBorders>
              <w:bottom w:val="single" w:sz="8" w:color="auto"/>
            </w:tcBorders>
            <w:gridSpan w:val="4"/>
            <w:shd w:val="clear" w:color="auto" w:fill="CCEEFF"/>
          </w:tcPr>
          <w:p>
            <w:pPr>
              <w:jc w:val="center"/>
              <w:ind w:left="419"/>
              <w:spacing w:after="0"/>
              <w:rPr>
                <w:sz w:val="20"/>
                <w:szCs w:val="20"/>
                <w:color w:val="auto"/>
              </w:rPr>
            </w:pPr>
            <w:r>
              <w:rPr>
                <w:rFonts w:ascii="Arial" w:cs="Arial" w:eastAsia="Arial" w:hAnsi="Arial"/>
                <w:sz w:val="16"/>
                <w:szCs w:val="16"/>
                <w:color w:val="auto"/>
                <w:w w:val="89"/>
              </w:rPr>
              <w:t>104</w:t>
            </w:r>
          </w:p>
        </w:tc>
        <w:tc>
          <w:tcPr>
            <w:tcW w:w="480" w:type="dxa"/>
            <w:vAlign w:val="bottom"/>
            <w:tcBorders>
              <w:bottom w:val="single" w:sz="8" w:color="auto"/>
            </w:tcBorders>
            <w:shd w:val="clear" w:color="auto" w:fill="CCEEFF"/>
          </w:tcPr>
          <w:p>
            <w:pPr>
              <w:spacing w:after="0"/>
              <w:rPr>
                <w:sz w:val="18"/>
                <w:szCs w:val="18"/>
                <w:color w:val="auto"/>
              </w:rPr>
            </w:pPr>
          </w:p>
        </w:tc>
        <w:tc>
          <w:tcPr>
            <w:tcW w:w="9980" w:type="dxa"/>
            <w:vAlign w:val="bottom"/>
            <w:tcBorders>
              <w:bottom w:val="single" w:sz="8" w:color="auto"/>
            </w:tcBorders>
            <w:gridSpan w:val="7"/>
            <w:shd w:val="clear" w:color="auto" w:fill="CCEEFF"/>
          </w:tcPr>
          <w:p>
            <w:pPr>
              <w:ind w:left="20"/>
              <w:spacing w:after="0"/>
              <w:rPr>
                <w:sz w:val="20"/>
                <w:szCs w:val="20"/>
                <w:color w:val="auto"/>
              </w:rPr>
            </w:pPr>
            <w:r>
              <w:rPr>
                <w:rFonts w:ascii="Arial" w:cs="Arial" w:eastAsia="Arial" w:hAnsi="Arial"/>
                <w:sz w:val="16"/>
                <w:szCs w:val="16"/>
                <w:color w:val="auto"/>
              </w:rPr>
              <w:t>*   Cover Page Interactive Data File - the cover page iXBRL tags are embedded within the Inline XBRL document contained in Exhibit 101</w:t>
            </w:r>
          </w:p>
        </w:tc>
        <w:tc>
          <w:tcPr>
            <w:tcW w:w="0" w:type="dxa"/>
            <w:vAlign w:val="bottom"/>
          </w:tcPr>
          <w:p>
            <w:pPr>
              <w:spacing w:after="0"/>
              <w:rPr>
                <w:sz w:val="1"/>
                <w:szCs w:val="1"/>
                <w:color w:val="auto"/>
              </w:rPr>
            </w:pPr>
          </w:p>
        </w:tc>
      </w:tr>
    </w:tbl>
    <w:p>
      <w:pPr>
        <w:spacing w:after="0" w:line="287" w:lineRule="exact"/>
        <w:rPr>
          <w:sz w:val="20"/>
          <w:szCs w:val="20"/>
          <w:color w:val="auto"/>
        </w:rPr>
      </w:pPr>
    </w:p>
    <w:p>
      <w:pPr>
        <w:ind w:left="1280" w:hanging="685"/>
        <w:spacing w:after="0"/>
        <w:tabs>
          <w:tab w:leader="none" w:pos="12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Filed herewith</w:t>
      </w:r>
    </w:p>
    <w:p>
      <w:pPr>
        <w:spacing w:after="0" w:line="32" w:lineRule="exact"/>
        <w:rPr>
          <w:sz w:val="20"/>
          <w:szCs w:val="20"/>
          <w:color w:val="auto"/>
        </w:rPr>
      </w:pPr>
    </w:p>
    <w:p>
      <w:pPr>
        <w:ind w:left="1280" w:hanging="682"/>
        <w:spacing w:after="0"/>
        <w:tabs>
          <w:tab w:leader="none" w:pos="12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u w:val="single" w:color="auto"/>
          <w:color w:val="auto"/>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TELOS CORPORATION</w:t>
      </w:r>
    </w:p>
    <w:p>
      <w:pPr>
        <w:sectPr>
          <w:pgSz w:w="11900" w:h="16838" w:orient="portrait"/>
          <w:cols w:equalWidth="0" w:num="1">
            <w:col w:w="11200"/>
          </w:cols>
          <w:pgMar w:left="320" w:top="125" w:right="37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 John B.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35153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John B. Wood</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 (Principal Executive Officer)</w:t>
      </w:r>
    </w:p>
    <w:p>
      <w:pPr>
        <w:spacing w:after="0" w:line="200" w:lineRule="exact"/>
        <w:rPr>
          <w:sz w:val="20"/>
          <w:szCs w:val="20"/>
          <w:color w:val="auto"/>
        </w:rPr>
      </w:pPr>
    </w:p>
    <w:p>
      <w:pPr>
        <w:spacing w:after="0" w:line="33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 Mark Bendza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35153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Mark Bendza</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 (Principal Financial Officer)</w:t>
      </w:r>
    </w:p>
    <w:p>
      <w:pPr>
        <w:spacing w:after="0" w:line="200" w:lineRule="exact"/>
        <w:rPr>
          <w:sz w:val="20"/>
          <w:szCs w:val="20"/>
          <w:color w:val="auto"/>
        </w:rPr>
      </w:pPr>
    </w:p>
    <w:p>
      <w:pPr>
        <w:spacing w:after="0" w:line="3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 Victoria Harding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35153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Victoria Harding</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7"/>
          <w:szCs w:val="17"/>
          <w:color w:val="auto"/>
        </w:rPr>
        <w:t>Controller and Chief Accounting Officer (Principal Accounting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color w:val="auto"/>
        </w:rPr>
        <w:t>May 10,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29210</wp:posOffset>
            </wp:positionV>
            <wp:extent cx="37287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7287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May 10,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29210</wp:posOffset>
            </wp:positionV>
            <wp:extent cx="37287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7287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May 10,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29210</wp:posOffset>
            </wp:positionV>
            <wp:extent cx="37287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728720" cy="8255"/>
                    </a:xfrm>
                    <a:prstGeom prst="rect">
                      <a:avLst/>
                    </a:prstGeom>
                    <a:noFill/>
                  </pic:spPr>
                </pic:pic>
              </a:graphicData>
            </a:graphic>
          </wp:anchor>
        </w:drawing>
      </w:r>
    </w:p>
    <w:p>
      <w:pPr>
        <w:spacing w:after="0" w:line="684" w:lineRule="exact"/>
        <w:rPr>
          <w:sz w:val="20"/>
          <w:szCs w:val="20"/>
          <w:color w:val="auto"/>
        </w:rPr>
      </w:pPr>
    </w:p>
    <w:p>
      <w:pPr>
        <w:sectPr>
          <w:pgSz w:w="11900" w:h="16838" w:orient="portrait"/>
          <w:cols w:equalWidth="0" w:num="2">
            <w:col w:w="5220" w:space="160"/>
            <w:col w:w="5820"/>
          </w:cols>
          <w:pgMar w:left="320" w:top="125" w:right="379" w:bottom="1440" w:gutter="0" w:footer="0" w:header="0"/>
          <w:type w:val="continuous"/>
        </w:sectPr>
      </w:pPr>
    </w:p>
    <w:p>
      <w:pPr>
        <w:spacing w:after="0" w:line="200" w:lineRule="exact"/>
        <w:rPr>
          <w:sz w:val="20"/>
          <w:szCs w:val="20"/>
          <w:color w:val="auto"/>
        </w:rPr>
      </w:pPr>
    </w:p>
    <w:p>
      <w:pPr>
        <w:spacing w:after="0" w:line="38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200"/>
          </w:cols>
          <w:pgMar w:left="320" w:top="125" w:right="379" w:bottom="1440" w:gutter="0" w:footer="0" w:header="0"/>
          <w:type w:val="continuous"/>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10.1</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 TO</w:t>
      </w:r>
    </w:p>
    <w:p>
      <w:pPr>
        <w:jc w:val="center"/>
        <w:spacing w:after="0"/>
        <w:rPr>
          <w:sz w:val="20"/>
          <w:szCs w:val="20"/>
          <w:color w:val="auto"/>
        </w:rPr>
      </w:pPr>
      <w:r>
        <w:rPr>
          <w:rFonts w:ascii="Arial" w:cs="Arial" w:eastAsia="Arial" w:hAnsi="Arial"/>
          <w:sz w:val="18"/>
          <w:szCs w:val="18"/>
          <w:b w:val="1"/>
          <w:bCs w:val="1"/>
          <w:color w:val="auto"/>
        </w:rPr>
        <w:t>CREDIT AGREEMENT</w:t>
      </w:r>
    </w:p>
    <w:p>
      <w:pPr>
        <w:spacing w:after="0" w:line="8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FIRST AMENDMENT</w:t>
      </w:r>
      <w:r>
        <w:rPr>
          <w:rFonts w:ascii="Arial" w:cs="Arial" w:eastAsia="Arial" w:hAnsi="Arial"/>
          <w:sz w:val="18"/>
          <w:szCs w:val="18"/>
          <w:color w:val="auto"/>
        </w:rPr>
        <w:t xml:space="preserve"> to Credit Agreement (this “</w:t>
      </w:r>
      <w:r>
        <w:rPr>
          <w:rFonts w:ascii="Arial" w:cs="Arial" w:eastAsia="Arial" w:hAnsi="Arial"/>
          <w:sz w:val="18"/>
          <w:szCs w:val="18"/>
          <w:b w:val="1"/>
          <w:bCs w:val="1"/>
          <w:color w:val="auto"/>
        </w:rPr>
        <w:t>Amendment</w:t>
      </w:r>
      <w:r>
        <w:rPr>
          <w:rFonts w:ascii="Arial" w:cs="Arial" w:eastAsia="Arial" w:hAnsi="Arial"/>
          <w:sz w:val="18"/>
          <w:szCs w:val="18"/>
          <w:color w:val="auto"/>
        </w:rPr>
        <w:t xml:space="preserve">”) is entered into as of April 12, 2023, by and among </w:t>
      </w:r>
      <w:r>
        <w:rPr>
          <w:rFonts w:ascii="Arial" w:cs="Arial" w:eastAsia="Arial" w:hAnsi="Arial"/>
          <w:sz w:val="18"/>
          <w:szCs w:val="18"/>
          <w:b w:val="1"/>
          <w:bCs w:val="1"/>
          <w:color w:val="auto"/>
        </w:rPr>
        <w:t>JPMORGAN</w:t>
      </w:r>
      <w:r>
        <w:rPr>
          <w:rFonts w:ascii="Arial" w:cs="Arial" w:eastAsia="Arial" w:hAnsi="Arial"/>
          <w:sz w:val="18"/>
          <w:szCs w:val="18"/>
          <w:color w:val="auto"/>
        </w:rPr>
        <w:t xml:space="preserve"> </w:t>
      </w:r>
      <w:r>
        <w:rPr>
          <w:rFonts w:ascii="Arial" w:cs="Arial" w:eastAsia="Arial" w:hAnsi="Arial"/>
          <w:sz w:val="18"/>
          <w:szCs w:val="18"/>
          <w:b w:val="1"/>
          <w:bCs w:val="1"/>
          <w:color w:val="auto"/>
        </w:rPr>
        <w:t>CHASE BANK, N.A.</w:t>
      </w:r>
      <w:r>
        <w:rPr>
          <w:rFonts w:ascii="Arial" w:cs="Arial" w:eastAsia="Arial" w:hAnsi="Arial"/>
          <w:sz w:val="18"/>
          <w:szCs w:val="18"/>
          <w:color w:val="auto"/>
        </w:rPr>
        <w:t>, (“</w:t>
      </w:r>
      <w:r>
        <w:rPr>
          <w:rFonts w:ascii="Arial" w:cs="Arial" w:eastAsia="Arial" w:hAnsi="Arial"/>
          <w:sz w:val="18"/>
          <w:szCs w:val="18"/>
          <w:b w:val="1"/>
          <w:bCs w:val="1"/>
          <w:color w:val="auto"/>
        </w:rPr>
        <w:t>JPMorgan</w:t>
      </w:r>
      <w:r>
        <w:rPr>
          <w:rFonts w:ascii="Arial" w:cs="Arial" w:eastAsia="Arial" w:hAnsi="Arial"/>
          <w:sz w:val="18"/>
          <w:szCs w:val="18"/>
          <w:color w:val="auto"/>
        </w:rPr>
        <w:t>”) as Administrative Agent (in such capacity, “</w:t>
      </w:r>
      <w:r>
        <w:rPr>
          <w:rFonts w:ascii="Arial" w:cs="Arial" w:eastAsia="Arial" w:hAnsi="Arial"/>
          <w:sz w:val="18"/>
          <w:szCs w:val="18"/>
          <w:b w:val="1"/>
          <w:bCs w:val="1"/>
          <w:color w:val="auto"/>
        </w:rPr>
        <w:t>Administrative Agent</w:t>
      </w:r>
      <w:r>
        <w:rPr>
          <w:rFonts w:ascii="Arial" w:cs="Arial" w:eastAsia="Arial" w:hAnsi="Arial"/>
          <w:sz w:val="18"/>
          <w:szCs w:val="18"/>
          <w:color w:val="auto"/>
        </w:rPr>
        <w:t>”), the Lenders party hereto (each a “</w:t>
      </w:r>
      <w:r>
        <w:rPr>
          <w:rFonts w:ascii="Arial" w:cs="Arial" w:eastAsia="Arial" w:hAnsi="Arial"/>
          <w:sz w:val="18"/>
          <w:szCs w:val="18"/>
          <w:b w:val="1"/>
          <w:bCs w:val="1"/>
          <w:color w:val="auto"/>
        </w:rPr>
        <w:t>Lender</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and collectively, the “</w:t>
      </w:r>
      <w:r>
        <w:rPr>
          <w:rFonts w:ascii="Arial" w:cs="Arial" w:eastAsia="Arial" w:hAnsi="Arial"/>
          <w:sz w:val="18"/>
          <w:szCs w:val="18"/>
          <w:b w:val="1"/>
          <w:bCs w:val="1"/>
          <w:color w:val="auto"/>
        </w:rPr>
        <w:t>Lenders</w:t>
      </w:r>
      <w:r>
        <w:rPr>
          <w:rFonts w:ascii="Arial" w:cs="Arial" w:eastAsia="Arial" w:hAnsi="Arial"/>
          <w:sz w:val="18"/>
          <w:szCs w:val="18"/>
          <w:color w:val="auto"/>
        </w:rPr>
        <w:t xml:space="preserve">”) including JPMorgan in its capacity as a Lender, the Loan Parties party hereto and </w:t>
      </w:r>
      <w:r>
        <w:rPr>
          <w:rFonts w:ascii="Arial" w:cs="Arial" w:eastAsia="Arial" w:hAnsi="Arial"/>
          <w:sz w:val="18"/>
          <w:szCs w:val="18"/>
          <w:b w:val="1"/>
          <w:bCs w:val="1"/>
          <w:color w:val="auto"/>
        </w:rPr>
        <w:t>Telos Corporation</w:t>
      </w:r>
      <w:r>
        <w:rPr>
          <w:rFonts w:ascii="Arial" w:cs="Arial" w:eastAsia="Arial" w:hAnsi="Arial"/>
          <w:sz w:val="18"/>
          <w:szCs w:val="18"/>
          <w:color w:val="auto"/>
        </w:rPr>
        <w:t>, a Maryland corporation (“</w:t>
      </w:r>
      <w:r>
        <w:rPr>
          <w:rFonts w:ascii="Arial" w:cs="Arial" w:eastAsia="Arial" w:hAnsi="Arial"/>
          <w:sz w:val="18"/>
          <w:szCs w:val="18"/>
          <w:b w:val="1"/>
          <w:bCs w:val="1"/>
          <w:color w:val="auto"/>
        </w:rPr>
        <w:t>Borrower</w:t>
      </w:r>
      <w:r>
        <w:rPr>
          <w:rFonts w:ascii="Arial" w:cs="Arial" w:eastAsia="Arial" w:hAnsi="Arial"/>
          <w:sz w:val="18"/>
          <w:szCs w:val="18"/>
          <w:color w:val="auto"/>
        </w:rPr>
        <w:t>”).</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175" w:lineRule="exact"/>
        <w:rPr>
          <w:sz w:val="20"/>
          <w:szCs w:val="20"/>
          <w:color w:val="auto"/>
        </w:rPr>
      </w:pPr>
    </w:p>
    <w:p>
      <w:pPr>
        <w:ind w:firstLine="656"/>
        <w:spacing w:after="0" w:line="277" w:lineRule="auto"/>
        <w:tabs>
          <w:tab w:leader="none" w:pos="1295"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Administrative Agent, Lenders, the Loan Parties and Borrower have entered into that certain Credit Agreement dated as of December 30, 2022 (as amended from time to time, the “</w:t>
      </w:r>
      <w:r>
        <w:rPr>
          <w:rFonts w:ascii="Arial" w:cs="Arial" w:eastAsia="Arial" w:hAnsi="Arial"/>
          <w:sz w:val="18"/>
          <w:szCs w:val="18"/>
          <w:b w:val="1"/>
          <w:bCs w:val="1"/>
          <w:color w:val="auto"/>
        </w:rPr>
        <w:t>Credit Agreement</w:t>
      </w:r>
      <w:r>
        <w:rPr>
          <w:rFonts w:ascii="Arial" w:cs="Arial" w:eastAsia="Arial" w:hAnsi="Arial"/>
          <w:sz w:val="18"/>
          <w:szCs w:val="18"/>
          <w:color w:val="auto"/>
        </w:rPr>
        <w:t>”).</w:t>
      </w:r>
    </w:p>
    <w:p>
      <w:pPr>
        <w:spacing w:after="0" w:line="116" w:lineRule="exact"/>
        <w:rPr>
          <w:rFonts w:ascii="Arial" w:cs="Arial" w:eastAsia="Arial" w:hAnsi="Arial"/>
          <w:sz w:val="18"/>
          <w:szCs w:val="18"/>
          <w:b w:val="1"/>
          <w:bCs w:val="1"/>
          <w:color w:val="auto"/>
        </w:rPr>
      </w:pPr>
    </w:p>
    <w:p>
      <w:pPr>
        <w:ind w:left="1300" w:hanging="644"/>
        <w:spacing w:after="0"/>
        <w:tabs>
          <w:tab w:leader="none" w:pos="130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Lenders have extended credit to Borrower for the purposes permitted in the Credit Agreement.</w:t>
      </w:r>
    </w:p>
    <w:p>
      <w:pPr>
        <w:spacing w:after="0" w:line="171" w:lineRule="exact"/>
        <w:rPr>
          <w:rFonts w:ascii="Arial" w:cs="Arial" w:eastAsia="Arial" w:hAnsi="Arial"/>
          <w:sz w:val="18"/>
          <w:szCs w:val="18"/>
          <w:b w:val="1"/>
          <w:bCs w:val="1"/>
          <w:color w:val="auto"/>
        </w:rPr>
      </w:pPr>
    </w:p>
    <w:p>
      <w:pPr>
        <w:ind w:firstLine="656"/>
        <w:spacing w:after="0" w:line="342" w:lineRule="auto"/>
        <w:tabs>
          <w:tab w:leader="none" w:pos="1295" w:val="left"/>
        </w:tabs>
        <w:numPr>
          <w:ilvl w:val="0"/>
          <w:numId w:val="15"/>
        </w:numPr>
        <w:rPr>
          <w:rFonts w:ascii="Arial" w:cs="Arial" w:eastAsia="Arial" w:hAnsi="Arial"/>
          <w:sz w:val="16"/>
          <w:szCs w:val="16"/>
          <w:b w:val="1"/>
          <w:bCs w:val="1"/>
          <w:color w:val="auto"/>
        </w:rPr>
      </w:pPr>
      <w:r>
        <w:rPr>
          <w:rFonts w:ascii="Arial" w:cs="Arial" w:eastAsia="Arial" w:hAnsi="Arial"/>
          <w:sz w:val="16"/>
          <w:szCs w:val="16"/>
          <w:color w:val="auto"/>
        </w:rPr>
        <w:t>Borrower, the Loan Parties, the Administrative Agent and the Lenders have agreed to amend certain provisions of the Credit Agreement, but only to the extent, in accordance with the terms, subject to the conditions and in reliance upon the representations and warranties set forth below.</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171"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foregoing recitals and other good and valuable consideration, the receipt and adequacy of which is hereby</w:t>
      </w:r>
      <w:r>
        <w:rPr>
          <w:rFonts w:ascii="Arial" w:cs="Arial" w:eastAsia="Arial" w:hAnsi="Arial"/>
          <w:sz w:val="18"/>
          <w:szCs w:val="18"/>
          <w:b w:val="1"/>
          <w:bCs w:val="1"/>
          <w:color w:val="auto"/>
        </w:rPr>
        <w:t xml:space="preserve"> </w:t>
      </w:r>
      <w:r>
        <w:rPr>
          <w:rFonts w:ascii="Arial" w:cs="Arial" w:eastAsia="Arial" w:hAnsi="Arial"/>
          <w:sz w:val="18"/>
          <w:szCs w:val="18"/>
          <w:color w:val="auto"/>
        </w:rPr>
        <w:t>acknowledged, and intending to be legally bound, the parties hereto agree as follows:</w:t>
      </w:r>
    </w:p>
    <w:p>
      <w:pPr>
        <w:spacing w:after="0" w:line="108" w:lineRule="exact"/>
        <w:rPr>
          <w:sz w:val="20"/>
          <w:szCs w:val="20"/>
          <w:color w:val="auto"/>
        </w:rPr>
      </w:pPr>
    </w:p>
    <w:p>
      <w:pPr>
        <w:ind w:left="1300" w:hanging="644"/>
        <w:spacing w:after="0"/>
        <w:tabs>
          <w:tab w:leader="none" w:pos="1300" w:val="left"/>
        </w:tabs>
        <w:numPr>
          <w:ilvl w:val="0"/>
          <w:numId w:val="1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Definitions. </w:t>
      </w:r>
      <w:r>
        <w:rPr>
          <w:rFonts w:ascii="Arial" w:cs="Arial" w:eastAsia="Arial" w:hAnsi="Arial"/>
          <w:sz w:val="16"/>
          <w:szCs w:val="16"/>
          <w:color w:val="auto"/>
        </w:rPr>
        <w:t>Capitalized terms used but not defined in this Amendment shall have the meanings given to them in the Credit Agreement.</w:t>
      </w:r>
    </w:p>
    <w:p>
      <w:pPr>
        <w:spacing w:after="0" w:line="194" w:lineRule="exact"/>
        <w:rPr>
          <w:rFonts w:ascii="Arial" w:cs="Arial" w:eastAsia="Arial" w:hAnsi="Arial"/>
          <w:sz w:val="16"/>
          <w:szCs w:val="16"/>
          <w:b w:val="1"/>
          <w:bCs w:val="1"/>
          <w:color w:val="auto"/>
        </w:rPr>
      </w:pPr>
    </w:p>
    <w:p>
      <w:pPr>
        <w:ind w:left="1300" w:hanging="644"/>
        <w:spacing w:after="0"/>
        <w:tabs>
          <w:tab w:leader="none" w:pos="13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Amendments to Credit Agreement.</w:t>
      </w:r>
    </w:p>
    <w:p>
      <w:pPr>
        <w:spacing w:after="0" w:line="171"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b w:val="1"/>
          <w:bCs w:val="1"/>
          <w:color w:val="auto"/>
        </w:rPr>
        <w:t>1.1 Section 1.1 (Defined Terms)</w:t>
      </w:r>
      <w:r>
        <w:rPr>
          <w:rFonts w:ascii="Arial" w:cs="Arial" w:eastAsia="Arial" w:hAnsi="Arial"/>
          <w:sz w:val="18"/>
          <w:szCs w:val="18"/>
          <w:color w:val="auto"/>
        </w:rPr>
        <w:t>. Section 1.1 of the Credit Agreement is hereby amended and restated by amending and restating</w:t>
      </w:r>
      <w:r>
        <w:rPr>
          <w:rFonts w:ascii="Arial" w:cs="Arial" w:eastAsia="Arial" w:hAnsi="Arial"/>
          <w:sz w:val="18"/>
          <w:szCs w:val="18"/>
          <w:b w:val="1"/>
          <w:bCs w:val="1"/>
          <w:color w:val="auto"/>
        </w:rPr>
        <w:t xml:space="preserve"> </w:t>
      </w:r>
      <w:r>
        <w:rPr>
          <w:rFonts w:ascii="Arial" w:cs="Arial" w:eastAsia="Arial" w:hAnsi="Arial"/>
          <w:sz w:val="18"/>
          <w:szCs w:val="18"/>
          <w:color w:val="auto"/>
        </w:rPr>
        <w:t>the definition of “Excluded Property” as follows:</w:t>
      </w:r>
    </w:p>
    <w:p>
      <w:pPr>
        <w:spacing w:after="0" w:line="112" w:lineRule="exact"/>
        <w:rPr>
          <w:sz w:val="20"/>
          <w:szCs w:val="20"/>
          <w:color w:val="auto"/>
        </w:rPr>
      </w:pPr>
    </w:p>
    <w:p>
      <w:pPr>
        <w:jc w:val="both"/>
        <w:ind w:firstLine="193"/>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Property</w:t>
      </w:r>
      <w:r>
        <w:rPr>
          <w:rFonts w:ascii="Arial" w:cs="Arial" w:eastAsia="Arial" w:hAnsi="Arial"/>
          <w:sz w:val="16"/>
          <w:szCs w:val="16"/>
          <w:color w:val="auto"/>
        </w:rPr>
        <w:t>” means any of the following: (a) any rights or interest in any lease, permit, license or license agreement covering personal property of Borrower or any other Loan Party if, under the terms of such lease, permit, license or license agreement, or applicable laws with respect thereto, the grant of a security interest or Lien therein is prohibited as a matter of law or under the terms of such lease, permit, license or license agreement and such prohibition or restriction has not been waived or the consent of the other party to such lease, permit, license or license agreement has not been obtained; provided, that (i) the foregoing exclusions of this clause (a) shall in no way be construed (x) to apply to the extent that any described prohibition or restriction is ineffective under Section 9-406, 9-407, 9-408 or 9-409 of any applicable UCC or other applicable law, or (y) to apply to the extent that any consent or waiver has been obtained that would permit Administrative Agent’s security interest or lien to attach notwithstanding the prohibition or restriction on the pledge of such lease, permit, license or license agreement and (ii) the foregoing exclusions of this clause (a) shall in no way be construed to limit, impair, or otherwise affect any of Administrative Agent’s or any other Lender’s continuing security interests in and liens upon any rights of Borrower or any Loan Party in or to (1) monies due or to become due under or in connection with any such lease, permit, license, license agreement or equity interests (including any accounts or equity interests), or (2) any proceeds from the sale, license, lease or other dispositions of any such lease, permit, license, license agreement or equity interests), (b) any United States intent-to-use trademark applications to the extent that, and solely during the period in which, the grant of a security interest therein would impair the validity or enforceability of such intent-to-use trademark applications under applicable federal law; provided, that upon the submission and acceptance by the United States Patent and Trademark Office of an amendment to allege use pursuant to 15 U.S.C. Section 1060(a) (or any successor provision), such intent-to-use trademark application shall not be considered Excluded Property, (c) nominee or directors’ qualifying shares, (d) any governmental licenses or state or local franchises, charters, and authorizations to the extent a security interest therein is prohibited or restricted by applicable law, other than proceeds and receivables therefrom, (e) assets of Foreign Subsidiaries that are CFCs, Disregarded Domestic Persons and Equity Interests owned by such Persons, (f) interests in joint ventures and non-wholly-owned subsidiaries that cannot be pledged without the consent of third parties, (g) equipment and assets that are subject to a lien securing a purchase money obligation or Capital Lease Obligation permitted to be incurred under the Loan Documents, if the underlying contract or other agreement prohibits or restricts the creation of any other lien on such equipment (including any requirement to obtain the consent of a third party) or the granting of a lien on such assets would trigger the termination (or a right of termination) of any such purchase money or capital lease agreement pursuant to any “change of control” or similar provision or the ability for any third party to amend any rights, benefits and/or obligations of the Loan Parties in respect of those assets, except to the extent such prohibition or restriction is rendered ineffective pursuant to the applicable UCC or any other applicable law or principles of equity (other than the proceeds thereof, with respect to which the collateral assignment in favor of the Secured Parties is expressly deemed effective under the applicable UCC notwithstanding such prohibition); provided,</w:t>
      </w:r>
    </w:p>
    <w:p>
      <w:pPr>
        <w:sectPr>
          <w:pgSz w:w="11900" w:h="16838" w:orient="portrait"/>
          <w:cols w:equalWidth="0" w:num="1">
            <w:col w:w="11240"/>
          </w:cols>
          <w:pgMar w:left="320" w:top="877" w:right="339" w:bottom="1440" w:gutter="0" w:footer="0" w:header="0"/>
        </w:sectPr>
      </w:pPr>
    </w:p>
    <w:bookmarkStart w:id="29" w:name="page30"/>
    <w:bookmarkEnd w:id="29"/>
    <w:p>
      <w:pPr>
        <w:jc w:val="both"/>
        <w:spacing w:after="0" w:line="269" w:lineRule="auto"/>
        <w:rPr>
          <w:sz w:val="20"/>
          <w:szCs w:val="20"/>
          <w:color w:val="auto"/>
        </w:rPr>
      </w:pPr>
      <w:r>
        <w:rPr>
          <w:rFonts w:ascii="Arial" w:cs="Arial" w:eastAsia="Arial" w:hAnsi="Arial"/>
          <w:sz w:val="17"/>
          <w:szCs w:val="17"/>
          <w:color w:val="auto"/>
        </w:rPr>
        <w:t xml:space="preserve">however, that such security interest shall attach immediately at such time as such prohibition shall cease to exist and, to the extent possible, shall attach immediately to any portion of such equipment or assets that does not result in any of the consequences specified in this clause (g) including, without limitation, any proceeds of such equipment or assets, (h) Excluded Accounts (as defined in the Security Agreement), (i) Equity Interests of Foreign Subsidiaries that are CFCs and Equity Interests of Disregarded Persons to the extent such Equity Interests are not required to be pledged under </w:t>
      </w:r>
      <w:r>
        <w:rPr>
          <w:rFonts w:ascii="Arial" w:cs="Arial" w:eastAsia="Arial" w:hAnsi="Arial"/>
          <w:sz w:val="17"/>
          <w:szCs w:val="17"/>
          <w:u w:val="single" w:color="auto"/>
          <w:color w:val="auto"/>
        </w:rPr>
        <w:t>Section 5.14</w:t>
      </w:r>
      <w:r>
        <w:rPr>
          <w:rFonts w:ascii="Arial" w:cs="Arial" w:eastAsia="Arial" w:hAnsi="Arial"/>
          <w:sz w:val="17"/>
          <w:szCs w:val="17"/>
          <w:color w:val="auto"/>
        </w:rPr>
        <w:t xml:space="preserve"> hereof, (j) any other asset of Borrower and or any other Loan Party to the extent that Administrative Agent, in consultation with the Borrower, determines that the costs of creating or perfecting such pledge shall be unreasonably excessive in relation to the benefits to Administrative Agent or Lenders of the security afforded thereby; provided, that any proceeds, substitutions or replacements of any Excluded Property shall not be Excluded Property (unless such proceeds, substitutions or replacements are otherwise, in and of themselves, Excluded Property) and (k) (i) monies due or to become due to Iron Bow Technologies, LLC under or in connection with that certain Assignment of Monies Due Under Accounts Receivable Purchase Agreement dated July 31, 2018, as amended from time to time, among the Borrower, Iron Bow Technologies, LLC, Republic Capital Access, LLC and RCA Funding, LLC, and (ii) receivables that are generated by the Borrower from the sale of goods supplied by Iron Bow Technologies, LLC, in each case, in an aggregate amount not to exceed Twenty-Five Million Dollars ($25,000,000) for the period after April 12, 2023.</w:t>
      </w:r>
    </w:p>
    <w:p>
      <w:pPr>
        <w:spacing w:after="0" w:line="121" w:lineRule="exact"/>
        <w:rPr>
          <w:sz w:val="20"/>
          <w:szCs w:val="20"/>
          <w:color w:val="auto"/>
        </w:rPr>
      </w:pPr>
    </w:p>
    <w:p>
      <w:pPr>
        <w:ind w:left="1300" w:hanging="644"/>
        <w:spacing w:after="0"/>
        <w:tabs>
          <w:tab w:leader="none" w:pos="130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Limitation of Amendment.</w:t>
      </w:r>
    </w:p>
    <w:p>
      <w:pPr>
        <w:spacing w:after="0" w:line="171"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b w:val="1"/>
          <w:bCs w:val="1"/>
          <w:color w:val="auto"/>
        </w:rPr>
        <w:t xml:space="preserve">1.1 </w:t>
      </w:r>
      <w:r>
        <w:rPr>
          <w:rFonts w:ascii="Arial" w:cs="Arial" w:eastAsia="Arial" w:hAnsi="Arial"/>
          <w:sz w:val="18"/>
          <w:szCs w:val="18"/>
          <w:color w:val="auto"/>
        </w:rPr>
        <w:t>The amendments set forth in</w:t>
      </w:r>
      <w:r>
        <w:rPr>
          <w:rFonts w:ascii="Arial" w:cs="Arial" w:eastAsia="Arial" w:hAnsi="Arial"/>
          <w:sz w:val="18"/>
          <w:szCs w:val="18"/>
          <w:b w:val="1"/>
          <w:bCs w:val="1"/>
          <w:color w:val="auto"/>
        </w:rPr>
        <w:t xml:space="preserve"> Section 2 </w:t>
      </w:r>
      <w:r>
        <w:rPr>
          <w:rFonts w:ascii="Arial" w:cs="Arial" w:eastAsia="Arial" w:hAnsi="Arial"/>
          <w:sz w:val="18"/>
          <w:szCs w:val="18"/>
          <w:color w:val="auto"/>
        </w:rPr>
        <w:t>above, are effective for the purposes set forth herein and shall be limited precisely as</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and shall not be deemed to (a) be a consent to any amendment, waiver or modification of any other term or condition of any Loan Document, or (b) otherwise prejudice any right or remedy which Administrative Agent or any Lender may now have or may have in the future under or in connection with any Loan Document.</w:t>
      </w:r>
    </w:p>
    <w:p>
      <w:pPr>
        <w:spacing w:after="0" w:line="126"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18"/>
          <w:szCs w:val="18"/>
          <w:b w:val="1"/>
          <w:bCs w:val="1"/>
          <w:color w:val="auto"/>
        </w:rPr>
        <w:t xml:space="preserve">1.2 </w:t>
      </w:r>
      <w:r>
        <w:rPr>
          <w:rFonts w:ascii="Arial" w:cs="Arial" w:eastAsia="Arial" w:hAnsi="Arial"/>
          <w:sz w:val="18"/>
          <w:szCs w:val="18"/>
          <w:color w:val="auto"/>
        </w:rPr>
        <w:t>This Amendment shall be construed in connection with and as part of the Loan Documents and all terms, conditions,</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representations, warranties, covenants and agreements set forth in the Loan Documents, except as herein amended, are hereby ratified and confirmed and shall remain in full force and effect.</w:t>
      </w:r>
    </w:p>
    <w:p>
      <w:pPr>
        <w:spacing w:after="0" w:line="122" w:lineRule="exact"/>
        <w:rPr>
          <w:sz w:val="20"/>
          <w:szCs w:val="20"/>
          <w:color w:val="auto"/>
        </w:rPr>
      </w:pPr>
    </w:p>
    <w:p>
      <w:pPr>
        <w:ind w:firstLine="656"/>
        <w:spacing w:after="0" w:line="282" w:lineRule="auto"/>
        <w:tabs>
          <w:tab w:leader="none" w:pos="1296"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Representations and Warranties. </w:t>
      </w:r>
      <w:r>
        <w:rPr>
          <w:rFonts w:ascii="Arial" w:cs="Arial" w:eastAsia="Arial" w:hAnsi="Arial"/>
          <w:sz w:val="18"/>
          <w:szCs w:val="18"/>
          <w:color w:val="auto"/>
        </w:rPr>
        <w:t>To induce Administrative Agent and Lenders to enter into this Amendment, Borrower and each Loan</w:t>
      </w:r>
      <w:r>
        <w:rPr>
          <w:rFonts w:ascii="Arial" w:cs="Arial" w:eastAsia="Arial" w:hAnsi="Arial"/>
          <w:sz w:val="18"/>
          <w:szCs w:val="18"/>
          <w:b w:val="1"/>
          <w:bCs w:val="1"/>
          <w:color w:val="auto"/>
        </w:rPr>
        <w:t xml:space="preserve"> </w:t>
      </w:r>
      <w:r>
        <w:rPr>
          <w:rFonts w:ascii="Arial" w:cs="Arial" w:eastAsia="Arial" w:hAnsi="Arial"/>
          <w:sz w:val="18"/>
          <w:szCs w:val="18"/>
          <w:color w:val="auto"/>
        </w:rPr>
        <w:t>Party hereby represent and warrant to Administrative Agent and Lenders as follows:</w:t>
      </w:r>
    </w:p>
    <w:p>
      <w:pPr>
        <w:spacing w:after="0" w:line="108"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7"/>
          <w:szCs w:val="17"/>
          <w:b w:val="1"/>
          <w:bCs w:val="1"/>
          <w:color w:val="auto"/>
        </w:rPr>
        <w:t xml:space="preserve">1.1 </w:t>
      </w:r>
      <w:r>
        <w:rPr>
          <w:rFonts w:ascii="Arial" w:cs="Arial" w:eastAsia="Arial" w:hAnsi="Arial"/>
          <w:sz w:val="17"/>
          <w:szCs w:val="17"/>
          <w:color w:val="auto"/>
        </w:rPr>
        <w:t>Immediately after giving effect to this Amendment (a) the representations and warranties contained in the Loan Documents are</w:t>
      </w:r>
      <w:r>
        <w:rPr>
          <w:rFonts w:ascii="Arial" w:cs="Arial" w:eastAsia="Arial" w:hAnsi="Arial"/>
          <w:sz w:val="17"/>
          <w:szCs w:val="17"/>
          <w:b w:val="1"/>
          <w:bCs w:val="1"/>
          <w:color w:val="auto"/>
        </w:rPr>
        <w:t xml:space="preserve"> </w:t>
      </w:r>
      <w:r>
        <w:rPr>
          <w:rFonts w:ascii="Arial" w:cs="Arial" w:eastAsia="Arial" w:hAnsi="Arial"/>
          <w:sz w:val="17"/>
          <w:szCs w:val="17"/>
          <w:color w:val="auto"/>
        </w:rPr>
        <w:t>true, accurate and complete in all material respects as of the date hereof (except to the extent such representations and warranties relate to an earlier date, in which case they are true and correct as of such date), and (b) no Event of Default has occurred and is continuing;</w:t>
      </w:r>
    </w:p>
    <w:p>
      <w:pPr>
        <w:spacing w:after="0" w:line="104"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b w:val="1"/>
          <w:bCs w:val="1"/>
          <w:color w:val="auto"/>
        </w:rPr>
        <w:t xml:space="preserve">1.2 </w:t>
      </w:r>
      <w:r>
        <w:rPr>
          <w:rFonts w:ascii="Arial" w:cs="Arial" w:eastAsia="Arial" w:hAnsi="Arial"/>
          <w:sz w:val="18"/>
          <w:szCs w:val="18"/>
          <w:color w:val="auto"/>
        </w:rPr>
        <w:t>Each Loan Party has the power and authority to execute and deliver this Amendment and to perform its obligations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Credit Agreement, as amended by this Amendment;</w:t>
      </w:r>
    </w:p>
    <w:p>
      <w:pPr>
        <w:spacing w:after="0" w:line="108"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18"/>
          <w:szCs w:val="18"/>
          <w:b w:val="1"/>
          <w:bCs w:val="1"/>
          <w:color w:val="auto"/>
        </w:rPr>
        <w:t xml:space="preserve">1.3 </w:t>
      </w:r>
      <w:r>
        <w:rPr>
          <w:rFonts w:ascii="Arial" w:cs="Arial" w:eastAsia="Arial" w:hAnsi="Arial"/>
          <w:sz w:val="18"/>
          <w:szCs w:val="18"/>
          <w:color w:val="auto"/>
        </w:rPr>
        <w:t>The organizational documents of each Loan Party delivered to Administrative Agent and Lenders on the Effective Date, or</w:t>
      </w:r>
      <w:r>
        <w:rPr>
          <w:rFonts w:ascii="Arial" w:cs="Arial" w:eastAsia="Arial" w:hAnsi="Arial"/>
          <w:sz w:val="18"/>
          <w:szCs w:val="18"/>
          <w:b w:val="1"/>
          <w:bCs w:val="1"/>
          <w:color w:val="auto"/>
        </w:rPr>
        <w:t xml:space="preserve"> </w:t>
      </w:r>
      <w:r>
        <w:rPr>
          <w:rFonts w:ascii="Arial" w:cs="Arial" w:eastAsia="Arial" w:hAnsi="Arial"/>
          <w:sz w:val="18"/>
          <w:szCs w:val="18"/>
          <w:color w:val="auto"/>
        </w:rPr>
        <w:t>subsequent thereto, remain true, accurate and complete and have not been amended, supplemented or restated and are and continue to be in full force and effect;</w:t>
      </w:r>
    </w:p>
    <w:p>
      <w:pPr>
        <w:spacing w:after="0" w:line="122"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b w:val="1"/>
          <w:bCs w:val="1"/>
          <w:color w:val="auto"/>
        </w:rPr>
        <w:t xml:space="preserve">1.4 </w:t>
      </w:r>
      <w:r>
        <w:rPr>
          <w:rFonts w:ascii="Arial" w:cs="Arial" w:eastAsia="Arial" w:hAnsi="Arial"/>
          <w:sz w:val="18"/>
          <w:szCs w:val="18"/>
          <w:color w:val="auto"/>
        </w:rPr>
        <w:t>The execution and delivery by each Loan Party of this Amendment and the performance by each Loan Party of its obligations</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Credit Agreement, as amended by this Amendment, have been duly authorized;</w:t>
      </w:r>
    </w:p>
    <w:p>
      <w:pPr>
        <w:spacing w:after="0" w:line="108" w:lineRule="exact"/>
        <w:rPr>
          <w:sz w:val="20"/>
          <w:szCs w:val="20"/>
          <w:color w:val="auto"/>
        </w:rPr>
      </w:pPr>
    </w:p>
    <w:p>
      <w:pPr>
        <w:jc w:val="both"/>
        <w:ind w:firstLine="1296"/>
        <w:spacing w:after="0" w:line="281" w:lineRule="auto"/>
        <w:rPr>
          <w:sz w:val="20"/>
          <w:szCs w:val="20"/>
          <w:color w:val="auto"/>
        </w:rPr>
      </w:pPr>
      <w:r>
        <w:rPr>
          <w:rFonts w:ascii="Arial" w:cs="Arial" w:eastAsia="Arial" w:hAnsi="Arial"/>
          <w:sz w:val="17"/>
          <w:szCs w:val="17"/>
          <w:b w:val="1"/>
          <w:bCs w:val="1"/>
          <w:color w:val="auto"/>
        </w:rPr>
        <w:t xml:space="preserve">1.5 </w:t>
      </w:r>
      <w:r>
        <w:rPr>
          <w:rFonts w:ascii="Arial" w:cs="Arial" w:eastAsia="Arial" w:hAnsi="Arial"/>
          <w:sz w:val="17"/>
          <w:szCs w:val="17"/>
          <w:color w:val="auto"/>
        </w:rPr>
        <w:t>The execution and delivery by each Loan Party of this Amendment and the performance by each Loan Party of its obligations</w:t>
      </w:r>
      <w:r>
        <w:rPr>
          <w:rFonts w:ascii="Arial" w:cs="Arial" w:eastAsia="Arial" w:hAnsi="Arial"/>
          <w:sz w:val="17"/>
          <w:szCs w:val="17"/>
          <w:b w:val="1"/>
          <w:bCs w:val="1"/>
          <w:color w:val="auto"/>
        </w:rPr>
        <w:t xml:space="preserve"> </w:t>
      </w:r>
      <w:r>
        <w:rPr>
          <w:rFonts w:ascii="Arial" w:cs="Arial" w:eastAsia="Arial" w:hAnsi="Arial"/>
          <w:sz w:val="17"/>
          <w:szCs w:val="17"/>
          <w:color w:val="auto"/>
        </w:rPr>
        <w:t>under the Credit Agreement, as amended by this Amendment, do not and will not contravene (a) any law or regulation binding on or affecting such Loan Party, (b) any contractual restriction with a Person binding on such Loan Party, (c) any order, judgment or decree of any court or other governmental or public body or authority, or subdivision thereof, binding on such Loan Party, or (d) the organizational documents of such Loan Party;</w:t>
      </w:r>
    </w:p>
    <w:p>
      <w:pPr>
        <w:spacing w:after="0" w:line="111" w:lineRule="exact"/>
        <w:rPr>
          <w:sz w:val="20"/>
          <w:szCs w:val="20"/>
          <w:color w:val="auto"/>
        </w:rPr>
      </w:pPr>
    </w:p>
    <w:p>
      <w:pPr>
        <w:jc w:val="both"/>
        <w:ind w:firstLine="1296"/>
        <w:spacing w:after="0" w:line="258" w:lineRule="auto"/>
        <w:rPr>
          <w:sz w:val="20"/>
          <w:szCs w:val="20"/>
          <w:color w:val="auto"/>
        </w:rPr>
      </w:pPr>
      <w:r>
        <w:rPr>
          <w:rFonts w:ascii="Arial" w:cs="Arial" w:eastAsia="Arial" w:hAnsi="Arial"/>
          <w:sz w:val="18"/>
          <w:szCs w:val="18"/>
          <w:b w:val="1"/>
          <w:bCs w:val="1"/>
          <w:color w:val="auto"/>
        </w:rPr>
        <w:t xml:space="preserve">1.6 </w:t>
      </w:r>
      <w:r>
        <w:rPr>
          <w:rFonts w:ascii="Arial" w:cs="Arial" w:eastAsia="Arial" w:hAnsi="Arial"/>
          <w:sz w:val="18"/>
          <w:szCs w:val="18"/>
          <w:color w:val="auto"/>
        </w:rPr>
        <w:t>The execution and delivery by each Loan Party of this Amendment and the performance by such Loan Party of its obligations</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Credit Agreement, as amended by this Amendment, do not require any order, consent, approval, license, authorization or validation of, or filing, recording or registration with, or exemption by any governmental or public body or authority, or subdivision thereof, binding on such Loan Party, except such as have been obtained or made and are in full force and effect and except for filings necessary to perfect Liens created pursuant to the Loan Documents; and</w:t>
      </w:r>
    </w:p>
    <w:p>
      <w:pPr>
        <w:spacing w:after="0" w:line="129"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7"/>
          <w:szCs w:val="17"/>
          <w:b w:val="1"/>
          <w:bCs w:val="1"/>
          <w:color w:val="auto"/>
        </w:rPr>
        <w:t xml:space="preserve">1.7 </w:t>
      </w:r>
      <w:r>
        <w:rPr>
          <w:rFonts w:ascii="Arial" w:cs="Arial" w:eastAsia="Arial" w:hAnsi="Arial"/>
          <w:sz w:val="17"/>
          <w:szCs w:val="17"/>
          <w:color w:val="auto"/>
        </w:rPr>
        <w:t>This Amendment has been duly executed and delivered by each Loan Party and is the binding obligation of such Loan Party,</w:t>
      </w:r>
      <w:r>
        <w:rPr>
          <w:rFonts w:ascii="Arial" w:cs="Arial" w:eastAsia="Arial" w:hAnsi="Arial"/>
          <w:sz w:val="17"/>
          <w:szCs w:val="17"/>
          <w:b w:val="1"/>
          <w:bCs w:val="1"/>
          <w:color w:val="auto"/>
        </w:rPr>
        <w:t xml:space="preserve"> </w:t>
      </w:r>
      <w:r>
        <w:rPr>
          <w:rFonts w:ascii="Arial" w:cs="Arial" w:eastAsia="Arial" w:hAnsi="Arial"/>
          <w:sz w:val="17"/>
          <w:szCs w:val="17"/>
          <w:color w:val="auto"/>
        </w:rPr>
        <w:t>enforceable against such Loan Party in accordance with its terms, except as such enforceability may be limited by bankruptcy, insolvency, reorganization, liquidation, moratorium or other similar laws of general application and equitable principles relating to or affecting creditors’ rights.</w:t>
      </w:r>
    </w:p>
    <w:p>
      <w:pPr>
        <w:spacing w:after="0" w:line="104" w:lineRule="exact"/>
        <w:rPr>
          <w:sz w:val="20"/>
          <w:szCs w:val="20"/>
          <w:color w:val="auto"/>
        </w:rPr>
      </w:pPr>
    </w:p>
    <w:p>
      <w:pPr>
        <w:ind w:firstLine="656"/>
        <w:spacing w:after="0" w:line="282" w:lineRule="auto"/>
        <w:tabs>
          <w:tab w:leader="none" w:pos="1296"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Counterparts. </w:t>
      </w:r>
      <w:r>
        <w:rPr>
          <w:rFonts w:ascii="Arial" w:cs="Arial" w:eastAsia="Arial" w:hAnsi="Arial"/>
          <w:sz w:val="18"/>
          <w:szCs w:val="18"/>
          <w:color w:val="auto"/>
        </w:rPr>
        <w:t>This Amendment may be executed in any number of counterparts and all of such counterparts taken together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to constitute one and the same instrument.</w:t>
      </w:r>
    </w:p>
    <w:p>
      <w:pPr>
        <w:sectPr>
          <w:pgSz w:w="11900" w:h="16838" w:orient="portrait"/>
          <w:cols w:equalWidth="0" w:num="1">
            <w:col w:w="11240"/>
          </w:cols>
          <w:pgMar w:left="320" w:top="881" w:right="339" w:bottom="1440" w:gutter="0" w:footer="0" w:header="0"/>
        </w:sectPr>
      </w:pPr>
    </w:p>
    <w:bookmarkStart w:id="30" w:name="page31"/>
    <w:bookmarkEnd w:id="30"/>
    <w:p>
      <w:pPr>
        <w:ind w:firstLine="656"/>
        <w:spacing w:after="0" w:line="282" w:lineRule="auto"/>
        <w:tabs>
          <w:tab w:leader="none" w:pos="1296"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Effectiveness. </w:t>
      </w:r>
      <w:r>
        <w:rPr>
          <w:rFonts w:ascii="Arial" w:cs="Arial" w:eastAsia="Arial" w:hAnsi="Arial"/>
          <w:sz w:val="18"/>
          <w:szCs w:val="18"/>
          <w:color w:val="auto"/>
        </w:rPr>
        <w:t>This Amendment shall become effective as of the date first written above only upon satisfaction in full in the discretion of</w:t>
      </w:r>
      <w:r>
        <w:rPr>
          <w:rFonts w:ascii="Arial" w:cs="Arial" w:eastAsia="Arial" w:hAnsi="Arial"/>
          <w:sz w:val="18"/>
          <w:szCs w:val="18"/>
          <w:b w:val="1"/>
          <w:bCs w:val="1"/>
          <w:color w:val="auto"/>
        </w:rPr>
        <w:t xml:space="preserve"> </w:t>
      </w:r>
      <w:r>
        <w:rPr>
          <w:rFonts w:ascii="Arial" w:cs="Arial" w:eastAsia="Arial" w:hAnsi="Arial"/>
          <w:sz w:val="18"/>
          <w:szCs w:val="18"/>
          <w:color w:val="auto"/>
        </w:rPr>
        <w:t>the Administrative Agent of each of the following conditions (the “</w:t>
      </w:r>
      <w:r>
        <w:rPr>
          <w:rFonts w:ascii="Arial" w:cs="Arial" w:eastAsia="Arial" w:hAnsi="Arial"/>
          <w:sz w:val="18"/>
          <w:szCs w:val="18"/>
          <w:b w:val="1"/>
          <w:bCs w:val="1"/>
          <w:color w:val="auto"/>
        </w:rPr>
        <w:t>First Amendment Effective Date</w:t>
      </w:r>
      <w:r>
        <w:rPr>
          <w:rFonts w:ascii="Arial" w:cs="Arial" w:eastAsia="Arial" w:hAnsi="Arial"/>
          <w:sz w:val="18"/>
          <w:szCs w:val="18"/>
          <w:color w:val="auto"/>
        </w:rPr>
        <w:t>”):</w:t>
      </w:r>
    </w:p>
    <w:p>
      <w:pPr>
        <w:spacing w:after="0" w:line="108"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b w:val="1"/>
          <w:bCs w:val="1"/>
          <w:color w:val="auto"/>
        </w:rPr>
        <w:t xml:space="preserve">1.1 </w:t>
      </w:r>
      <w:r>
        <w:rPr>
          <w:rFonts w:ascii="Arial" w:cs="Arial" w:eastAsia="Arial" w:hAnsi="Arial"/>
          <w:sz w:val="18"/>
          <w:szCs w:val="18"/>
          <w:color w:val="auto"/>
        </w:rPr>
        <w:t>The Administrative Agent shall have received a copy of this Amendment duly executed and delivered by all of the Lenders, the</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each other Loan Party and the Administrative Agent;</w:t>
      </w:r>
    </w:p>
    <w:p>
      <w:pPr>
        <w:spacing w:after="0" w:line="108"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18"/>
          <w:szCs w:val="18"/>
          <w:b w:val="1"/>
          <w:bCs w:val="1"/>
          <w:color w:val="auto"/>
        </w:rPr>
        <w:t xml:space="preserve">1.2 </w:t>
      </w:r>
      <w:r>
        <w:rPr>
          <w:rFonts w:ascii="Arial" w:cs="Arial" w:eastAsia="Arial" w:hAnsi="Arial"/>
          <w:sz w:val="18"/>
          <w:szCs w:val="18"/>
          <w:color w:val="auto"/>
        </w:rPr>
        <w:t>The representations and warranties of or on behalf of the Loan Parties in this Amendment are true, accurate and complete</w:t>
      </w:r>
      <w:r>
        <w:rPr>
          <w:rFonts w:ascii="Arial" w:cs="Arial" w:eastAsia="Arial" w:hAnsi="Arial"/>
          <w:sz w:val="18"/>
          <w:szCs w:val="18"/>
          <w:b w:val="1"/>
          <w:bCs w:val="1"/>
          <w:color w:val="auto"/>
        </w:rPr>
        <w:t xml:space="preserve"> </w:t>
      </w:r>
      <w:r>
        <w:rPr>
          <w:rFonts w:ascii="Arial" w:cs="Arial" w:eastAsia="Arial" w:hAnsi="Arial"/>
          <w:sz w:val="18"/>
          <w:szCs w:val="18"/>
          <w:color w:val="auto"/>
        </w:rPr>
        <w:t>(except to the extent such representations and warranties relate to an earlier date, in which case they are true and correct as of such date) on and as of the First Amendment Effective Date;</w:t>
      </w:r>
    </w:p>
    <w:p>
      <w:pPr>
        <w:spacing w:after="0" w:line="122"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18"/>
          <w:szCs w:val="18"/>
          <w:b w:val="1"/>
          <w:bCs w:val="1"/>
          <w:color w:val="auto"/>
        </w:rPr>
        <w:t xml:space="preserve">1.3 </w:t>
      </w:r>
      <w:r>
        <w:rPr>
          <w:rFonts w:ascii="Arial" w:cs="Arial" w:eastAsia="Arial" w:hAnsi="Arial"/>
          <w:sz w:val="18"/>
          <w:szCs w:val="18"/>
          <w:color w:val="auto"/>
        </w:rPr>
        <w:t>The Loan Parties shall have paid all outstanding costs and expenses owed to the Administrative Agent pursuant to Section 9.3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Credit Agreement, including, without limitation, all reasonable and documented fees, charges and disbursements of counsel for the Administrative Agent;</w:t>
      </w:r>
    </w:p>
    <w:p>
      <w:pPr>
        <w:spacing w:after="0" w:line="122"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b w:val="1"/>
          <w:bCs w:val="1"/>
          <w:color w:val="auto"/>
        </w:rPr>
        <w:t xml:space="preserve">1.4 </w:t>
      </w:r>
      <w:r>
        <w:rPr>
          <w:rFonts w:ascii="Arial" w:cs="Arial" w:eastAsia="Arial" w:hAnsi="Arial"/>
          <w:sz w:val="18"/>
          <w:szCs w:val="18"/>
          <w:color w:val="auto"/>
        </w:rPr>
        <w:t>The Administrative Agent shall have received all other documents, opinions or materials requested by the Administrative Agent</w:t>
      </w:r>
      <w:r>
        <w:rPr>
          <w:rFonts w:ascii="Arial" w:cs="Arial" w:eastAsia="Arial" w:hAnsi="Arial"/>
          <w:sz w:val="18"/>
          <w:szCs w:val="18"/>
          <w:b w:val="1"/>
          <w:bCs w:val="1"/>
          <w:color w:val="auto"/>
        </w:rPr>
        <w:t xml:space="preserve"> </w:t>
      </w:r>
      <w:r>
        <w:rPr>
          <w:rFonts w:ascii="Arial" w:cs="Arial" w:eastAsia="Arial" w:hAnsi="Arial"/>
          <w:sz w:val="18"/>
          <w:szCs w:val="18"/>
          <w:color w:val="auto"/>
        </w:rPr>
        <w:t>in its reasonable discretion, in each case, in form and substance reasonably acceptable to the Agent.</w:t>
      </w:r>
    </w:p>
    <w:p>
      <w:pPr>
        <w:spacing w:after="0" w:line="108" w:lineRule="exact"/>
        <w:rPr>
          <w:sz w:val="20"/>
          <w:szCs w:val="20"/>
          <w:color w:val="auto"/>
        </w:rPr>
      </w:pPr>
    </w:p>
    <w:p>
      <w:pPr>
        <w:jc w:val="both"/>
        <w:ind w:firstLine="656"/>
        <w:spacing w:after="0" w:line="273" w:lineRule="auto"/>
        <w:tabs>
          <w:tab w:leader="none" w:pos="1296" w:val="left"/>
        </w:tabs>
        <w:numPr>
          <w:ilvl w:val="0"/>
          <w:numId w:val="21"/>
        </w:numPr>
        <w:rPr>
          <w:rFonts w:ascii="Arial" w:cs="Arial" w:eastAsia="Arial" w:hAnsi="Arial"/>
          <w:sz w:val="17"/>
          <w:szCs w:val="17"/>
          <w:b w:val="1"/>
          <w:bCs w:val="1"/>
          <w:color w:val="auto"/>
        </w:rPr>
      </w:pPr>
      <w:r>
        <w:rPr>
          <w:rFonts w:ascii="Arial" w:cs="Arial" w:eastAsia="Arial" w:hAnsi="Arial"/>
          <w:sz w:val="17"/>
          <w:szCs w:val="17"/>
          <w:b w:val="1"/>
          <w:bCs w:val="1"/>
          <w:color w:val="auto"/>
        </w:rPr>
        <w:t>Ratification, etc</w:t>
      </w:r>
      <w:r>
        <w:rPr>
          <w:rFonts w:ascii="Arial" w:cs="Arial" w:eastAsia="Arial" w:hAnsi="Arial"/>
          <w:sz w:val="17"/>
          <w:szCs w:val="17"/>
          <w:color w:val="auto"/>
        </w:rPr>
        <w:t>. Except as expressly amended or otherwise modified hereby, the Credit Agreement, each other Loan Document and all</w:t>
      </w:r>
      <w:r>
        <w:rPr>
          <w:rFonts w:ascii="Arial" w:cs="Arial" w:eastAsia="Arial" w:hAnsi="Arial"/>
          <w:sz w:val="17"/>
          <w:szCs w:val="17"/>
          <w:b w:val="1"/>
          <w:bCs w:val="1"/>
          <w:color w:val="auto"/>
        </w:rPr>
        <w:t xml:space="preserve"> </w:t>
      </w:r>
      <w:r>
        <w:rPr>
          <w:rFonts w:ascii="Arial" w:cs="Arial" w:eastAsia="Arial" w:hAnsi="Arial"/>
          <w:sz w:val="17"/>
          <w:szCs w:val="17"/>
          <w:color w:val="auto"/>
        </w:rPr>
        <w:t>documents, instruments and agreements related thereto are hereby ratified and confirmed in all respects and shall continue in full force and effect. This Amendment shall constitute a Loan Document. The Loan Parties hereby ratify and reaffirm the validity and enforceability of all of the Liens and security interests heretofore granted and pledged by the Loan Parties pursuant to the Loan Documents to which it is a party to the Administrative Agent, on behalf and for the benefit of the Lenders, as collateral security for the Secured Obligations, and acknowledge that all of such Liens and security interests, granted, pledged or otherwise created as security for the Secured Obligations continue to be and remain collateral security for the Secured Obligations from and after the First Amendment Effective Date.</w:t>
      </w:r>
    </w:p>
    <w:p>
      <w:pPr>
        <w:spacing w:after="0" w:line="117" w:lineRule="exact"/>
        <w:rPr>
          <w:rFonts w:ascii="Arial" w:cs="Arial" w:eastAsia="Arial" w:hAnsi="Arial"/>
          <w:sz w:val="17"/>
          <w:szCs w:val="17"/>
          <w:b w:val="1"/>
          <w:bCs w:val="1"/>
          <w:color w:val="auto"/>
        </w:rPr>
      </w:pPr>
    </w:p>
    <w:p>
      <w:pPr>
        <w:ind w:left="1300" w:hanging="644"/>
        <w:spacing w:after="0"/>
        <w:tabs>
          <w:tab w:leader="none" w:pos="130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Reference to and Effect on the Credit Agreement</w:t>
      </w:r>
      <w:r>
        <w:rPr>
          <w:rFonts w:ascii="Arial" w:cs="Arial" w:eastAsia="Arial" w:hAnsi="Arial"/>
          <w:sz w:val="18"/>
          <w:szCs w:val="18"/>
          <w:color w:val="auto"/>
        </w:rPr>
        <w:t>.</w:t>
      </w:r>
    </w:p>
    <w:p>
      <w:pPr>
        <w:spacing w:after="0" w:line="171"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b w:val="1"/>
          <w:bCs w:val="1"/>
          <w:color w:val="auto"/>
        </w:rPr>
        <w:t xml:space="preserve">1.1 </w:t>
      </w:r>
      <w:r>
        <w:rPr>
          <w:rFonts w:ascii="Arial" w:cs="Arial" w:eastAsia="Arial" w:hAnsi="Arial"/>
          <w:sz w:val="18"/>
          <w:szCs w:val="18"/>
          <w:color w:val="auto"/>
        </w:rPr>
        <w:t>Upon the effectiveness of this Amendment, (A) each reference in the Credit Agreement to “this Agreement”, “hereunder”,</w:t>
      </w:r>
      <w:r>
        <w:rPr>
          <w:rFonts w:ascii="Arial" w:cs="Arial" w:eastAsia="Arial" w:hAnsi="Arial"/>
          <w:sz w:val="18"/>
          <w:szCs w:val="18"/>
          <w:b w:val="1"/>
          <w:bCs w:val="1"/>
          <w:color w:val="auto"/>
        </w:rPr>
        <w:t xml:space="preserve"> </w:t>
      </w:r>
      <w:r>
        <w:rPr>
          <w:rFonts w:ascii="Arial" w:cs="Arial" w:eastAsia="Arial" w:hAnsi="Arial"/>
          <w:sz w:val="18"/>
          <w:szCs w:val="18"/>
          <w:color w:val="auto"/>
        </w:rPr>
        <w:t>“hereof”, “herein” or words of like import shall mean and be a reference to the Credit Agreement as amended or otherwise modified hereby and (B) each reference in any other document, instrument or agreement executed and/or delivered in connection with the Credit Agreement shall mean and be a reference to the Credit Agreement as amended or otherwise modified hereby.</w:t>
      </w:r>
    </w:p>
    <w:p>
      <w:pPr>
        <w:spacing w:after="0" w:line="126"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18"/>
          <w:szCs w:val="18"/>
          <w:b w:val="1"/>
          <w:bCs w:val="1"/>
          <w:color w:val="auto"/>
        </w:rPr>
        <w:t xml:space="preserve">1.2 </w:t>
      </w:r>
      <w:r>
        <w:rPr>
          <w:rFonts w:ascii="Arial" w:cs="Arial" w:eastAsia="Arial" w:hAnsi="Arial"/>
          <w:sz w:val="18"/>
          <w:szCs w:val="18"/>
          <w:color w:val="auto"/>
        </w:rPr>
        <w:t>Except as specifically waived, amended or otherwise modified above, the terms and conditions of the Credit Agreement and any</w:t>
      </w:r>
      <w:r>
        <w:rPr>
          <w:rFonts w:ascii="Arial" w:cs="Arial" w:eastAsia="Arial" w:hAnsi="Arial"/>
          <w:sz w:val="18"/>
          <w:szCs w:val="18"/>
          <w:b w:val="1"/>
          <w:bCs w:val="1"/>
          <w:color w:val="auto"/>
        </w:rPr>
        <w:t xml:space="preserve"> </w:t>
      </w:r>
      <w:r>
        <w:rPr>
          <w:rFonts w:ascii="Arial" w:cs="Arial" w:eastAsia="Arial" w:hAnsi="Arial"/>
          <w:sz w:val="18"/>
          <w:szCs w:val="18"/>
          <w:color w:val="auto"/>
        </w:rPr>
        <w:t>other documents, instruments and agreements executed and/or delivered in connection therewith, shall remain in full force and effect and are hereby ratified and confirmed.</w:t>
      </w:r>
    </w:p>
    <w:p>
      <w:pPr>
        <w:spacing w:after="0" w:line="122" w:lineRule="exact"/>
        <w:rPr>
          <w:sz w:val="20"/>
          <w:szCs w:val="20"/>
          <w:color w:val="auto"/>
        </w:rPr>
      </w:pPr>
    </w:p>
    <w:p>
      <w:pPr>
        <w:jc w:val="both"/>
        <w:ind w:right="20" w:firstLine="1296"/>
        <w:spacing w:after="0" w:line="266" w:lineRule="auto"/>
        <w:rPr>
          <w:sz w:val="20"/>
          <w:szCs w:val="20"/>
          <w:color w:val="auto"/>
        </w:rPr>
      </w:pPr>
      <w:r>
        <w:rPr>
          <w:rFonts w:ascii="Arial" w:cs="Arial" w:eastAsia="Arial" w:hAnsi="Arial"/>
          <w:sz w:val="18"/>
          <w:szCs w:val="18"/>
          <w:b w:val="1"/>
          <w:bCs w:val="1"/>
          <w:color w:val="auto"/>
        </w:rPr>
        <w:t xml:space="preserve">1.3 </w:t>
      </w:r>
      <w:r>
        <w:rPr>
          <w:rFonts w:ascii="Arial" w:cs="Arial" w:eastAsia="Arial" w:hAnsi="Arial"/>
          <w:sz w:val="18"/>
          <w:szCs w:val="18"/>
          <w:color w:val="auto"/>
        </w:rPr>
        <w:t>The execution, delivery and effectiveness of this Amendment shall not, except as expressly provided herein, operate as a waiver</w:t>
      </w:r>
      <w:r>
        <w:rPr>
          <w:rFonts w:ascii="Arial" w:cs="Arial" w:eastAsia="Arial" w:hAnsi="Arial"/>
          <w:sz w:val="18"/>
          <w:szCs w:val="18"/>
          <w:b w:val="1"/>
          <w:bCs w:val="1"/>
          <w:color w:val="auto"/>
        </w:rPr>
        <w:t xml:space="preserve"> </w:t>
      </w:r>
      <w:r>
        <w:rPr>
          <w:rFonts w:ascii="Arial" w:cs="Arial" w:eastAsia="Arial" w:hAnsi="Arial"/>
          <w:sz w:val="18"/>
          <w:szCs w:val="18"/>
          <w:color w:val="auto"/>
        </w:rPr>
        <w:t>of any right, power or remedy of any Lender under the Credit Agreement or any other document, instrument or agreement executed in connection therewith, nor constitute a waiver of any provision contained therein, in each case except as specifically set forth herein.</w:t>
      </w:r>
    </w:p>
    <w:p>
      <w:pPr>
        <w:spacing w:after="0" w:line="122" w:lineRule="exact"/>
        <w:rPr>
          <w:sz w:val="20"/>
          <w:szCs w:val="20"/>
          <w:color w:val="auto"/>
        </w:rPr>
      </w:pPr>
    </w:p>
    <w:p>
      <w:pPr>
        <w:ind w:firstLine="656"/>
        <w:spacing w:after="0" w:line="282" w:lineRule="auto"/>
        <w:tabs>
          <w:tab w:leader="none" w:pos="1296"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r>
        <w:rPr>
          <w:rFonts w:ascii="Arial" w:cs="Arial" w:eastAsia="Arial" w:hAnsi="Arial"/>
          <w:sz w:val="18"/>
          <w:szCs w:val="18"/>
          <w:color w:val="auto"/>
        </w:rPr>
        <w:t>. This Amendment shall be governed by and construed in accordance with the internal laws of the State of New York, but</w:t>
      </w:r>
      <w:r>
        <w:rPr>
          <w:rFonts w:ascii="Arial" w:cs="Arial" w:eastAsia="Arial" w:hAnsi="Arial"/>
          <w:sz w:val="18"/>
          <w:szCs w:val="18"/>
          <w:b w:val="1"/>
          <w:bCs w:val="1"/>
          <w:color w:val="auto"/>
        </w:rPr>
        <w:t xml:space="preserve"> </w:t>
      </w:r>
      <w:r>
        <w:rPr>
          <w:rFonts w:ascii="Arial" w:cs="Arial" w:eastAsia="Arial" w:hAnsi="Arial"/>
          <w:sz w:val="18"/>
          <w:szCs w:val="18"/>
          <w:color w:val="auto"/>
        </w:rPr>
        <w:t>giving effect to federal laws applicable to national banks.</w:t>
      </w:r>
    </w:p>
    <w:p>
      <w:pPr>
        <w:spacing w:after="0" w:line="108"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Balance of Page Intentionally Left Blank</w:t>
      </w:r>
      <w:r>
        <w:rPr>
          <w:rFonts w:ascii="Arial" w:cs="Arial" w:eastAsia="Arial" w:hAnsi="Arial"/>
          <w:sz w:val="18"/>
          <w:szCs w:val="18"/>
          <w:b w:val="1"/>
          <w:bCs w:val="1"/>
          <w:color w:val="auto"/>
        </w:rPr>
        <w:t>]</w:t>
      </w:r>
    </w:p>
    <w:p>
      <w:pPr>
        <w:sectPr>
          <w:pgSz w:w="11900" w:h="16838" w:orient="portrait"/>
          <w:cols w:equalWidth="0" w:num="1">
            <w:col w:w="11240"/>
          </w:cols>
          <w:pgMar w:left="320" w:top="877"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hereto have caused this Amendment to be duly executed and delivered as of the date first written above.</w:t>
      </w:r>
    </w:p>
    <w:p>
      <w:pPr>
        <w:spacing w:after="0" w:line="229"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TELOS CORPORATION, as the Borrower</w:t>
      </w:r>
    </w:p>
    <w:p>
      <w:pPr>
        <w:spacing w:after="0" w:line="77" w:lineRule="exact"/>
        <w:rPr>
          <w:sz w:val="20"/>
          <w:szCs w:val="20"/>
          <w:color w:val="auto"/>
        </w:rPr>
      </w:pPr>
    </w:p>
    <w:tbl>
      <w:tblPr>
        <w:tblLayout w:type="fixed"/>
        <w:tblInd w:w="514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5340" w:type="dxa"/>
            <w:vAlign w:val="bottom"/>
          </w:tcPr>
          <w:p>
            <w:pPr>
              <w:ind w:left="20"/>
              <w:spacing w:after="0"/>
              <w:rPr>
                <w:sz w:val="20"/>
                <w:szCs w:val="20"/>
                <w:color w:val="auto"/>
              </w:rPr>
            </w:pPr>
            <w:r>
              <w:rPr>
                <w:rFonts w:ascii="Arial" w:cs="Arial" w:eastAsia="Arial" w:hAnsi="Arial"/>
                <w:sz w:val="18"/>
                <w:szCs w:val="18"/>
                <w:color w:val="auto"/>
              </w:rPr>
              <w:t>/s/ E. Hutchinson Robbins, Jr.</w:t>
            </w:r>
          </w:p>
        </w:tc>
      </w:tr>
      <w:tr>
        <w:trPr>
          <w:trHeight w:val="41"/>
        </w:trPr>
        <w:tc>
          <w:tcPr>
            <w:tcW w:w="740" w:type="dxa"/>
            <w:vAlign w:val="bottom"/>
          </w:tcPr>
          <w:p>
            <w:pPr>
              <w:spacing w:after="0"/>
              <w:rPr>
                <w:sz w:val="3"/>
                <w:szCs w:val="3"/>
                <w:color w:val="auto"/>
              </w:rPr>
            </w:pPr>
          </w:p>
        </w:tc>
        <w:tc>
          <w:tcPr>
            <w:tcW w:w="5340" w:type="dxa"/>
            <w:vAlign w:val="bottom"/>
            <w:tcBorders>
              <w:bottom w:val="single" w:sz="8" w:color="auto"/>
            </w:tcBorders>
          </w:tcPr>
          <w:p>
            <w:pPr>
              <w:spacing w:after="0"/>
              <w:rPr>
                <w:sz w:val="3"/>
                <w:szCs w:val="3"/>
                <w:color w:val="auto"/>
              </w:rPr>
            </w:pPr>
          </w:p>
        </w:tc>
      </w:tr>
      <w:tr>
        <w:trPr>
          <w:trHeight w:val="236"/>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5340" w:type="dxa"/>
            <w:vAlign w:val="bottom"/>
          </w:tcPr>
          <w:p>
            <w:pPr>
              <w:ind w:left="20"/>
              <w:spacing w:after="0"/>
              <w:rPr>
                <w:sz w:val="20"/>
                <w:szCs w:val="20"/>
                <w:color w:val="auto"/>
              </w:rPr>
            </w:pPr>
            <w:r>
              <w:rPr>
                <w:rFonts w:ascii="Arial" w:cs="Arial" w:eastAsia="Arial" w:hAnsi="Arial"/>
                <w:sz w:val="18"/>
                <w:szCs w:val="18"/>
                <w:color w:val="auto"/>
              </w:rPr>
              <w:t>E. Hutchinson Robbins, Jr.</w:t>
            </w:r>
          </w:p>
        </w:tc>
      </w:tr>
      <w:tr>
        <w:trPr>
          <w:trHeight w:val="41"/>
        </w:trPr>
        <w:tc>
          <w:tcPr>
            <w:tcW w:w="740" w:type="dxa"/>
            <w:vAlign w:val="bottom"/>
          </w:tcPr>
          <w:p>
            <w:pPr>
              <w:spacing w:after="0"/>
              <w:rPr>
                <w:sz w:val="3"/>
                <w:szCs w:val="3"/>
                <w:color w:val="auto"/>
              </w:rPr>
            </w:pPr>
          </w:p>
        </w:tc>
        <w:tc>
          <w:tcPr>
            <w:tcW w:w="5340" w:type="dxa"/>
            <w:vAlign w:val="bottom"/>
            <w:tcBorders>
              <w:bottom w:val="single" w:sz="8" w:color="auto"/>
            </w:tcBorders>
          </w:tcPr>
          <w:p>
            <w:pPr>
              <w:spacing w:after="0"/>
              <w:rPr>
                <w:sz w:val="3"/>
                <w:szCs w:val="3"/>
                <w:color w:val="auto"/>
              </w:rPr>
            </w:pPr>
          </w:p>
        </w:tc>
      </w:tr>
      <w:tr>
        <w:trPr>
          <w:trHeight w:val="237"/>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5340" w:type="dxa"/>
            <w:vAlign w:val="bottom"/>
          </w:tcPr>
          <w:p>
            <w:pPr>
              <w:ind w:left="20"/>
              <w:spacing w:after="0"/>
              <w:rPr>
                <w:sz w:val="20"/>
                <w:szCs w:val="20"/>
                <w:color w:val="auto"/>
              </w:rPr>
            </w:pPr>
            <w:r>
              <w:rPr>
                <w:rFonts w:ascii="Arial" w:cs="Arial" w:eastAsia="Arial" w:hAnsi="Arial"/>
                <w:sz w:val="18"/>
                <w:szCs w:val="18"/>
                <w:color w:val="auto"/>
              </w:rPr>
              <w:t>Executive Vice President and General Counsel</w:t>
            </w:r>
          </w:p>
        </w:tc>
      </w:tr>
      <w:tr>
        <w:trPr>
          <w:trHeight w:val="40"/>
        </w:trPr>
        <w:tc>
          <w:tcPr>
            <w:tcW w:w="740" w:type="dxa"/>
            <w:vAlign w:val="bottom"/>
          </w:tcPr>
          <w:p>
            <w:pPr>
              <w:spacing w:after="0"/>
              <w:rPr>
                <w:sz w:val="3"/>
                <w:szCs w:val="3"/>
                <w:color w:val="auto"/>
              </w:rPr>
            </w:pPr>
          </w:p>
        </w:tc>
        <w:tc>
          <w:tcPr>
            <w:tcW w:w="5340" w:type="dxa"/>
            <w:vAlign w:val="bottom"/>
            <w:tcBorders>
              <w:bottom w:val="single" w:sz="8" w:color="auto"/>
            </w:tcBorders>
          </w:tcPr>
          <w:p>
            <w:pPr>
              <w:spacing w:after="0"/>
              <w:rPr>
                <w:sz w:val="3"/>
                <w:szCs w:val="3"/>
                <w:color w:val="auto"/>
              </w:rPr>
            </w:pPr>
          </w:p>
        </w:tc>
      </w:tr>
      <w:tr>
        <w:trPr>
          <w:trHeight w:val="493"/>
        </w:trPr>
        <w:tc>
          <w:tcPr>
            <w:tcW w:w="6080" w:type="dxa"/>
            <w:vAlign w:val="bottom"/>
            <w:gridSpan w:val="2"/>
          </w:tcPr>
          <w:p>
            <w:pPr>
              <w:spacing w:after="0"/>
              <w:rPr>
                <w:sz w:val="20"/>
                <w:szCs w:val="20"/>
                <w:color w:val="auto"/>
              </w:rPr>
            </w:pPr>
            <w:r>
              <w:rPr>
                <w:rFonts w:ascii="Arial" w:cs="Arial" w:eastAsia="Arial" w:hAnsi="Arial"/>
                <w:sz w:val="18"/>
                <w:szCs w:val="18"/>
                <w:color w:val="auto"/>
              </w:rPr>
              <w:t>UBIQUITY.COM, INC., as a Loan Guarantor</w:t>
            </w:r>
          </w:p>
        </w:tc>
      </w:tr>
      <w:tr>
        <w:trPr>
          <w:trHeight w:val="283"/>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5340" w:type="dxa"/>
            <w:vAlign w:val="bottom"/>
          </w:tcPr>
          <w:p>
            <w:pPr>
              <w:ind w:left="20"/>
              <w:spacing w:after="0"/>
              <w:rPr>
                <w:sz w:val="20"/>
                <w:szCs w:val="20"/>
                <w:color w:val="auto"/>
              </w:rPr>
            </w:pPr>
            <w:r>
              <w:rPr>
                <w:rFonts w:ascii="Arial" w:cs="Arial" w:eastAsia="Arial" w:hAnsi="Arial"/>
                <w:sz w:val="18"/>
                <w:szCs w:val="18"/>
                <w:color w:val="auto"/>
              </w:rPr>
              <w:t>/s/ E. Hutchinson Robbins, Jr.</w:t>
            </w:r>
          </w:p>
        </w:tc>
      </w:tr>
      <w:tr>
        <w:trPr>
          <w:trHeight w:val="41"/>
        </w:trPr>
        <w:tc>
          <w:tcPr>
            <w:tcW w:w="740" w:type="dxa"/>
            <w:vAlign w:val="bottom"/>
          </w:tcPr>
          <w:p>
            <w:pPr>
              <w:spacing w:after="0"/>
              <w:rPr>
                <w:sz w:val="3"/>
                <w:szCs w:val="3"/>
                <w:color w:val="auto"/>
              </w:rPr>
            </w:pPr>
          </w:p>
        </w:tc>
        <w:tc>
          <w:tcPr>
            <w:tcW w:w="5340" w:type="dxa"/>
            <w:vAlign w:val="bottom"/>
            <w:tcBorders>
              <w:bottom w:val="single" w:sz="8" w:color="auto"/>
            </w:tcBorders>
          </w:tcPr>
          <w:p>
            <w:pPr>
              <w:spacing w:after="0"/>
              <w:rPr>
                <w:sz w:val="3"/>
                <w:szCs w:val="3"/>
                <w:color w:val="auto"/>
              </w:rPr>
            </w:pPr>
          </w:p>
        </w:tc>
      </w:tr>
      <w:tr>
        <w:trPr>
          <w:trHeight w:val="237"/>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5340" w:type="dxa"/>
            <w:vAlign w:val="bottom"/>
          </w:tcPr>
          <w:p>
            <w:pPr>
              <w:ind w:left="20"/>
              <w:spacing w:after="0"/>
              <w:rPr>
                <w:sz w:val="20"/>
                <w:szCs w:val="20"/>
                <w:color w:val="auto"/>
              </w:rPr>
            </w:pPr>
            <w:r>
              <w:rPr>
                <w:rFonts w:ascii="Arial" w:cs="Arial" w:eastAsia="Arial" w:hAnsi="Arial"/>
                <w:sz w:val="18"/>
                <w:szCs w:val="18"/>
                <w:color w:val="auto"/>
              </w:rPr>
              <w:t>E. Hutchinson Robbins, Jr.</w:t>
            </w:r>
          </w:p>
        </w:tc>
      </w:tr>
      <w:tr>
        <w:trPr>
          <w:trHeight w:val="40"/>
        </w:trPr>
        <w:tc>
          <w:tcPr>
            <w:tcW w:w="740" w:type="dxa"/>
            <w:vAlign w:val="bottom"/>
          </w:tcPr>
          <w:p>
            <w:pPr>
              <w:spacing w:after="0"/>
              <w:rPr>
                <w:sz w:val="3"/>
                <w:szCs w:val="3"/>
                <w:color w:val="auto"/>
              </w:rPr>
            </w:pPr>
          </w:p>
        </w:tc>
        <w:tc>
          <w:tcPr>
            <w:tcW w:w="5340" w:type="dxa"/>
            <w:vAlign w:val="bottom"/>
            <w:tcBorders>
              <w:bottom w:val="single" w:sz="8" w:color="auto"/>
            </w:tcBorders>
          </w:tcPr>
          <w:p>
            <w:pPr>
              <w:spacing w:after="0"/>
              <w:rPr>
                <w:sz w:val="3"/>
                <w:szCs w:val="3"/>
                <w:color w:val="auto"/>
              </w:rPr>
            </w:pPr>
          </w:p>
        </w:tc>
      </w:tr>
      <w:tr>
        <w:trPr>
          <w:trHeight w:val="237"/>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5340" w:type="dxa"/>
            <w:vAlign w:val="bottom"/>
          </w:tcPr>
          <w:p>
            <w:pPr>
              <w:ind w:left="20"/>
              <w:spacing w:after="0"/>
              <w:rPr>
                <w:sz w:val="20"/>
                <w:szCs w:val="20"/>
                <w:color w:val="auto"/>
              </w:rPr>
            </w:pPr>
            <w:r>
              <w:rPr>
                <w:rFonts w:ascii="Arial" w:cs="Arial" w:eastAsia="Arial" w:hAnsi="Arial"/>
                <w:sz w:val="18"/>
                <w:szCs w:val="18"/>
                <w:color w:val="auto"/>
              </w:rPr>
              <w:t>Authorized Officer</w:t>
            </w:r>
          </w:p>
        </w:tc>
      </w:tr>
      <w:tr>
        <w:trPr>
          <w:trHeight w:val="40"/>
        </w:trPr>
        <w:tc>
          <w:tcPr>
            <w:tcW w:w="740" w:type="dxa"/>
            <w:vAlign w:val="bottom"/>
          </w:tcPr>
          <w:p>
            <w:pPr>
              <w:spacing w:after="0"/>
              <w:rPr>
                <w:sz w:val="3"/>
                <w:szCs w:val="3"/>
                <w:color w:val="auto"/>
              </w:rPr>
            </w:pPr>
          </w:p>
        </w:tc>
        <w:tc>
          <w:tcPr>
            <w:tcW w:w="5340" w:type="dxa"/>
            <w:vAlign w:val="bottom"/>
            <w:tcBorders>
              <w:bottom w:val="single" w:sz="8" w:color="auto"/>
            </w:tcBorders>
          </w:tcPr>
          <w:p>
            <w:pPr>
              <w:spacing w:after="0"/>
              <w:rPr>
                <w:sz w:val="3"/>
                <w:szCs w:val="3"/>
                <w:color w:val="auto"/>
              </w:rPr>
            </w:pPr>
          </w:p>
        </w:tc>
      </w:tr>
      <w:tr>
        <w:trPr>
          <w:trHeight w:val="493"/>
        </w:trPr>
        <w:tc>
          <w:tcPr>
            <w:tcW w:w="6080" w:type="dxa"/>
            <w:vAlign w:val="bottom"/>
            <w:gridSpan w:val="2"/>
          </w:tcPr>
          <w:p>
            <w:pPr>
              <w:spacing w:after="0"/>
              <w:rPr>
                <w:sz w:val="20"/>
                <w:szCs w:val="20"/>
                <w:color w:val="auto"/>
              </w:rPr>
            </w:pPr>
            <w:r>
              <w:rPr>
                <w:rFonts w:ascii="Arial" w:cs="Arial" w:eastAsia="Arial" w:hAnsi="Arial"/>
                <w:sz w:val="18"/>
                <w:szCs w:val="18"/>
                <w:color w:val="auto"/>
              </w:rPr>
              <w:t>XACTA CORPORATION, as a Loan Guarantor</w:t>
            </w:r>
          </w:p>
        </w:tc>
      </w:tr>
      <w:tr>
        <w:trPr>
          <w:trHeight w:val="283"/>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5340" w:type="dxa"/>
            <w:vAlign w:val="bottom"/>
          </w:tcPr>
          <w:p>
            <w:pPr>
              <w:ind w:left="20"/>
              <w:spacing w:after="0"/>
              <w:rPr>
                <w:sz w:val="20"/>
                <w:szCs w:val="20"/>
                <w:color w:val="auto"/>
              </w:rPr>
            </w:pPr>
            <w:r>
              <w:rPr>
                <w:rFonts w:ascii="Arial" w:cs="Arial" w:eastAsia="Arial" w:hAnsi="Arial"/>
                <w:sz w:val="18"/>
                <w:szCs w:val="18"/>
                <w:color w:val="auto"/>
              </w:rPr>
              <w:t>/s/ E. Hutchinson Robbins, Jr.</w:t>
            </w:r>
          </w:p>
        </w:tc>
      </w:tr>
      <w:tr>
        <w:trPr>
          <w:trHeight w:val="41"/>
        </w:trPr>
        <w:tc>
          <w:tcPr>
            <w:tcW w:w="740" w:type="dxa"/>
            <w:vAlign w:val="bottom"/>
          </w:tcPr>
          <w:p>
            <w:pPr>
              <w:spacing w:after="0"/>
              <w:rPr>
                <w:sz w:val="3"/>
                <w:szCs w:val="3"/>
                <w:color w:val="auto"/>
              </w:rPr>
            </w:pPr>
          </w:p>
        </w:tc>
        <w:tc>
          <w:tcPr>
            <w:tcW w:w="5340" w:type="dxa"/>
            <w:vAlign w:val="bottom"/>
            <w:tcBorders>
              <w:bottom w:val="single" w:sz="8" w:color="auto"/>
            </w:tcBorders>
          </w:tcPr>
          <w:p>
            <w:pPr>
              <w:spacing w:after="0"/>
              <w:rPr>
                <w:sz w:val="3"/>
                <w:szCs w:val="3"/>
                <w:color w:val="auto"/>
              </w:rPr>
            </w:pPr>
          </w:p>
        </w:tc>
      </w:tr>
      <w:tr>
        <w:trPr>
          <w:trHeight w:val="237"/>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5340" w:type="dxa"/>
            <w:vAlign w:val="bottom"/>
          </w:tcPr>
          <w:p>
            <w:pPr>
              <w:ind w:left="20"/>
              <w:spacing w:after="0"/>
              <w:rPr>
                <w:sz w:val="20"/>
                <w:szCs w:val="20"/>
                <w:color w:val="auto"/>
              </w:rPr>
            </w:pPr>
            <w:r>
              <w:rPr>
                <w:rFonts w:ascii="Arial" w:cs="Arial" w:eastAsia="Arial" w:hAnsi="Arial"/>
                <w:sz w:val="18"/>
                <w:szCs w:val="18"/>
                <w:color w:val="auto"/>
              </w:rPr>
              <w:t>E. Hutchinson Robbins, Jr.</w:t>
            </w:r>
          </w:p>
        </w:tc>
      </w:tr>
      <w:tr>
        <w:trPr>
          <w:trHeight w:val="40"/>
        </w:trPr>
        <w:tc>
          <w:tcPr>
            <w:tcW w:w="740" w:type="dxa"/>
            <w:vAlign w:val="bottom"/>
          </w:tcPr>
          <w:p>
            <w:pPr>
              <w:spacing w:after="0"/>
              <w:rPr>
                <w:sz w:val="3"/>
                <w:szCs w:val="3"/>
                <w:color w:val="auto"/>
              </w:rPr>
            </w:pPr>
          </w:p>
        </w:tc>
        <w:tc>
          <w:tcPr>
            <w:tcW w:w="5340" w:type="dxa"/>
            <w:vAlign w:val="bottom"/>
            <w:tcBorders>
              <w:bottom w:val="single" w:sz="8" w:color="auto"/>
            </w:tcBorders>
          </w:tcPr>
          <w:p>
            <w:pPr>
              <w:spacing w:after="0"/>
              <w:rPr>
                <w:sz w:val="3"/>
                <w:szCs w:val="3"/>
                <w:color w:val="auto"/>
              </w:rPr>
            </w:pPr>
          </w:p>
        </w:tc>
      </w:tr>
      <w:tr>
        <w:trPr>
          <w:trHeight w:val="237"/>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5340" w:type="dxa"/>
            <w:vAlign w:val="bottom"/>
          </w:tcPr>
          <w:p>
            <w:pPr>
              <w:ind w:left="20"/>
              <w:spacing w:after="0"/>
              <w:rPr>
                <w:sz w:val="20"/>
                <w:szCs w:val="20"/>
                <w:color w:val="auto"/>
              </w:rPr>
            </w:pPr>
            <w:r>
              <w:rPr>
                <w:rFonts w:ascii="Arial" w:cs="Arial" w:eastAsia="Arial" w:hAnsi="Arial"/>
                <w:sz w:val="18"/>
                <w:szCs w:val="18"/>
                <w:color w:val="auto"/>
              </w:rPr>
              <w:t>Authorized Officer</w:t>
            </w:r>
          </w:p>
        </w:tc>
      </w:tr>
      <w:tr>
        <w:trPr>
          <w:trHeight w:val="40"/>
        </w:trPr>
        <w:tc>
          <w:tcPr>
            <w:tcW w:w="740" w:type="dxa"/>
            <w:vAlign w:val="bottom"/>
          </w:tcPr>
          <w:p>
            <w:pPr>
              <w:spacing w:after="0"/>
              <w:rPr>
                <w:sz w:val="3"/>
                <w:szCs w:val="3"/>
                <w:color w:val="auto"/>
              </w:rPr>
            </w:pPr>
          </w:p>
        </w:tc>
        <w:tc>
          <w:tcPr>
            <w:tcW w:w="5340" w:type="dxa"/>
            <w:vAlign w:val="bottom"/>
            <w:tcBorders>
              <w:bottom w:val="single" w:sz="8" w:color="auto"/>
            </w:tcBorders>
          </w:tcPr>
          <w:p>
            <w:pPr>
              <w:spacing w:after="0"/>
              <w:rPr>
                <w:sz w:val="3"/>
                <w:szCs w:val="3"/>
                <w:color w:val="auto"/>
              </w:rPr>
            </w:pPr>
          </w:p>
        </w:tc>
      </w:tr>
      <w:tr>
        <w:trPr>
          <w:trHeight w:val="493"/>
        </w:trPr>
        <w:tc>
          <w:tcPr>
            <w:tcW w:w="6080" w:type="dxa"/>
            <w:vAlign w:val="bottom"/>
            <w:gridSpan w:val="2"/>
          </w:tcPr>
          <w:p>
            <w:pPr>
              <w:spacing w:after="0"/>
              <w:rPr>
                <w:sz w:val="20"/>
                <w:szCs w:val="20"/>
                <w:color w:val="auto"/>
              </w:rPr>
            </w:pPr>
            <w:r>
              <w:rPr>
                <w:rFonts w:ascii="Arial" w:cs="Arial" w:eastAsia="Arial" w:hAnsi="Arial"/>
                <w:sz w:val="18"/>
                <w:szCs w:val="18"/>
                <w:color w:val="auto"/>
              </w:rPr>
              <w:t>TELOWORKS, INC., as a Loan Guarantor</w:t>
            </w:r>
          </w:p>
        </w:tc>
      </w:tr>
      <w:tr>
        <w:trPr>
          <w:trHeight w:val="283"/>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5340" w:type="dxa"/>
            <w:vAlign w:val="bottom"/>
          </w:tcPr>
          <w:p>
            <w:pPr>
              <w:ind w:left="20"/>
              <w:spacing w:after="0"/>
              <w:rPr>
                <w:sz w:val="20"/>
                <w:szCs w:val="20"/>
                <w:color w:val="auto"/>
              </w:rPr>
            </w:pPr>
            <w:r>
              <w:rPr>
                <w:rFonts w:ascii="Arial" w:cs="Arial" w:eastAsia="Arial" w:hAnsi="Arial"/>
                <w:sz w:val="18"/>
                <w:szCs w:val="18"/>
                <w:color w:val="auto"/>
              </w:rPr>
              <w:t>/s/ E. Hutchinson Robbins, Jr.</w:t>
            </w:r>
          </w:p>
        </w:tc>
      </w:tr>
      <w:tr>
        <w:trPr>
          <w:trHeight w:val="41"/>
        </w:trPr>
        <w:tc>
          <w:tcPr>
            <w:tcW w:w="740" w:type="dxa"/>
            <w:vAlign w:val="bottom"/>
          </w:tcPr>
          <w:p>
            <w:pPr>
              <w:spacing w:after="0"/>
              <w:rPr>
                <w:sz w:val="3"/>
                <w:szCs w:val="3"/>
                <w:color w:val="auto"/>
              </w:rPr>
            </w:pPr>
          </w:p>
        </w:tc>
        <w:tc>
          <w:tcPr>
            <w:tcW w:w="5340" w:type="dxa"/>
            <w:vAlign w:val="bottom"/>
            <w:tcBorders>
              <w:bottom w:val="single" w:sz="8" w:color="auto"/>
            </w:tcBorders>
          </w:tcPr>
          <w:p>
            <w:pPr>
              <w:spacing w:after="0"/>
              <w:rPr>
                <w:sz w:val="3"/>
                <w:szCs w:val="3"/>
                <w:color w:val="auto"/>
              </w:rPr>
            </w:pPr>
          </w:p>
        </w:tc>
      </w:tr>
      <w:tr>
        <w:trPr>
          <w:trHeight w:val="237"/>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5340" w:type="dxa"/>
            <w:vAlign w:val="bottom"/>
          </w:tcPr>
          <w:p>
            <w:pPr>
              <w:ind w:left="20"/>
              <w:spacing w:after="0"/>
              <w:rPr>
                <w:sz w:val="20"/>
                <w:szCs w:val="20"/>
                <w:color w:val="auto"/>
              </w:rPr>
            </w:pPr>
            <w:r>
              <w:rPr>
                <w:rFonts w:ascii="Arial" w:cs="Arial" w:eastAsia="Arial" w:hAnsi="Arial"/>
                <w:sz w:val="18"/>
                <w:szCs w:val="18"/>
                <w:color w:val="auto"/>
              </w:rPr>
              <w:t>E. Hutchinson Robbins, Jr.</w:t>
            </w:r>
          </w:p>
        </w:tc>
      </w:tr>
      <w:tr>
        <w:trPr>
          <w:trHeight w:val="40"/>
        </w:trPr>
        <w:tc>
          <w:tcPr>
            <w:tcW w:w="740" w:type="dxa"/>
            <w:vAlign w:val="bottom"/>
          </w:tcPr>
          <w:p>
            <w:pPr>
              <w:spacing w:after="0"/>
              <w:rPr>
                <w:sz w:val="3"/>
                <w:szCs w:val="3"/>
                <w:color w:val="auto"/>
              </w:rPr>
            </w:pPr>
          </w:p>
        </w:tc>
        <w:tc>
          <w:tcPr>
            <w:tcW w:w="5340" w:type="dxa"/>
            <w:vAlign w:val="bottom"/>
            <w:tcBorders>
              <w:bottom w:val="single" w:sz="8" w:color="auto"/>
            </w:tcBorders>
          </w:tcPr>
          <w:p>
            <w:pPr>
              <w:spacing w:after="0"/>
              <w:rPr>
                <w:sz w:val="3"/>
                <w:szCs w:val="3"/>
                <w:color w:val="auto"/>
              </w:rPr>
            </w:pPr>
          </w:p>
        </w:tc>
      </w:tr>
      <w:tr>
        <w:trPr>
          <w:trHeight w:val="237"/>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5340" w:type="dxa"/>
            <w:vAlign w:val="bottom"/>
          </w:tcPr>
          <w:p>
            <w:pPr>
              <w:ind w:left="20"/>
              <w:spacing w:after="0"/>
              <w:rPr>
                <w:sz w:val="20"/>
                <w:szCs w:val="20"/>
                <w:color w:val="auto"/>
              </w:rPr>
            </w:pPr>
            <w:r>
              <w:rPr>
                <w:rFonts w:ascii="Arial" w:cs="Arial" w:eastAsia="Arial" w:hAnsi="Arial"/>
                <w:sz w:val="18"/>
                <w:szCs w:val="18"/>
                <w:color w:val="auto"/>
              </w:rPr>
              <w:t>Authorized Officer</w:t>
            </w:r>
          </w:p>
        </w:tc>
      </w:tr>
      <w:tr>
        <w:trPr>
          <w:trHeight w:val="40"/>
        </w:trPr>
        <w:tc>
          <w:tcPr>
            <w:tcW w:w="740" w:type="dxa"/>
            <w:vAlign w:val="bottom"/>
          </w:tcPr>
          <w:p>
            <w:pPr>
              <w:spacing w:after="0"/>
              <w:rPr>
                <w:sz w:val="3"/>
                <w:szCs w:val="3"/>
                <w:color w:val="auto"/>
              </w:rPr>
            </w:pPr>
          </w:p>
        </w:tc>
        <w:tc>
          <w:tcPr>
            <w:tcW w:w="5340" w:type="dxa"/>
            <w:vAlign w:val="bottom"/>
            <w:tcBorders>
              <w:bottom w:val="single" w:sz="8" w:color="auto"/>
            </w:tcBorders>
          </w:tcPr>
          <w:p>
            <w:pPr>
              <w:spacing w:after="0"/>
              <w:rPr>
                <w:sz w:val="3"/>
                <w:szCs w:val="3"/>
                <w:color w:val="auto"/>
              </w:rPr>
            </w:pPr>
          </w:p>
        </w:tc>
      </w:tr>
      <w:tr>
        <w:trPr>
          <w:trHeight w:val="493"/>
        </w:trPr>
        <w:tc>
          <w:tcPr>
            <w:tcW w:w="6080" w:type="dxa"/>
            <w:vAlign w:val="bottom"/>
            <w:gridSpan w:val="2"/>
          </w:tcPr>
          <w:p>
            <w:pPr>
              <w:spacing w:after="0"/>
              <w:rPr>
                <w:sz w:val="20"/>
                <w:szCs w:val="20"/>
                <w:color w:val="auto"/>
              </w:rPr>
            </w:pPr>
            <w:r>
              <w:rPr>
                <w:rFonts w:ascii="Arial" w:cs="Arial" w:eastAsia="Arial" w:hAnsi="Arial"/>
                <w:sz w:val="18"/>
                <w:szCs w:val="18"/>
                <w:color w:val="auto"/>
                <w:w w:val="99"/>
              </w:rPr>
              <w:t>TELOS IDENTITY MANAGEMENT SOLUTIONS, LLC, as a Loan Guarantor</w:t>
            </w:r>
          </w:p>
        </w:tc>
      </w:tr>
      <w:tr>
        <w:trPr>
          <w:trHeight w:val="284"/>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5340" w:type="dxa"/>
            <w:vAlign w:val="bottom"/>
          </w:tcPr>
          <w:p>
            <w:pPr>
              <w:ind w:left="20"/>
              <w:spacing w:after="0"/>
              <w:rPr>
                <w:sz w:val="20"/>
                <w:szCs w:val="20"/>
                <w:color w:val="auto"/>
              </w:rPr>
            </w:pPr>
            <w:r>
              <w:rPr>
                <w:rFonts w:ascii="Arial" w:cs="Arial" w:eastAsia="Arial" w:hAnsi="Arial"/>
                <w:sz w:val="18"/>
                <w:szCs w:val="18"/>
                <w:color w:val="auto"/>
              </w:rPr>
              <w:t>/s/ E. Hutchinson Robbins, Jr.</w:t>
            </w:r>
          </w:p>
        </w:tc>
      </w:tr>
      <w:tr>
        <w:trPr>
          <w:trHeight w:val="40"/>
        </w:trPr>
        <w:tc>
          <w:tcPr>
            <w:tcW w:w="740" w:type="dxa"/>
            <w:vAlign w:val="bottom"/>
          </w:tcPr>
          <w:p>
            <w:pPr>
              <w:spacing w:after="0"/>
              <w:rPr>
                <w:sz w:val="3"/>
                <w:szCs w:val="3"/>
                <w:color w:val="auto"/>
              </w:rPr>
            </w:pPr>
          </w:p>
        </w:tc>
        <w:tc>
          <w:tcPr>
            <w:tcW w:w="5340" w:type="dxa"/>
            <w:vAlign w:val="bottom"/>
            <w:tcBorders>
              <w:bottom w:val="single" w:sz="8" w:color="auto"/>
            </w:tcBorders>
          </w:tcPr>
          <w:p>
            <w:pPr>
              <w:spacing w:after="0"/>
              <w:rPr>
                <w:sz w:val="3"/>
                <w:szCs w:val="3"/>
                <w:color w:val="auto"/>
              </w:rPr>
            </w:pPr>
          </w:p>
        </w:tc>
      </w:tr>
      <w:tr>
        <w:trPr>
          <w:trHeight w:val="237"/>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5340" w:type="dxa"/>
            <w:vAlign w:val="bottom"/>
          </w:tcPr>
          <w:p>
            <w:pPr>
              <w:ind w:left="20"/>
              <w:spacing w:after="0"/>
              <w:rPr>
                <w:sz w:val="20"/>
                <w:szCs w:val="20"/>
                <w:color w:val="auto"/>
              </w:rPr>
            </w:pPr>
            <w:r>
              <w:rPr>
                <w:rFonts w:ascii="Arial" w:cs="Arial" w:eastAsia="Arial" w:hAnsi="Arial"/>
                <w:sz w:val="18"/>
                <w:szCs w:val="18"/>
                <w:color w:val="auto"/>
              </w:rPr>
              <w:t>E. Hutchinson Robbins, Jr.</w:t>
            </w:r>
          </w:p>
        </w:tc>
      </w:tr>
      <w:tr>
        <w:trPr>
          <w:trHeight w:val="40"/>
        </w:trPr>
        <w:tc>
          <w:tcPr>
            <w:tcW w:w="740" w:type="dxa"/>
            <w:vAlign w:val="bottom"/>
          </w:tcPr>
          <w:p>
            <w:pPr>
              <w:spacing w:after="0"/>
              <w:rPr>
                <w:sz w:val="3"/>
                <w:szCs w:val="3"/>
                <w:color w:val="auto"/>
              </w:rPr>
            </w:pPr>
          </w:p>
        </w:tc>
        <w:tc>
          <w:tcPr>
            <w:tcW w:w="5340" w:type="dxa"/>
            <w:vAlign w:val="bottom"/>
            <w:tcBorders>
              <w:bottom w:val="single" w:sz="8" w:color="auto"/>
            </w:tcBorders>
          </w:tcPr>
          <w:p>
            <w:pPr>
              <w:spacing w:after="0"/>
              <w:rPr>
                <w:sz w:val="3"/>
                <w:szCs w:val="3"/>
                <w:color w:val="auto"/>
              </w:rPr>
            </w:pPr>
          </w:p>
        </w:tc>
      </w:tr>
      <w:tr>
        <w:trPr>
          <w:trHeight w:val="237"/>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5340" w:type="dxa"/>
            <w:vAlign w:val="bottom"/>
          </w:tcPr>
          <w:p>
            <w:pPr>
              <w:ind w:left="20"/>
              <w:spacing w:after="0"/>
              <w:rPr>
                <w:sz w:val="20"/>
                <w:szCs w:val="20"/>
                <w:color w:val="auto"/>
              </w:rPr>
            </w:pPr>
            <w:r>
              <w:rPr>
                <w:rFonts w:ascii="Arial" w:cs="Arial" w:eastAsia="Arial" w:hAnsi="Arial"/>
                <w:sz w:val="18"/>
                <w:szCs w:val="18"/>
                <w:color w:val="auto"/>
              </w:rPr>
              <w:t>Authorized Officer</w:t>
            </w:r>
          </w:p>
        </w:tc>
      </w:tr>
      <w:tr>
        <w:trPr>
          <w:trHeight w:val="40"/>
        </w:trPr>
        <w:tc>
          <w:tcPr>
            <w:tcW w:w="740" w:type="dxa"/>
            <w:vAlign w:val="bottom"/>
          </w:tcPr>
          <w:p>
            <w:pPr>
              <w:spacing w:after="0"/>
              <w:rPr>
                <w:sz w:val="3"/>
                <w:szCs w:val="3"/>
                <w:color w:val="auto"/>
              </w:rPr>
            </w:pPr>
          </w:p>
        </w:tc>
        <w:tc>
          <w:tcPr>
            <w:tcW w:w="5340" w:type="dxa"/>
            <w:vAlign w:val="bottom"/>
            <w:tcBorders>
              <w:bottom w:val="single" w:sz="8" w:color="auto"/>
            </w:tcBorders>
          </w:tcPr>
          <w:p>
            <w:pPr>
              <w:spacing w:after="0"/>
              <w:rPr>
                <w:sz w:val="3"/>
                <w:szCs w:val="3"/>
                <w:color w:val="auto"/>
              </w:rPr>
            </w:pPr>
          </w:p>
        </w:tc>
      </w:tr>
    </w:tbl>
    <w:p>
      <w:pPr>
        <w:spacing w:after="0" w:line="200" w:lineRule="exact"/>
        <w:rPr>
          <w:sz w:val="20"/>
          <w:szCs w:val="20"/>
          <w:color w:val="auto"/>
        </w:rPr>
      </w:pPr>
    </w:p>
    <w:p>
      <w:pPr>
        <w:sectPr>
          <w:pgSz w:w="11900" w:h="16838" w:orient="portrait"/>
          <w:cols w:equalWidth="0" w:num="1">
            <w:col w:w="11220"/>
          </w:cols>
          <w:pgMar w:left="320" w:top="87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Signature Page to First Amendment to Credit Agreement</w:t>
      </w:r>
      <w:r>
        <w:rPr>
          <w:rFonts w:ascii="Arial" w:cs="Arial" w:eastAsia="Arial" w:hAnsi="Arial"/>
          <w:sz w:val="15"/>
          <w:szCs w:val="15"/>
          <w:b w:val="1"/>
          <w:bCs w:val="1"/>
          <w:color w:val="auto"/>
        </w:rPr>
        <w:t>]</w:t>
      </w:r>
    </w:p>
    <w:p>
      <w:pPr>
        <w:sectPr>
          <w:pgSz w:w="11900" w:h="16838" w:orient="portrait"/>
          <w:cols w:equalWidth="0" w:num="1">
            <w:col w:w="11220"/>
          </w:cols>
          <w:pgMar w:left="320" w:top="877" w:right="359" w:bottom="1440" w:gutter="0" w:footer="0" w:header="0"/>
          <w:type w:val="continuous"/>
        </w:sectPr>
      </w:pPr>
    </w:p>
    <w:bookmarkStart w:id="32" w:name="page33"/>
    <w:bookmarkEnd w:id="32"/>
    <w:p>
      <w:pPr>
        <w:ind w:left="4000" w:right="80"/>
        <w:spacing w:after="0" w:line="289" w:lineRule="auto"/>
        <w:rPr>
          <w:sz w:val="20"/>
          <w:szCs w:val="20"/>
          <w:color w:val="auto"/>
        </w:rPr>
      </w:pPr>
      <w:r>
        <w:rPr>
          <w:rFonts w:ascii="Arial" w:cs="Arial" w:eastAsia="Arial" w:hAnsi="Arial"/>
          <w:sz w:val="18"/>
          <w:szCs w:val="18"/>
          <w:color w:val="auto"/>
        </w:rPr>
        <w:t>JPMORGAN CHASE BANK, N.A., individually, and as Administrative Agent and Issuing Bank</w:t>
      </w:r>
    </w:p>
    <w:p>
      <w:pPr>
        <w:spacing w:after="0" w:line="1" w:lineRule="exact"/>
        <w:rPr>
          <w:sz w:val="20"/>
          <w:szCs w:val="20"/>
          <w:color w:val="auto"/>
        </w:rPr>
      </w:pPr>
    </w:p>
    <w:tbl>
      <w:tblPr>
        <w:tblLayout w:type="fixed"/>
        <w:tblInd w:w="400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5340" w:type="dxa"/>
            <w:vAlign w:val="bottom"/>
          </w:tcPr>
          <w:p>
            <w:pPr>
              <w:ind w:left="20"/>
              <w:spacing w:after="0"/>
              <w:rPr>
                <w:sz w:val="20"/>
                <w:szCs w:val="20"/>
                <w:color w:val="auto"/>
              </w:rPr>
            </w:pPr>
            <w:r>
              <w:rPr>
                <w:rFonts w:ascii="Arial" w:cs="Arial" w:eastAsia="Arial" w:hAnsi="Arial"/>
                <w:sz w:val="18"/>
                <w:szCs w:val="18"/>
                <w:color w:val="auto"/>
              </w:rPr>
              <w:t>/s/ Myles Upchurch</w:t>
            </w:r>
          </w:p>
        </w:tc>
      </w:tr>
      <w:tr>
        <w:trPr>
          <w:trHeight w:val="40"/>
        </w:trPr>
        <w:tc>
          <w:tcPr>
            <w:tcW w:w="760" w:type="dxa"/>
            <w:vAlign w:val="bottom"/>
          </w:tcPr>
          <w:p>
            <w:pPr>
              <w:spacing w:after="0"/>
              <w:rPr>
                <w:sz w:val="3"/>
                <w:szCs w:val="3"/>
                <w:color w:val="auto"/>
              </w:rPr>
            </w:pPr>
          </w:p>
        </w:tc>
        <w:tc>
          <w:tcPr>
            <w:tcW w:w="5340" w:type="dxa"/>
            <w:vAlign w:val="bottom"/>
            <w:tcBorders>
              <w:bottom w:val="single" w:sz="8" w:color="auto"/>
            </w:tcBorders>
          </w:tcPr>
          <w:p>
            <w:pPr>
              <w:spacing w:after="0"/>
              <w:rPr>
                <w:sz w:val="3"/>
                <w:szCs w:val="3"/>
                <w:color w:val="auto"/>
              </w:rPr>
            </w:pPr>
          </w:p>
        </w:tc>
      </w:tr>
      <w:tr>
        <w:trPr>
          <w:trHeight w:val="237"/>
        </w:trPr>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5340" w:type="dxa"/>
            <w:vAlign w:val="bottom"/>
          </w:tcPr>
          <w:p>
            <w:pPr>
              <w:ind w:left="20"/>
              <w:spacing w:after="0"/>
              <w:rPr>
                <w:sz w:val="20"/>
                <w:szCs w:val="20"/>
                <w:color w:val="auto"/>
              </w:rPr>
            </w:pPr>
            <w:r>
              <w:rPr>
                <w:rFonts w:ascii="Arial" w:cs="Arial" w:eastAsia="Arial" w:hAnsi="Arial"/>
                <w:sz w:val="18"/>
                <w:szCs w:val="18"/>
                <w:color w:val="auto"/>
              </w:rPr>
              <w:t>Myles Upchurch</w:t>
            </w:r>
          </w:p>
        </w:tc>
      </w:tr>
      <w:tr>
        <w:trPr>
          <w:trHeight w:val="41"/>
        </w:trPr>
        <w:tc>
          <w:tcPr>
            <w:tcW w:w="760" w:type="dxa"/>
            <w:vAlign w:val="bottom"/>
          </w:tcPr>
          <w:p>
            <w:pPr>
              <w:spacing w:after="0"/>
              <w:rPr>
                <w:sz w:val="3"/>
                <w:szCs w:val="3"/>
                <w:color w:val="auto"/>
              </w:rPr>
            </w:pPr>
          </w:p>
        </w:tc>
        <w:tc>
          <w:tcPr>
            <w:tcW w:w="5340" w:type="dxa"/>
            <w:vAlign w:val="bottom"/>
            <w:tcBorders>
              <w:bottom w:val="single" w:sz="8" w:color="auto"/>
            </w:tcBorders>
          </w:tcPr>
          <w:p>
            <w:pPr>
              <w:spacing w:after="0"/>
              <w:rPr>
                <w:sz w:val="3"/>
                <w:szCs w:val="3"/>
                <w:color w:val="auto"/>
              </w:rPr>
            </w:pPr>
          </w:p>
        </w:tc>
      </w:tr>
      <w:tr>
        <w:trPr>
          <w:trHeight w:val="237"/>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5340" w:type="dxa"/>
            <w:vAlign w:val="bottom"/>
          </w:tcPr>
          <w:p>
            <w:pPr>
              <w:ind w:left="20"/>
              <w:spacing w:after="0"/>
              <w:rPr>
                <w:sz w:val="20"/>
                <w:szCs w:val="20"/>
                <w:color w:val="auto"/>
              </w:rPr>
            </w:pPr>
            <w:r>
              <w:rPr>
                <w:rFonts w:ascii="Arial" w:cs="Arial" w:eastAsia="Arial" w:hAnsi="Arial"/>
                <w:sz w:val="18"/>
                <w:szCs w:val="18"/>
                <w:color w:val="auto"/>
              </w:rPr>
              <w:t>Authorized Credit Officer</w:t>
            </w:r>
          </w:p>
        </w:tc>
      </w:tr>
      <w:tr>
        <w:trPr>
          <w:trHeight w:val="40"/>
        </w:trPr>
        <w:tc>
          <w:tcPr>
            <w:tcW w:w="760" w:type="dxa"/>
            <w:vAlign w:val="bottom"/>
          </w:tcPr>
          <w:p>
            <w:pPr>
              <w:spacing w:after="0"/>
              <w:rPr>
                <w:sz w:val="3"/>
                <w:szCs w:val="3"/>
                <w:color w:val="auto"/>
              </w:rPr>
            </w:pPr>
          </w:p>
        </w:tc>
        <w:tc>
          <w:tcPr>
            <w:tcW w:w="5340" w:type="dxa"/>
            <w:vAlign w:val="bottom"/>
            <w:tcBorders>
              <w:bottom w:val="single" w:sz="8" w:color="auto"/>
            </w:tcBorders>
          </w:tcPr>
          <w:p>
            <w:pPr>
              <w:spacing w:after="0"/>
              <w:rPr>
                <w:sz w:val="3"/>
                <w:szCs w:val="3"/>
                <w:color w:val="auto"/>
              </w:rPr>
            </w:pPr>
          </w:p>
        </w:tc>
      </w:tr>
      <w:tr>
        <w:trPr>
          <w:trHeight w:val="763"/>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5340" w:type="dxa"/>
            <w:vAlign w:val="bottom"/>
          </w:tcPr>
          <w:p>
            <w:pPr>
              <w:ind w:left="20"/>
              <w:spacing w:after="0"/>
              <w:rPr>
                <w:sz w:val="20"/>
                <w:szCs w:val="20"/>
                <w:color w:val="auto"/>
              </w:rPr>
            </w:pPr>
            <w:r>
              <w:rPr>
                <w:rFonts w:ascii="Arial" w:cs="Arial" w:eastAsia="Arial" w:hAnsi="Arial"/>
                <w:sz w:val="18"/>
                <w:szCs w:val="18"/>
                <w:color w:val="auto"/>
              </w:rPr>
              <w:t>/s/ Myles Upchurch</w:t>
            </w:r>
          </w:p>
        </w:tc>
      </w:tr>
      <w:tr>
        <w:trPr>
          <w:trHeight w:val="40"/>
        </w:trPr>
        <w:tc>
          <w:tcPr>
            <w:tcW w:w="760" w:type="dxa"/>
            <w:vAlign w:val="bottom"/>
          </w:tcPr>
          <w:p>
            <w:pPr>
              <w:spacing w:after="0"/>
              <w:rPr>
                <w:sz w:val="3"/>
                <w:szCs w:val="3"/>
                <w:color w:val="auto"/>
              </w:rPr>
            </w:pPr>
          </w:p>
        </w:tc>
        <w:tc>
          <w:tcPr>
            <w:tcW w:w="5340" w:type="dxa"/>
            <w:vAlign w:val="bottom"/>
            <w:tcBorders>
              <w:bottom w:val="single" w:sz="8" w:color="auto"/>
            </w:tcBorders>
          </w:tcPr>
          <w:p>
            <w:pPr>
              <w:spacing w:after="0"/>
              <w:rPr>
                <w:sz w:val="3"/>
                <w:szCs w:val="3"/>
                <w:color w:val="auto"/>
              </w:rPr>
            </w:pPr>
          </w:p>
        </w:tc>
      </w:tr>
      <w:tr>
        <w:trPr>
          <w:trHeight w:val="237"/>
        </w:trPr>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5340" w:type="dxa"/>
            <w:vAlign w:val="bottom"/>
          </w:tcPr>
          <w:p>
            <w:pPr>
              <w:ind w:left="20"/>
              <w:spacing w:after="0"/>
              <w:rPr>
                <w:sz w:val="20"/>
                <w:szCs w:val="20"/>
                <w:color w:val="auto"/>
              </w:rPr>
            </w:pPr>
            <w:r>
              <w:rPr>
                <w:rFonts w:ascii="Arial" w:cs="Arial" w:eastAsia="Arial" w:hAnsi="Arial"/>
                <w:sz w:val="18"/>
                <w:szCs w:val="18"/>
                <w:color w:val="auto"/>
              </w:rPr>
              <w:t>Myles Upchurch</w:t>
            </w:r>
          </w:p>
        </w:tc>
      </w:tr>
      <w:tr>
        <w:trPr>
          <w:trHeight w:val="40"/>
        </w:trPr>
        <w:tc>
          <w:tcPr>
            <w:tcW w:w="760" w:type="dxa"/>
            <w:vAlign w:val="bottom"/>
          </w:tcPr>
          <w:p>
            <w:pPr>
              <w:spacing w:after="0"/>
              <w:rPr>
                <w:sz w:val="3"/>
                <w:szCs w:val="3"/>
                <w:color w:val="auto"/>
              </w:rPr>
            </w:pPr>
          </w:p>
        </w:tc>
        <w:tc>
          <w:tcPr>
            <w:tcW w:w="5340" w:type="dxa"/>
            <w:vAlign w:val="bottom"/>
            <w:tcBorders>
              <w:bottom w:val="single" w:sz="8" w:color="auto"/>
            </w:tcBorders>
          </w:tcPr>
          <w:p>
            <w:pPr>
              <w:spacing w:after="0"/>
              <w:rPr>
                <w:sz w:val="3"/>
                <w:szCs w:val="3"/>
                <w:color w:val="auto"/>
              </w:rPr>
            </w:pPr>
          </w:p>
        </w:tc>
      </w:tr>
      <w:tr>
        <w:trPr>
          <w:trHeight w:val="237"/>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5340" w:type="dxa"/>
            <w:vAlign w:val="bottom"/>
          </w:tcPr>
          <w:p>
            <w:pPr>
              <w:ind w:left="20"/>
              <w:spacing w:after="0"/>
              <w:rPr>
                <w:sz w:val="20"/>
                <w:szCs w:val="20"/>
                <w:color w:val="auto"/>
              </w:rPr>
            </w:pPr>
            <w:r>
              <w:rPr>
                <w:rFonts w:ascii="Arial" w:cs="Arial" w:eastAsia="Arial" w:hAnsi="Arial"/>
                <w:sz w:val="18"/>
                <w:szCs w:val="18"/>
                <w:color w:val="auto"/>
              </w:rPr>
              <w:t>Authorized Credit Officer</w:t>
            </w:r>
          </w:p>
        </w:tc>
      </w:tr>
      <w:tr>
        <w:trPr>
          <w:trHeight w:val="41"/>
        </w:trPr>
        <w:tc>
          <w:tcPr>
            <w:tcW w:w="760" w:type="dxa"/>
            <w:vAlign w:val="bottom"/>
          </w:tcPr>
          <w:p>
            <w:pPr>
              <w:spacing w:after="0"/>
              <w:rPr>
                <w:sz w:val="3"/>
                <w:szCs w:val="3"/>
                <w:color w:val="auto"/>
              </w:rPr>
            </w:pPr>
          </w:p>
        </w:tc>
        <w:tc>
          <w:tcPr>
            <w:tcW w:w="5340" w:type="dxa"/>
            <w:vAlign w:val="bottom"/>
            <w:tcBorders>
              <w:bottom w:val="single" w:sz="8" w:color="auto"/>
            </w:tcBorders>
          </w:tcPr>
          <w:p>
            <w:pPr>
              <w:spacing w:after="0"/>
              <w:rPr>
                <w:sz w:val="3"/>
                <w:szCs w:val="3"/>
                <w:color w:val="auto"/>
              </w:rPr>
            </w:pPr>
          </w:p>
        </w:tc>
      </w:tr>
    </w:tbl>
    <w:p>
      <w:pPr>
        <w:spacing w:after="0" w:line="200" w:lineRule="exact"/>
        <w:rPr>
          <w:sz w:val="20"/>
          <w:szCs w:val="20"/>
          <w:color w:val="auto"/>
        </w:rPr>
      </w:pPr>
    </w:p>
    <w:p>
      <w:pPr>
        <w:sectPr>
          <w:pgSz w:w="11900" w:h="16838" w:orient="portrait"/>
          <w:cols w:equalWidth="0" w:num="1">
            <w:col w:w="10100"/>
          </w:cols>
          <w:pgMar w:left="1440" w:top="93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340"/>
        <w:spacing w:after="0"/>
        <w:rPr>
          <w:sz w:val="20"/>
          <w:szCs w:val="20"/>
          <w:color w:val="auto"/>
        </w:rPr>
      </w:pP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Signature Page to First Amendment to Credit Agreement</w:t>
      </w:r>
      <w:r>
        <w:rPr>
          <w:rFonts w:ascii="Arial" w:cs="Arial" w:eastAsia="Arial" w:hAnsi="Arial"/>
          <w:sz w:val="15"/>
          <w:szCs w:val="15"/>
          <w:b w:val="1"/>
          <w:bCs w:val="1"/>
          <w:color w:val="auto"/>
        </w:rPr>
        <w:t>]</w:t>
      </w:r>
    </w:p>
    <w:p>
      <w:pPr>
        <w:sectPr>
          <w:pgSz w:w="11900" w:h="16838" w:orient="portrait"/>
          <w:cols w:equalWidth="0" w:num="1">
            <w:col w:w="10100"/>
          </w:cols>
          <w:pgMar w:left="1440" w:top="935" w:right="359" w:bottom="1440" w:gutter="0" w:footer="0" w:header="0"/>
          <w:type w:val="continuous"/>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31.1</w:t>
      </w:r>
    </w:p>
    <w:p>
      <w:pPr>
        <w:spacing w:after="0" w:line="117" w:lineRule="exact"/>
        <w:rPr>
          <w:sz w:val="20"/>
          <w:szCs w:val="20"/>
          <w:color w:val="auto"/>
        </w:rPr>
      </w:pPr>
    </w:p>
    <w:p>
      <w:pPr>
        <w:jc w:val="center"/>
        <w:ind w:right="474"/>
        <w:spacing w:after="0"/>
        <w:rPr>
          <w:sz w:val="20"/>
          <w:szCs w:val="20"/>
          <w:color w:val="auto"/>
        </w:rPr>
      </w:pPr>
      <w:r>
        <w:rPr>
          <w:rFonts w:ascii="Arial" w:cs="Arial" w:eastAsia="Arial" w:hAnsi="Arial"/>
          <w:sz w:val="18"/>
          <w:szCs w:val="18"/>
          <w:b w:val="1"/>
          <w:bCs w:val="1"/>
          <w:color w:val="auto"/>
        </w:rPr>
        <w:t>CERTIFICATION</w:t>
      </w:r>
    </w:p>
    <w:p>
      <w:pPr>
        <w:spacing w:after="0" w:line="202" w:lineRule="exact"/>
        <w:rPr>
          <w:sz w:val="20"/>
          <w:szCs w:val="20"/>
          <w:color w:val="auto"/>
        </w:rPr>
      </w:pPr>
    </w:p>
    <w:p>
      <w:pPr>
        <w:ind w:left="6"/>
        <w:spacing w:after="0"/>
        <w:rPr>
          <w:sz w:val="20"/>
          <w:szCs w:val="20"/>
          <w:color w:val="auto"/>
        </w:rPr>
      </w:pPr>
      <w:r>
        <w:rPr>
          <w:rFonts w:ascii="Arial" w:cs="Arial" w:eastAsia="Arial" w:hAnsi="Arial"/>
          <w:sz w:val="18"/>
          <w:szCs w:val="18"/>
          <w:color w:val="auto"/>
        </w:rPr>
        <w:t>I, John B. Wood, certify that:</w:t>
      </w:r>
    </w:p>
    <w:p>
      <w:pPr>
        <w:spacing w:after="0" w:line="185" w:lineRule="exact"/>
        <w:rPr>
          <w:sz w:val="20"/>
          <w:szCs w:val="20"/>
          <w:color w:val="auto"/>
        </w:rPr>
      </w:pPr>
    </w:p>
    <w:p>
      <w:pPr>
        <w:ind w:left="326" w:hanging="326"/>
        <w:spacing w:after="0"/>
        <w:tabs>
          <w:tab w:leader="none" w:pos="326"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Telos Corporation;</w:t>
      </w:r>
    </w:p>
    <w:p>
      <w:pPr>
        <w:spacing w:after="0" w:line="184" w:lineRule="exact"/>
        <w:rPr>
          <w:rFonts w:ascii="Arial" w:cs="Arial" w:eastAsia="Arial" w:hAnsi="Arial"/>
          <w:sz w:val="18"/>
          <w:szCs w:val="18"/>
          <w:color w:val="auto"/>
        </w:rPr>
      </w:pPr>
    </w:p>
    <w:p>
      <w:pPr>
        <w:ind w:left="326" w:right="20" w:hanging="326"/>
        <w:spacing w:after="0" w:line="263" w:lineRule="auto"/>
        <w:tabs>
          <w:tab w:leader="none" w:pos="326"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6" w:lineRule="exact"/>
        <w:rPr>
          <w:rFonts w:ascii="Arial" w:cs="Arial" w:eastAsia="Arial" w:hAnsi="Arial"/>
          <w:sz w:val="18"/>
          <w:szCs w:val="18"/>
          <w:color w:val="auto"/>
        </w:rPr>
      </w:pPr>
    </w:p>
    <w:p>
      <w:pPr>
        <w:ind w:left="326" w:right="180" w:hanging="326"/>
        <w:spacing w:after="0" w:line="308" w:lineRule="auto"/>
        <w:tabs>
          <w:tab w:leader="none" w:pos="326"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ind w:left="326" w:right="160" w:hanging="326"/>
        <w:spacing w:after="0" w:line="291" w:lineRule="auto"/>
        <w:tabs>
          <w:tab w:leader="none" w:pos="326"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326"/>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70" w:lineRule="exact"/>
        <w:rPr>
          <w:rFonts w:ascii="Arial" w:cs="Arial" w:eastAsia="Arial" w:hAnsi="Arial"/>
          <w:sz w:val="16"/>
          <w:szCs w:val="16"/>
          <w:color w:val="auto"/>
        </w:rPr>
      </w:pPr>
    </w:p>
    <w:p>
      <w:pPr>
        <w:ind w:left="6" w:right="440" w:firstLine="399"/>
        <w:spacing w:after="0" w:line="263" w:lineRule="auto"/>
        <w:tabs>
          <w:tab w:leader="none" w:pos="807"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Arial" w:cs="Arial" w:eastAsia="Arial" w:hAnsi="Arial"/>
          <w:sz w:val="18"/>
          <w:szCs w:val="18"/>
          <w:color w:val="auto"/>
        </w:rPr>
      </w:pPr>
    </w:p>
    <w:p>
      <w:pPr>
        <w:ind w:left="6" w:right="140" w:firstLine="399"/>
        <w:spacing w:after="0" w:line="263" w:lineRule="auto"/>
        <w:tabs>
          <w:tab w:leader="none" w:pos="804"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ind w:left="6" w:right="260" w:firstLine="399"/>
        <w:spacing w:after="0" w:line="342" w:lineRule="auto"/>
        <w:tabs>
          <w:tab w:leader="none" w:pos="807"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6" w:right="260" w:firstLine="399"/>
        <w:spacing w:after="0" w:line="263" w:lineRule="auto"/>
        <w:tabs>
          <w:tab w:leader="none" w:pos="804"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6" w:lineRule="exact"/>
        <w:rPr>
          <w:rFonts w:ascii="Arial" w:cs="Arial" w:eastAsia="Arial" w:hAnsi="Arial"/>
          <w:sz w:val="18"/>
          <w:szCs w:val="18"/>
          <w:color w:val="auto"/>
        </w:rPr>
      </w:pPr>
    </w:p>
    <w:p>
      <w:pPr>
        <w:ind w:left="326" w:right="120" w:hanging="326"/>
        <w:spacing w:after="0" w:line="342" w:lineRule="auto"/>
        <w:tabs>
          <w:tab w:leader="none" w:pos="326"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to the audit committee of registrant's board of directors (or persons performing the equivalent functions):</w:t>
      </w:r>
    </w:p>
    <w:p>
      <w:pPr>
        <w:spacing w:after="0" w:line="83" w:lineRule="exact"/>
        <w:rPr>
          <w:rFonts w:ascii="Arial" w:cs="Arial" w:eastAsia="Arial" w:hAnsi="Arial"/>
          <w:sz w:val="16"/>
          <w:szCs w:val="16"/>
          <w:color w:val="auto"/>
        </w:rPr>
      </w:pPr>
    </w:p>
    <w:p>
      <w:pPr>
        <w:ind w:left="6" w:right="460" w:firstLine="399"/>
        <w:spacing w:after="0" w:line="308" w:lineRule="auto"/>
        <w:tabs>
          <w:tab w:leader="none" w:pos="807" w:val="left"/>
        </w:tabs>
        <w:numPr>
          <w:ilvl w:val="1"/>
          <w:numId w:val="2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5" w:lineRule="exact"/>
        <w:rPr>
          <w:rFonts w:ascii="Arial" w:cs="Arial" w:eastAsia="Arial" w:hAnsi="Arial"/>
          <w:sz w:val="17"/>
          <w:szCs w:val="17"/>
          <w:color w:val="auto"/>
        </w:rPr>
      </w:pPr>
    </w:p>
    <w:p>
      <w:pPr>
        <w:ind w:left="6" w:right="180" w:firstLine="399"/>
        <w:spacing w:after="0" w:line="277" w:lineRule="auto"/>
        <w:tabs>
          <w:tab w:leader="none" w:pos="804"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left="860"/>
        <w:spacing w:after="0"/>
        <w:rPr>
          <w:sz w:val="20"/>
          <w:szCs w:val="20"/>
          <w:color w:val="auto"/>
        </w:rPr>
      </w:pPr>
      <w:r>
        <w:rPr>
          <w:rFonts w:ascii="Arial" w:cs="Arial" w:eastAsia="Arial" w:hAnsi="Arial"/>
          <w:sz w:val="18"/>
          <w:szCs w:val="18"/>
          <w:color w:val="auto"/>
        </w:rPr>
        <w:t>Date: May 10, 2023</w:t>
      </w:r>
    </w:p>
    <w:p>
      <w:pPr>
        <w:spacing w:after="0" w:line="279" w:lineRule="exact"/>
        <w:rPr>
          <w:sz w:val="20"/>
          <w:szCs w:val="20"/>
          <w:color w:val="auto"/>
        </w:rPr>
      </w:pPr>
    </w:p>
    <w:p>
      <w:pPr>
        <w:ind w:left="4846"/>
        <w:spacing w:after="0"/>
        <w:rPr>
          <w:sz w:val="20"/>
          <w:szCs w:val="20"/>
          <w:color w:val="auto"/>
        </w:rPr>
      </w:pPr>
      <w:r>
        <w:rPr>
          <w:rFonts w:ascii="Arial" w:cs="Arial" w:eastAsia="Arial" w:hAnsi="Arial"/>
          <w:sz w:val="18"/>
          <w:szCs w:val="18"/>
          <w:color w:val="auto"/>
        </w:rPr>
        <w:t>/s/ John B.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3068955</wp:posOffset>
            </wp:positionH>
            <wp:positionV relativeFrom="paragraph">
              <wp:posOffset>14605</wp:posOffset>
            </wp:positionV>
            <wp:extent cx="337756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77565" cy="8890"/>
                    </a:xfrm>
                    <a:prstGeom prst="rect">
                      <a:avLst/>
                    </a:prstGeom>
                    <a:noFill/>
                  </pic:spPr>
                </pic:pic>
              </a:graphicData>
            </a:graphic>
          </wp:anchor>
        </w:drawing>
      </w:r>
    </w:p>
    <w:p>
      <w:pPr>
        <w:spacing w:after="0" w:line="16" w:lineRule="exact"/>
        <w:rPr>
          <w:sz w:val="20"/>
          <w:szCs w:val="20"/>
          <w:color w:val="auto"/>
        </w:rPr>
      </w:pPr>
    </w:p>
    <w:p>
      <w:pPr>
        <w:ind w:left="4846"/>
        <w:spacing w:after="0"/>
        <w:rPr>
          <w:sz w:val="20"/>
          <w:szCs w:val="20"/>
          <w:color w:val="auto"/>
        </w:rPr>
      </w:pPr>
      <w:r>
        <w:rPr>
          <w:rFonts w:ascii="Arial" w:cs="Arial" w:eastAsia="Arial" w:hAnsi="Arial"/>
          <w:sz w:val="18"/>
          <w:szCs w:val="18"/>
          <w:color w:val="auto"/>
        </w:rPr>
        <w:t>John B. Wood</w:t>
      </w:r>
    </w:p>
    <w:p>
      <w:pPr>
        <w:spacing w:after="0" w:line="23" w:lineRule="exact"/>
        <w:rPr>
          <w:sz w:val="20"/>
          <w:szCs w:val="20"/>
          <w:color w:val="auto"/>
        </w:rPr>
      </w:pPr>
    </w:p>
    <w:p>
      <w:pPr>
        <w:ind w:left="4846"/>
        <w:spacing w:after="0"/>
        <w:rPr>
          <w:sz w:val="20"/>
          <w:szCs w:val="20"/>
          <w:color w:val="auto"/>
        </w:rPr>
      </w:pPr>
      <w:r>
        <w:rPr>
          <w:rFonts w:ascii="Arial" w:cs="Arial" w:eastAsia="Arial" w:hAnsi="Arial"/>
          <w:sz w:val="18"/>
          <w:szCs w:val="18"/>
          <w:color w:val="auto"/>
        </w:rPr>
        <w:t>Chief Executive Officer (Principal Executive Officer)</w:t>
      </w:r>
    </w:p>
    <w:p>
      <w:pPr>
        <w:sectPr>
          <w:pgSz w:w="11900" w:h="16838" w:orient="portrait"/>
          <w:cols w:equalWidth="0" w:num="1">
            <w:col w:w="10746"/>
          </w:cols>
          <w:pgMar w:left="814" w:top="945"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CERTIFICATION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Mark Bendza, certify that:</w:t>
      </w:r>
    </w:p>
    <w:p>
      <w:pPr>
        <w:spacing w:after="0" w:line="185" w:lineRule="exact"/>
        <w:rPr>
          <w:sz w:val="20"/>
          <w:szCs w:val="20"/>
          <w:color w:val="auto"/>
        </w:rPr>
      </w:pPr>
    </w:p>
    <w:p>
      <w:pPr>
        <w:ind w:left="360" w:hanging="326"/>
        <w:spacing w:after="0"/>
        <w:tabs>
          <w:tab w:leader="none" w:pos="3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Telos Corporation;</w:t>
      </w:r>
    </w:p>
    <w:p>
      <w:pPr>
        <w:spacing w:after="0" w:line="184" w:lineRule="exact"/>
        <w:rPr>
          <w:rFonts w:ascii="Arial" w:cs="Arial" w:eastAsia="Arial" w:hAnsi="Arial"/>
          <w:sz w:val="18"/>
          <w:szCs w:val="18"/>
          <w:color w:val="auto"/>
        </w:rPr>
      </w:pPr>
    </w:p>
    <w:p>
      <w:pPr>
        <w:ind w:left="360" w:right="20" w:hanging="326"/>
        <w:spacing w:after="0" w:line="263" w:lineRule="auto"/>
        <w:tabs>
          <w:tab w:leader="none" w:pos="3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6" w:lineRule="exact"/>
        <w:rPr>
          <w:rFonts w:ascii="Arial" w:cs="Arial" w:eastAsia="Arial" w:hAnsi="Arial"/>
          <w:sz w:val="18"/>
          <w:szCs w:val="18"/>
          <w:color w:val="auto"/>
        </w:rPr>
      </w:pPr>
    </w:p>
    <w:p>
      <w:pPr>
        <w:ind w:left="360" w:right="180" w:hanging="326"/>
        <w:spacing w:after="0" w:line="308" w:lineRule="auto"/>
        <w:tabs>
          <w:tab w:leader="none" w:pos="3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ind w:left="360" w:right="160" w:hanging="326"/>
        <w:spacing w:after="0" w:line="291" w:lineRule="auto"/>
        <w:tabs>
          <w:tab w:leader="none" w:pos="3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36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70" w:lineRule="exact"/>
        <w:rPr>
          <w:rFonts w:ascii="Arial" w:cs="Arial" w:eastAsia="Arial" w:hAnsi="Arial"/>
          <w:sz w:val="16"/>
          <w:szCs w:val="16"/>
          <w:color w:val="auto"/>
        </w:rPr>
      </w:pPr>
    </w:p>
    <w:p>
      <w:pPr>
        <w:ind w:left="40" w:right="440" w:firstLine="399"/>
        <w:spacing w:after="0" w:line="263" w:lineRule="auto"/>
        <w:tabs>
          <w:tab w:leader="none" w:pos="841"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Arial" w:cs="Arial" w:eastAsia="Arial" w:hAnsi="Arial"/>
          <w:sz w:val="18"/>
          <w:szCs w:val="18"/>
          <w:color w:val="auto"/>
        </w:rPr>
      </w:pPr>
    </w:p>
    <w:p>
      <w:pPr>
        <w:ind w:left="40" w:right="140" w:firstLine="399"/>
        <w:spacing w:after="0" w:line="263" w:lineRule="auto"/>
        <w:tabs>
          <w:tab w:leader="none" w:pos="838"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ind w:left="40" w:right="260" w:firstLine="399"/>
        <w:spacing w:after="0" w:line="342" w:lineRule="auto"/>
        <w:tabs>
          <w:tab w:leader="none" w:pos="841"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40" w:right="260" w:firstLine="399"/>
        <w:spacing w:after="0" w:line="263" w:lineRule="auto"/>
        <w:tabs>
          <w:tab w:leader="none" w:pos="838"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6" w:lineRule="exact"/>
        <w:rPr>
          <w:rFonts w:ascii="Arial" w:cs="Arial" w:eastAsia="Arial" w:hAnsi="Arial"/>
          <w:sz w:val="18"/>
          <w:szCs w:val="18"/>
          <w:color w:val="auto"/>
        </w:rPr>
      </w:pPr>
    </w:p>
    <w:p>
      <w:pPr>
        <w:ind w:left="360" w:right="120" w:hanging="326"/>
        <w:spacing w:after="0" w:line="342" w:lineRule="auto"/>
        <w:tabs>
          <w:tab w:leader="none" w:pos="3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to the audit committee of registrant's board of directors (or persons performing the equivalent functions):</w:t>
      </w:r>
    </w:p>
    <w:p>
      <w:pPr>
        <w:spacing w:after="0" w:line="83" w:lineRule="exact"/>
        <w:rPr>
          <w:rFonts w:ascii="Arial" w:cs="Arial" w:eastAsia="Arial" w:hAnsi="Arial"/>
          <w:sz w:val="16"/>
          <w:szCs w:val="16"/>
          <w:color w:val="auto"/>
        </w:rPr>
      </w:pPr>
    </w:p>
    <w:p>
      <w:pPr>
        <w:ind w:left="40" w:right="460" w:firstLine="399"/>
        <w:spacing w:after="0" w:line="308" w:lineRule="auto"/>
        <w:tabs>
          <w:tab w:leader="none" w:pos="841" w:val="left"/>
        </w:tabs>
        <w:numPr>
          <w:ilvl w:val="1"/>
          <w:numId w:val="2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5" w:lineRule="exact"/>
        <w:rPr>
          <w:rFonts w:ascii="Arial" w:cs="Arial" w:eastAsia="Arial" w:hAnsi="Arial"/>
          <w:sz w:val="17"/>
          <w:szCs w:val="17"/>
          <w:color w:val="auto"/>
        </w:rPr>
      </w:pPr>
    </w:p>
    <w:p>
      <w:pPr>
        <w:ind w:left="40" w:right="180" w:firstLine="399"/>
        <w:spacing w:after="0" w:line="277" w:lineRule="auto"/>
        <w:tabs>
          <w:tab w:leader="none" w:pos="838"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08" w:lineRule="exact"/>
        <w:rPr>
          <w:sz w:val="20"/>
          <w:szCs w:val="20"/>
          <w:color w:val="auto"/>
        </w:rPr>
      </w:pPr>
    </w:p>
    <w:p>
      <w:pPr>
        <w:jc w:val="center"/>
        <w:ind w:left="860"/>
        <w:spacing w:after="0"/>
        <w:rPr>
          <w:sz w:val="20"/>
          <w:szCs w:val="20"/>
          <w:color w:val="auto"/>
        </w:rPr>
      </w:pPr>
      <w:r>
        <w:rPr>
          <w:rFonts w:ascii="Arial" w:cs="Arial" w:eastAsia="Arial" w:hAnsi="Arial"/>
          <w:sz w:val="18"/>
          <w:szCs w:val="18"/>
          <w:color w:val="auto"/>
        </w:rPr>
        <w:t>Date: May 10, 2023</w:t>
      </w:r>
    </w:p>
    <w:p>
      <w:pPr>
        <w:spacing w:after="0" w:line="27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/s/ Mark Bendza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3090545</wp:posOffset>
            </wp:positionH>
            <wp:positionV relativeFrom="paragraph">
              <wp:posOffset>14605</wp:posOffset>
            </wp:positionV>
            <wp:extent cx="337756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Mark Bendza</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Chief Financial Officer (Principal Financial Officer)</w:t>
      </w:r>
    </w:p>
    <w:p>
      <w:pPr>
        <w:sectPr>
          <w:pgSz w:w="11900" w:h="16838" w:orient="portrait"/>
          <w:cols w:equalWidth="0" w:num="1">
            <w:col w:w="10780"/>
          </w:cols>
          <w:pgMar w:left="780" w:top="877"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In connection with the Quarterly Report of Telos Corporation (the "Company") on Form 10-Q for the period ended March 31, 2023, as filed with the Securities and Exchange Commission on the date hereof (the "Report"), we, John B. Wood and Mark Bendza, certify, pursuant to 18 U.S.C. § 1350, as adopted pursuant to § 906 of the Sarbanes-Oxley Act of 2002, that to our knowledge:</w:t>
      </w:r>
    </w:p>
    <w:p>
      <w:pPr>
        <w:spacing w:after="0" w:line="130" w:lineRule="exact"/>
        <w:rPr>
          <w:sz w:val="20"/>
          <w:szCs w:val="20"/>
          <w:color w:val="auto"/>
        </w:rPr>
      </w:pPr>
    </w:p>
    <w:p>
      <w:pPr>
        <w:ind w:left="640" w:hanging="308"/>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1" w:lineRule="exact"/>
        <w:rPr>
          <w:rFonts w:ascii="Arial" w:cs="Arial" w:eastAsia="Arial" w:hAnsi="Arial"/>
          <w:sz w:val="18"/>
          <w:szCs w:val="18"/>
          <w:color w:val="auto"/>
        </w:rPr>
      </w:pPr>
    </w:p>
    <w:p>
      <w:pPr>
        <w:ind w:left="6620" w:right="140" w:hanging="6288"/>
        <w:spacing w:after="0" w:line="512" w:lineRule="auto"/>
        <w:tabs>
          <w:tab w:leader="none" w:pos="642"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May 10, 2023</w:t>
      </w:r>
    </w:p>
    <w:p>
      <w:pPr>
        <w:spacing w:after="0" w:line="2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John B.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14605</wp:posOffset>
            </wp:positionV>
            <wp:extent cx="294005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John B. Wood</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Chief Executive Officer (Principal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Date: May 10, 2023</w:t>
      </w:r>
    </w:p>
    <w:p>
      <w:pPr>
        <w:spacing w:after="0" w:line="29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Mark Bendza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14605</wp:posOffset>
            </wp:positionV>
            <wp:extent cx="294005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Mark Bendza</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Chief Financial Officer (Principal Financial Officer)</w:t>
      </w:r>
    </w:p>
    <w:sectPr>
      <w:pgSz w:w="11900" w:h="16838" w:orient="portrait"/>
      <w:cols w:equalWidth="0" w:num="1">
        <w:col w:w="11240"/>
      </w:cols>
      <w:pgMar w:left="320" w:top="87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x"/>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1)"/>
      <w:numFmt w:val="decimal"/>
      <w:start w:val="1"/>
    </w:lvl>
  </w:abstractNum>
  <w:abstractNum w:abstractNumId="5">
    <w:nsid w:val="41A7C4C9"/>
    <w:multiLevelType w:val="hybridMultilevel"/>
    <w:lvl w:ilvl="0">
      <w:lvlJc w:val="left"/>
      <w:lvlText w:val="(%1)"/>
      <w:numFmt w:val="lowerRoman"/>
      <w:start w:val="1"/>
    </w:lvl>
  </w:abstractNum>
  <w:abstractNum w:abstractNumId="6">
    <w:nsid w:val="6B68079A"/>
    <w:multiLevelType w:val="hybridMultilevel"/>
    <w:lvl w:ilvl="0">
      <w:lvlJc w:val="left"/>
      <w:lvlText w:val="(%1)"/>
      <w:numFmt w:val="decimal"/>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1)"/>
      <w:numFmt w:val="decimal"/>
      <w:start w:val="1"/>
    </w:lvl>
  </w:abstractNum>
  <w:abstractNum w:abstractNumId="10">
    <w:nsid w:val="431BD7B7"/>
    <w:multiLevelType w:val="hybridMultilevel"/>
    <w:lvl w:ilvl="0">
      <w:lvlJc w:val="left"/>
      <w:lvlText w:val="(%1)"/>
      <w:numFmt w:val="decimal"/>
      <w:start w:val="1"/>
    </w:lvl>
  </w:abstractNum>
  <w:abstractNum w:abstractNumId="11">
    <w:nsid w:val="3F2DBA31"/>
    <w:multiLevelType w:val="hybridMultilevel"/>
    <w:lvl w:ilvl="0">
      <w:lvlJc w:val="left"/>
      <w:lvlText w:val="(%1)"/>
      <w:numFmt w:val="lowerLetter"/>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1."/>
      <w:numFmt w:val="upperLetter"/>
      <w:start w:val="1"/>
    </w:lvl>
  </w:abstractNum>
  <w:abstractNum w:abstractNumId="15">
    <w:nsid w:val="436C6125"/>
    <w:multiLevelType w:val="hybridMultilevel"/>
    <w:lvl w:ilvl="0">
      <w:lvlJc w:val="left"/>
      <w:lvlText w:val="%1."/>
      <w:numFmt w:val="decimal"/>
      <w:start w:val="1"/>
    </w:lvl>
  </w:abstractNum>
  <w:abstractNum w:abstractNumId="16">
    <w:nsid w:val="628C895D"/>
    <w:multiLevelType w:val="hybridMultilevel"/>
    <w:lvl w:ilvl="0">
      <w:lvlJc w:val="left"/>
      <w:lvlText w:val="%1."/>
      <w:numFmt w:val="decimal"/>
      <w:start w:val="3"/>
    </w:lvl>
  </w:abstractNum>
  <w:abstractNum w:abstractNumId="17">
    <w:nsid w:val="333AB105"/>
    <w:multiLevelType w:val="hybridMultilevel"/>
    <w:lvl w:ilvl="0">
      <w:lvlJc w:val="left"/>
      <w:lvlText w:val="%1."/>
      <w:numFmt w:val="decimal"/>
      <w:start w:val="4"/>
    </w:lvl>
  </w:abstractNum>
  <w:abstractNum w:abstractNumId="18">
    <w:nsid w:val="721DA317"/>
    <w:multiLevelType w:val="hybridMultilevel"/>
    <w:lvl w:ilvl="0">
      <w:lvlJc w:val="left"/>
      <w:lvlText w:val="%1."/>
      <w:numFmt w:val="decimal"/>
      <w:start w:val="5"/>
    </w:lvl>
  </w:abstractNum>
  <w:abstractNum w:abstractNumId="19">
    <w:nsid w:val="2443A858"/>
    <w:multiLevelType w:val="hybridMultilevel"/>
    <w:lvl w:ilvl="0">
      <w:lvlJc w:val="left"/>
      <w:lvlText w:val="%1."/>
      <w:numFmt w:val="decimal"/>
      <w:start w:val="6"/>
    </w:lvl>
  </w:abstractNum>
  <w:abstractNum w:abstractNumId="20">
    <w:nsid w:val="2D1D5AE9"/>
    <w:multiLevelType w:val="hybridMultilevel"/>
    <w:lvl w:ilvl="0">
      <w:lvlJc w:val="left"/>
      <w:lvlText w:val="%1."/>
      <w:numFmt w:val="decimal"/>
      <w:start w:val="7"/>
    </w:lvl>
  </w:abstractNum>
  <w:abstractNum w:abstractNumId="21">
    <w:nsid w:val="6763845E"/>
    <w:multiLevelType w:val="hybridMultilevel"/>
    <w:lvl w:ilvl="0">
      <w:lvlJc w:val="left"/>
      <w:lvlText w:val="%1."/>
      <w:numFmt w:val="decimal"/>
      <w:start w:val="9"/>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2023-05-10T15:50:41Z</dcterms:created>
  <dcterms:modified xsi:type="dcterms:W3CDTF">2023-05-10T15:50:41Z</dcterms:modified>
</cp:coreProperties>
</file>