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
        </w:rPr>
      </w:pPr>
      <w:r>
        <w:rPr>
          <w:rFonts w:ascii="Arial;sans-serif" w:hAnsi="Arial;sans-serif"/>
          <w:b w:val="false"/>
          <w:color w:val="000000"/>
          <w:sz w:val="2"/>
        </w:rPr>
        <w:t>.</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UNITED STATES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Washington, D.C.  20549</w:t>
      </w:r>
    </w:p>
    <w:p>
      <w:pPr>
        <w:pStyle w:val="TextBody"/>
        <w:bidi w:val="0"/>
        <w:spacing w:lineRule="auto" w:line="288" w:before="240" w:after="283"/>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FORM 8-K</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pPr>
      <w:r>
        <w:rPr>
          <w:rFonts w:ascii="Times New Roman;serif" w:hAnsi="Times New Roman;serif"/>
          <w:b/>
          <w:color w:val="000000"/>
          <w:sz w:val="20"/>
          <w:shd w:fill="FFFFFF" w:val="clear"/>
        </w:rPr>
        <w:t>Pursuant to Section 13 or 1</w:t>
      </w:r>
      <w:r>
        <w:rPr>
          <w:rFonts w:ascii="Times New Roman;serif" w:hAnsi="Times New Roman;serif"/>
          <w:b/>
          <w:color w:val="000000"/>
          <w:sz w:val="20"/>
        </w:rPr>
        <w:t>5(d) of 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August 10, 2026</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of Report (Date of earliest event reported)</w:t>
      </w:r>
    </w:p>
    <w:p>
      <w:pPr>
        <w:pStyle w:val="TextBody"/>
        <w:bidi w:val="0"/>
        <w:spacing w:lineRule="auto" w:line="288" w:before="240" w:after="283"/>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TELOS CORPORATION</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tbl>
      <w:tblPr>
        <w:tblW w:w="8863" w:type="dxa"/>
        <w:jc w:val="left"/>
        <w:tblInd w:w="0" w:type="dxa"/>
        <w:tblLayout w:type="fixed"/>
        <w:tblCellMar>
          <w:top w:w="28" w:type="dxa"/>
          <w:left w:w="28" w:type="dxa"/>
          <w:bottom w:w="28" w:type="dxa"/>
          <w:right w:w="28" w:type="dxa"/>
        </w:tblCellMar>
      </w:tblPr>
      <w:tblGrid>
        <w:gridCol w:w="1328"/>
        <w:gridCol w:w="1170"/>
        <w:gridCol w:w="1176"/>
        <w:gridCol w:w="762"/>
        <w:gridCol w:w="762"/>
        <w:gridCol w:w="770"/>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001-08443</w:t>
            </w:r>
          </w:p>
        </w:tc>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52-0880974</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454" w:type="dxa"/>
        <w:jc w:val="left"/>
        <w:tblInd w:w="0" w:type="dxa"/>
        <w:tblLayout w:type="fixed"/>
        <w:tblCellMar>
          <w:top w:w="28" w:type="dxa"/>
          <w:left w:w="28" w:type="dxa"/>
          <w:bottom w:w="28" w:type="dxa"/>
          <w:right w:w="28" w:type="dxa"/>
        </w:tblCellMar>
      </w:tblPr>
      <w:tblGrid>
        <w:gridCol w:w="1193"/>
        <w:gridCol w:w="1051"/>
        <w:gridCol w:w="1056"/>
        <w:gridCol w:w="337"/>
        <w:gridCol w:w="337"/>
        <w:gridCol w:w="480"/>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19886 Ashburn Road,</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Ashburn, Virginia</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20147-2358</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4470" w:type="dxa"/>
        <w:jc w:val="left"/>
        <w:tblInd w:w="0" w:type="dxa"/>
        <w:tblLayout w:type="fixed"/>
        <w:tblCellMar>
          <w:top w:w="28" w:type="dxa"/>
          <w:left w:w="28" w:type="dxa"/>
          <w:bottom w:w="28" w:type="dxa"/>
          <w:right w:w="28" w:type="dxa"/>
        </w:tblCellMar>
      </w:tblPr>
      <w:tblGrid>
        <w:gridCol w:w="1428"/>
        <w:gridCol w:w="1257"/>
        <w:gridCol w:w="1785"/>
      </w:tblGrid>
      <w:tr>
        <w:trPr/>
        <w:tc>
          <w:tcPr>
            <w:tcW w:w="142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(703) 724-3800</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lineRule="auto" w:line="25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(Former name, former address, and former fiscal year, if changed since last report)</w:t>
      </w:r>
    </w:p>
    <w:p>
      <w:pPr>
        <w:pStyle w:val="TextBody"/>
        <w:bidi w:val="0"/>
        <w:spacing w:lineRule="auto" w:line="288"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823" w:type="dxa"/>
        <w:jc w:val="left"/>
        <w:tblInd w:w="0" w:type="dxa"/>
        <w:tblLayout w:type="fixed"/>
        <w:tblCellMar>
          <w:top w:w="28" w:type="dxa"/>
          <w:left w:w="28" w:type="dxa"/>
          <w:bottom w:w="28" w:type="dxa"/>
          <w:right w:w="28" w:type="dxa"/>
        </w:tblCellMar>
      </w:tblPr>
      <w:tblGrid>
        <w:gridCol w:w="1352"/>
        <w:gridCol w:w="1184"/>
        <w:gridCol w:w="1198"/>
        <w:gridCol w:w="794"/>
        <w:gridCol w:w="794"/>
        <w:gridCol w:w="796"/>
        <w:gridCol w:w="1085"/>
        <w:gridCol w:w="1085"/>
        <w:gridCol w:w="1535"/>
      </w:tblGrid>
      <w:tr>
        <w:trPr/>
        <w:tc>
          <w:tcPr>
            <w:tcW w:w="135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90"/>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$0.001 par value per share</w:t>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TLS</w:t>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Emerging growth company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05"/>
                <wp:effectExtent l="0" t="0" r="0" b="0"/>
                <wp:wrapNone/>
                <wp:docPr id="1" name="Frame1"/>
                <a:graphic xmlns:a="http://schemas.openxmlformats.org/drawingml/2006/main">
                  <a:graphicData uri="http://schemas.microsoft.com/office/word/2010/wordprocessingShape">
                    <wps:wsp>
                      <wps:cNvSpPr txBox="1"/>
                      <wps:spPr>
                        <a:xfrm>
                          <a:off x="0" y="0"/>
                          <a:ext cx="6480175" cy="1460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
                              </w:rPr>
                            </w:pPr>
                            <w:r>
                              <w:rPr>
                                <w:rFonts w:ascii="Arial;sans-serif" w:hAnsi="Arial;sans-serif"/>
                                <w:b w:val="false"/>
                                <w:color w:val="000000"/>
                                <w:sz w:val="2"/>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
                        </w:rPr>
                      </w:pPr>
                      <w:r>
                        <w:rPr>
                          <w:rFonts w:ascii="Arial;sans-serif" w:hAnsi="Arial;sans-serif"/>
                          <w:b w:val="false"/>
                          <w:color w:val="000000"/>
                          <w:sz w:val="2"/>
                        </w:rPr>
                        <w:t>.</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
        </w:rPr>
      </w:pPr>
      <w:r>
        <w:rPr>
          <w:rFonts w:ascii="Arial;sans-serif" w:hAnsi="Arial;sans-serif"/>
          <w:b w:val="false"/>
          <w:color w:val="000000"/>
          <w:sz w:val="2"/>
        </w:rPr>
        <w:t>.</w:t>
      </w:r>
    </w:p>
    <w:p>
      <w:pPr>
        <w:pStyle w:val="TextBody"/>
        <w:bidi w:val="0"/>
        <w:spacing w:lineRule="auto" w:line="288" w:before="120" w:after="180"/>
        <w:jc w:val="both"/>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On Monday, August 10, 2026, Telos Corporation (the “Company”) issued a press release announcing a conference call to discuss its financial results for the quarter ended June 30, 2026, and posted those financial results on its website. A copy of the press release and financial results for the quarter ended June 30, 2026 are attached as Exhibit 99.1 and Exhibit 99.2 to this Current Report on Form 8-K and incorporated herein by reference.</w:t>
      </w:r>
    </w:p>
    <w:p>
      <w:pPr>
        <w:pStyle w:val="TextBody"/>
        <w:bidi w:val="0"/>
        <w:spacing w:lineRule="auto" w:line="288" w:before="120" w:after="180"/>
        <w:jc w:val="both"/>
        <w:rPr/>
      </w:pPr>
      <w:r>
        <w:rPr>
          <w:rFonts w:ascii="Times New Roman;serif" w:hAnsi="Times New Roman;serif"/>
          <w:b w:val="false"/>
          <w:color w:val="000000"/>
          <w:sz w:val="20"/>
        </w:rPr>
        <w:t>The Company will conduct a conference call to discuss its financial results on Monday, August 10, 2026, at 9:30 a.m., Eastern Time. A live broadcast of the conference call along with a supplemental presentation will be available to the public through links on the Investor Relations section of the Company’s website (</w:t>
      </w:r>
      <w:r>
        <w:rPr>
          <w:rFonts w:ascii="Times New Roman;serif" w:hAnsi="Times New Roman;serif"/>
          <w:b w:val="false"/>
          <w:color w:val="3051F2"/>
          <w:sz w:val="20"/>
          <w:u w:val="single"/>
        </w:rPr>
        <w:t>https://investors.telos.com</w:t>
      </w:r>
      <w:r>
        <w:rPr>
          <w:rFonts w:ascii="Times New Roman;serif" w:hAnsi="Times New Roman;serif"/>
          <w:b w:val="false"/>
          <w:color w:val="000000"/>
          <w:sz w:val="20"/>
        </w:rPr>
        <w:t>).</w:t>
      </w:r>
    </w:p>
    <w:p>
      <w:pPr>
        <w:pStyle w:val="TextBody"/>
        <w:bidi w:val="0"/>
        <w:spacing w:lineRule="auto" w:line="288" w:before="120" w:after="180"/>
        <w:jc w:val="both"/>
        <w:rPr/>
      </w:pPr>
      <w:r>
        <w:rPr>
          <w:rFonts w:ascii="Times New Roman;serif" w:hAnsi="Times New Roman;serif"/>
          <w:b w:val="false"/>
          <w:color w:val="000000"/>
          <w:sz w:val="20"/>
        </w:rPr>
        <w:t>The information in this Current Report on Form 8-K, including Exhibit 99.1 and Exhibit 99.2 attached hereto, is furnished pursuant to Item 2.02 of this Current Report on Form 8-K. Such information shall not be deemed “filed” for purposes of Section 18 of the Securities Ex</w:t>
      </w:r>
      <w:r>
        <w:rPr>
          <w:rFonts w:ascii="Times New Roman;serif" w:hAnsi="Times New Roman;serif"/>
          <w:b w:val="false"/>
          <w:color w:val="000000"/>
          <w:sz w:val="20"/>
          <w:shd w:fill="FFFFFF" w:val="clear"/>
        </w:rPr>
        <w:t>change Act of 1934, nor shall it be deemed incorporated by reference into any filing under the Securities Act of 1933,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tbl>
      <w:tblPr>
        <w:tblW w:w="5803" w:type="dxa"/>
        <w:jc w:val="left"/>
        <w:tblInd w:w="0" w:type="dxa"/>
        <w:tblLayout w:type="fixed"/>
        <w:tblCellMar>
          <w:top w:w="28" w:type="dxa"/>
          <w:left w:w="28" w:type="dxa"/>
          <w:bottom w:w="28" w:type="dxa"/>
          <w:right w:w="28" w:type="dxa"/>
        </w:tblCellMar>
      </w:tblPr>
      <w:tblGrid>
        <w:gridCol w:w="158"/>
        <w:gridCol w:w="138"/>
        <w:gridCol w:w="140"/>
        <w:gridCol w:w="109"/>
        <w:gridCol w:w="109"/>
        <w:gridCol w:w="109"/>
        <w:gridCol w:w="1472"/>
        <w:gridCol w:w="1472"/>
        <w:gridCol w:w="2096"/>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q22026earningspressrelease.htm">
              <w:r>
                <w:rPr>
                  <w:rStyle w:val="InternetLink"/>
                  <w:rFonts w:ascii="Times New Roman;serif" w:hAnsi="Times New Roman;serif"/>
                  <w:b w:val="false"/>
                  <w:color w:val="0000FF"/>
                  <w:sz w:val="18"/>
                  <w:u w:val="single"/>
                </w:rPr>
                <w:t>99.1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q22026earningspressrelease.htm">
              <w:r>
                <w:rPr>
                  <w:rStyle w:val="InternetLink"/>
                  <w:rFonts w:ascii="Times New Roman;serif" w:hAnsi="Times New Roman;serif"/>
                  <w:b w:val="false"/>
                  <w:color w:val="000080"/>
                  <w:sz w:val="18"/>
                  <w:u w:val="single"/>
                </w:rPr>
                <w:t xml:space="preserve">Press Release, issued </w:t>
              </w:r>
            </w:hyperlink>
            <w:hyperlink w:anchor="q22026earningspressrelease.htm">
              <w:r>
                <w:rPr>
                  <w:rStyle w:val="InternetLink"/>
                  <w:rFonts w:ascii="Times New Roman;serif" w:hAnsi="Times New Roman;serif"/>
                  <w:b w:val="false"/>
                  <w:color w:val="000080"/>
                  <w:sz w:val="18"/>
                  <w:u w:val="single"/>
                </w:rPr>
                <w:t>August 10</w:t>
              </w:r>
            </w:hyperlink>
            <w:hyperlink w:anchor="q22026earningspressrelease.htm">
              <w:r>
                <w:rPr>
                  <w:rStyle w:val="InternetLink"/>
                  <w:rFonts w:ascii="Times New Roman;serif" w:hAnsi="Times New Roman;serif"/>
                  <w:b w:val="false"/>
                  <w:color w:val="000080"/>
                  <w:sz w:val="18"/>
                  <w:u w:val="single"/>
                </w:rPr>
                <w:t>, 2026</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q22026june302026financialr.htm">
              <w:r>
                <w:rPr>
                  <w:rStyle w:val="InternetLink"/>
                  <w:rFonts w:ascii="Times New Roman;serif" w:hAnsi="Times New Roman;serif"/>
                  <w:b w:val="false"/>
                  <w:color w:val="0000FF"/>
                  <w:sz w:val="18"/>
                  <w:u w:val="single"/>
                </w:rPr>
                <w:t>99.2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22026june302026financialr.htm">
              <w:r>
                <w:rPr>
                  <w:rStyle w:val="InternetLink"/>
                  <w:rFonts w:ascii="Times New Roman;serif" w:hAnsi="Times New Roman;serif"/>
                  <w:b w:val="false"/>
                  <w:color w:val="0000FF"/>
                  <w:sz w:val="18"/>
                  <w:u w:val="single"/>
                </w:rPr>
                <w:t>Second Quarter 2026 Financial Results</w:t>
              </w:r>
            </w:hyperlink>
          </w:p>
        </w:tc>
      </w:tr>
      <w:tr>
        <w:trPr/>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for the cover page of this Current Report on Form 8-K.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
                <wp:effectExtent l="0" t="0" r="0" b="0"/>
                <wp:wrapNone/>
                <wp:docPr id="2" name="Frame2"/>
                <a:graphic xmlns:a="http://schemas.openxmlformats.org/drawingml/2006/main">
                  <a:graphicData uri="http://schemas.microsoft.com/office/word/2010/wordprocessingShape">
                    <wps:wsp>
                      <wps:cNvSpPr txBox="1"/>
                      <wps:spPr>
                        <a:xfrm>
                          <a:off x="0" y="0"/>
                          <a:ext cx="6480175" cy="1460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
                              </w:rPr>
                            </w:pPr>
                            <w:r>
                              <w:rPr>
                                <w:rFonts w:ascii="Arial;sans-serif" w:hAnsi="Arial;sans-serif"/>
                                <w:b w:val="false"/>
                                <w:color w:val="000000"/>
                                <w:sz w:val="2"/>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
                        </w:rPr>
                      </w:pPr>
                      <w:r>
                        <w:rPr>
                          <w:rFonts w:ascii="Arial;sans-serif" w:hAnsi="Arial;sans-serif"/>
                          <w:b w:val="false"/>
                          <w:color w:val="000000"/>
                          <w:sz w:val="2"/>
                        </w:rPr>
                        <w:t>.</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
        </w:rPr>
      </w:pPr>
      <w:r>
        <w:rPr>
          <w:rFonts w:ascii="Arial;sans-serif" w:hAnsi="Arial;sans-serif"/>
          <w:b w:val="false"/>
          <w:color w:val="000000"/>
          <w:sz w:val="2"/>
        </w:rPr>
        <w:t>.</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S I G N A T U R E S</w:t>
      </w:r>
    </w:p>
    <w:p>
      <w:pPr>
        <w:pStyle w:val="TextBody"/>
        <w:bidi w:val="0"/>
        <w:spacing w:before="0" w:after="0"/>
        <w:jc w:val="left"/>
        <w:rPr/>
      </w:pPr>
      <w:r>
        <w:rPr/>
      </w:r>
    </w:p>
    <w:p>
      <w:pPr>
        <w:pStyle w:val="TextBody"/>
        <w:bidi w:val="0"/>
        <w:spacing w:lineRule="auto" w:line="268" w:before="0" w:after="0"/>
        <w:ind w:left="0" w:right="0" w:hanging="4"/>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240" w:after="283"/>
        <w:jc w:val="left"/>
        <w:rPr/>
      </w:pPr>
      <w:r>
        <w:rPr/>
      </w:r>
    </w:p>
    <w:tbl>
      <w:tblPr>
        <w:tblW w:w="3815" w:type="dxa"/>
        <w:jc w:val="left"/>
        <w:tblInd w:w="0" w:type="dxa"/>
        <w:tblLayout w:type="fixed"/>
        <w:tblCellMar>
          <w:top w:w="28" w:type="dxa"/>
          <w:left w:w="28" w:type="dxa"/>
          <w:bottom w:w="28" w:type="dxa"/>
          <w:right w:w="28" w:type="dxa"/>
        </w:tblCellMar>
      </w:tblPr>
      <w:tblGrid>
        <w:gridCol w:w="124"/>
        <w:gridCol w:w="109"/>
        <w:gridCol w:w="109"/>
        <w:gridCol w:w="244"/>
        <w:gridCol w:w="244"/>
        <w:gridCol w:w="244"/>
        <w:gridCol w:w="244"/>
        <w:gridCol w:w="244"/>
        <w:gridCol w:w="244"/>
        <w:gridCol w:w="583"/>
        <w:gridCol w:w="583"/>
        <w:gridCol w:w="8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TELOS CORPORATION</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Bendza</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Bendza</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
                <wp:effectExtent l="0" t="0" r="0" b="0"/>
                <wp:wrapNone/>
                <wp:docPr id="3" name="Frame3"/>
                <a:graphic xmlns:a="http://schemas.openxmlformats.org/drawingml/2006/main">
                  <a:graphicData uri="http://schemas.microsoft.com/office/word/2010/wordprocessingShape">
                    <wps:wsp>
                      <wps:cNvSpPr txBox="1"/>
                      <wps:spPr>
                        <a:xfrm>
                          <a:off x="0" y="0"/>
                          <a:ext cx="6480175" cy="1460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
                              </w:rPr>
                            </w:pPr>
                            <w:r>
                              <w:rPr>
                                <w:rFonts w:ascii="Arial;sans-serif" w:hAnsi="Arial;sans-serif"/>
                                <w:b w:val="false"/>
                                <w:color w:val="000000"/>
                                <w:sz w:val="2"/>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
                        </w:rPr>
                      </w:pPr>
                      <w:r>
                        <w:rPr>
                          <w:rFonts w:ascii="Arial;sans-serif" w:hAnsi="Arial;sans-serif"/>
                          <w:b w:val="false"/>
                          <w:color w:val="000000"/>
                          <w:sz w:val="2"/>
                        </w:rPr>
                        <w:t>.</w:t>
                      </w:r>
                    </w:p>
                  </w:txbxContent>
                </v:textbox>
                <w10:wrap type="none"/>
              </v:rect>
            </w:pict>
          </mc:Fallback>
        </mc:AlternateContent>
      </w:r>
    </w:p>
    <w:p>
      <w:pPr>
        <w:pStyle w:val="TextBody"/>
        <w:bidi w:val="0"/>
        <w:spacing w:before="0" w:after="160"/>
        <w:jc w:val="right"/>
        <w:rPr/>
      </w:pPr>
      <w:r>
        <w:rPr/>
      </w:r>
    </w:p>
    <w:p>
      <w:pPr>
        <w:pStyle w:val="TextBody"/>
        <w:bidi w:val="0"/>
        <w:spacing w:before="120" w:after="180"/>
        <w:jc w:val="right"/>
        <w:rPr/>
      </w:pPr>
      <w:r>
        <w:rPr/>
        <w:drawing>
          <wp:inline distT="0" distB="0" distL="0" distR="0">
            <wp:extent cx="2114550" cy="7239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114550" cy="723900"/>
                    </a:xfrm>
                    <a:prstGeom prst="rect">
                      <a:avLst/>
                    </a:prstGeom>
                  </pic:spPr>
                </pic:pic>
              </a:graphicData>
            </a:graphic>
          </wp:inline>
        </w:drawing>
      </w:r>
    </w:p>
    <w:p>
      <w:pPr>
        <w:pStyle w:val="TextBody"/>
        <w:bidi w:val="0"/>
        <w:spacing w:lineRule="auto" w:line="288" w:before="120" w:after="180"/>
        <w:jc w:val="center"/>
        <w:rPr>
          <w:rFonts w:ascii="Times New Roman;serif" w:hAnsi="Times New Roman;serif"/>
          <w:b/>
          <w:color w:val="000000"/>
          <w:sz w:val="28"/>
        </w:rPr>
      </w:pPr>
      <w:r>
        <w:rPr>
          <w:rFonts w:ascii="Times New Roman;serif" w:hAnsi="Times New Roman;serif"/>
          <w:b/>
          <w:color w:val="000000"/>
          <w:sz w:val="28"/>
        </w:rPr>
        <w:t>Telos Corporation Announces Second Quarter 2026 Earnings</w:t>
      </w:r>
    </w:p>
    <w:p>
      <w:pPr>
        <w:pStyle w:val="TextBody"/>
        <w:bidi w:val="0"/>
        <w:spacing w:lineRule="auto" w:line="288" w:before="120" w:after="180"/>
        <w:jc w:val="left"/>
        <w:rPr/>
      </w:pPr>
      <w:r>
        <w:rPr>
          <w:rFonts w:ascii="Times New Roman;serif" w:hAnsi="Times New Roman;serif"/>
          <w:b/>
          <w:color w:val="000000"/>
          <w:sz w:val="20"/>
        </w:rPr>
        <w:t>Ashburn, Va. – August 10, 2026</w:t>
      </w:r>
      <w:r>
        <w:rPr>
          <w:color w:val="000000"/>
        </w:rPr>
        <w:t xml:space="preserve"> – </w:t>
      </w:r>
      <w:r>
        <w:rPr>
          <w:rFonts w:ascii="Times New Roman;serif" w:hAnsi="Times New Roman;serif"/>
          <w:b w:val="false"/>
          <w:color w:val="0000FF"/>
          <w:sz w:val="20"/>
        </w:rPr>
        <w:t>Telos Corporation</w:t>
      </w:r>
      <w:r>
        <w:rPr>
          <w:color w:val="000000"/>
        </w:rPr>
        <w:t xml:space="preserve"> </w:t>
      </w:r>
      <w:r>
        <w:rPr>
          <w:rFonts w:ascii="Times New Roman;serif" w:hAnsi="Times New Roman;serif"/>
          <w:b w:val="false"/>
          <w:color w:val="000000"/>
          <w:sz w:val="20"/>
        </w:rPr>
        <w:t xml:space="preserve">(NASDAQ: TLS), a leading provider of cyber, cloud and enterprise security solutions for the world’s most security-conscious organizations, has posted its 2026 second quarter financial results on its investor relations website at </w:t>
      </w:r>
      <w:r>
        <w:rPr>
          <w:rFonts w:ascii="Times New Roman;serif" w:hAnsi="Times New Roman;serif"/>
          <w:b w:val="false"/>
          <w:color w:val="0000FF"/>
          <w:sz w:val="20"/>
        </w:rPr>
        <w:t>https://investors.telos.com</w:t>
      </w:r>
      <w:r>
        <w:rPr>
          <w:rFonts w:ascii="Times New Roman;serif" w:hAnsi="Times New Roman;serif"/>
          <w:b w:val="false"/>
          <w:color w:val="000000"/>
          <w:sz w:val="20"/>
        </w:rPr>
        <w:t xml:space="preserve">. </w:t>
      </w:r>
    </w:p>
    <w:p>
      <w:pPr>
        <w:pStyle w:val="TextBody"/>
        <w:bidi w:val="0"/>
        <w:spacing w:lineRule="auto" w:line="288" w:before="120" w:after="180"/>
        <w:jc w:val="left"/>
        <w:rPr/>
      </w:pPr>
      <w:r>
        <w:rPr>
          <w:rFonts w:ascii="Times New Roman;serif" w:hAnsi="Times New Roman;serif"/>
          <w:b w:val="false"/>
          <w:color w:val="000000"/>
          <w:sz w:val="20"/>
        </w:rPr>
        <w:t xml:space="preserve">Telos will host a live webcast to discuss its second quarter 2026 financial results today, August 10, 2026, at 9:30 a.m. ET. To access the webcast, visit </w:t>
      </w:r>
      <w:r>
        <w:rPr>
          <w:rFonts w:ascii="Times New Roman;serif" w:hAnsi="Times New Roman;serif"/>
          <w:b w:val="false"/>
          <w:color w:val="0000FF"/>
          <w:sz w:val="20"/>
        </w:rPr>
        <w:t>https://edge.media-server.com/mmc/p/yjs9gxmi</w:t>
      </w:r>
      <w:r>
        <w:rPr>
          <w:rFonts w:ascii="Times New Roman;serif" w:hAnsi="Times New Roman;serif"/>
          <w:b w:val="false"/>
          <w:color w:val="3051F2"/>
          <w:sz w:val="20"/>
        </w:rPr>
        <w:t>.</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Related presentation materials will be available in the investors section of the Company’s website. In addition, an archived webcast will be posted on the website approximately two hours after the live event concludes. </w:t>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About Telos Corporation</w:t>
      </w:r>
    </w:p>
    <w:p>
      <w:pPr>
        <w:pStyle w:val="TextBody"/>
        <w:bidi w:val="0"/>
        <w:spacing w:lineRule="auto" w:line="288" w:before="120" w:after="180"/>
        <w:jc w:val="left"/>
        <w:rPr/>
      </w:pPr>
      <w:r>
        <w:rPr>
          <w:rFonts w:ascii="Times New Roman;serif" w:hAnsi="Times New Roman;serif"/>
          <w:b w:val="false"/>
          <w:color w:val="000000"/>
          <w:sz w:val="20"/>
        </w:rPr>
        <w:t xml:space="preserve">Telos Corporation (NASDAQ: TLS) empowers and protects the world’s most security-conscious organizations with efficient, adaptable, and secure solutions that safeguard people, systems, and information. We deliver advanced capabilities across cyber governance, risk, and compliance (GRC) with Xacta®; identity and biometric solutions; secure networks and communications; and TSA PreCheck® enrollment services. Serving the U.S. federal government, regulated industries, and global enterprises, Telos helps customers stay ahead of evolving threats, accelerate compliance, and achieve mission success. Driven by purpose and guided by our core values, we build trusted partnerships, deliver superior solutions, and help create a more secure, interconnected world. Learn more at </w:t>
      </w:r>
      <w:r>
        <w:rPr>
          <w:rFonts w:ascii="Times New Roman;serif" w:hAnsi="Times New Roman;serif"/>
          <w:b w:val="false"/>
          <w:color w:val="0000FF"/>
          <w:sz w:val="20"/>
        </w:rPr>
        <w:t>https://www.telos.com</w:t>
      </w:r>
      <w:r>
        <w:rPr>
          <w:rFonts w:ascii="Times New Roman;serif" w:hAnsi="Times New Roman;serif"/>
          <w:b w:val="false"/>
          <w:color w:val="000000"/>
          <w:sz w:val="20"/>
        </w:rPr>
        <w:t xml:space="preserve">. </w:t>
      </w:r>
    </w:p>
    <w:p>
      <w:pPr>
        <w:pStyle w:val="TextBody"/>
        <w:bidi w:val="0"/>
        <w:spacing w:lineRule="auto" w:line="288" w:before="120" w:after="283"/>
        <w:jc w:val="both"/>
        <w:rPr/>
      </w:pPr>
      <w:r>
        <w:rPr>
          <w:rFonts w:ascii="Times New Roman;serif" w:hAnsi="Times New Roman;serif"/>
          <w:b/>
          <w:color w:val="000000"/>
          <w:sz w:val="20"/>
        </w:rPr>
        <w:t xml:space="preserve">Media: </w:t>
      </w:r>
      <w:r>
        <w:rPr>
          <w:rFonts w:ascii="Times New Roman;serif" w:hAnsi="Times New Roman;serif"/>
          <w:b w:val="false"/>
          <w:color w:val="0000FF"/>
          <w:sz w:val="20"/>
        </w:rPr>
        <w:t>media@telos.com</w:t>
      </w:r>
      <w:r>
        <w:rPr>
          <w:color w:val="000000"/>
        </w:rPr>
        <w:t xml:space="preserve"> </w:t>
      </w:r>
    </w:p>
    <w:p>
      <w:pPr>
        <w:pStyle w:val="TextBody"/>
        <w:bidi w:val="0"/>
        <w:spacing w:lineRule="auto" w:line="288" w:before="0" w:after="180"/>
        <w:jc w:val="both"/>
        <w:rPr/>
      </w:pPr>
      <w:r>
        <w:rPr>
          <w:rFonts w:ascii="Times New Roman;serif" w:hAnsi="Times New Roman;serif"/>
          <w:b/>
          <w:color w:val="000000"/>
          <w:sz w:val="20"/>
        </w:rPr>
        <w:t xml:space="preserve">Investors: </w:t>
      </w:r>
      <w:r>
        <w:rPr>
          <w:rFonts w:ascii="Times New Roman;serif" w:hAnsi="Times New Roman;serif"/>
          <w:b w:val="false"/>
          <w:color w:val="0000FF"/>
          <w:sz w:val="20"/>
        </w:rPr>
        <w:t>InvestorRelations@telos.com</w:t>
      </w: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180"/>
        <w:jc w:val="right"/>
        <w:rPr>
          <w:rFonts w:ascii="Times New Roman;serif" w:hAnsi="Times New Roman;serif"/>
          <w:b/>
          <w:color w:val="000000"/>
          <w:sz w:val="20"/>
        </w:rPr>
      </w:pPr>
      <w:r>
        <w:rPr>
          <w:rFonts w:ascii="Times New Roman;serif" w:hAnsi="Times New Roman;serif"/>
          <w:b/>
          <w:color w:val="000000"/>
          <w:sz w:val="20"/>
        </w:rPr>
        <w:t>Exhibit 99.2</w:t>
      </w:r>
    </w:p>
    <w:p>
      <w:pPr>
        <w:pStyle w:val="TextBody"/>
        <w:bidi w:val="0"/>
        <w:spacing w:before="120" w:after="180"/>
        <w:ind w:left="0" w:right="0" w:firstLine="360"/>
        <w:jc w:val="center"/>
        <w:rPr/>
      </w:pPr>
      <w:r>
        <w:rPr/>
        <w:drawing>
          <wp:inline distT="0" distB="0" distL="0" distR="0">
            <wp:extent cx="2286000" cy="7810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286000" cy="781050"/>
                    </a:xfrm>
                    <a:prstGeom prst="rect">
                      <a:avLst/>
                    </a:prstGeom>
                  </pic:spPr>
                </pic:pic>
              </a:graphicData>
            </a:graphic>
          </wp:inline>
        </w:drawing>
      </w:r>
    </w:p>
    <w:p>
      <w:pPr>
        <w:pStyle w:val="TextBody"/>
        <w:bidi w:val="0"/>
        <w:spacing w:lineRule="auto" w:line="288" w:before="0" w:after="0"/>
        <w:jc w:val="center"/>
        <w:rPr/>
      </w:pPr>
      <w:r>
        <w:rPr>
          <w:rFonts w:ascii="Times New Roman;serif" w:hAnsi="Times New Roman;serif"/>
          <w:b/>
          <w:color w:val="000000"/>
          <w:sz w:val="40"/>
        </w:rPr>
        <w:t>Second</w:t>
      </w:r>
      <w:r>
        <w:rPr>
          <w:color w:val="000000"/>
          <w:shd w:fill="FFFFFF" w:val="clear"/>
        </w:rPr>
        <w:t xml:space="preserve"> </w:t>
      </w:r>
      <w:r>
        <w:rPr>
          <w:rFonts w:ascii="Times New Roman;serif" w:hAnsi="Times New Roman;serif"/>
          <w:b/>
          <w:color w:val="000000"/>
          <w:sz w:val="40"/>
          <w:shd w:fill="FFFFFF" w:val="clear"/>
        </w:rPr>
        <w:t xml:space="preserve">Quarter </w:t>
      </w:r>
      <w:r>
        <w:rPr>
          <w:rFonts w:ascii="Times New Roman;serif" w:hAnsi="Times New Roman;serif"/>
          <w:b/>
          <w:color w:val="000000"/>
          <w:sz w:val="40"/>
        </w:rPr>
        <w:t>2026</w:t>
      </w:r>
      <w:r>
        <w:rPr>
          <w:color w:val="000000"/>
          <w:shd w:fill="FFFFFF" w:val="clear"/>
        </w:rPr>
        <w:t xml:space="preserve"> </w:t>
      </w:r>
      <w:r>
        <w:rPr>
          <w:rFonts w:ascii="Times New Roman;serif" w:hAnsi="Times New Roman;serif"/>
          <w:b/>
          <w:color w:val="000000"/>
          <w:sz w:val="40"/>
          <w:shd w:fill="FFFFFF" w:val="clear"/>
        </w:rPr>
        <w:t xml:space="preserve">Financial Results </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August 10, 2026</w:t>
      </w:r>
    </w:p>
    <w:tbl>
      <w:tblPr>
        <w:tblW w:w="10205" w:type="dxa"/>
        <w:jc w:val="center"/>
        <w:tblInd w:w="0" w:type="dxa"/>
        <w:tblLayout w:type="fixed"/>
        <w:tblCellMar>
          <w:top w:w="28" w:type="dxa"/>
          <w:left w:w="28" w:type="dxa"/>
          <w:bottom w:w="28" w:type="dxa"/>
          <w:right w:w="28" w:type="dxa"/>
        </w:tblCellMar>
      </w:tblPr>
      <w:tblGrid>
        <w:gridCol w:w="3269"/>
        <w:gridCol w:w="2873"/>
        <w:gridCol w:w="4063"/>
      </w:tblGrid>
      <w:tr>
        <w:trPr/>
        <w:tc>
          <w:tcPr>
            <w:tcW w:w="3269"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4F81BD"/>
              <w:bottom w:val="single" w:sz="4" w:space="0" w:color="4F81BD"/>
            </w:tcBorders>
            <w:tcMar>
              <w:top w:w="30" w:type="dxa"/>
              <w:left w:w="0" w:type="dxa"/>
              <w:bottom w:w="30" w:type="dxa"/>
              <w:right w:w="0" w:type="dxa"/>
            </w:tcMar>
            <w:vAlign w:val="center"/>
          </w:tcPr>
          <w:p>
            <w:pPr>
              <w:pStyle w:val="TableContents"/>
              <w:bidi w:val="0"/>
              <w:spacing w:lineRule="auto" w:line="319" w:before="0" w:after="0"/>
              <w:jc w:val="center"/>
              <w:rPr>
                <w:rFonts w:ascii="Times New Roman;serif" w:hAnsi="Times New Roman;serif"/>
                <w:b w:val="false"/>
                <w:color w:val="404040"/>
                <w:sz w:val="32"/>
              </w:rPr>
            </w:pPr>
            <w:r>
              <w:rPr>
                <w:rFonts w:ascii="Times New Roman;serif" w:hAnsi="Times New Roman;serif"/>
                <w:b w:val="false"/>
                <w:color w:val="404040"/>
                <w:sz w:val="32"/>
              </w:rPr>
              <w:t>Telos Corporation Reports 33% Revenue Growth and Continued Robust Cash Flow Margins; Raises Full Year Profit Guidance</w:t>
            </w:r>
          </w:p>
        </w:tc>
      </w:tr>
    </w:tbl>
    <w:p>
      <w:pPr>
        <w:pStyle w:val="TextBody"/>
        <w:bidi w:val="0"/>
        <w:spacing w:lineRule="auto" w:line="288" w:before="120" w:after="180"/>
        <w:ind w:left="0" w:right="0" w:hanging="360"/>
        <w:jc w:val="left"/>
        <w:rPr/>
      </w:pPr>
      <w:r>
        <w:rPr>
          <w:color w:val="000000"/>
        </w:rPr>
        <w:t>•</w:t>
      </w:r>
      <w:r>
        <w:rPr>
          <w:rFonts w:ascii="Times New Roman;serif" w:hAnsi="Times New Roman;serif"/>
          <w:b/>
          <w:color w:val="000000"/>
          <w:sz w:val="22"/>
        </w:rPr>
        <w:t xml:space="preserve">Substantial Growth: </w:t>
      </w:r>
      <w:r>
        <w:rPr>
          <w:rFonts w:ascii="Times New Roman;serif" w:hAnsi="Times New Roman;serif"/>
          <w:b w:val="false"/>
          <w:color w:val="000000"/>
          <w:sz w:val="22"/>
        </w:rPr>
        <w:t xml:space="preserve">Revenue grew 33% year-over-year to $47.7 million, exceeding guidance, and driven by 44% growth in Security Solutions primarily due to the expansion of large programs in Telos ID. </w:t>
      </w:r>
    </w:p>
    <w:p>
      <w:pPr>
        <w:pStyle w:val="TextBody"/>
        <w:bidi w:val="0"/>
        <w:spacing w:lineRule="auto" w:line="288" w:before="120" w:after="180"/>
        <w:ind w:left="0" w:right="0" w:hanging="360"/>
        <w:jc w:val="left"/>
        <w:rPr/>
      </w:pPr>
      <w:r>
        <w:rPr>
          <w:color w:val="000000"/>
        </w:rPr>
        <w:t>•</w:t>
      </w:r>
      <w:r>
        <w:rPr>
          <w:rFonts w:ascii="Times New Roman;serif" w:hAnsi="Times New Roman;serif"/>
          <w:b/>
          <w:color w:val="000000"/>
          <w:sz w:val="22"/>
        </w:rPr>
        <w:t>Healthy Gross Margins:</w:t>
      </w:r>
      <w:r>
        <w:rPr>
          <w:color w:val="000000"/>
        </w:rPr>
        <w:t xml:space="preserve"> </w:t>
      </w:r>
      <w:r>
        <w:rPr>
          <w:rFonts w:ascii="Times New Roman;serif" w:hAnsi="Times New Roman;serif"/>
          <w:b w:val="false"/>
          <w:color w:val="000000"/>
          <w:sz w:val="22"/>
        </w:rPr>
        <w:t>GAAP Gross Margin and Cash Gross Margin</w:t>
      </w:r>
      <w:r>
        <w:rPr>
          <w:rFonts w:ascii="Times New Roman;serif" w:hAnsi="Times New Roman;serif"/>
          <w:b w:val="false"/>
          <w:color w:val="000000"/>
          <w:sz w:val="14"/>
        </w:rPr>
        <w:t xml:space="preserve">1 </w:t>
      </w:r>
      <w:r>
        <w:rPr>
          <w:rFonts w:ascii="Times New Roman;serif" w:hAnsi="Times New Roman;serif"/>
          <w:b w:val="false"/>
          <w:color w:val="000000"/>
          <w:sz w:val="22"/>
        </w:rPr>
        <w:t>both exceeded guidance assumptions and expanded YoY primarily due to performance of Telos ID. GAAP Gross Margin was 35.0% and Cash Gross Margin</w:t>
      </w:r>
      <w:r>
        <w:rPr>
          <w:rFonts w:ascii="Times New Roman;serif" w:hAnsi="Times New Roman;serif"/>
          <w:b w:val="false"/>
          <w:color w:val="000000"/>
          <w:sz w:val="14"/>
        </w:rPr>
        <w:t xml:space="preserve">1 </w:t>
      </w:r>
      <w:r>
        <w:rPr>
          <w:rFonts w:ascii="Times New Roman;serif" w:hAnsi="Times New Roman;serif"/>
          <w:b w:val="false"/>
          <w:color w:val="000000"/>
          <w:sz w:val="22"/>
        </w:rPr>
        <w:t>was 40.6%.</w:t>
      </w:r>
    </w:p>
    <w:p>
      <w:pPr>
        <w:pStyle w:val="TextBody"/>
        <w:bidi w:val="0"/>
        <w:spacing w:lineRule="auto" w:line="288" w:before="120" w:after="180"/>
        <w:ind w:left="0" w:right="0" w:hanging="360"/>
        <w:jc w:val="left"/>
        <w:rPr/>
      </w:pPr>
      <w:r>
        <w:rPr>
          <w:color w:val="000000"/>
        </w:rPr>
        <w:t>•</w:t>
      </w:r>
      <w:r>
        <w:rPr>
          <w:rFonts w:ascii="Times New Roman;serif" w:hAnsi="Times New Roman;serif"/>
          <w:b/>
          <w:color w:val="000000"/>
          <w:sz w:val="22"/>
        </w:rPr>
        <w:t>Disciplined Cost Management:</w:t>
      </w:r>
      <w:r>
        <w:rPr>
          <w:color w:val="000000"/>
        </w:rPr>
        <w:t xml:space="preserve"> </w:t>
      </w:r>
      <w:r>
        <w:rPr>
          <w:rFonts w:ascii="Times New Roman;serif" w:hAnsi="Times New Roman;serif"/>
          <w:b w:val="false"/>
          <w:color w:val="000000"/>
          <w:sz w:val="22"/>
        </w:rPr>
        <w:t>GAAP Operating Expenses declined 25% year-over-year primarily due to lower stock-based compensation expense. Adjusted Operating Expenses</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declined 6% primarily due to restructuring and ongoing cost management initiatives.</w:t>
      </w:r>
    </w:p>
    <w:p>
      <w:pPr>
        <w:pStyle w:val="TextBody"/>
        <w:bidi w:val="0"/>
        <w:spacing w:lineRule="auto" w:line="288" w:before="120" w:after="180"/>
        <w:ind w:left="0" w:right="0" w:hanging="360"/>
        <w:jc w:val="left"/>
        <w:rPr/>
      </w:pPr>
      <w:r>
        <w:rPr>
          <w:color w:val="000000"/>
        </w:rPr>
        <w:t>•</w:t>
      </w:r>
      <w:r>
        <w:rPr>
          <w:rFonts w:ascii="Times New Roman;serif" w:hAnsi="Times New Roman;serif"/>
          <w:b/>
          <w:color w:val="000000"/>
          <w:sz w:val="22"/>
        </w:rPr>
        <w:t>Expanded Operating Margins:</w:t>
      </w:r>
      <w:r>
        <w:rPr>
          <w:color w:val="000000"/>
        </w:rPr>
        <w:t xml:space="preserve"> </w:t>
      </w:r>
      <w:r>
        <w:rPr>
          <w:rFonts w:ascii="Times New Roman;serif" w:hAnsi="Times New Roman;serif"/>
          <w:b w:val="false"/>
          <w:color w:val="000000"/>
          <w:sz w:val="22"/>
        </w:rPr>
        <w:t>GAAP Net Income was $0.7 million; Adjusted EBITDA</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was $6.9 million, exceeding guidance. GAAP Net Income Margin was 1.4%; Adjusted EBITDA Margin</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expanded from 1.1% to 14.4% year-over-year primarily due to revenue growth in Telos ID and lower operating expenses.</w:t>
      </w:r>
    </w:p>
    <w:p>
      <w:pPr>
        <w:pStyle w:val="TextBody"/>
        <w:bidi w:val="0"/>
        <w:spacing w:lineRule="auto" w:line="288" w:before="120" w:after="180"/>
        <w:ind w:left="0" w:right="0" w:hanging="360"/>
        <w:jc w:val="left"/>
        <w:rPr/>
      </w:pPr>
      <w:r>
        <w:rPr>
          <w:color w:val="000000"/>
        </w:rPr>
        <w:t>•</w:t>
      </w:r>
      <w:r>
        <w:rPr>
          <w:rFonts w:ascii="Times New Roman;serif" w:hAnsi="Times New Roman;serif"/>
          <w:b/>
          <w:color w:val="000000"/>
          <w:sz w:val="22"/>
        </w:rPr>
        <w:t>Robust Cash Flow Margins:</w:t>
      </w:r>
      <w:r>
        <w:rPr>
          <w:color w:val="000000"/>
        </w:rPr>
        <w:t xml:space="preserve"> </w:t>
      </w:r>
      <w:r>
        <w:rPr>
          <w:rFonts w:ascii="Times New Roman;serif" w:hAnsi="Times New Roman;serif"/>
          <w:b w:val="false"/>
          <w:color w:val="000000"/>
          <w:sz w:val="22"/>
        </w:rPr>
        <w:t>Cash Flow from Operations was $8.8 million or 18.5% of revenue. Free Cash Flow</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increased 43% year-over-year to $6.6 million. Free Cash Flow Margin</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 xml:space="preserve">was 13.9% and represents the sixth consecutive quarter over 12.0%. </w:t>
      </w:r>
    </w:p>
    <w:p>
      <w:pPr>
        <w:pStyle w:val="TextBody"/>
        <w:bidi w:val="0"/>
        <w:spacing w:lineRule="auto" w:line="288" w:before="120" w:after="180"/>
        <w:ind w:left="0" w:right="0" w:hanging="360"/>
        <w:jc w:val="left"/>
        <w:rPr/>
      </w:pPr>
      <w:r>
        <w:rPr>
          <w:color w:val="000000"/>
        </w:rPr>
        <w:t>•</w:t>
      </w:r>
      <w:r>
        <w:rPr>
          <w:rFonts w:ascii="Times New Roman;serif" w:hAnsi="Times New Roman;serif"/>
          <w:b/>
          <w:color w:val="000000"/>
          <w:sz w:val="22"/>
        </w:rPr>
        <w:t>Continued Share Repurchases:</w:t>
      </w:r>
      <w:r>
        <w:rPr>
          <w:color w:val="000000"/>
        </w:rPr>
        <w:t xml:space="preserve"> </w:t>
      </w:r>
      <w:r>
        <w:rPr>
          <w:rFonts w:ascii="Times New Roman;serif" w:hAnsi="Times New Roman;serif"/>
          <w:b w:val="false"/>
          <w:color w:val="000000"/>
          <w:sz w:val="22"/>
        </w:rPr>
        <w:t>Deployed $4.7 million to repurchase over 1.0 million shares at an average price of $4.50 per share.</w:t>
      </w:r>
    </w:p>
    <w:p>
      <w:pPr>
        <w:pStyle w:val="TextBody"/>
        <w:bidi w:val="0"/>
        <w:spacing w:lineRule="auto" w:line="288" w:before="120" w:after="180"/>
        <w:ind w:left="0" w:right="0" w:hanging="360"/>
        <w:jc w:val="left"/>
        <w:rPr/>
      </w:pPr>
      <w:r>
        <w:rPr>
          <w:color w:val="000000"/>
        </w:rPr>
        <w:t>•</w:t>
      </w:r>
      <w:r>
        <w:rPr>
          <w:rFonts w:ascii="Times New Roman;serif" w:hAnsi="Times New Roman;serif"/>
          <w:b/>
          <w:color w:val="000000"/>
          <w:sz w:val="22"/>
        </w:rPr>
        <w:t>Forecast</w:t>
      </w:r>
      <w:r>
        <w:rPr>
          <w:rFonts w:ascii="Times New Roman;serif" w:hAnsi="Times New Roman;serif"/>
          <w:b w:val="false"/>
          <w:color w:val="000000"/>
          <w:sz w:val="22"/>
        </w:rPr>
        <w:t>: Sequential revenue growth and ongoing share repurchases in the third quarter. Raising full year profit outlook on slightly lower revenues.</w:t>
      </w:r>
    </w:p>
    <w:tbl>
      <w:tblPr>
        <w:tblW w:w="10205" w:type="dxa"/>
        <w:jc w:val="left"/>
        <w:tblInd w:w="0" w:type="dxa"/>
        <w:tblLayout w:type="fixed"/>
        <w:tblCellMar>
          <w:top w:w="28" w:type="dxa"/>
          <w:left w:w="28" w:type="dxa"/>
          <w:bottom w:w="28" w:type="dxa"/>
          <w:right w:w="28" w:type="dxa"/>
        </w:tblCellMar>
      </w:tblPr>
      <w:tblGrid>
        <w:gridCol w:w="995"/>
        <w:gridCol w:w="556"/>
        <w:gridCol w:w="487"/>
        <w:gridCol w:w="688"/>
        <w:gridCol w:w="675"/>
        <w:gridCol w:w="670"/>
        <w:gridCol w:w="335"/>
        <w:gridCol w:w="335"/>
        <w:gridCol w:w="335"/>
        <w:gridCol w:w="689"/>
        <w:gridCol w:w="672"/>
        <w:gridCol w:w="670"/>
        <w:gridCol w:w="335"/>
        <w:gridCol w:w="335"/>
        <w:gridCol w:w="335"/>
        <w:gridCol w:w="619"/>
        <w:gridCol w:w="611"/>
        <w:gridCol w:w="863"/>
      </w:tblGrid>
      <w:tr>
        <w:trPr/>
        <w:tc>
          <w:tcPr>
            <w:tcW w:w="99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Financial Guidance for the Third Quarter and Full Year Ending December 31, 2026</w:t>
            </w:r>
          </w:p>
        </w:tc>
      </w:tr>
      <w:tr>
        <w:trPr/>
        <w:tc>
          <w:tcPr>
            <w:tcW w:w="2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Third Quarter</w:t>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Full Year</w:t>
            </w:r>
          </w:p>
        </w:tc>
      </w:tr>
      <w:tr>
        <w:trPr/>
        <w:tc>
          <w:tcPr>
            <w:tcW w:w="2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Prior</w:t>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Updated</w:t>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$49.2 million - $50.6 million</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$187 million - $200 million</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$187 million - $195 million</w:t>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Year-Over-Year Growth</w:t>
            </w:r>
          </w:p>
        </w:tc>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8"/>
              </w:rPr>
              <w:t>(4%) - (2%)</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 - 21%</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 - 18%</w:t>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w:t>
            </w:r>
            <w:r>
              <w:rPr>
                <w:rFonts w:ascii="Times New Roman;serif" w:hAnsi="Times New Roman;serif"/>
                <w:b w:val="false"/>
                <w:color w:val="000000"/>
                <w:sz w:val="12"/>
              </w:rPr>
              <w:t>2</w:t>
            </w:r>
          </w:p>
        </w:tc>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 million - $6.8 million</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$20.6 million - $28.0 million</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$23.6 million - $28.6 million</w:t>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 Margin</w:t>
            </w:r>
            <w:r>
              <w:rPr>
                <w:rFonts w:ascii="Times New Roman;serif" w:hAnsi="Times New Roman;serif"/>
                <w:b w:val="false"/>
                <w:color w:val="000000"/>
                <w:sz w:val="12"/>
              </w:rPr>
              <w:t>2</w:t>
            </w:r>
          </w:p>
        </w:tc>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12.2% - 13.4%</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11.0% - 14.0%</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12.6% - 14.7%</w:t>
            </w:r>
          </w:p>
        </w:tc>
      </w:tr>
    </w:tbl>
    <w:p>
      <w:pPr>
        <w:pStyle w:val="TextBody"/>
        <w:bidi w:val="0"/>
        <w:spacing w:before="120" w:after="18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6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Cash Gross Margin, Adjusted Operating Expenses, Adjusted EBITDA, Adjusted EBITDA Margin, Free Cash Flow and Free Cash Flow Margin are non-GAAP financial measures. Refer to “Non- GAAP Financial Measures” below.</w:t>
      </w:r>
    </w:p>
    <w:p>
      <w:pPr>
        <w:pStyle w:val="TextBody"/>
        <w:bidi w:val="0"/>
        <w:spacing w:lineRule="auto" w:line="288"/>
        <w:jc w:val="left"/>
        <w:rPr/>
      </w:pPr>
      <w:r>
        <w:rPr>
          <w:rFonts w:ascii="Times New Roman;serif" w:hAnsi="Times New Roman;serif"/>
          <w:b w:val="false"/>
          <w:color w:val="000000"/>
          <w:sz w:val="10"/>
        </w:rPr>
        <w:t>2</w:t>
      </w:r>
      <w:r>
        <w:rPr>
          <w:rFonts w:ascii="Times New Roman;serif" w:hAnsi="Times New Roman;serif"/>
          <w:b w:val="false"/>
          <w:color w:val="000000"/>
          <w:sz w:val="16"/>
        </w:rPr>
        <w:t>Adjusted EBITDA and Adjusted EBITDA Margin are non-GAAP financial measures. The Company has not provided a reconciliation to the most directly comparable GAAP measures to these forward-looking non-GAAP financial measures because certain items are out of the Company’s control or cannot be reasonably predicted. Accordingly, reconciliations of forward-looking Adjusted EBITDA and Adjusted EBITDA Margin are not available without unreasonable effort.</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txbxContent>
                </v:textbox>
                <w10:wrap type="none"/>
              </v:rect>
            </w:pict>
          </mc:Fallback>
        </mc:AlternateContent>
      </w:r>
    </w:p>
    <w:tbl>
      <w:tblPr>
        <w:tblW w:w="10001" w:type="dxa"/>
        <w:jc w:val="left"/>
        <w:tblInd w:w="0" w:type="dxa"/>
        <w:tblLayout w:type="fixed"/>
        <w:tblCellMar>
          <w:top w:w="28" w:type="dxa"/>
          <w:left w:w="28" w:type="dxa"/>
          <w:bottom w:w="28" w:type="dxa"/>
          <w:right w:w="28" w:type="dxa"/>
        </w:tblCellMar>
      </w:tblPr>
      <w:tblGrid>
        <w:gridCol w:w="2258"/>
        <w:gridCol w:w="1981"/>
        <w:gridCol w:w="2001"/>
        <w:gridCol w:w="133"/>
        <w:gridCol w:w="133"/>
        <w:gridCol w:w="133"/>
        <w:gridCol w:w="233"/>
        <w:gridCol w:w="233"/>
        <w:gridCol w:w="315"/>
        <w:gridCol w:w="133"/>
        <w:gridCol w:w="133"/>
        <w:gridCol w:w="133"/>
        <w:gridCol w:w="133"/>
        <w:gridCol w:w="133"/>
        <w:gridCol w:w="133"/>
        <w:gridCol w:w="133"/>
        <w:gridCol w:w="133"/>
        <w:gridCol w:w="133"/>
        <w:gridCol w:w="270"/>
        <w:gridCol w:w="270"/>
        <w:gridCol w:w="389"/>
        <w:gridCol w:w="133"/>
        <w:gridCol w:w="133"/>
        <w:gridCol w:w="189"/>
      </w:tblGrid>
      <w:tr>
        <w:trPr/>
        <w:tc>
          <w:tcPr>
            <w:tcW w:w="2258"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0001" w:type="dxa"/>
            <w:gridSpan w:val="24"/>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Second Quarter 2026 Financial Highlights</w:t>
            </w:r>
          </w:p>
        </w:tc>
      </w:tr>
      <w:tr>
        <w:trPr/>
        <w:tc>
          <w:tcPr>
            <w:tcW w:w="624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21"/>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624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9"/>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624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21"/>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(amounts in millions, except per share data)</w:t>
            </w:r>
          </w:p>
        </w:tc>
      </w:tr>
      <w:tr>
        <w:trPr/>
        <w:tc>
          <w:tcPr>
            <w:tcW w:w="624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Gross Profit</w:t>
            </w:r>
            <w:r>
              <w:rPr>
                <w:rFonts w:ascii="Times New Roman;serif" w:hAnsi="Times New Roman;serif"/>
                <w:b w:val="false"/>
                <w:color w:val="000000"/>
                <w:sz w:val="12"/>
              </w:rPr>
              <w:t>1</w:t>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Gross Margin</w:t>
            </w:r>
            <w:r>
              <w:rPr>
                <w:rFonts w:ascii="Times New Roman;serif" w:hAnsi="Times New Roman;serif"/>
                <w:b w:val="false"/>
                <w:color w:val="000000"/>
                <w:sz w:val="12"/>
              </w:rPr>
              <w:t>1</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Cash Gross Profit</w:t>
            </w:r>
            <w:r>
              <w:rPr>
                <w:rFonts w:ascii="Times New Roman;serif" w:hAnsi="Times New Roman;serif"/>
                <w:b w:val="false"/>
                <w:color w:val="000000"/>
                <w:sz w:val="12"/>
              </w:rPr>
              <w:t>1</w:t>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Cash Gross Margin</w:t>
            </w:r>
            <w:r>
              <w:rPr>
                <w:rFonts w:ascii="Times New Roman;serif" w:hAnsi="Times New Roman;serif"/>
                <w:b w:val="false"/>
                <w:color w:val="000000"/>
                <w:sz w:val="12"/>
              </w:rPr>
              <w:t>1</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Net Income (Loss)</w:t>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Net Income (Loss) Margin</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Net Income (Loss)</w:t>
            </w:r>
            <w:r>
              <w:rPr>
                <w:rFonts w:ascii="Times New Roman;serif" w:hAnsi="Times New Roman;serif"/>
                <w:b w:val="false"/>
                <w:color w:val="000000"/>
                <w:sz w:val="12"/>
              </w:rPr>
              <w:t>1</w:t>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EBITDA</w:t>
            </w:r>
            <w:r>
              <w:rPr>
                <w:rFonts w:ascii="Times New Roman;serif" w:hAnsi="Times New Roman;serif"/>
                <w:b w:val="false"/>
                <w:color w:val="000000"/>
                <w:sz w:val="12"/>
              </w:rPr>
              <w:t>1</w:t>
            </w:r>
          </w:p>
        </w:tc>
        <w:tc>
          <w:tcPr>
            <w:tcW w:w="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w:t>
            </w:r>
            <w:r>
              <w:rPr>
                <w:rFonts w:ascii="Times New Roman;serif" w:hAnsi="Times New Roman;serif"/>
                <w:b w:val="false"/>
                <w:color w:val="000000"/>
                <w:sz w:val="12"/>
              </w:rPr>
              <w:t>1</w:t>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 Margin</w:t>
            </w:r>
            <w:r>
              <w:rPr>
                <w:rFonts w:ascii="Times New Roman;serif" w:hAnsi="Times New Roman;serif"/>
                <w:b w:val="false"/>
                <w:color w:val="000000"/>
                <w:sz w:val="12"/>
              </w:rPr>
              <w:t>1</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EPS, basic</w:t>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of Common Stock Outstanding, basic (GAAP)</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GAAP EPS, diluted</w:t>
            </w:r>
            <w:r>
              <w:rPr>
                <w:rFonts w:ascii="Times New Roman;serif" w:hAnsi="Times New Roman;serif"/>
                <w:b w:val="false"/>
                <w:color w:val="000000"/>
                <w:sz w:val="12"/>
              </w:rPr>
              <w:t>2</w:t>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Weighted-average Shares of Common Stock Outstanding, diluted/basic</w:t>
            </w: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(GAAP)</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EPS</w:t>
            </w:r>
            <w:r>
              <w:rPr>
                <w:rFonts w:ascii="Times New Roman;serif" w:hAnsi="Times New Roman;serif"/>
                <w:b w:val="false"/>
                <w:color w:val="000000"/>
                <w:sz w:val="12"/>
              </w:rPr>
              <w:t>1</w:t>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Weighted-average Shares of Common Stock Outstanding, diluted/basic</w:t>
            </w: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(non-GAAP)</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 from Operations</w:t>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Free Cash Flow</w:t>
            </w:r>
            <w:r>
              <w:rPr>
                <w:rFonts w:ascii="Times New Roman;serif" w:hAnsi="Times New Roman;serif"/>
                <w:b w:val="false"/>
                <w:color w:val="000000"/>
                <w:sz w:val="12"/>
              </w:rPr>
              <w:t>1</w:t>
            </w:r>
          </w:p>
        </w:tc>
        <w:tc>
          <w:tcPr>
            <w:tcW w:w="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Free Cash Flow Margin</w:t>
            </w:r>
            <w:r>
              <w:rPr>
                <w:rFonts w:ascii="Times New Roman;serif" w:hAnsi="Times New Roman;serif"/>
                <w:b w:val="false"/>
                <w:color w:val="000000"/>
                <w:sz w:val="12"/>
              </w:rPr>
              <w:t>1</w:t>
            </w:r>
          </w:p>
        </w:tc>
        <w:tc>
          <w:tcPr>
            <w:tcW w:w="39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31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38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5" w:type="dxa"/>
            <w:gridSpan w:val="3"/>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erif" w:hAnsi="Times New Roman;serif"/>
          <w:b w:val="false"/>
          <w:i/>
          <w:color w:val="000000"/>
          <w:sz w:val="10"/>
        </w:rPr>
        <w:t>1</w:t>
      </w:r>
      <w:r>
        <w:rPr>
          <w:color w:val="000000"/>
        </w:rPr>
        <w:t xml:space="preserve"> </w:t>
      </w:r>
      <w:r>
        <w:rPr>
          <w:rFonts w:ascii="Times New Roman;serif" w:hAnsi="Times New Roman;serif"/>
          <w:b w:val="false"/>
          <w:i/>
          <w:color w:val="000000"/>
          <w:sz w:val="16"/>
        </w:rPr>
        <w:t>Adjusted Gross Profit, Adjusted Gross Margin, Cash Gross Profit, Cash Gross Margin, Adjusted Net Income (Loss), EBITDA, Adjusted EBITDA, Adjusted EBITDA Margin, Adjusted EPS, Free Cash Flow, and Free Cash Flow Margin are non-GAAP financial measures. Refer to "Non-GAAP Financial Measures" below.</w:t>
      </w:r>
    </w:p>
    <w:p>
      <w:pPr>
        <w:pStyle w:val="TextBody"/>
        <w:bidi w:val="0"/>
        <w:spacing w:lineRule="auto" w:line="288" w:before="0" w:after="0"/>
        <w:jc w:val="left"/>
        <w:rPr/>
      </w:pPr>
      <w:r>
        <w:rPr>
          <w:rFonts w:ascii="Times New Roman;serif" w:hAnsi="Times New Roman;serif"/>
          <w:b w:val="false"/>
          <w:i/>
          <w:color w:val="000000"/>
          <w:sz w:val="10"/>
        </w:rPr>
        <w:t>2</w:t>
      </w:r>
      <w:r>
        <w:rPr>
          <w:color w:val="000000"/>
        </w:rPr>
        <w:t xml:space="preserve"> </w:t>
      </w:r>
      <w:r>
        <w:rPr>
          <w:rFonts w:ascii="Times New Roman;serif" w:hAnsi="Times New Roman;serif"/>
          <w:b w:val="false"/>
          <w:i/>
          <w:color w:val="000000"/>
          <w:sz w:val="16"/>
        </w:rPr>
        <w:t>This line is labeled “diluted/basic” because for a period of net loss, potentially dilutive shares are not included in the calculation of diluted earnings (loss) per share, because to do so would be anti-dilutive. For the second quarter of 2025, the basic and diluted weighted-average share of common stock outstanding are the same due to a Net Loss position.</w:t>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180"/>
        <w:jc w:val="left"/>
        <w:rPr/>
      </w:pPr>
      <w:r>
        <w:rPr>
          <w:rFonts w:ascii="Times New Roman;serif" w:hAnsi="Times New Roman;serif"/>
          <w:b w:val="false"/>
          <w:color w:val="000000"/>
          <w:sz w:val="20"/>
        </w:rPr>
        <w:t>This summary contains forward-looking statements, including all of the information described as “forecast” or “guidance”, which are made under the safe harbor provisions of t</w:t>
      </w:r>
      <w:r>
        <w:rPr>
          <w:rFonts w:ascii="Times New Roman;serif" w:hAnsi="Times New Roman;serif"/>
          <w:b w:val="false"/>
          <w:color w:val="000000"/>
          <w:sz w:val="20"/>
          <w:shd w:fill="FFFFFF" w:val="clear"/>
        </w:rPr>
        <w:t>he federal securities laws. These statements are based on the Company’s management’s current beliefs, expectations and assumptions about future events, conditions, and results and on information currently available to them. By their nature, forward-looking statements involve risks and uncertainties because they relate to events and depend on circumstances that may or may not occur in the future. The Company believes that these risks and uncertainties include, but are not limited to, those described under the captions “Risk Factors” and “Management’s Discussion and Analysis of Financial Condition and Results of Operations” set forth from time to time in the Company’s filings and reports with the U.S. Securities and Exchange Commission (“SEC”), including its Annual Report on Form 10-</w:t>
      </w:r>
      <w:r>
        <w:rPr>
          <w:rFonts w:ascii="Times New Roman;serif" w:hAnsi="Times New Roman;serif"/>
          <w:b w:val="false"/>
          <w:color w:val="000000"/>
          <w:sz w:val="20"/>
        </w:rPr>
        <w:t>K for the year ended December 31, 2025, </w:t>
      </w:r>
      <w:r>
        <w:rPr>
          <w:rFonts w:ascii="Times New Roman;serif" w:hAnsi="Times New Roman;serif"/>
          <w:b w:val="false"/>
          <w:color w:val="000000"/>
          <w:sz w:val="20"/>
          <w:shd w:fill="FFFFFF" w:val="clear"/>
        </w:rPr>
        <w:t>and its Quarterly Reports on Form 10-Q, as well as future filings and reports by the Company, copies of which are available at</w:t>
      </w:r>
      <w:r>
        <w:rPr>
          <w:color w:val="000000"/>
        </w:rPr>
        <w:t xml:space="preserve"> </w:t>
      </w:r>
      <w:r>
        <w:rPr>
          <w:rFonts w:ascii="Times New Roman;serif" w:hAnsi="Times New Roman;serif"/>
          <w:b w:val="false"/>
          <w:color w:val="3051F2"/>
          <w:sz w:val="20"/>
          <w:u w:val="single"/>
        </w:rPr>
        <w:t>https://investors.telos.com</w:t>
      </w:r>
      <w:r>
        <w:rPr>
          <w:color w:val="000000"/>
          <w:shd w:fill="FFFFFF" w:val="clear"/>
        </w:rPr>
        <w:t> </w:t>
      </w:r>
      <w:r>
        <w:rPr>
          <w:rFonts w:ascii="Times New Roman;serif" w:hAnsi="Times New Roman;serif"/>
          <w:b w:val="false"/>
          <w:color w:val="000000"/>
          <w:sz w:val="20"/>
          <w:shd w:fill="FFFFFF" w:val="clear"/>
        </w:rPr>
        <w:t>and on the SEC’s website at </w:t>
      </w:r>
      <w:r>
        <w:rPr>
          <w:rFonts w:ascii="Times New Roman;serif" w:hAnsi="Times New Roman;serif"/>
          <w:b w:val="false"/>
          <w:color w:val="3051F2"/>
          <w:sz w:val="20"/>
          <w:u w:val="single"/>
        </w:rPr>
        <w:t>www.sec.gov</w:t>
      </w:r>
      <w:r>
        <w:rPr>
          <w:rFonts w:ascii="Times New Roman;serif" w:hAnsi="Times New Roman;serif"/>
          <w:b w:val="false"/>
          <w:color w:val="000000"/>
          <w:sz w:val="20"/>
          <w:shd w:fill="FFFFFF" w:val="clear"/>
        </w:rPr>
        <w:t>.</w:t>
      </w:r>
    </w:p>
    <w:p>
      <w:pPr>
        <w:pStyle w:val="TextBody"/>
        <w:bidi w:val="0"/>
        <w:spacing w:lineRule="auto" w:line="288" w:before="12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Although the Company bases these forward-looking statements on assumptions that its management believes are reasonable when made, the Company cautions the reader that forward-looking statements are not guarantees of future performance and that the Company’s actual results of operations, financial condition and liquidity, and industry developments may differ materially from statements made in or suggested by the forward-looking statements contained in this summary. Given these risks, uncertainties, and other factors, many of which are beyond its control, the Company cautions the reader not to place undue reliance on these forward-looking statements. Any forward-looking statement speaks only as of the date of such statement and, except as required by law, the Company undertakes no obligation to update any forward-looking statement publicly, or to revise any forward-looking statement to reflect events or developments occurring after the date of the statement, even if new information becomes available in the future. Comparisons of results for current and any prior periods are not intended to express any future trends or indications of future performance, unless specifically expressed as such, and should only be viewed as historical data.</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Non-GAAP Financial Measures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In addition to our results determined in accordance with U.S. GAAP, we believe the non-GAAP financial measures of EBITDA, Adjusted EBITDA, EBITDA Margin, Adjusted EBITDA Margin, Incremental Adjusted EBITDA, Incremental Adjusted EBITDA Margin, Adjusted Net Income (Loss), Adjusted Earnings Per Share ("EPS"), Adjusted Gross Profit, Adjusted Gross Margin, Cash Gross Profit, Cash Gross Margin, Adjusted Operating Expenses, Cash Operating Expenses, Free Cash Flow and Free Cash Flow Margin are useful in evaluating our operating and cash flow performance. We believe that this non-GAAP financial information, when taken collectively with our GAAP results, may be helpful to readers of our financial statements because it provides consistency and comparability with past financial performance and assists in comparisons with other companies, some of which use similar non-GAAP financial information to supplement their GAAP results. The non-GAAP financial information is presented for supplemental informational purposes only, should not be considered a substitute for financial information presented in accordance with GAAP, and may be different from similarly-titled non-GAAP measures used by other companies. A reconciliation is provided below for each of these non-GAAP financial measures to the most directly comparable financial measure stated in accordance with GAAP.</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Telos believes that EBITDA, EBITDA Margin, Adjusted EBITDA, Adjusted EBITDA Margin, Incremental Adjusted EBITDA, Incremental Adjusted EBITDA Margin, Adjusted Net Income (Loss), Adjusted EPS, Cash Operating Expenses, and Adjusted Operating Expenses provide the Board of Directors, management and investors with a clear representation of the Company’s core operating performance and trends, provide greater visibility into the long-term financial performance of the Company, and eliminate the impact of items that do not relate to the ongoing operating performance of the business. Further, Adjusted EBITDA is used by the Board of Directors and management to prepare and approve the Company’s annual budget, and to evaluate the performance of certain management personnel when determining incentive compensation. Adjusted Gross Profit, Cash Gross Profit, Adjusted Gross Margin and Cash Gross Margin provide management and investors a clear representation of the core economics of gross profit and gross margin without the impact of non-cash expenses and sunk costs expended. Telos uses Free Cash Flow and Free Cash Flow Margin to understand the cash flows that directly correspond with our operations and the investments the Company must make in those operations, using a methodology that combines operating cash flows and capital expenditures. Further, Free Cash Flow may be useful to management and investors in evaluating the Company's operating and cash flow performance and liquidity, and the Board of Directors uses this measure to evaluate the performance of certain management personnel when determining incentive compensation. Telos believes these non-GAAP financial measures facilitate the comparison of the Company’s operating and cash performance on a consistent basis between periods by excluding certain items that may, or could, have a disproportionately positive or negative impact on the Company’s results of operations in any particular period. When viewed in combination with the Company’s results prepared in accordance with GAAP, these non-GAAP financial measures help provide a broader picture of factors and trends affecting the Company’s results of operations.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EBITDA, Adjusted EBITDA, EBITDA Margin, Adjusted EBITDA Margin, Incremental Adjusted EBITDA, Incremental Adjusted EBITDA Margin, Adjusted Net Income (Loss), Adjusted EPS, Adjusted Gross Profit, Adjusted Gross Margin, Cash Gross Profit, Cash Gross Margin, Adjusted Operating Expenses, Cash Operating Expenses, Free Cash Flow and Free Cash Flow Margin are supplemental measures of operating and cash flow performance that are not made under GAAP and do not represent, and should not be considered as an alternative to gross profit, gross margin, net (loss) income, earnings per share, operating expenses or net cash flows (used in) provided by operating activities, as determined by GAAP.</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Company defines EBITDA as net income (loss), adjusted for non-operating (income) expense, interest expense, provision for (benefit from) income taxes, and depreciation and amortization. The Company defines Adjusted EBITDA as EBITDA, adjusted for stock-based compensation expense, impairment loss on goodwill and intangible assets, and restructuring expenses (adjustments). The Company defines EBITDA Margin, as EBITDA as a percentage of total revenue. The Company defines Adjusted EBITDA Margin as Adjusted EBITDA as a percentage of total revenue. The Company defines Incremental Adjusted EBITDA as the net change between current and prior year Adjusted EBITDA. The Company defines Incremental Adjusted EBITDA Margin as Incremental Adjusted EBITDA as a percentage of the net change between current and prior year total revenue. The Company defines Adjusted Net Income (Loss) as net (loss) income, adjusted for non-operating (income) expense, stock-based compensation expense, impairment loss on goodwill and intangible assets, and restructuring expenses (adjustments). The Company defines Adjusted EPS as Adjusted Net Income (Loss) divided by the weighted-average number of common shares outstanding for the period. The Company defines Adjusted Gross Profit as gross profit, plus stock-based compensation expense, impairment loss on intangible assets, and restructuring expenses charged under cost of sales. The Company defines Adjusted Gross Margin as Adjusted Gross Profit as a percentage of total revenue. The Company defines Cash Gross Profit as Adjusted Gross Profit, plus depreciation and amortization. The Company defines Cash Gross Margin as Cash Gross Profit as a percentage of total revenue. The Company defines Adjusted Operating Expenses as operating expenses, adjusted for stock-based compensation expenses, impairment loss on goodwill and intangible assets, and restructuring expenses (adjustments). The Company defines Cash Operating Expenses as Adjusted Operating Expenses, adjusted for depreciation and amortization, and capitalized software development costs. Free Cash Flow is defined as net cash (used in) provided by operating activities, less net purchases of property and equipment, and capitalized software development costs. The Company defines Free Cash Flow Margin as Free Cash Flow as a percentage of total revenue.</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EBITDA, Adjusted EBITDA, EBITDA Margin, Adjusted EBITDA Margin, Incremental Adjusted EBITDA, Incremental Adjusted EBITDA Margin, Adjusted Net Income (Loss), Adjusted EPS, Adjusted Gross Profit, Adjusted Gross Margin, Cash Gross Profit, Cash Gross Margin, Adjusted Operating Expenses, Cash Operating Expenses, Free Cash Flow, and Free Cash Flow Margin each has limitations as an analytical tool, and you should not consider any of them in isolation, or as a substitute for analysis of results as reported under GAAP. Among other limitations, each of EBITDA, Adjusted EBITDA, EBITDA Margin, Adjusted EBITDA Margin, Incremental Adjusted EBITDA, Incremental Adjusted EBITDA Margin, Adjusted Net Income (Loss), Adjusted EPS, Adjusted Gross Profit, Adjusted Gross Margin, Cash Gross Profit, Cash Gross Margin, Adjusted Operating Expenses, Cash Operating Expenses, Free Cash Flow and Free Cash Flow Margin does not reflect our cash expenditures, or future requirements, for capital expenditures or contractual commitments, does not reflect the impact of certain cash and non-cash charges resulting from matters considered not to be indicative of ongoing operations, and does not reflect income tax expense or benefit. Other companies in the Company’s industry may calculate Adjusted EBITDA, Adjusted EBITDA Margin, Incremental Adjusted EBITDA, Incremental Adjusted EBITDA Margin, Adjusted Net Income (Loss), Adjusted EPS, Adjusted Gross Profit, Adjusted Gross Margin, Cash Gross Profit, Cash Gross Margin, Adjusted Operating Expenses, Cash Operating Expenses, Free Cash Flow and Free Cash Flow Margin differently than Telos does, which limits its usefulness as a comparative measure. Because of these limitations, neither EBITDA, Adjusted EBITDA, EBITDA Margin, Adjusted EBITDA Margin, Incremental Adjusted EBITDA, Incremental Adjusted EBITDA Margin, Adjusted Net Income (Loss), Adjusted EPS, Adjusted Gross Profit, Adjusted Gross Margin, Cash Gross Profit, Cash Gross Margin, Adjusted Operating Expenses, Cash Operating Expenses, Free Cash Flow, nor Free Cash Flow Margin should be considered as a replacement for gross profit, gross margin, net (loss) income, earnings per share, operating expenses, net cash flows (used in) provided by operating activities, or operating cash flow margin as determined by GAAP, or as a measure of profitability. Telos compensates for these limitations by relying primarily on the Company’s GAAP results and using non-GAAP measures only for supplemental purposes.</w:t>
      </w: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About Telos Corporation</w:t>
      </w:r>
    </w:p>
    <w:p>
      <w:pPr>
        <w:pStyle w:val="TextBody"/>
        <w:bidi w:val="0"/>
        <w:spacing w:lineRule="auto" w:line="288" w:before="0" w:after="180"/>
        <w:jc w:val="left"/>
        <w:rPr/>
      </w:pPr>
      <w:r>
        <w:rPr>
          <w:rFonts w:ascii="Times New Roman;serif" w:hAnsi="Times New Roman;serif"/>
          <w:b w:val="false"/>
          <w:color w:val="3051F2"/>
          <w:sz w:val="20"/>
          <w:u w:val="single"/>
        </w:rPr>
        <w:t>Telos Corporation</w:t>
      </w:r>
      <w:r>
        <w:rPr>
          <w:color w:val="000000"/>
        </w:rPr>
        <w:t xml:space="preserve"> </w:t>
      </w:r>
      <w:r>
        <w:rPr>
          <w:rFonts w:ascii="Times New Roman;serif" w:hAnsi="Times New Roman;serif"/>
          <w:b w:val="false"/>
          <w:color w:val="000000"/>
          <w:sz w:val="20"/>
          <w:shd w:fill="FFFFFF" w:val="clear"/>
        </w:rPr>
        <w:t>(NASDAQ: TLS) empowers and protects the world’s most security-conscious organizations with efficient, adaptable, and secure solutions that safeguard people, systems, and information. We deliver advanced capabilities across cyber governance, risk, and compliance (GRC) with Xacta</w:t>
      </w:r>
      <w:r>
        <w:rPr>
          <w:rFonts w:ascii="Times New Roman;serif" w:hAnsi="Times New Roman;serif"/>
          <w:b w:val="false"/>
          <w:color w:val="000000"/>
          <w:sz w:val="13"/>
          <w:shd w:fill="FFFFFF" w:val="clear"/>
        </w:rPr>
        <w:t>®</w:t>
      </w:r>
      <w:r>
        <w:rPr>
          <w:rFonts w:ascii="Times New Roman;serif" w:hAnsi="Times New Roman;serif"/>
          <w:b w:val="false"/>
          <w:color w:val="000000"/>
          <w:sz w:val="20"/>
          <w:shd w:fill="FFFFFF" w:val="clear"/>
        </w:rPr>
        <w:t>; identity and biometric solutions; secure networks and communications; and TSA PreCheck</w:t>
      </w:r>
      <w:r>
        <w:rPr>
          <w:rFonts w:ascii="Times New Roman;serif" w:hAnsi="Times New Roman;serif"/>
          <w:b w:val="false"/>
          <w:color w:val="000000"/>
          <w:sz w:val="13"/>
          <w:shd w:fill="FFFFFF" w:val="clear"/>
        </w:rPr>
        <w:t>®</w:t>
      </w:r>
      <w:r>
        <w:rPr>
          <w:color w:val="000000"/>
          <w:shd w:fill="FFFFFF" w:val="clear"/>
        </w:rPr>
        <w:t xml:space="preserve"> </w:t>
      </w:r>
      <w:r>
        <w:rPr>
          <w:rFonts w:ascii="Times New Roman;serif" w:hAnsi="Times New Roman;serif"/>
          <w:b w:val="false"/>
          <w:color w:val="000000"/>
          <w:sz w:val="20"/>
          <w:shd w:fill="FFFFFF" w:val="clear"/>
        </w:rPr>
        <w:t xml:space="preserve">enrollment services. Serving the U.S. federal government, regulated industries, and global enterprises, Telos helps customers stay ahead of evolving threats, accelerate compliance, and achieve mission success. Driven by purpose and guided by our core values, we build trusted partnerships, deliver superior solutions, and help create a more secure, interconnected world. Learn more at </w:t>
      </w:r>
      <w:r>
        <w:rPr>
          <w:rFonts w:ascii="Times New Roman;serif" w:hAnsi="Times New Roman;serif"/>
          <w:b w:val="false"/>
          <w:color w:val="3051F2"/>
          <w:sz w:val="20"/>
          <w:u w:val="single"/>
          <w:shd w:fill="FFFFFF" w:val="clear"/>
        </w:rPr>
        <w:t>www.telos.com</w:t>
      </w:r>
      <w:r>
        <w:rPr>
          <w:rFonts w:ascii="Times New Roman;serif" w:hAnsi="Times New Roman;serif"/>
          <w:b w:val="false"/>
          <w:color w:val="000000"/>
          <w:sz w:val="20"/>
          <w:shd w:fill="FFFFFF" w:val="clear"/>
        </w:rPr>
        <w: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Media: </w:t>
      </w:r>
    </w:p>
    <w:p>
      <w:pPr>
        <w:pStyle w:val="TextBody"/>
        <w:bidi w:val="0"/>
        <w:spacing w:lineRule="auto" w:line="288" w:before="0" w:after="180"/>
        <w:jc w:val="left"/>
        <w:rPr/>
      </w:pPr>
      <w:r>
        <w:rPr>
          <w:rFonts w:ascii="Times New Roman;serif" w:hAnsi="Times New Roman;serif"/>
          <w:b w:val="false"/>
          <w:color w:val="3051F2"/>
          <w:sz w:val="20"/>
          <w:u w:val="single"/>
        </w:rPr>
        <w:t>media@telos.com</w:t>
      </w:r>
      <w:r>
        <w:rPr>
          <w:color w:val="3051F2"/>
        </w:rPr>
        <w:t xml:space="preserve">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Investors: </w:t>
      </w:r>
    </w:p>
    <w:p>
      <w:pPr>
        <w:pStyle w:val="TextBody"/>
        <w:bidi w:val="0"/>
        <w:spacing w:lineRule="auto" w:line="288" w:before="0" w:after="180"/>
        <w:jc w:val="left"/>
        <w:rPr>
          <w:rFonts w:ascii="Times New Roman;serif" w:hAnsi="Times New Roman;serif"/>
          <w:b w:val="false"/>
          <w:color w:val="3051F2"/>
          <w:sz w:val="20"/>
          <w:u w:val="single"/>
        </w:rPr>
      </w:pPr>
      <w:r>
        <w:rPr>
          <w:rFonts w:ascii="Times New Roman;serif" w:hAnsi="Times New Roman;serif"/>
          <w:b w:val="false"/>
          <w:color w:val="3051F2"/>
          <w:sz w:val="20"/>
          <w:u w:val="single"/>
        </w:rPr>
        <w:t xml:space="preserve">InvestorRelations@telos.com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TELOS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p>
      <w:pPr>
        <w:pStyle w:val="TextBody"/>
        <w:bidi w:val="0"/>
        <w:spacing w:before="0" w:after="180"/>
        <w:jc w:val="center"/>
        <w:rPr/>
      </w:pPr>
      <w:r>
        <w:rPr/>
      </w:r>
    </w:p>
    <w:tbl>
      <w:tblPr>
        <w:tblW w:w="10205" w:type="dxa"/>
        <w:jc w:val="center"/>
        <w:tblInd w:w="0" w:type="dxa"/>
        <w:tblLayout w:type="fixed"/>
        <w:tblCellMar>
          <w:top w:w="28" w:type="dxa"/>
          <w:left w:w="28" w:type="dxa"/>
          <w:bottom w:w="28" w:type="dxa"/>
          <w:right w:w="28" w:type="dxa"/>
        </w:tblCellMar>
      </w:tblPr>
      <w:tblGrid>
        <w:gridCol w:w="1805"/>
        <w:gridCol w:w="1514"/>
        <w:gridCol w:w="1520"/>
        <w:gridCol w:w="222"/>
        <w:gridCol w:w="736"/>
        <w:gridCol w:w="124"/>
        <w:gridCol w:w="109"/>
        <w:gridCol w:w="109"/>
        <w:gridCol w:w="109"/>
        <w:gridCol w:w="222"/>
        <w:gridCol w:w="736"/>
        <w:gridCol w:w="124"/>
        <w:gridCol w:w="109"/>
        <w:gridCol w:w="109"/>
        <w:gridCol w:w="109"/>
        <w:gridCol w:w="222"/>
        <w:gridCol w:w="736"/>
        <w:gridCol w:w="124"/>
        <w:gridCol w:w="109"/>
        <w:gridCol w:w="109"/>
        <w:gridCol w:w="109"/>
        <w:gridCol w:w="208"/>
        <w:gridCol w:w="759"/>
        <w:gridCol w:w="172"/>
      </w:tblGrid>
      <w:tr>
        <w:trPr/>
        <w:tc>
          <w:tcPr>
            <w:tcW w:w="1805"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4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r>
      <w:tr>
        <w:trPr/>
        <w:tc>
          <w:tcPr>
            <w:tcW w:w="4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per share amounts)</w:t>
            </w:r>
          </w:p>
        </w:tc>
      </w:tr>
      <w:tr>
        <w:trPr/>
        <w:tc>
          <w:tcPr>
            <w:tcW w:w="4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 Security Solutions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46,662 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32,474 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92,632 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58,292 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 Secure Networks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47,745 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35,968 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95,487 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66,584 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 – Security Solutions (excluding depreciation and amortization)</w:t>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27,651 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54,165 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32,719 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 – Secure Networks (excluding depreciation and amortization)</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sales</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31,053 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24,036 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61,420 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42,470 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16,692 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34,067 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24,114 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43,019 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(9,883)</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(18,905)</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(9,471)</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(18,079)</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(9,517)</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(18,121)</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share:</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outstanding:</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74,895 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74,361 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72,940 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77,547 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73,163 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77,576 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72,940 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TELOS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2624"/>
        <w:gridCol w:w="2180"/>
        <w:gridCol w:w="2203"/>
        <w:gridCol w:w="236"/>
        <w:gridCol w:w="889"/>
        <w:gridCol w:w="131"/>
        <w:gridCol w:w="126"/>
        <w:gridCol w:w="126"/>
        <w:gridCol w:w="126"/>
        <w:gridCol w:w="281"/>
        <w:gridCol w:w="1056"/>
        <w:gridCol w:w="227"/>
      </w:tblGrid>
      <w:tr>
        <w:trPr/>
        <w:tc>
          <w:tcPr>
            <w:tcW w:w="2624"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7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7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per share amount and share data)</w:t>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50,647 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53,180 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Inventories, net </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10,565 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program expenses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96,825 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94,413 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right-of-use assets, net</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Goodwill </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30,281 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139,749 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139,864 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12,309 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 current portion</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obligations – current portion</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obligations – current portion</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40,636 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36,784 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 non-current portion</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obligations – non-current portion</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obligations – non-current portion</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income taxes </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liabilities </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46,336 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43,914 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Commitments and contingencies </w:t>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250,000,000 shares authorized, 74,736,789 shares and 72,773,272 shares issued and outstanding as of June 30, 2026 and December 31, 2025, respectively</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459,828 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(361,210)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(363,893)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93,413 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95,950 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139,749 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139,864 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TELOS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p>
      <w:pPr>
        <w:pStyle w:val="TextBody"/>
        <w:bidi w:val="0"/>
        <w:spacing w:before="0" w:after="180"/>
        <w:jc w:val="center"/>
        <w:rPr/>
      </w:pPr>
      <w:r>
        <w:rPr/>
      </w:r>
    </w:p>
    <w:tbl>
      <w:tblPr>
        <w:tblW w:w="10205" w:type="dxa"/>
        <w:jc w:val="center"/>
        <w:tblInd w:w="0" w:type="dxa"/>
        <w:tblLayout w:type="fixed"/>
        <w:tblCellMar>
          <w:top w:w="28" w:type="dxa"/>
          <w:left w:w="28" w:type="dxa"/>
          <w:bottom w:w="28" w:type="dxa"/>
          <w:right w:w="28" w:type="dxa"/>
        </w:tblCellMar>
      </w:tblPr>
      <w:tblGrid>
        <w:gridCol w:w="1813"/>
        <w:gridCol w:w="1527"/>
        <w:gridCol w:w="1539"/>
        <w:gridCol w:w="220"/>
        <w:gridCol w:w="729"/>
        <w:gridCol w:w="122"/>
        <w:gridCol w:w="109"/>
        <w:gridCol w:w="109"/>
        <w:gridCol w:w="109"/>
        <w:gridCol w:w="220"/>
        <w:gridCol w:w="729"/>
        <w:gridCol w:w="122"/>
        <w:gridCol w:w="109"/>
        <w:gridCol w:w="109"/>
        <w:gridCol w:w="109"/>
        <w:gridCol w:w="220"/>
        <w:gridCol w:w="729"/>
        <w:gridCol w:w="122"/>
        <w:gridCol w:w="109"/>
        <w:gridCol w:w="109"/>
        <w:gridCol w:w="109"/>
        <w:gridCol w:w="207"/>
        <w:gridCol w:w="751"/>
        <w:gridCol w:w="174"/>
      </w:tblGrid>
      <w:tr>
        <w:trPr/>
        <w:tc>
          <w:tcPr>
            <w:tcW w:w="1813"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4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r>
      <w:tr>
        <w:trPr/>
        <w:tc>
          <w:tcPr>
            <w:tcW w:w="4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cash flows from operations: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fixed assets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inventory obsolescence</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(recovery from) doubtful accounts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deferred program expenses, other current assets and other assets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 and other liabilities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costs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(4,658)</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tax withholding related to net share settlement of equity awards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under finance lease obligations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debt issuance costs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(15,528)</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(5,978)</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cash equivalents, and restricted cash</w:t>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50,370 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57,930 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53,320 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54,717 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2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50,788 </w:t>
            </w:r>
          </w:p>
        </w:tc>
        <w:tc>
          <w:tcPr>
            <w:tcW w:w="1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57,137 </w:t>
            </w:r>
          </w:p>
        </w:tc>
        <w:tc>
          <w:tcPr>
            <w:tcW w:w="1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50,788 </w:t>
            </w:r>
          </w:p>
        </w:tc>
        <w:tc>
          <w:tcPr>
            <w:tcW w:w="1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57,137 </w:t>
            </w:r>
          </w:p>
        </w:tc>
        <w:tc>
          <w:tcPr>
            <w:tcW w:w="1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NON-GAAP FINANCIAL MEASURES </w:t>
      </w:r>
    </w:p>
    <w:p>
      <w:pPr>
        <w:pStyle w:val="TextBody"/>
        <w:bidi w:val="0"/>
        <w:spacing w:lineRule="auto" w:line="288" w:before="0" w:after="18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14140" w:type="dxa"/>
        <w:jc w:val="left"/>
        <w:tblInd w:w="0" w:type="dxa"/>
        <w:tblLayout w:type="fixed"/>
        <w:tblCellMar>
          <w:top w:w="28" w:type="dxa"/>
          <w:left w:w="28" w:type="dxa"/>
          <w:bottom w:w="28" w:type="dxa"/>
          <w:right w:w="28" w:type="dxa"/>
        </w:tblCellMar>
      </w:tblPr>
      <w:tblGrid>
        <w:gridCol w:w="678"/>
        <w:gridCol w:w="201"/>
        <w:gridCol w:w="202"/>
        <w:gridCol w:w="196"/>
        <w:gridCol w:w="646"/>
        <w:gridCol w:w="109"/>
        <w:gridCol w:w="109"/>
        <w:gridCol w:w="109"/>
        <w:gridCol w:w="109"/>
        <w:gridCol w:w="205"/>
        <w:gridCol w:w="205"/>
        <w:gridCol w:w="206"/>
        <w:gridCol w:w="109"/>
        <w:gridCol w:w="109"/>
        <w:gridCol w:w="109"/>
        <w:gridCol w:w="196"/>
        <w:gridCol w:w="646"/>
        <w:gridCol w:w="109"/>
        <w:gridCol w:w="109"/>
        <w:gridCol w:w="109"/>
        <w:gridCol w:w="109"/>
        <w:gridCol w:w="205"/>
        <w:gridCol w:w="205"/>
        <w:gridCol w:w="206"/>
        <w:gridCol w:w="109"/>
        <w:gridCol w:w="109"/>
        <w:gridCol w:w="109"/>
        <w:gridCol w:w="196"/>
        <w:gridCol w:w="646"/>
        <w:gridCol w:w="109"/>
        <w:gridCol w:w="109"/>
        <w:gridCol w:w="109"/>
        <w:gridCol w:w="109"/>
        <w:gridCol w:w="205"/>
        <w:gridCol w:w="205"/>
        <w:gridCol w:w="206"/>
        <w:gridCol w:w="109"/>
        <w:gridCol w:w="109"/>
        <w:gridCol w:w="109"/>
        <w:gridCol w:w="196"/>
        <w:gridCol w:w="646"/>
        <w:gridCol w:w="109"/>
        <w:gridCol w:w="109"/>
        <w:gridCol w:w="109"/>
        <w:gridCol w:w="109"/>
        <w:gridCol w:w="205"/>
        <w:gridCol w:w="205"/>
        <w:gridCol w:w="206"/>
        <w:gridCol w:w="109"/>
        <w:gridCol w:w="109"/>
        <w:gridCol w:w="109"/>
        <w:gridCol w:w="196"/>
        <w:gridCol w:w="661"/>
        <w:gridCol w:w="109"/>
        <w:gridCol w:w="109"/>
        <w:gridCol w:w="109"/>
        <w:gridCol w:w="109"/>
        <w:gridCol w:w="205"/>
        <w:gridCol w:w="205"/>
        <w:gridCol w:w="206"/>
        <w:gridCol w:w="109"/>
        <w:gridCol w:w="109"/>
        <w:gridCol w:w="109"/>
        <w:gridCol w:w="196"/>
        <w:gridCol w:w="646"/>
        <w:gridCol w:w="109"/>
        <w:gridCol w:w="327"/>
        <w:gridCol w:w="661"/>
      </w:tblGrid>
      <w:tr>
        <w:trPr/>
        <w:tc>
          <w:tcPr>
            <w:tcW w:w="67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140" w:type="dxa"/>
            <w:gridSpan w:val="7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Net Income (Loss) to EBITDA and Adjusted EBITDA; Net Income (Loss) Margin to EBITDA Margin and Adjusted EBITDA Margin; Incremental Net Income (Loss) and Net Income (Loss) Margin to Incremental Adjusted EBITDA and Incremental Adjusted EBITDA Margin</w:t>
            </w:r>
          </w:p>
        </w:tc>
      </w:tr>
      <w:tr>
        <w:trPr/>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6" w:type="dxa"/>
            <w:gridSpan w:val="3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6" w:type="dxa"/>
            <w:gridSpan w:val="3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 the Six Months Ended</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Year-over-Year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Year-over-Year Change</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Margin</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887" w:type="dxa"/>
            <w:gridSpan w:val="54"/>
            <w:tcBorders/>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72.0 %</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(0.3 %)</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0.1 %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6.7 %</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EBITDA (Non-GAAP)</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78.2 %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Stock-based compensation expense </w:t>
            </w:r>
            <w:r>
              <w:rPr>
                <w:rFonts w:ascii="Times New Roman;serif" w:hAnsi="Times New Roman;serif"/>
                <w:b w:val="false"/>
                <w:color w:val="000000"/>
                <w:sz w:val="10"/>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(29.8 %)</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 (Non-GAAP)</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48.4 %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47,745 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35,968 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11,777 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95,487 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66,584 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hanging="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stock-based compensation expense to EBITDA is made up of stock-based compensation expense for the awarded RSUs, PSUs, and stock options, and other sources. Stock-based compensation expense for the awarded RSUs, PSUs and stock options was $1.9 million and $3.7 million for the three and six months ended June 30, 2026, respectively, and $6.8 million and $12.3 million, for the three and six months ended June 30, 2025, respectively. Stock-based compensation expense from other sources was $1.3 million and $2.5 million for the three and six months ended June 30, 2026, respectively, and $1.0 million and $2.5 million for the three and six months ended June 30, 2025, respectively. The other sources of stock-based compensation consist of accrued compensation, which the Company intends to settle in shares of the Company's common stock. However, the Company has the discretion to determine whether this compensation will ultimately be paid in stock or cash up until the date at which it is paid. Any change to the expected payment form would result in out-of-quarter adjustments to this add back to Adjusted EBITDA.</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66"/>
        <w:gridCol w:w="1358"/>
        <w:gridCol w:w="1297"/>
        <w:gridCol w:w="243"/>
        <w:gridCol w:w="691"/>
        <w:gridCol w:w="135"/>
        <w:gridCol w:w="135"/>
        <w:gridCol w:w="135"/>
        <w:gridCol w:w="135"/>
        <w:gridCol w:w="243"/>
        <w:gridCol w:w="763"/>
        <w:gridCol w:w="135"/>
        <w:gridCol w:w="135"/>
        <w:gridCol w:w="135"/>
        <w:gridCol w:w="135"/>
        <w:gridCol w:w="243"/>
        <w:gridCol w:w="763"/>
        <w:gridCol w:w="135"/>
        <w:gridCol w:w="135"/>
        <w:gridCol w:w="135"/>
        <w:gridCol w:w="135"/>
        <w:gridCol w:w="243"/>
        <w:gridCol w:w="875"/>
        <w:gridCol w:w="200"/>
      </w:tblGrid>
      <w:tr>
        <w:trPr/>
        <w:tc>
          <w:tcPr>
            <w:tcW w:w="1666"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Net Income (Loss) to Adjusted Net Income (Loss); EPS to Adjusted EPS</w:t>
            </w:r>
          </w:p>
        </w:tc>
      </w:tr>
      <w:tr>
        <w:trPr/>
        <w:tc>
          <w:tcPr>
            <w:tcW w:w="4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4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r>
      <w:tr>
        <w:trPr/>
        <w:tc>
          <w:tcPr>
            <w:tcW w:w="4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(1)</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(loss) (Non-GAAP)</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(2,313)</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(4,430)</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(loss) per share, diluted</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(1)</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earnings (loss) per share, diluted (Non-GAAP)</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to compute GAAP earnings (loss) per share, diluted</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77,547 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73,163 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77,576 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72,940 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to compute non-GAAP earnings (loss) per share, diluted</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77,547 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73,163 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77,576 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72,940 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hanging="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stock-based compensation expense to net income (loss) is made up of stock-based compensation expense for the awarded RSUs, PSUs, and stock options, and other sources. Stock-based compensation expense for the awarded RSUs, PSUs and stock options was $1.9 million and $3.7 million for the three and six months ended June 30, 2026, respectively, and $6.8 million and $12.3 million for the three and six months ended June 30, 2025, respectively. Stock-based compensation expense from other sources was $1.3 million and $2.5 million for the three and six months ended June 30, 2026, respectively and $1.0 million and $2.5 million for the three and six months ended June 30, 2025, respectively. The other sources of stock-based compensation consist of accrued compensation, which the Company intends to settle in shares of the Company's common stock. However, the Company has the discretion to determine whether this compensation will ultimately be paid in stock or cash up until the date at which it is paid. Any change to the expected payment form would result in out-of-quarter adjustments to this add back to Adjusted Net Income (Loss).</w:t>
      </w:r>
    </w:p>
    <w:p>
      <w:pPr>
        <w:pStyle w:val="TextBody"/>
        <w:bidi w:val="0"/>
        <w:spacing w:before="120" w:after="180"/>
        <w:ind w:left="0" w:right="0" w:hanging="180"/>
        <w:jc w:val="left"/>
        <w:rPr/>
      </w:pPr>
      <w:r>
        <w:rPr/>
      </w:r>
    </w:p>
    <w:tbl>
      <w:tblPr>
        <w:tblW w:w="10205" w:type="dxa"/>
        <w:jc w:val="left"/>
        <w:tblInd w:w="0" w:type="dxa"/>
        <w:tblLayout w:type="fixed"/>
        <w:tblCellMar>
          <w:top w:w="28" w:type="dxa"/>
          <w:left w:w="28" w:type="dxa"/>
          <w:bottom w:w="28" w:type="dxa"/>
          <w:right w:w="28" w:type="dxa"/>
        </w:tblCellMar>
      </w:tblPr>
      <w:tblGrid>
        <w:gridCol w:w="476"/>
        <w:gridCol w:w="418"/>
        <w:gridCol w:w="423"/>
        <w:gridCol w:w="203"/>
        <w:gridCol w:w="669"/>
        <w:gridCol w:w="112"/>
        <w:gridCol w:w="112"/>
        <w:gridCol w:w="112"/>
        <w:gridCol w:w="112"/>
        <w:gridCol w:w="210"/>
        <w:gridCol w:w="210"/>
        <w:gridCol w:w="211"/>
        <w:gridCol w:w="112"/>
        <w:gridCol w:w="112"/>
        <w:gridCol w:w="112"/>
        <w:gridCol w:w="203"/>
        <w:gridCol w:w="669"/>
        <w:gridCol w:w="112"/>
        <w:gridCol w:w="112"/>
        <w:gridCol w:w="112"/>
        <w:gridCol w:w="112"/>
        <w:gridCol w:w="210"/>
        <w:gridCol w:w="210"/>
        <w:gridCol w:w="211"/>
        <w:gridCol w:w="112"/>
        <w:gridCol w:w="112"/>
        <w:gridCol w:w="112"/>
        <w:gridCol w:w="203"/>
        <w:gridCol w:w="669"/>
        <w:gridCol w:w="112"/>
        <w:gridCol w:w="112"/>
        <w:gridCol w:w="112"/>
        <w:gridCol w:w="112"/>
        <w:gridCol w:w="210"/>
        <w:gridCol w:w="210"/>
        <w:gridCol w:w="211"/>
        <w:gridCol w:w="112"/>
        <w:gridCol w:w="112"/>
        <w:gridCol w:w="112"/>
        <w:gridCol w:w="203"/>
        <w:gridCol w:w="669"/>
        <w:gridCol w:w="112"/>
        <w:gridCol w:w="112"/>
        <w:gridCol w:w="112"/>
        <w:gridCol w:w="112"/>
        <w:gridCol w:w="198"/>
        <w:gridCol w:w="198"/>
        <w:gridCol w:w="311"/>
      </w:tblGrid>
      <w:tr>
        <w:trPr/>
        <w:tc>
          <w:tcPr>
            <w:tcW w:w="47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05" w:type="dxa"/>
            <w:gridSpan w:val="4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Gross Profit to Adjusted Gross Profit and Cash Gross Profit; Gross Margin to Adjusted Gross Margin and Cash Gross Margin</w:t>
            </w:r>
          </w:p>
        </w:tc>
      </w:tr>
      <w:tr>
        <w:trPr/>
        <w:tc>
          <w:tcPr>
            <w:tcW w:w="13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8"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4"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Margin</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Margin</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Margin</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Margin</w:t>
            </w:r>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1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35.0%</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36.2%</w:t>
            </w:r>
          </w:p>
        </w:tc>
      </w:tr>
      <w:tr>
        <w:trPr/>
        <w:tc>
          <w:tcPr>
            <w:tcW w:w="1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 cost of sales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w:t>
            </w:r>
          </w:p>
        </w:tc>
      </w:tr>
      <w:tr>
        <w:trPr/>
        <w:tc>
          <w:tcPr>
            <w:tcW w:w="1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gross profit (Non-GAAP)</w:t>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35.4%</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33.6%</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34,485 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36.1%</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24,453 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36.7%</w:t>
            </w:r>
          </w:p>
        </w:tc>
      </w:tr>
      <w:tr>
        <w:trPr/>
        <w:tc>
          <w:tcPr>
            <w:tcW w:w="1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 cost of sales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4.9%</w:t>
            </w:r>
          </w:p>
        </w:tc>
      </w:tr>
      <w:tr>
        <w:trPr/>
        <w:tc>
          <w:tcPr>
            <w:tcW w:w="1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gross profit (Non-GAAP)</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19,408 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40.6%</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38.4%</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39,595 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41.5%</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27,671 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41.6%</w:t>
            </w:r>
          </w:p>
        </w:tc>
      </w:tr>
    </w:tbl>
    <w:p>
      <w:pPr>
        <w:pStyle w:val="TextBody"/>
        <w:bidi w:val="0"/>
        <w:spacing w:before="120" w:after="180"/>
        <w:ind w:left="0" w:right="0" w:hanging="18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06"/>
        <w:gridCol w:w="842"/>
        <w:gridCol w:w="850"/>
        <w:gridCol w:w="271"/>
        <w:gridCol w:w="896"/>
        <w:gridCol w:w="354"/>
        <w:gridCol w:w="150"/>
        <w:gridCol w:w="150"/>
        <w:gridCol w:w="150"/>
        <w:gridCol w:w="271"/>
        <w:gridCol w:w="896"/>
        <w:gridCol w:w="354"/>
        <w:gridCol w:w="150"/>
        <w:gridCol w:w="150"/>
        <w:gridCol w:w="150"/>
        <w:gridCol w:w="271"/>
        <w:gridCol w:w="896"/>
        <w:gridCol w:w="354"/>
        <w:gridCol w:w="150"/>
        <w:gridCol w:w="150"/>
        <w:gridCol w:w="150"/>
        <w:gridCol w:w="271"/>
        <w:gridCol w:w="896"/>
        <w:gridCol w:w="427"/>
      </w:tblGrid>
      <w:tr>
        <w:trPr/>
        <w:tc>
          <w:tcPr>
            <w:tcW w:w="100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Net Cash Provided by Operating Activities to Free Cash Flow and Free Cash Flow Margin</w:t>
            </w:r>
          </w:p>
        </w:tc>
      </w:tr>
      <w:tr>
        <w:trPr/>
        <w:tc>
          <w:tcPr>
            <w:tcW w:w="26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2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r>
      <w:tr>
        <w:trPr/>
        <w:tc>
          <w:tcPr>
            <w:tcW w:w="2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8,833 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6,950 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17,489 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13,056 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costs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(1,970)</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(4,102)</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(4,401)</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 (Non-GAAP)</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6,617 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4,629 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12,996 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8,398 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47,745 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35,968 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95,487 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66,584 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 margin</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 margin (Non-GAAP)</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120" w:after="180"/>
        <w:ind w:left="0" w:right="0" w:hanging="180"/>
        <w:jc w:val="left"/>
        <w:rPr/>
      </w:pPr>
      <w:r>
        <w:rPr/>
      </w:r>
    </w:p>
    <w:tbl>
      <w:tblPr>
        <w:tblW w:w="10205" w:type="dxa"/>
        <w:jc w:val="left"/>
        <w:tblInd w:w="0" w:type="dxa"/>
        <w:tblLayout w:type="fixed"/>
        <w:tblCellMar>
          <w:top w:w="28" w:type="dxa"/>
          <w:left w:w="28" w:type="dxa"/>
          <w:bottom w:w="28" w:type="dxa"/>
          <w:right w:w="28" w:type="dxa"/>
        </w:tblCellMar>
      </w:tblPr>
      <w:tblGrid>
        <w:gridCol w:w="1106"/>
        <w:gridCol w:w="955"/>
        <w:gridCol w:w="957"/>
        <w:gridCol w:w="291"/>
        <w:gridCol w:w="962"/>
        <w:gridCol w:w="161"/>
        <w:gridCol w:w="161"/>
        <w:gridCol w:w="161"/>
        <w:gridCol w:w="161"/>
        <w:gridCol w:w="291"/>
        <w:gridCol w:w="962"/>
        <w:gridCol w:w="161"/>
        <w:gridCol w:w="161"/>
        <w:gridCol w:w="161"/>
        <w:gridCol w:w="161"/>
        <w:gridCol w:w="291"/>
        <w:gridCol w:w="962"/>
        <w:gridCol w:w="161"/>
        <w:gridCol w:w="161"/>
        <w:gridCol w:w="161"/>
        <w:gridCol w:w="161"/>
        <w:gridCol w:w="291"/>
        <w:gridCol w:w="962"/>
        <w:gridCol w:w="243"/>
      </w:tblGrid>
      <w:tr>
        <w:trPr/>
        <w:tc>
          <w:tcPr>
            <w:tcW w:w="110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Operating Expenses to Adjusted Operating Expenses and Cash Operating Expenses</w:t>
            </w:r>
          </w:p>
        </w:tc>
      </w:tr>
      <w:tr>
        <w:trPr/>
        <w:tc>
          <w:tcPr>
            <w:tcW w:w="30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w:t>
            </w:r>
          </w:p>
        </w:tc>
      </w:tr>
      <w:tr>
        <w:trPr/>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r>
      <w:tr>
        <w:trPr/>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43,019 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(14,466)</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expenses (Non-GAAP)</w:t>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26,536 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28,553 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R&amp;D capitalized costs</w:t>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operating expenses (Non-GAAP)</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28,857 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31,345 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ind w:left="0" w:right="0" w:hanging="180"/>
        <w:jc w:val="left"/>
        <w:rPr/>
      </w:pPr>
      <w:r>
        <w:rPr/>
      </w:r>
    </w:p>
    <w:p>
      <w:pPr>
        <w:pStyle w:val="TextBody"/>
        <w:bidi w:val="0"/>
        <w:spacing w:before="120" w:after="180"/>
        <w:ind w:left="0" w:right="0" w:hanging="180"/>
        <w:jc w:val="left"/>
        <w:rPr/>
      </w:pPr>
      <w:r>
        <w:rPr/>
      </w:r>
    </w:p>
    <w:p>
      <w:pPr>
        <w:pStyle w:val="TextBody"/>
        <w:bidi w:val="0"/>
        <w:spacing w:before="120" w:after="180"/>
        <w:ind w:left="0" w:right="0" w:hanging="1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5190</Words>
  <Characters>29188</Characters>
  <CharactersWithSpaces>33701</CharactersWithSpaces>
  <Paragraphs>1074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