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2446.xml.htm"/>
      <w:bookmarkStart w:id="1" w:name="kswkform4_17883824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Robbins Edward Hutchinson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TELOS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19886 ASHBURN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TELOS CORP</w:t>
              </w:r>
            </w:hyperlink>
            <w:r>
              <w:rPr/>
              <w:t xml:space="preserve"> [ </w:t>
            </w:r>
            <w:r>
              <w:rPr>
                <w:rFonts w:ascii="Times;serif" w:hAnsi="Times;serif"/>
                <w:color w:val="0000FF"/>
                <w:sz w:val="24"/>
                <w:shd w:fill="FFFFFF" w:val="clear"/>
              </w:rPr>
              <w:t>TLS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62,398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4.73</w:t>
            </w: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589,915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15,904.64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$4.68 to $4.79, inclusive. The reporting person undertakes to provide Telos Corporation, any security holder of Telos Corporation, or the staff of the Securities and Exchange Commission, upon request, full information regarding the number of shares sold at each separate price within the range set forth in these footnotes.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Helen M. Oh,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9327" TargetMode="External"/><Relationship Id="rId5" Type="http://schemas.openxmlformats.org/officeDocument/2006/relationships/hyperlink" Target="http://www.sec.gov/cgi-bin/browse-edgar?action=getcompany&amp;CIK=00003201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3509</Characters>
  <CharactersWithSpaces>4082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