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tbl>
      <w:tblPr>
        <w:tblW w:w="4274" w:type="dxa"/>
        <w:jc w:val="left"/>
        <w:tblInd w:w="0" w:type="dxa"/>
        <w:tblLayout w:type="fixed"/>
        <w:tblCellMar>
          <w:top w:w="28" w:type="dxa"/>
          <w:left w:w="28" w:type="dxa"/>
          <w:bottom w:w="28" w:type="dxa"/>
          <w:right w:w="28" w:type="dxa"/>
        </w:tblCellMar>
      </w:tblPr>
      <w:tblGrid>
        <w:gridCol w:w="1367"/>
        <w:gridCol w:w="1200"/>
        <w:gridCol w:w="1707"/>
      </w:tblGrid>
      <w:tr>
        <w:trPr/>
        <w:tc>
          <w:tcPr>
            <w:tcW w:w="136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tc>
      </w:tr>
      <w:tr>
        <w:trPr/>
        <w:tc>
          <w:tcPr>
            <w:tcW w:w="4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7631" w:type="dxa"/>
        <w:jc w:val="left"/>
        <w:tblInd w:w="0" w:type="dxa"/>
        <w:tblLayout w:type="fixed"/>
        <w:tblCellMar>
          <w:top w:w="28" w:type="dxa"/>
          <w:left w:w="28" w:type="dxa"/>
          <w:bottom w:w="28" w:type="dxa"/>
          <w:right w:w="28" w:type="dxa"/>
        </w:tblCellMar>
      </w:tblPr>
      <w:tblGrid>
        <w:gridCol w:w="124"/>
        <w:gridCol w:w="109"/>
        <w:gridCol w:w="109"/>
        <w:gridCol w:w="2131"/>
        <w:gridCol w:w="2131"/>
        <w:gridCol w:w="3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tbl>
      <w:tblPr>
        <w:tblW w:w="7706" w:type="dxa"/>
        <w:jc w:val="left"/>
        <w:tblInd w:w="0" w:type="dxa"/>
        <w:tblLayout w:type="fixed"/>
        <w:tblCellMar>
          <w:top w:w="28" w:type="dxa"/>
          <w:left w:w="28" w:type="dxa"/>
          <w:bottom w:w="28" w:type="dxa"/>
          <w:right w:w="28" w:type="dxa"/>
        </w:tblCellMar>
      </w:tblPr>
      <w:tblGrid>
        <w:gridCol w:w="124"/>
        <w:gridCol w:w="109"/>
        <w:gridCol w:w="109"/>
        <w:gridCol w:w="2155"/>
        <w:gridCol w:w="2155"/>
        <w:gridCol w:w="3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001-08443</w:t>
      </w:r>
    </w:p>
    <w:p>
      <w:pPr>
        <w:pStyle w:val="TextBody"/>
        <w:bidi w:val="0"/>
        <w:spacing w:before="140" w:after="283"/>
        <w:jc w:val="center"/>
        <w:rPr/>
      </w:pPr>
      <w:r>
        <w:rPr/>
        <w:drawing>
          <wp:inline distT="0" distB="0" distL="0" distR="0">
            <wp:extent cx="311467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14675" cy="895350"/>
                    </a:xfrm>
                    <a:prstGeom prst="rect">
                      <a:avLst/>
                    </a:prstGeom>
                  </pic:spPr>
                </pic:pic>
              </a:graphicData>
            </a:graphic>
          </wp:inline>
        </w:drawing>
      </w:r>
      <w:bookmarkStart w:id="0" w:name="i-1"/>
      <w:bookmarkEnd w:id="0"/>
    </w:p>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TELOS CORPORATION</w:t>
      </w:r>
    </w:p>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81"/>
        <w:gridCol w:w="158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52-0880974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19886 Ashburn Road, Ashburn, 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20147-2358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(703) 724-3800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33" w:type="dxa"/>
        <w:jc w:val="left"/>
        <w:tblInd w:w="0" w:type="dxa"/>
        <w:tblLayout w:type="fixed"/>
        <w:tblCellMar>
          <w:top w:w="28" w:type="dxa"/>
          <w:left w:w="28" w:type="dxa"/>
          <w:bottom w:w="28" w:type="dxa"/>
          <w:right w:w="28" w:type="dxa"/>
        </w:tblCellMar>
      </w:tblPr>
      <w:tblGrid>
        <w:gridCol w:w="1352"/>
        <w:gridCol w:w="1184"/>
        <w:gridCol w:w="1198"/>
        <w:gridCol w:w="464"/>
        <w:gridCol w:w="464"/>
        <w:gridCol w:w="466"/>
        <w:gridCol w:w="1085"/>
        <w:gridCol w:w="1085"/>
        <w:gridCol w:w="1535"/>
      </w:tblGrid>
      <w:tr>
        <w:trPr/>
        <w:tc>
          <w:tcPr>
            <w:tcW w:w="135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$0.001 par value per share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4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4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r>
    </w:tbl>
    <w:p>
      <w:pPr>
        <w:pStyle w:val="TextBody"/>
        <w:bidi w:val="0"/>
        <w:spacing w:lineRule="auto" w:line="288" w:before="140" w:after="283"/>
        <w:ind w:left="0" w:right="0" w:firstLine="7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w:t>
      </w:r>
      <w:r>
        <w:rPr>
          <w:color w:val="000000"/>
        </w:rPr>
        <w:t> </w:t>
      </w:r>
      <w:r>
        <w:rPr>
          <w:rFonts w:ascii="Wingdings;sans-serif" w:hAnsi="Wingdings;sans-serif"/>
          <w:b w:val="false"/>
          <w:color w:val="000000"/>
          <w:sz w:val="20"/>
        </w:rPr>
        <w:t>x</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May 2, 2025, the registrant had outstanding 73,484,720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center"/>
                        <w:rPr/>
                      </w:pPr>
                      <w:r>
                        <w:rPr/>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of Contents to First Quarter 2025 Form 10-Q</w:t>
      </w:r>
    </w:p>
    <w:tbl>
      <w:tblPr>
        <w:tblW w:w="8703" w:type="dxa"/>
        <w:jc w:val="left"/>
        <w:tblInd w:w="0" w:type="dxa"/>
        <w:tblLayout w:type="fixed"/>
        <w:tblCellMar>
          <w:top w:w="28" w:type="dxa"/>
          <w:left w:w="28" w:type="dxa"/>
          <w:bottom w:w="28" w:type="dxa"/>
          <w:right w:w="28" w:type="dxa"/>
        </w:tblCellMar>
      </w:tblPr>
      <w:tblGrid>
        <w:gridCol w:w="615"/>
        <w:gridCol w:w="541"/>
        <w:gridCol w:w="541"/>
        <w:gridCol w:w="2154"/>
        <w:gridCol w:w="2154"/>
        <w:gridCol w:w="2187"/>
        <w:gridCol w:w="149"/>
        <w:gridCol w:w="149"/>
        <w:gridCol w:w="213"/>
      </w:tblGrid>
      <w:tr>
        <w:trPr/>
        <w:tc>
          <w:tcPr>
            <w:tcW w:w="61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Page</w:t>
            </w:r>
          </w:p>
        </w:tc>
      </w:tr>
      <w:tr>
        <w:trPr/>
        <w:tc>
          <w:tcPr>
            <w:tcW w:w="81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0">
              <w:r>
                <w:rPr>
                  <w:rStyle w:val="InternetLink"/>
                  <w:rFonts w:ascii="Times New Roman;sans-serif" w:hAnsi="Times New Roman;sans-serif"/>
                  <w:b/>
                  <w:color w:val="0000FF"/>
                  <w:sz w:val="18"/>
                  <w:u w:val="single"/>
                </w:rPr>
                <w:t>PART I - FINANCIAL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0">
              <w:r>
                <w:rPr>
                  <w:rStyle w:val="InternetLink"/>
                  <w:rFonts w:ascii="Times New Roman;sans-serif" w:hAnsi="Times New Roman;sans-serif"/>
                  <w:b w:val="false"/>
                  <w:color w:val="0000FF"/>
                  <w:sz w:val="18"/>
                  <w:u w:val="single"/>
                </w:rPr>
                <w:t>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3">
              <w:r>
                <w:rPr>
                  <w:rStyle w:val="InternetLink"/>
                  <w:rFonts w:ascii="Times New Roman;sans-serif" w:hAnsi="Times New Roman;sans-serif"/>
                  <w:b w:val="false"/>
                  <w:color w:val="0000FF"/>
                  <w:sz w:val="18"/>
                  <w:u w:val="single"/>
                </w:rPr>
                <w:t>Item 1.</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3">
              <w:r>
                <w:rPr>
                  <w:rStyle w:val="InternetLink"/>
                  <w:rFonts w:ascii="Times New Roman;sans-serif" w:hAnsi="Times New Roman;sans-serif"/>
                  <w:b w:val="false"/>
                  <w:color w:val="0000FF"/>
                  <w:sz w:val="18"/>
                  <w:u w:val="single"/>
                </w:rPr>
                <w:t>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3">
              <w:r>
                <w:rPr>
                  <w:rStyle w:val="InternetLink"/>
                  <w:rFonts w:ascii="Times New Roman;sans-serif" w:hAnsi="Times New Roman;sans-serif"/>
                  <w:b w:val="false"/>
                  <w:color w:val="0000FF"/>
                  <w:sz w:val="18"/>
                  <w:u w:val="single"/>
                </w:rPr>
                <w:t>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6">
              <w:r>
                <w:rPr>
                  <w:rStyle w:val="InternetLink"/>
                  <w:rFonts w:ascii="Times New Roman;sans-serif" w:hAnsi="Times New Roman;sans-serif"/>
                  <w:b w:val="false"/>
                  <w:color w:val="0000FF"/>
                  <w:sz w:val="18"/>
                  <w:u w:val="single"/>
                </w:rPr>
                <w:t>Consolidated Statements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6">
              <w:r>
                <w:rPr>
                  <w:rStyle w:val="InternetLink"/>
                  <w:rFonts w:ascii="Times New Roman;sans-serif" w:hAnsi="Times New Roman;sans-serif"/>
                  <w:b w:val="false"/>
                  <w:color w:val="0000FF"/>
                  <w:sz w:val="18"/>
                  <w:u w:val="single"/>
                </w:rPr>
                <w:t>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9">
              <w:r>
                <w:rPr>
                  <w:rStyle w:val="InternetLink"/>
                  <w:rFonts w:ascii="Times New Roman;sans-serif" w:hAnsi="Times New Roman;sans-serif"/>
                  <w:b w:val="false"/>
                  <w:color w:val="0000FF"/>
                  <w:sz w:val="18"/>
                  <w:u w:val="single"/>
                </w:rPr>
                <w:t>Consolidated Statements of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9">
              <w:r>
                <w:rPr>
                  <w:rStyle w:val="InternetLink"/>
                  <w:rFonts w:ascii="Times New Roman;sans-serif" w:hAnsi="Times New Roman;sans-serif"/>
                  <w:b w:val="false"/>
                  <w:color w:val="0000FF"/>
                  <w:sz w:val="18"/>
                  <w:u w:val="single"/>
                </w:rPr>
                <w:t>4</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22">
              <w:r>
                <w:rPr>
                  <w:rStyle w:val="InternetLink"/>
                  <w:rFonts w:ascii="Times New Roman;sans-serif" w:hAnsi="Times New Roman;sans-serif"/>
                  <w:b w:val="false"/>
                  <w:color w:val="0000FF"/>
                  <w:sz w:val="18"/>
                  <w:u w:val="single"/>
                </w:rPr>
                <w:t>Consolidated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22">
              <w:r>
                <w:rPr>
                  <w:rStyle w:val="InternetLink"/>
                  <w:rFonts w:ascii="Times New Roman;sans-serif" w:hAnsi="Times New Roman;sans-serif"/>
                  <w:b w:val="false"/>
                  <w:color w:val="0000FF"/>
                  <w:sz w:val="18"/>
                  <w:u w:val="single"/>
                </w:rPr>
                <w:t>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25">
              <w:r>
                <w:rPr>
                  <w:rStyle w:val="InternetLink"/>
                  <w:rFonts w:ascii="Times New Roman;sans-serif" w:hAnsi="Times New Roman;sans-serif"/>
                  <w:b w:val="false"/>
                  <w:color w:val="0000FF"/>
                  <w:sz w:val="18"/>
                  <w:u w:val="single"/>
                </w:rPr>
                <w:t>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25">
              <w:r>
                <w:rPr>
                  <w:rStyle w:val="InternetLink"/>
                  <w:rFonts w:ascii="Times New Roman;sans-serif" w:hAnsi="Times New Roman;sans-serif"/>
                  <w:b w:val="false"/>
                  <w:color w:val="0000FF"/>
                  <w:sz w:val="18"/>
                  <w:u w:val="single"/>
                </w:rPr>
                <w:t>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28">
              <w:r>
                <w:rPr>
                  <w:rStyle w:val="InternetLink"/>
                  <w:rFonts w:ascii="Times New Roman;sans-serif" w:hAnsi="Times New Roman;sans-serif"/>
                  <w:b w:val="false"/>
                  <w:color w:val="0000FF"/>
                  <w:sz w:val="18"/>
                  <w:u w:val="single"/>
                </w:rPr>
                <w:t>Consolidated Statements of Changes in Stockholders’ Equity</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28">
              <w:r>
                <w:rPr>
                  <w:rStyle w:val="InternetLink"/>
                  <w:rFonts w:ascii="Times New Roman;sans-serif" w:hAnsi="Times New Roman;sans-serif"/>
                  <w:b w:val="false"/>
                  <w:color w:val="0000FF"/>
                  <w:sz w:val="18"/>
                  <w:u w:val="single"/>
                </w:rPr>
                <w:t>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31">
              <w:r>
                <w:rPr>
                  <w:rStyle w:val="InternetLink"/>
                  <w:rFonts w:ascii="Times New Roman;sans-serif" w:hAnsi="Times New Roman;sans-serif"/>
                  <w:b w:val="false"/>
                  <w:color w:val="000080"/>
                  <w:sz w:val="18"/>
                  <w:u w:val="single"/>
                </w:rPr>
                <w:t xml:space="preserve">Notes to </w:t>
              </w:r>
            </w:hyperlink>
            <w:hyperlink w:anchor="i0576624f09fb407da1b4071445024365_31">
              <w:r>
                <w:rPr>
                  <w:rStyle w:val="InternetLink"/>
                  <w:rFonts w:ascii="Times New Roman;sans-serif" w:hAnsi="Times New Roman;sans-serif"/>
                  <w:b w:val="false"/>
                  <w:color w:val="000080"/>
                  <w:sz w:val="18"/>
                  <w:u w:val="single"/>
                </w:rPr>
                <w:t>the Un</w:t>
              </w:r>
            </w:hyperlink>
            <w:hyperlink w:anchor="i0576624f09fb407da1b4071445024365_31">
              <w:r>
                <w:rPr>
                  <w:rStyle w:val="InternetLink"/>
                  <w:rFonts w:ascii="Times New Roman;sans-serif" w:hAnsi="Times New Roman;sans-serif"/>
                  <w:b w:val="false"/>
                  <w:color w:val="000080"/>
                  <w:sz w:val="18"/>
                  <w:u w:val="single"/>
                </w:rPr>
                <w:t xml:space="preserve">audited </w:t>
              </w:r>
            </w:hyperlink>
            <w:hyperlink w:anchor="i0576624f09fb407da1b4071445024365_31">
              <w:r>
                <w:rPr>
                  <w:rStyle w:val="InternetLink"/>
                  <w:rFonts w:ascii="Times New Roman;sans-serif" w:hAnsi="Times New Roman;sans-serif"/>
                  <w:b w:val="false"/>
                  <w:color w:val="000080"/>
                  <w:sz w:val="18"/>
                  <w:u w:val="single"/>
                </w:rPr>
                <w:t>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31">
              <w:r>
                <w:rPr>
                  <w:rStyle w:val="InternetLink"/>
                  <w:rFonts w:ascii="Times New Roman;sans-serif" w:hAnsi="Times New Roman;sans-serif"/>
                  <w:b w:val="false"/>
                  <w:color w:val="0000FF"/>
                  <w:sz w:val="18"/>
                  <w:u w:val="single"/>
                </w:rPr>
                <w:t>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34">
              <w:r>
                <w:rPr>
                  <w:rStyle w:val="InternetLink"/>
                  <w:rFonts w:ascii="Times New Roman;sans-serif" w:hAnsi="Times New Roman;sans-serif"/>
                  <w:b w:val="false"/>
                  <w:color w:val="0000FF"/>
                  <w:sz w:val="18"/>
                  <w:u w:val="single"/>
                </w:rPr>
                <w:t>1. Organization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34">
              <w:r>
                <w:rPr>
                  <w:rStyle w:val="InternetLink"/>
                  <w:rFonts w:ascii="Times New Roman;sans-serif" w:hAnsi="Times New Roman;sans-serif"/>
                  <w:b w:val="false"/>
                  <w:color w:val="0000FF"/>
                  <w:sz w:val="18"/>
                  <w:u w:val="single"/>
                </w:rPr>
                <w:t>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576624f09fb407da1b4071445024365_37">
              <w:r>
                <w:rPr>
                  <w:rStyle w:val="InternetLink"/>
                  <w:rFonts w:ascii="Times New Roman;sans-serif" w:hAnsi="Times New Roman;sans-serif"/>
                  <w:b w:val="false"/>
                  <w:color w:val="0000FF"/>
                  <w:sz w:val="18"/>
                  <w:u w:val="single"/>
                </w:rPr>
                <w:t>2. Significant Accounting Policies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37">
              <w:r>
                <w:rPr>
                  <w:rStyle w:val="InternetLink"/>
                  <w:rFonts w:ascii="Times New Roman;sans-serif" w:hAnsi="Times New Roman;sans-serif"/>
                  <w:b w:val="false"/>
                  <w:color w:val="0000FF"/>
                  <w:sz w:val="18"/>
                  <w:u w:val="single"/>
                </w:rPr>
                <w:t>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576624f09fb407da1b4071445024365_40">
              <w:r>
                <w:rPr>
                  <w:rStyle w:val="InternetLink"/>
                  <w:rFonts w:ascii="Times New Roman;sans-serif" w:hAnsi="Times New Roman;sans-serif"/>
                  <w:b w:val="false"/>
                  <w:color w:val="0000FF"/>
                  <w:sz w:val="18"/>
                  <w:u w:val="single"/>
                </w:rPr>
                <w:t>3. Revenue Recognition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40">
              <w:r>
                <w:rPr>
                  <w:rStyle w:val="InternetLink"/>
                  <w:rFonts w:ascii="Times New Roman;sans-serif" w:hAnsi="Times New Roman;sans-serif"/>
                  <w:b w:val="false"/>
                  <w:color w:val="0000FF"/>
                  <w:sz w:val="18"/>
                  <w:u w:val="single"/>
                </w:rPr>
                <w:t>9</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576624f09fb407da1b4071445024365_46">
              <w:r>
                <w:rPr>
                  <w:rStyle w:val="InternetLink"/>
                  <w:rFonts w:ascii="Times New Roman;sans-serif" w:hAnsi="Times New Roman;sans-serif"/>
                  <w:b w:val="false"/>
                  <w:color w:val="0000FF"/>
                  <w:sz w:val="18"/>
                  <w:u w:val="single"/>
                </w:rPr>
                <w:t>4. Accounts Receivable,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46">
              <w:r>
                <w:rPr>
                  <w:rStyle w:val="InternetLink"/>
                  <w:rFonts w:ascii="Times New Roman;sans-serif" w:hAnsi="Times New Roman;sans-serif"/>
                  <w:b w:val="false"/>
                  <w:color w:val="0000FF"/>
                  <w:sz w:val="18"/>
                  <w:u w:val="single"/>
                </w:rPr>
                <w:t>11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576624f09fb407da1b4071445024365_49">
              <w:r>
                <w:rPr>
                  <w:rStyle w:val="InternetLink"/>
                  <w:rFonts w:ascii="Times New Roman;sans-serif" w:hAnsi="Times New Roman;sans-serif"/>
                  <w:b w:val="false"/>
                  <w:color w:val="0000FF"/>
                  <w:sz w:val="18"/>
                  <w:u w:val="single"/>
                </w:rPr>
                <w:t>5. Inventories, Net</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49">
              <w:r>
                <w:rPr>
                  <w:rStyle w:val="InternetLink"/>
                  <w:rFonts w:ascii="Times New Roman;sans-serif" w:hAnsi="Times New Roman;sans-serif"/>
                  <w:b w:val="false"/>
                  <w:color w:val="0000FF"/>
                  <w:sz w:val="18"/>
                  <w:u w:val="single"/>
                </w:rPr>
                <w:t>11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576624f09fb407da1b4071445024365_52">
              <w:r>
                <w:rPr>
                  <w:rStyle w:val="InternetLink"/>
                  <w:rFonts w:ascii="Times New Roman;sans-serif" w:hAnsi="Times New Roman;sans-serif"/>
                  <w:b w:val="false"/>
                  <w:color w:val="0000FF"/>
                  <w:sz w:val="18"/>
                  <w:u w:val="single"/>
                </w:rPr>
                <w:t>6. Property and Equipment,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52">
              <w:r>
                <w:rPr>
                  <w:rStyle w:val="InternetLink"/>
                  <w:rFonts w:ascii="Times New Roman;sans-serif" w:hAnsi="Times New Roman;sans-serif"/>
                  <w:b w:val="false"/>
                  <w:color w:val="0000FF"/>
                  <w:sz w:val="18"/>
                  <w:u w:val="single"/>
                </w:rPr>
                <w:t>11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576624f09fb407da1b4071445024365_55">
              <w:r>
                <w:rPr>
                  <w:rStyle w:val="InternetLink"/>
                  <w:rFonts w:ascii="Times New Roman;sans-serif" w:hAnsi="Times New Roman;sans-serif"/>
                  <w:b w:val="false"/>
                  <w:color w:val="0000FF"/>
                  <w:sz w:val="18"/>
                  <w:u w:val="single"/>
                </w:rPr>
                <w:t xml:space="preserve">7. Goodwill </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55">
              <w:r>
                <w:rPr>
                  <w:rStyle w:val="InternetLink"/>
                  <w:rFonts w:ascii="Times New Roman;sans-serif" w:hAnsi="Times New Roman;sans-serif"/>
                  <w:b w:val="false"/>
                  <w:color w:val="0000FF"/>
                  <w:sz w:val="18"/>
                  <w:u w:val="single"/>
                </w:rPr>
                <w:t>11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576624f09fb407da1b4071445024365_58">
              <w:r>
                <w:rPr>
                  <w:rStyle w:val="InternetLink"/>
                  <w:rFonts w:ascii="Times New Roman;sans-serif" w:hAnsi="Times New Roman;sans-serif"/>
                  <w:b w:val="false"/>
                  <w:color w:val="0000FF"/>
                  <w:sz w:val="18"/>
                  <w:u w:val="single"/>
                </w:rPr>
                <w:t>8. Intangible Assets,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58">
              <w:r>
                <w:rPr>
                  <w:rStyle w:val="InternetLink"/>
                  <w:rFonts w:ascii="Times New Roman;sans-serif" w:hAnsi="Times New Roman;sans-serif"/>
                  <w:b w:val="false"/>
                  <w:color w:val="0000FF"/>
                  <w:sz w:val="18"/>
                  <w:u w:val="single"/>
                </w:rPr>
                <w:t>12</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576624f09fb407da1b4071445024365_61">
              <w:r>
                <w:rPr>
                  <w:rStyle w:val="InternetLink"/>
                  <w:rFonts w:ascii="Times New Roman;sans-serif" w:hAnsi="Times New Roman;sans-serif"/>
                  <w:b w:val="false"/>
                  <w:color w:val="0000FF"/>
                  <w:sz w:val="18"/>
                  <w:u w:val="single"/>
                </w:rPr>
                <w:t>9. Other Balance Sheet Components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61">
              <w:r>
                <w:rPr>
                  <w:rStyle w:val="InternetLink"/>
                  <w:rFonts w:ascii="Times New Roman;sans-serif" w:hAnsi="Times New Roman;sans-serif"/>
                  <w:b w:val="false"/>
                  <w:color w:val="0000FF"/>
                  <w:sz w:val="18"/>
                  <w:u w:val="single"/>
                </w:rPr>
                <w:t>12</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64">
              <w:r>
                <w:rPr>
                  <w:rStyle w:val="InternetLink"/>
                  <w:rFonts w:ascii="Times New Roman;sans-serif" w:hAnsi="Times New Roman;sans-serif"/>
                  <w:b w:val="false"/>
                  <w:color w:val="000080"/>
                  <w:sz w:val="18"/>
                  <w:u w:val="single"/>
                </w:rPr>
                <w:t xml:space="preserve">10. </w:t>
              </w:r>
            </w:hyperlink>
            <w:hyperlink w:anchor="i0576624f09fb407da1b4071445024365_64">
              <w:r>
                <w:rPr>
                  <w:rStyle w:val="InternetLink"/>
                  <w:rFonts w:ascii="Times New Roman;sans-serif" w:hAnsi="Times New Roman;sans-serif"/>
                  <w:b w:val="false"/>
                  <w:color w:val="000080"/>
                  <w:sz w:val="18"/>
                  <w:u w:val="single"/>
                </w:rPr>
                <w:t>Rev</w:t>
              </w:r>
            </w:hyperlink>
            <w:hyperlink w:anchor="i0576624f09fb407da1b4071445024365_64">
              <w:r>
                <w:rPr>
                  <w:rStyle w:val="InternetLink"/>
                  <w:rFonts w:ascii="Times New Roman;sans-serif" w:hAnsi="Times New Roman;sans-serif"/>
                  <w:b w:val="false"/>
                  <w:color w:val="000080"/>
                  <w:sz w:val="18"/>
                  <w:u w:val="single"/>
                </w:rPr>
                <w:t>olving Credit Faci</w:t>
              </w:r>
            </w:hyperlink>
            <w:hyperlink w:anchor="i0576624f09fb407da1b4071445024365_64">
              <w:r>
                <w:rPr>
                  <w:rStyle w:val="InternetLink"/>
                  <w:rFonts w:ascii="Times New Roman;sans-serif" w:hAnsi="Times New Roman;sans-serif"/>
                  <w:b w:val="false"/>
                  <w:color w:val="000080"/>
                  <w:sz w:val="18"/>
                  <w:u w:val="single"/>
                </w:rPr>
                <w:t>lity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64">
              <w:r>
                <w:rPr>
                  <w:rStyle w:val="InternetLink"/>
                  <w:rFonts w:ascii="Times New Roman;sans-serif" w:hAnsi="Times New Roman;sans-serif"/>
                  <w:b w:val="false"/>
                  <w:color w:val="0000FF"/>
                  <w:sz w:val="18"/>
                  <w:u w:val="single"/>
                </w:rPr>
                <w:t>13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67">
              <w:r>
                <w:rPr>
                  <w:rStyle w:val="InternetLink"/>
                  <w:rFonts w:ascii="Times New Roman;sans-serif" w:hAnsi="Times New Roman;sans-serif"/>
                  <w:b w:val="false"/>
                  <w:color w:val="0000FF"/>
                  <w:sz w:val="18"/>
                  <w:u w:val="single"/>
                </w:rPr>
                <w:t>11. Stock-Based Compensation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67">
              <w:r>
                <w:rPr>
                  <w:rStyle w:val="InternetLink"/>
                  <w:rFonts w:ascii="Times New Roman;sans-serif" w:hAnsi="Times New Roman;sans-serif"/>
                  <w:b w:val="false"/>
                  <w:color w:val="0000FF"/>
                  <w:sz w:val="18"/>
                  <w:u w:val="single"/>
                </w:rPr>
                <w:t>13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73">
              <w:r>
                <w:rPr>
                  <w:rStyle w:val="InternetLink"/>
                  <w:rFonts w:ascii="Times New Roman;sans-serif" w:hAnsi="Times New Roman;sans-serif"/>
                  <w:b w:val="false"/>
                  <w:color w:val="0000FF"/>
                  <w:sz w:val="18"/>
                  <w:u w:val="single"/>
                </w:rPr>
                <w:t>12. Share Repurchases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73">
              <w:r>
                <w:rPr>
                  <w:rStyle w:val="InternetLink"/>
                  <w:rFonts w:ascii="Times New Roman;sans-serif" w:hAnsi="Times New Roman;sans-serif"/>
                  <w:b w:val="false"/>
                  <w:color w:val="0000FF"/>
                  <w:sz w:val="18"/>
                  <w:u w:val="single"/>
                </w:rPr>
                <w:t>15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76">
              <w:r>
                <w:rPr>
                  <w:rStyle w:val="InternetLink"/>
                  <w:rFonts w:ascii="Times New Roman;sans-serif" w:hAnsi="Times New Roman;sans-serif"/>
                  <w:b w:val="false"/>
                  <w:color w:val="0000FF"/>
                  <w:sz w:val="18"/>
                  <w:u w:val="single"/>
                </w:rPr>
                <w:t>13. Accumulated Other Comprehensive Loss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76">
              <w:r>
                <w:rPr>
                  <w:rStyle w:val="InternetLink"/>
                  <w:rFonts w:ascii="Times New Roman;sans-serif" w:hAnsi="Times New Roman;sans-serif"/>
                  <w:b w:val="false"/>
                  <w:color w:val="0000FF"/>
                  <w:sz w:val="18"/>
                  <w:u w:val="single"/>
                </w:rPr>
                <w:t>15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79">
              <w:r>
                <w:rPr>
                  <w:rStyle w:val="InternetLink"/>
                  <w:rFonts w:ascii="Times New Roman;sans-serif" w:hAnsi="Times New Roman;sans-serif"/>
                  <w:b w:val="false"/>
                  <w:color w:val="0000FF"/>
                  <w:sz w:val="18"/>
                  <w:u w:val="single"/>
                </w:rPr>
                <w:t>14. Loss per Share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79">
              <w:r>
                <w:rPr>
                  <w:rStyle w:val="InternetLink"/>
                  <w:rFonts w:ascii="Times New Roman;sans-serif" w:hAnsi="Times New Roman;sans-serif"/>
                  <w:b w:val="false"/>
                  <w:color w:val="0000FF"/>
                  <w:sz w:val="18"/>
                  <w:u w:val="single"/>
                </w:rPr>
                <w:t>15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88">
              <w:r>
                <w:rPr>
                  <w:rStyle w:val="InternetLink"/>
                  <w:rFonts w:ascii="Times New Roman;sans-serif" w:hAnsi="Times New Roman;sans-serif"/>
                  <w:b w:val="false"/>
                  <w:color w:val="000080"/>
                  <w:sz w:val="18"/>
                  <w:u w:val="single"/>
                </w:rPr>
                <w:t>1</w:t>
              </w:r>
            </w:hyperlink>
            <w:hyperlink w:anchor="i0576624f09fb407da1b4071445024365_88">
              <w:r>
                <w:rPr>
                  <w:rStyle w:val="InternetLink"/>
                  <w:rFonts w:ascii="Times New Roman;sans-serif" w:hAnsi="Times New Roman;sans-serif"/>
                  <w:b w:val="false"/>
                  <w:color w:val="000080"/>
                  <w:sz w:val="18"/>
                  <w:u w:val="single"/>
                </w:rPr>
                <w:t>5</w:t>
              </w:r>
            </w:hyperlink>
            <w:hyperlink w:anchor="i0576624f09fb407da1b4071445024365_88">
              <w:r>
                <w:rPr>
                  <w:rStyle w:val="InternetLink"/>
                  <w:rFonts w:ascii="Times New Roman;sans-serif" w:hAnsi="Times New Roman;sans-serif"/>
                  <w:b w:val="false"/>
                  <w:color w:val="000080"/>
                  <w:sz w:val="18"/>
                  <w:u w:val="single"/>
                </w:rPr>
                <w:t>. Segment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88">
              <w:r>
                <w:rPr>
                  <w:rStyle w:val="InternetLink"/>
                  <w:rFonts w:ascii="Times New Roman;sans-serif" w:hAnsi="Times New Roman;sans-serif"/>
                  <w:b w:val="false"/>
                  <w:color w:val="0000FF"/>
                  <w:sz w:val="18"/>
                  <w:u w:val="single"/>
                </w:rPr>
                <w:t>15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91">
              <w:r>
                <w:rPr>
                  <w:rStyle w:val="InternetLink"/>
                  <w:rFonts w:ascii="Times New Roman;sans-serif" w:hAnsi="Times New Roman;sans-serif"/>
                  <w:b w:val="false"/>
                  <w:color w:val="000080"/>
                  <w:sz w:val="18"/>
                  <w:u w:val="single"/>
                </w:rPr>
                <w:t>1</w:t>
              </w:r>
            </w:hyperlink>
            <w:hyperlink w:anchor="i0576624f09fb407da1b4071445024365_91">
              <w:r>
                <w:rPr>
                  <w:rStyle w:val="InternetLink"/>
                  <w:rFonts w:ascii="Times New Roman;sans-serif" w:hAnsi="Times New Roman;sans-serif"/>
                  <w:b w:val="false"/>
                  <w:color w:val="000080"/>
                  <w:sz w:val="18"/>
                  <w:u w:val="single"/>
                </w:rPr>
                <w:t>6</w:t>
              </w:r>
            </w:hyperlink>
            <w:hyperlink w:anchor="i0576624f09fb407da1b4071445024365_91">
              <w:r>
                <w:rPr>
                  <w:rStyle w:val="InternetLink"/>
                  <w:rFonts w:ascii="Times New Roman;sans-serif" w:hAnsi="Times New Roman;sans-serif"/>
                  <w:b w:val="false"/>
                  <w:color w:val="000080"/>
                  <w:sz w:val="18"/>
                  <w:u w:val="single"/>
                </w:rPr>
                <w:t>. Commitments and Contingencies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91">
              <w:r>
                <w:rPr>
                  <w:rStyle w:val="InternetLink"/>
                  <w:rFonts w:ascii="Times New Roman;sans-serif" w:hAnsi="Times New Roman;sans-serif"/>
                  <w:b w:val="false"/>
                  <w:color w:val="0000FF"/>
                  <w:sz w:val="18"/>
                  <w:u w:val="single"/>
                </w:rPr>
                <w:t>16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94">
              <w:r>
                <w:rPr>
                  <w:rStyle w:val="InternetLink"/>
                  <w:rFonts w:ascii="Times New Roman;sans-serif" w:hAnsi="Times New Roman;sans-serif"/>
                  <w:b w:val="false"/>
                  <w:color w:val="000080"/>
                  <w:sz w:val="18"/>
                  <w:u w:val="single"/>
                </w:rPr>
                <w:t>1</w:t>
              </w:r>
            </w:hyperlink>
            <w:hyperlink w:anchor="i0576624f09fb407da1b4071445024365_94">
              <w:r>
                <w:rPr>
                  <w:rStyle w:val="InternetLink"/>
                  <w:rFonts w:ascii="Times New Roman;sans-serif" w:hAnsi="Times New Roman;sans-serif"/>
                  <w:b w:val="false"/>
                  <w:color w:val="000080"/>
                  <w:sz w:val="18"/>
                  <w:u w:val="single"/>
                </w:rPr>
                <w:t>7</w:t>
              </w:r>
            </w:hyperlink>
            <w:hyperlink w:anchor="i0576624f09fb407da1b4071445024365_94">
              <w:r>
                <w:rPr>
                  <w:rStyle w:val="InternetLink"/>
                  <w:rFonts w:ascii="Times New Roman;sans-serif" w:hAnsi="Times New Roman;sans-serif"/>
                  <w:b w:val="false"/>
                  <w:color w:val="000080"/>
                  <w:sz w:val="18"/>
                  <w:u w:val="single"/>
                </w:rPr>
                <w:t>. Supplemental Cash Flow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94">
              <w:r>
                <w:rPr>
                  <w:rStyle w:val="InternetLink"/>
                  <w:rFonts w:ascii="Times New Roman;sans-serif" w:hAnsi="Times New Roman;sans-serif"/>
                  <w:b w:val="false"/>
                  <w:color w:val="0000FF"/>
                  <w:sz w:val="18"/>
                  <w:u w:val="single"/>
                </w:rPr>
                <w:t>17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97">
              <w:r>
                <w:rPr>
                  <w:rStyle w:val="InternetLink"/>
                  <w:rFonts w:ascii="Times New Roman;sans-serif" w:hAnsi="Times New Roman;sans-serif"/>
                  <w:b w:val="false"/>
                  <w:color w:val="0000FF"/>
                  <w:sz w:val="18"/>
                  <w:u w:val="single"/>
                </w:rPr>
                <w:t>Item 2.</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97">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97">
              <w:r>
                <w:rPr>
                  <w:rStyle w:val="InternetLink"/>
                  <w:rFonts w:ascii="Times New Roman;sans-serif" w:hAnsi="Times New Roman;sans-serif"/>
                  <w:b w:val="false"/>
                  <w:color w:val="0000FF"/>
                  <w:sz w:val="18"/>
                  <w:u w:val="single"/>
                </w:rPr>
                <w:t>18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00">
              <w:r>
                <w:rPr>
                  <w:rStyle w:val="InternetLink"/>
                  <w:rFonts w:ascii="Times New Roman;sans-serif" w:hAnsi="Times New Roman;sans-serif"/>
                  <w:b w:val="false"/>
                  <w:color w:val="0000FF"/>
                  <w:sz w:val="18"/>
                  <w:u w:val="single"/>
                </w:rPr>
                <w:t>Forward-Looking Statements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00">
              <w:r>
                <w:rPr>
                  <w:rStyle w:val="InternetLink"/>
                  <w:rFonts w:ascii="Times New Roman;sans-serif" w:hAnsi="Times New Roman;sans-serif"/>
                  <w:b w:val="false"/>
                  <w:color w:val="0000FF"/>
                  <w:sz w:val="18"/>
                  <w:u w:val="single"/>
                </w:rPr>
                <w:t>18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03">
              <w:r>
                <w:rPr>
                  <w:rStyle w:val="InternetLink"/>
                  <w:rFonts w:ascii="Times New Roman;sans-serif" w:hAnsi="Times New Roman;sans-serif"/>
                  <w:b w:val="false"/>
                  <w:color w:val="000080"/>
                  <w:sz w:val="18"/>
                  <w:u w:val="single"/>
                </w:rPr>
                <w:t>General and Business O</w:t>
              </w:r>
            </w:hyperlink>
            <w:hyperlink w:anchor="i0576624f09fb407da1b4071445024365_103">
              <w:r>
                <w:rPr>
                  <w:rStyle w:val="InternetLink"/>
                  <w:rFonts w:ascii="Times New Roman;sans-serif" w:hAnsi="Times New Roman;sans-serif"/>
                  <w:b w:val="false"/>
                  <w:color w:val="000080"/>
                  <w:sz w:val="18"/>
                  <w:u w:val="single"/>
                </w:rPr>
                <w:t>verview</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03">
              <w:r>
                <w:rPr>
                  <w:rStyle w:val="InternetLink"/>
                  <w:rFonts w:ascii="Times New Roman;sans-serif" w:hAnsi="Times New Roman;sans-serif"/>
                  <w:b w:val="false"/>
                  <w:color w:val="0000FF"/>
                  <w:sz w:val="18"/>
                  <w:u w:val="single"/>
                </w:rPr>
                <w:t>18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09">
              <w:r>
                <w:rPr>
                  <w:rStyle w:val="InternetLink"/>
                  <w:rFonts w:ascii="Times New Roman;sans-serif" w:hAnsi="Times New Roman;sans-serif"/>
                  <w:b w:val="false"/>
                  <w:color w:val="0000FF"/>
                  <w:sz w:val="18"/>
                  <w:u w:val="single"/>
                </w:rPr>
                <w:t>Financial Overview</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09">
              <w:r>
                <w:rPr>
                  <w:rStyle w:val="InternetLink"/>
                  <w:rFonts w:ascii="Times New Roman;sans-serif" w:hAnsi="Times New Roman;sans-serif"/>
                  <w:b w:val="false"/>
                  <w:color w:val="0000FF"/>
                  <w:sz w:val="18"/>
                  <w:u w:val="single"/>
                </w:rPr>
                <w:t>18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12">
              <w:r>
                <w:rPr>
                  <w:rStyle w:val="InternetLink"/>
                  <w:rFonts w:ascii="Times New Roman;sans-serif" w:hAnsi="Times New Roman;sans-serif"/>
                  <w:b w:val="false"/>
                  <w:color w:val="0000FF"/>
                  <w:sz w:val="18"/>
                  <w:u w:val="single"/>
                </w:rPr>
                <w:t>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12">
              <w:r>
                <w:rPr>
                  <w:rStyle w:val="InternetLink"/>
                  <w:rFonts w:ascii="Times New Roman;sans-serif" w:hAnsi="Times New Roman;sans-serif"/>
                  <w:b w:val="false"/>
                  <w:color w:val="0000FF"/>
                  <w:sz w:val="18"/>
                  <w:u w:val="single"/>
                </w:rPr>
                <w:t>19</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15">
              <w:r>
                <w:rPr>
                  <w:rStyle w:val="InternetLink"/>
                  <w:rFonts w:ascii="Times New Roman;sans-serif" w:hAnsi="Times New Roman;sans-serif"/>
                  <w:b w:val="false"/>
                  <w:color w:val="0000FF"/>
                  <w:sz w:val="18"/>
                  <w:u w:val="single"/>
                </w:rPr>
                <w:t>Non-GAAP Financial Measures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15">
              <w:r>
                <w:rPr>
                  <w:rStyle w:val="InternetLink"/>
                  <w:rFonts w:ascii="Times New Roman;sans-serif" w:hAnsi="Times New Roman;sans-serif"/>
                  <w:b w:val="false"/>
                  <w:color w:val="0000FF"/>
                  <w:sz w:val="18"/>
                  <w:u w:val="single"/>
                </w:rPr>
                <w:t>20</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18">
              <w:r>
                <w:rPr>
                  <w:rStyle w:val="InternetLink"/>
                  <w:rFonts w:ascii="Times New Roman;sans-serif" w:hAnsi="Times New Roman;sans-serif"/>
                  <w:b w:val="false"/>
                  <w:color w:val="0000FF"/>
                  <w:sz w:val="18"/>
                  <w:u w:val="single"/>
                </w:rPr>
                <w:t>Liquidity and Capital Resources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18">
              <w:r>
                <w:rPr>
                  <w:rStyle w:val="InternetLink"/>
                  <w:rFonts w:ascii="Times New Roman;sans-serif" w:hAnsi="Times New Roman;sans-serif"/>
                  <w:b w:val="false"/>
                  <w:color w:val="0000FF"/>
                  <w:sz w:val="18"/>
                  <w:u w:val="single"/>
                </w:rPr>
                <w:t>23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21">
              <w:r>
                <w:rPr>
                  <w:rStyle w:val="InternetLink"/>
                  <w:rFonts w:ascii="Times New Roman;sans-serif" w:hAnsi="Times New Roman;sans-serif"/>
                  <w:b w:val="false"/>
                  <w:color w:val="0000FF"/>
                  <w:sz w:val="18"/>
                  <w:u w:val="single"/>
                </w:rPr>
                <w:t>Critical Accounting Policies and Estimates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21">
              <w:r>
                <w:rPr>
                  <w:rStyle w:val="InternetLink"/>
                  <w:rFonts w:ascii="Times New Roman;sans-serif" w:hAnsi="Times New Roman;sans-serif"/>
                  <w:b w:val="false"/>
                  <w:color w:val="0000FF"/>
                  <w:sz w:val="18"/>
                  <w:u w:val="single"/>
                </w:rPr>
                <w:t>24</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24">
              <w:r>
                <w:rPr>
                  <w:rStyle w:val="InternetLink"/>
                  <w:rFonts w:ascii="Times New Roman;sans-serif" w:hAnsi="Times New Roman;sans-serif"/>
                  <w:b w:val="false"/>
                  <w:color w:val="0000FF"/>
                  <w:sz w:val="18"/>
                  <w:u w:val="single"/>
                </w:rPr>
                <w:t>Item 3.</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24">
              <w:r>
                <w:rPr>
                  <w:rStyle w:val="InternetLink"/>
                  <w:rFonts w:ascii="Times New Roman;sans-serif" w:hAnsi="Times New Roman;sans-serif"/>
                  <w:b w:val="false"/>
                  <w:color w:val="0000FF"/>
                  <w:sz w:val="18"/>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24">
              <w:r>
                <w:rPr>
                  <w:rStyle w:val="InternetLink"/>
                  <w:rFonts w:ascii="Times New Roman;sans-serif" w:hAnsi="Times New Roman;sans-serif"/>
                  <w:b w:val="false"/>
                  <w:color w:val="0000FF"/>
                  <w:sz w:val="18"/>
                  <w:u w:val="single"/>
                </w:rPr>
                <w:t>24</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27">
              <w:r>
                <w:rPr>
                  <w:rStyle w:val="InternetLink"/>
                  <w:rFonts w:ascii="Times New Roman;sans-serif" w:hAnsi="Times New Roman;sans-serif"/>
                  <w:b w:val="false"/>
                  <w:color w:val="0000FF"/>
                  <w:sz w:val="18"/>
                  <w:u w:val="single"/>
                </w:rPr>
                <w:t>Item 4.</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27">
              <w:r>
                <w:rPr>
                  <w:rStyle w:val="InternetLink"/>
                  <w:rFonts w:ascii="Times New Roman;sans-serif" w:hAnsi="Times New Roman;sans-serif"/>
                  <w:b w:val="false"/>
                  <w:color w:val="0000FF"/>
                  <w:sz w:val="18"/>
                  <w:u w:val="single"/>
                </w:rPr>
                <w:t>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27">
              <w:r>
                <w:rPr>
                  <w:rStyle w:val="InternetLink"/>
                  <w:rFonts w:ascii="Times New Roman;sans-serif" w:hAnsi="Times New Roman;sans-serif"/>
                  <w:b w:val="false"/>
                  <w:color w:val="0000FF"/>
                  <w:sz w:val="18"/>
                  <w:u w:val="single"/>
                </w:rPr>
                <w:t>24</w:t>
              </w:r>
            </w:hyperlink>
          </w:p>
        </w:tc>
      </w:tr>
      <w:tr>
        <w:trPr/>
        <w:tc>
          <w:tcPr>
            <w:tcW w:w="81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30">
              <w:r>
                <w:rPr>
                  <w:rStyle w:val="InternetLink"/>
                  <w:rFonts w:ascii="Times New Roman;sans-serif" w:hAnsi="Times New Roman;sans-serif"/>
                  <w:b/>
                  <w:color w:val="0000FF"/>
                  <w:sz w:val="18"/>
                  <w:u w:val="single"/>
                </w:rPr>
                <w:t>PART II - 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30">
              <w:r>
                <w:rPr>
                  <w:rStyle w:val="InternetLink"/>
                  <w:rFonts w:ascii="Times New Roman;sans-serif" w:hAnsi="Times New Roman;sans-serif"/>
                  <w:b w:val="false"/>
                  <w:color w:val="0000FF"/>
                  <w:sz w:val="18"/>
                  <w:u w:val="single"/>
                </w:rPr>
                <w:t>25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33">
              <w:r>
                <w:rPr>
                  <w:rStyle w:val="InternetLink"/>
                  <w:rFonts w:ascii="Times New Roman;sans-serif" w:hAnsi="Times New Roman;sans-serif"/>
                  <w:b w:val="false"/>
                  <w:color w:val="0000FF"/>
                  <w:sz w:val="18"/>
                  <w:u w:val="single"/>
                </w:rPr>
                <w:t>Item 1.</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33">
              <w:r>
                <w:rPr>
                  <w:rStyle w:val="InternetLink"/>
                  <w:rFonts w:ascii="Times New Roman;sans-serif" w:hAnsi="Times New Roman;sans-serif"/>
                  <w:b w:val="false"/>
                  <w:color w:val="0000FF"/>
                  <w:sz w:val="18"/>
                  <w:u w:val="single"/>
                </w:rPr>
                <w:t>Legal Proceedings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33">
              <w:r>
                <w:rPr>
                  <w:rStyle w:val="InternetLink"/>
                  <w:rFonts w:ascii="Times New Roman;sans-serif" w:hAnsi="Times New Roman;sans-serif"/>
                  <w:b w:val="false"/>
                  <w:color w:val="0000FF"/>
                  <w:sz w:val="18"/>
                  <w:u w:val="single"/>
                </w:rPr>
                <w:t>25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36">
              <w:r>
                <w:rPr>
                  <w:rStyle w:val="InternetLink"/>
                  <w:rFonts w:ascii="Times New Roman;sans-serif" w:hAnsi="Times New Roman;sans-serif"/>
                  <w:b w:val="false"/>
                  <w:color w:val="0000FF"/>
                  <w:sz w:val="18"/>
                  <w:u w:val="single"/>
                </w:rPr>
                <w:t>Item 1A.</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36">
              <w:r>
                <w:rPr>
                  <w:rStyle w:val="InternetLink"/>
                  <w:rFonts w:ascii="Times New Roman;sans-serif" w:hAnsi="Times New Roman;sans-serif"/>
                  <w:b w:val="false"/>
                  <w:color w:val="0000FF"/>
                  <w:sz w:val="18"/>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36">
              <w:r>
                <w:rPr>
                  <w:rStyle w:val="InternetLink"/>
                  <w:rFonts w:ascii="Times New Roman;sans-serif" w:hAnsi="Times New Roman;sans-serif"/>
                  <w:b w:val="false"/>
                  <w:color w:val="0000FF"/>
                  <w:sz w:val="18"/>
                  <w:u w:val="single"/>
                </w:rPr>
                <w:t>25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39">
              <w:r>
                <w:rPr>
                  <w:rStyle w:val="InternetLink"/>
                  <w:rFonts w:ascii="Times New Roman;sans-serif" w:hAnsi="Times New Roman;sans-serif"/>
                  <w:b w:val="false"/>
                  <w:color w:val="0000FF"/>
                  <w:sz w:val="18"/>
                  <w:u w:val="single"/>
                </w:rPr>
                <w:t>Item 2.</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39">
              <w:r>
                <w:rPr>
                  <w:rStyle w:val="InternetLink"/>
                  <w:rFonts w:ascii="Times New Roman;sans-serif" w:hAnsi="Times New Roman;sans-serif"/>
                  <w:b w:val="false"/>
                  <w:color w:val="0000FF"/>
                  <w:sz w:val="18"/>
                  <w:u w:val="single"/>
                </w:rPr>
                <w:t>Unregistered Sales of Equity Securities and Use of Proceeds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39">
              <w:r>
                <w:rPr>
                  <w:rStyle w:val="InternetLink"/>
                  <w:rFonts w:ascii="Times New Roman;sans-serif" w:hAnsi="Times New Roman;sans-serif"/>
                  <w:b w:val="false"/>
                  <w:color w:val="0000FF"/>
                  <w:sz w:val="18"/>
                  <w:u w:val="single"/>
                </w:rPr>
                <w:t>25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42">
              <w:r>
                <w:rPr>
                  <w:rStyle w:val="InternetLink"/>
                  <w:rFonts w:ascii="Times New Roman;sans-serif" w:hAnsi="Times New Roman;sans-serif"/>
                  <w:b w:val="false"/>
                  <w:color w:val="0000FF"/>
                  <w:sz w:val="18"/>
                  <w:u w:val="single"/>
                </w:rPr>
                <w:t>Item 3.</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42">
              <w:r>
                <w:rPr>
                  <w:rStyle w:val="InternetLink"/>
                  <w:rFonts w:ascii="Times New Roman;sans-serif" w:hAnsi="Times New Roman;sans-serif"/>
                  <w:b w:val="false"/>
                  <w:color w:val="0000FF"/>
                  <w:sz w:val="18"/>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42">
              <w:r>
                <w:rPr>
                  <w:rStyle w:val="InternetLink"/>
                  <w:rFonts w:ascii="Times New Roman;sans-serif" w:hAnsi="Times New Roman;sans-serif"/>
                  <w:b w:val="false"/>
                  <w:color w:val="0000FF"/>
                  <w:sz w:val="18"/>
                  <w:u w:val="single"/>
                </w:rPr>
                <w:t>25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45">
              <w:r>
                <w:rPr>
                  <w:rStyle w:val="InternetLink"/>
                  <w:rFonts w:ascii="Times New Roman;sans-serif" w:hAnsi="Times New Roman;sans-serif"/>
                  <w:b w:val="false"/>
                  <w:color w:val="0000FF"/>
                  <w:sz w:val="18"/>
                  <w:u w:val="single"/>
                </w:rPr>
                <w:t>Item 4.</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45">
              <w:r>
                <w:rPr>
                  <w:rStyle w:val="InternetLink"/>
                  <w:rFonts w:ascii="Times New Roman;sans-serif" w:hAnsi="Times New Roman;sans-serif"/>
                  <w:b w:val="false"/>
                  <w:color w:val="0000FF"/>
                  <w:sz w:val="18"/>
                  <w:u w:val="single"/>
                </w:rPr>
                <w:t>Mine Safety Disclosures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45">
              <w:r>
                <w:rPr>
                  <w:rStyle w:val="InternetLink"/>
                  <w:rFonts w:ascii="Times New Roman;sans-serif" w:hAnsi="Times New Roman;sans-serif"/>
                  <w:b w:val="false"/>
                  <w:color w:val="0000FF"/>
                  <w:sz w:val="18"/>
                  <w:u w:val="single"/>
                </w:rPr>
                <w:t>25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48">
              <w:r>
                <w:rPr>
                  <w:rStyle w:val="InternetLink"/>
                  <w:rFonts w:ascii="Times New Roman;sans-serif" w:hAnsi="Times New Roman;sans-serif"/>
                  <w:b w:val="false"/>
                  <w:color w:val="0000FF"/>
                  <w:sz w:val="18"/>
                  <w:u w:val="single"/>
                </w:rPr>
                <w:t>Item 5.</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48">
              <w:r>
                <w:rPr>
                  <w:rStyle w:val="InternetLink"/>
                  <w:rFonts w:ascii="Times New Roman;sans-serif" w:hAnsi="Times New Roman;sans-serif"/>
                  <w:b w:val="false"/>
                  <w:color w:val="0000FF"/>
                  <w:sz w:val="18"/>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48">
              <w:r>
                <w:rPr>
                  <w:rStyle w:val="InternetLink"/>
                  <w:rFonts w:ascii="Times New Roman;sans-serif" w:hAnsi="Times New Roman;sans-serif"/>
                  <w:b w:val="false"/>
                  <w:color w:val="0000FF"/>
                  <w:sz w:val="18"/>
                  <w:u w:val="single"/>
                </w:rPr>
                <w:t>25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51">
              <w:r>
                <w:rPr>
                  <w:rStyle w:val="InternetLink"/>
                  <w:rFonts w:ascii="Times New Roman;sans-serif" w:hAnsi="Times New Roman;sans-serif"/>
                  <w:b w:val="false"/>
                  <w:color w:val="0000FF"/>
                  <w:sz w:val="18"/>
                  <w:u w:val="single"/>
                </w:rPr>
                <w:t>Item 6.</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51">
              <w:r>
                <w:rPr>
                  <w:rStyle w:val="InternetLink"/>
                  <w:rFonts w:ascii="Times New Roman;sans-serif" w:hAnsi="Times New Roman;sans-serif"/>
                  <w:b w:val="false"/>
                  <w:color w:val="0000FF"/>
                  <w:sz w:val="18"/>
                  <w:u w:val="single"/>
                </w:rPr>
                <w:t>Exhibits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51">
              <w:r>
                <w:rPr>
                  <w:rStyle w:val="InternetLink"/>
                  <w:rFonts w:ascii="Times New Roman;sans-serif" w:hAnsi="Times New Roman;sans-serif"/>
                  <w:b w:val="false"/>
                  <w:color w:val="0000FF"/>
                  <w:sz w:val="18"/>
                  <w:u w:val="single"/>
                </w:rPr>
                <w:t>26</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76624f09fb407da1b4071445024365_154">
              <w:r>
                <w:rPr>
                  <w:rStyle w:val="InternetLink"/>
                  <w:rFonts w:ascii="Times New Roman;sans-serif" w:hAnsi="Times New Roman;sans-serif"/>
                  <w:b w:val="false"/>
                  <w:color w:val="0000FF"/>
                  <w:sz w:val="18"/>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576624f09fb407da1b4071445024365_154">
              <w:r>
                <w:rPr>
                  <w:rStyle w:val="InternetLink"/>
                  <w:rFonts w:ascii="Times New Roman;sans-serif" w:hAnsi="Times New Roman;sans-serif"/>
                  <w:b w:val="false"/>
                  <w:color w:val="0000FF"/>
                  <w:sz w:val="18"/>
                  <w:u w:val="singl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7795" w:type="dxa"/>
        <w:jc w:val="left"/>
        <w:tblInd w:w="0" w:type="dxa"/>
        <w:tblLayout w:type="fixed"/>
        <w:tblCellMar>
          <w:top w:w="28" w:type="dxa"/>
          <w:left w:w="28" w:type="dxa"/>
          <w:bottom w:w="28" w:type="dxa"/>
          <w:right w:w="28" w:type="dxa"/>
        </w:tblCellMar>
      </w:tblPr>
      <w:tblGrid>
        <w:gridCol w:w="1738"/>
        <w:gridCol w:w="1527"/>
        <w:gridCol w:w="1534"/>
        <w:gridCol w:w="268"/>
        <w:gridCol w:w="887"/>
        <w:gridCol w:w="148"/>
        <w:gridCol w:w="114"/>
        <w:gridCol w:w="114"/>
        <w:gridCol w:w="114"/>
        <w:gridCol w:w="266"/>
        <w:gridCol w:w="877"/>
        <w:gridCol w:w="208"/>
      </w:tblGrid>
      <w:tr>
        <w:trPr/>
        <w:tc>
          <w:tcPr>
            <w:tcW w:w="17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amounts)</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 services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 products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30,616 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services (excluding depreciation and amortization)</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17,059 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products (excluding depreciation and amortization)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10,961 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19,399 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(8,608)</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(7,361)</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(provision for) income taxes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72,715 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6625" w:type="dxa"/>
        <w:jc w:val="center"/>
        <w:tblInd w:w="0" w:type="dxa"/>
        <w:tblLayout w:type="fixed"/>
        <w:tblCellMar>
          <w:top w:w="28" w:type="dxa"/>
          <w:left w:w="28" w:type="dxa"/>
          <w:bottom w:w="28" w:type="dxa"/>
          <w:right w:w="28" w:type="dxa"/>
        </w:tblCellMar>
      </w:tblPr>
      <w:tblGrid>
        <w:gridCol w:w="1362"/>
        <w:gridCol w:w="1194"/>
        <w:gridCol w:w="1209"/>
        <w:gridCol w:w="260"/>
        <w:gridCol w:w="839"/>
        <w:gridCol w:w="145"/>
        <w:gridCol w:w="109"/>
        <w:gridCol w:w="109"/>
        <w:gridCol w:w="109"/>
        <w:gridCol w:w="257"/>
        <w:gridCol w:w="830"/>
        <w:gridCol w:w="202"/>
      </w:tblGrid>
      <w:tr>
        <w:trPr/>
        <w:tc>
          <w:tcPr>
            <w:tcW w:w="136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Actuarial gain (loss) on pension liability adjustment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(8,516)</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(7,443)</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629"/>
        <w:gridCol w:w="2182"/>
        <w:gridCol w:w="2205"/>
        <w:gridCol w:w="245"/>
        <w:gridCol w:w="923"/>
        <w:gridCol w:w="136"/>
        <w:gridCol w:w="123"/>
        <w:gridCol w:w="123"/>
        <w:gridCol w:w="123"/>
        <w:gridCol w:w="272"/>
        <w:gridCol w:w="1024"/>
        <w:gridCol w:w="220"/>
      </w:tblGrid>
      <w:tr>
        <w:trPr/>
        <w:tc>
          <w:tcPr>
            <w:tcW w:w="2629"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r>
      <w:tr>
        <w:trPr/>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 and share data)</w:t>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54,578 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Inventories, net </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94,143 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91,418 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Goodwill </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158,061 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158,235 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and other accrued liabilities </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liabilities </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 – current portion</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 – current portion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 – non-current portion</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 – non-current portion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income taxes </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liabilities </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31,947 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31,098 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Commitments and contingencies </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250,000,000 shares authorized, 73,319,993 shares and 72,514,652 shares issued and outstanding as of March 31, 2025, and December 31, 2024, respectively</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461,994 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454,502 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(335,951)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(327,347)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126,114 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127,137 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158,061 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158,235 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8846" w:type="dxa"/>
        <w:jc w:val="left"/>
        <w:tblInd w:w="0" w:type="dxa"/>
        <w:tblLayout w:type="fixed"/>
        <w:tblCellMar>
          <w:top w:w="28" w:type="dxa"/>
          <w:left w:w="28" w:type="dxa"/>
          <w:bottom w:w="28" w:type="dxa"/>
          <w:right w:w="28" w:type="dxa"/>
        </w:tblCellMar>
      </w:tblPr>
      <w:tblGrid>
        <w:gridCol w:w="2168"/>
        <w:gridCol w:w="1901"/>
        <w:gridCol w:w="1916"/>
        <w:gridCol w:w="256"/>
        <w:gridCol w:w="846"/>
        <w:gridCol w:w="142"/>
        <w:gridCol w:w="109"/>
        <w:gridCol w:w="109"/>
        <w:gridCol w:w="109"/>
        <w:gridCol w:w="254"/>
        <w:gridCol w:w="837"/>
        <w:gridCol w:w="199"/>
      </w:tblGrid>
      <w:tr>
        <w:trPr/>
        <w:tc>
          <w:tcPr>
            <w:tcW w:w="2168"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cash provided by (used in) operating activities: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provision for deferred income tax</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(Recovery from) provision for doubtful accounts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operating assets and liabilities: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other current assets, other assets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payables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(4,149)</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under finance lease obligations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tax withholding related to net share settlement of equity awards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99,396 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57,930 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94,051 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914"/>
        <w:gridCol w:w="630"/>
        <w:gridCol w:w="633"/>
        <w:gridCol w:w="323"/>
        <w:gridCol w:w="323"/>
        <w:gridCol w:w="186"/>
        <w:gridCol w:w="109"/>
        <w:gridCol w:w="109"/>
        <w:gridCol w:w="109"/>
        <w:gridCol w:w="196"/>
        <w:gridCol w:w="421"/>
        <w:gridCol w:w="109"/>
        <w:gridCol w:w="109"/>
        <w:gridCol w:w="109"/>
        <w:gridCol w:w="109"/>
        <w:gridCol w:w="210"/>
        <w:gridCol w:w="788"/>
        <w:gridCol w:w="116"/>
        <w:gridCol w:w="109"/>
        <w:gridCol w:w="109"/>
        <w:gridCol w:w="109"/>
        <w:gridCol w:w="358"/>
        <w:gridCol w:w="799"/>
        <w:gridCol w:w="201"/>
        <w:gridCol w:w="109"/>
        <w:gridCol w:w="109"/>
        <w:gridCol w:w="109"/>
        <w:gridCol w:w="211"/>
        <w:gridCol w:w="830"/>
        <w:gridCol w:w="117"/>
        <w:gridCol w:w="109"/>
        <w:gridCol w:w="109"/>
        <w:gridCol w:w="109"/>
        <w:gridCol w:w="215"/>
        <w:gridCol w:w="812"/>
        <w:gridCol w:w="178"/>
      </w:tblGrid>
      <w:tr>
        <w:trPr/>
        <w:tc>
          <w:tcPr>
            <w:tcW w:w="91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w:t>
              <w:br/>
              <w:t>Equity</w:t>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(327,347)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Actuarial gain on pension liability adjustment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401K match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73,319 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461,994 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(335,951)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126,114 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Actuarial loss on pension liability adjustment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401K match</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71,758 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436,616 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(282,205)</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154,396 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18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 ORGANIZATION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Telos Corporation, together with its subsidiaries (collectively, the "Company," "we," "our" or "Telos"), a Maryland corporation, is a leading provider of cyber, cloud and enterprise security solutions for the world's most security-conscious organizations. We own all of the issued and outstanding shares of Xacta Corporation and ubIQuity.com, inc. (a holding company for Xacta Corporation), and 100% ownership interest in Telos Identity Management Solutions, LLC ("Telos ID"), and Teloworks, Inc. ("Teloworks").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March 13, 2024, the Board unanimously approved the dissolution of Telos APAC Pte. Ltd. ("Telos APAC"), a pre-operating foreign subsidiary, pursuant to a plan of complete liquidation and dissolution. Telos APAC was dissolved on October 7, 2024. The dissolution of this subsidiary did not have a material impact on the Company's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2. SIGNIFICANT ACCOUNTING POLICIES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Principle of Consolidation</w:t>
      </w:r>
    </w:p>
    <w:p>
      <w:pPr>
        <w:pStyle w:val="TextBody"/>
        <w:bidi w:val="0"/>
        <w:spacing w:lineRule="auto" w:line="288" w:before="120" w:after="180"/>
        <w:jc w:val="left"/>
        <w:rPr/>
      </w:pPr>
      <w:r>
        <w:rPr>
          <w:rFonts w:ascii="Times New Roman;sans-serif" w:hAnsi="Times New Roman;sans-serif"/>
          <w:b w:val="false"/>
          <w:color w:val="000000"/>
          <w:sz w:val="20"/>
        </w:rPr>
        <w:t xml:space="preserve">The accompanying unaudited consolidated financial statements include the accounts of Telos and its subsidiaries (see </w:t>
      </w:r>
      <w:hyperlink w:anchor="i0576624f09fb407da1b4071445024365_34">
        <w:r>
          <w:rPr>
            <w:rStyle w:val="InternetLink"/>
            <w:rFonts w:ascii="Times New Roman;sans-serif" w:hAnsi="Times New Roman;sans-serif"/>
            <w:b w:val="false"/>
            <w:color w:val="0000FF"/>
            <w:sz w:val="20"/>
            <w:u w:val="single"/>
          </w:rPr>
          <w:t>Note 1 – Organization</w:t>
        </w:r>
      </w:hyperlink>
      <w:r>
        <w:rPr>
          <w:rFonts w:ascii="Times New Roman;sans-serif" w:hAnsi="Times New Roman;sans-serif"/>
          <w:b w:val="false"/>
          <w:color w:val="000000"/>
          <w:sz w:val="20"/>
        </w:rPr>
        <w:t>), all of whose issued and outstanding share capital is wholly owned directly and indirectly by Telos Corporation. All intercompany transactions have been eliminated in consolidation.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consolidated financial statements have been prepared in accordance with accounting principles generally accepted in the United States of America ("U.S. GAAP"), and the rules and regulations of the U.S. Securities and Exchange commissions ("SEC").</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for Interim Periods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and footnote disclosures normally included for the annual financial statements prepared in accordance with U.S. GAAP have been condensed or omitted for the interim periods presented. We believe that the unaudited interim financial statements include all adjustments (which are normal and recurring) necessary to state fairly our financial position and the results of operations and cash flows for the periods presented.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interim periods presented are not necessarily indicative of results that may be expected for the year or future periods. The financial statements should be read in conjunction with our audited consolidated financial statements and the notes thereto for the year ended December 31, 2024, included in our Annual Report on Form 10-K for the fiscal year then ended. We have continued to follow the accounting policies set forth in those financial statements.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these unaudited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evaluates these estimates and assumptions on an ongoing basis, including those relating to revenue recognition on cost estimation on certain contracts, allowance for credit losses, inventory obsolescence, valuation allowance for deferred tax assets, income taxes, certain assumptions related to share-based compensation, valuation of intangible assets and goodwill, restructuring expenses accruals, and contingencies. Actual results could differ from those estimates. The impact of changes in estimates is recorded in the period in which they become known.</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period for which tax years are open, 2021 to 2024, has not been extended beyond the applicable statute of limitations. In September 2024, were were advised by the Internal Revenue Services ("IRS") regarding an audit of our 2021 federal income tax return. In April 2025, the IRS notified us that they completed their examination of our 2021 federal income tax return with no changes to our reported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adopted all applicable standards effective as of December 31, 2024, within these unaudited consolidated financial statements, with no material impact as a result of the adoption.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Financial Accounting Standards Board ("FASB") issued ASU No. 2023-09, "Income Taxes (Topic 740): Improvements to Income Tax Disclosure," which requires public entities, on an annual basis, (1) to disclosure specific categories in the rate reconciliation, and (2) to provide additional information for reconciling items that meet a quantitative threshold (if the effect of those reconciling items is equal to or greater than 5% of the amount computed by multiplying pretax income (loss) by the applicable statutory income tax rate). This ASU will be effective, for public entities, for the fiscal year beginning after December 15, 2024, with early adoption permitted. We are currently assessing the impact of the adoption of this ASU on our unaudited consolidated financial statements.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 – Reporting Comprehensive Income – Expense Disaggregation Disclosure (Topic 220): Disaggregation of Income Statement Expenses." This standard requires additional disclosure of certain amounts included in the expense captions presented on the statements of operations, as well as disclosures about selling expenses. This ASU is effective on a prospective basis, with the option for retrospective application. All public entities are required to adopt the guidance in annual reporting periods beginning after December 15, 2026, and interim reporting periods beginning after December 15, 2027, with early adoption permitted. We are in the process of assessing the impact of the adoption of this ASU on our unaudited consolidated financial statements.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from time to time, new accounting standards are issued by the Financial Accounting Standard Board or other standard-setting bodies and are adopted by the Company as of the specified accounting date. Unless otherwise discussed, the Company believes that issued standards not yet effective will not have a material effect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3. REVENUE RECOGNITION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revenue in accordance with ASC Topic 606, "Revenue from Contracts with Customers." The unit of account in ASC 606 is a performance obligation, which is a promise in a contract with a customer to transfer a good or service to the customer.</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is recognized over time, as control is transferred continuously to our customers, who receive and consume benefits as we perform. Revenue transferred to customers over time accounted for 79% and 81% of our revenue for the three months ended March 31, 2025, and 2024, respectively. All of our business groups earn services revenue under a variety of contract types, including time and materials, firm-fixed price, firm-fixed price level of effort, and cost-plus fixed fee contract types, which may include variable consideration.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in which control does not continuously transfer to the customer, we recognize revenue at the point in time in which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 Revenue transferred to customers at a point in time accounted for 21% and 19% of our revenue for the three months ended March 31, 2025, and 2024, respectively.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based on the standalone selling price of the product or service underlying each performance obligation. The standalone selling price represents the amount we would sell the product or service to a customer on a standalone basis.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performance obligations where we are not primarily responsible for fulfilling the promise to provide the goods or services to the customer, do not have inventory risk and have limited discretion in establishing the price for the goods or services, we recognize revenue on a net basis.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contracts may include various types of variable considerations and may include estimated amounts in the transaction price, based on all of the information available to us, and to the extent it is probable that a significant reversal of cumulative revenue recognized will not occur when any uncertainty associated with the variable consideration is resolved. We evaluate and include these estimated amounts of variable consideration in the transaction price and as performance on these contracts is complete, we adjust our revenue, when deemed necessary. No revenue adjustments were recorded during the three months ended March 31, 2025, and 2024.</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for anticipated losses on contracts during the period when the loss is determined by recording an expense for the total expected costs that exceeds the total estimated revenue for a performance obligation. We recorded an immaterial contract loss during the three months ended March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Revenues</w:t>
      </w:r>
    </w:p>
    <w:p>
      <w:pPr>
        <w:pStyle w:val="TextBody"/>
        <w:bidi w:val="0"/>
        <w:spacing w:lineRule="auto" w:line="288" w:before="120" w:after="180"/>
        <w:jc w:val="left"/>
        <w:rPr/>
      </w:pPr>
      <w:r>
        <w:rPr>
          <w:rFonts w:ascii="Times New Roman;sans-serif" w:hAnsi="Times New Roman;sans-serif"/>
          <w:b w:val="false"/>
          <w:color w:val="000000"/>
          <w:sz w:val="20"/>
        </w:rPr>
        <w:t xml:space="preserve">In addition to our segment reporting, as further discussed in </w:t>
      </w:r>
      <w:hyperlink w:anchor="i0576624f09fb407da1b4071445024365_88">
        <w:r>
          <w:rPr>
            <w:rStyle w:val="InternetLink"/>
          </w:rPr>
          <w:t>Note 1</w:t>
        </w:r>
      </w:hyperlink>
      <w:hyperlink w:anchor="i0576624f09fb407da1b4071445024365_88">
        <w:r>
          <w:rPr>
            <w:rStyle w:val="InternetLink"/>
          </w:rPr>
          <w:t>5</w:t>
        </w:r>
      </w:hyperlink>
      <w:hyperlink w:anchor="i0576624f09fb407da1b4071445024365_88">
        <w:r>
          <w:rPr>
            <w:rStyle w:val="InternetLink"/>
          </w:rPr>
          <w:t xml:space="preserve"> – Segment Information</w:t>
        </w:r>
      </w:hyperlink>
      <w:r>
        <w:rPr>
          <w:rFonts w:ascii="Times New Roman;sans-serif" w:hAnsi="Times New Roman;sans-serif"/>
          <w:b w:val="false"/>
          <w:color w:val="000000"/>
          <w:sz w:val="20"/>
        </w:rPr>
        <w:t>, we disaggregate our revenues by customer and contract types. We treat sales to U.S. customers as sales within the U.S. regardless of where the services are performed. Substantially most of our revenues are generated from U.S. customers, while international customers are de minimis; as such, the financial information by geographic location is not presented.</w:t>
      </w:r>
    </w:p>
    <w:tbl>
      <w:tblPr>
        <w:tblW w:w="6289" w:type="dxa"/>
        <w:jc w:val="left"/>
        <w:tblInd w:w="0" w:type="dxa"/>
        <w:tblLayout w:type="fixed"/>
        <w:tblCellMar>
          <w:top w:w="28" w:type="dxa"/>
          <w:left w:w="28" w:type="dxa"/>
          <w:bottom w:w="28" w:type="dxa"/>
          <w:right w:w="28" w:type="dxa"/>
        </w:tblCellMar>
      </w:tblPr>
      <w:tblGrid>
        <w:gridCol w:w="803"/>
        <w:gridCol w:w="703"/>
        <w:gridCol w:w="713"/>
        <w:gridCol w:w="196"/>
        <w:gridCol w:w="646"/>
        <w:gridCol w:w="109"/>
        <w:gridCol w:w="109"/>
        <w:gridCol w:w="109"/>
        <w:gridCol w:w="109"/>
        <w:gridCol w:w="189"/>
        <w:gridCol w:w="189"/>
        <w:gridCol w:w="193"/>
        <w:gridCol w:w="109"/>
        <w:gridCol w:w="109"/>
        <w:gridCol w:w="109"/>
        <w:gridCol w:w="196"/>
        <w:gridCol w:w="646"/>
        <w:gridCol w:w="109"/>
        <w:gridCol w:w="109"/>
        <w:gridCol w:w="109"/>
        <w:gridCol w:w="109"/>
        <w:gridCol w:w="180"/>
        <w:gridCol w:w="180"/>
        <w:gridCol w:w="256"/>
      </w:tblGrid>
      <w:tr>
        <w:trPr/>
        <w:tc>
          <w:tcPr>
            <w:tcW w:w="8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6289"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3.1: Revenue by Customer Type</w:t>
            </w:r>
          </w:p>
        </w:tc>
      </w:tr>
      <w:tr>
        <w:trPr/>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&amp; local, and commercial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bl>
    <w:tbl>
      <w:tblPr>
        <w:tblW w:w="5556" w:type="dxa"/>
        <w:jc w:val="left"/>
        <w:tblInd w:w="0" w:type="dxa"/>
        <w:tblLayout w:type="fixed"/>
        <w:tblCellMar>
          <w:top w:w="28" w:type="dxa"/>
          <w:left w:w="28" w:type="dxa"/>
          <w:bottom w:w="28" w:type="dxa"/>
          <w:right w:w="28" w:type="dxa"/>
        </w:tblCellMar>
      </w:tblPr>
      <w:tblGrid>
        <w:gridCol w:w="538"/>
        <w:gridCol w:w="472"/>
        <w:gridCol w:w="476"/>
        <w:gridCol w:w="196"/>
        <w:gridCol w:w="646"/>
        <w:gridCol w:w="109"/>
        <w:gridCol w:w="109"/>
        <w:gridCol w:w="109"/>
        <w:gridCol w:w="109"/>
        <w:gridCol w:w="189"/>
        <w:gridCol w:w="189"/>
        <w:gridCol w:w="193"/>
        <w:gridCol w:w="109"/>
        <w:gridCol w:w="109"/>
        <w:gridCol w:w="109"/>
        <w:gridCol w:w="196"/>
        <w:gridCol w:w="646"/>
        <w:gridCol w:w="109"/>
        <w:gridCol w:w="109"/>
        <w:gridCol w:w="109"/>
        <w:gridCol w:w="109"/>
        <w:gridCol w:w="180"/>
        <w:gridCol w:w="180"/>
        <w:gridCol w:w="25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556"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3.2: Revenue by Contract Type</w:t>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Firm fixed-price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Time-and-materials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plus fixed fee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bl>
    <w:tbl>
      <w:tblPr>
        <w:tblW w:w="7105" w:type="dxa"/>
        <w:jc w:val="left"/>
        <w:tblInd w:w="0" w:type="dxa"/>
        <w:tblLayout w:type="fixed"/>
        <w:tblCellMar>
          <w:top w:w="28" w:type="dxa"/>
          <w:left w:w="28" w:type="dxa"/>
          <w:bottom w:w="28" w:type="dxa"/>
          <w:right w:w="28" w:type="dxa"/>
        </w:tblCellMar>
      </w:tblPr>
      <w:tblGrid>
        <w:gridCol w:w="1059"/>
        <w:gridCol w:w="933"/>
        <w:gridCol w:w="933"/>
        <w:gridCol w:w="444"/>
        <w:gridCol w:w="444"/>
        <w:gridCol w:w="444"/>
        <w:gridCol w:w="444"/>
        <w:gridCol w:w="444"/>
        <w:gridCol w:w="444"/>
        <w:gridCol w:w="444"/>
        <w:gridCol w:w="444"/>
        <w:gridCol w:w="628"/>
      </w:tblGrid>
      <w:tr>
        <w:trPr/>
        <w:tc>
          <w:tcPr>
            <w:tcW w:w="105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71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3.3: Revenue Concentration Greater than 10% of Total Revenue</w:t>
            </w:r>
          </w:p>
        </w:tc>
      </w:tr>
      <w:tr>
        <w:trPr/>
        <w:tc>
          <w:tcPr>
            <w:tcW w:w="2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Department of Defense</w:t>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Solutions segment</w:t>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 Networks segment</w:t>
            </w:r>
          </w:p>
        </w:tc>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Department of Homeland Security</w:t>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Solutions segment</w:t>
            </w:r>
          </w:p>
        </w:tc>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r>
    </w:tbl>
    <w:tbl>
      <w:tblPr>
        <w:tblW w:w="7671" w:type="dxa"/>
        <w:jc w:val="left"/>
        <w:tblInd w:w="0" w:type="dxa"/>
        <w:tblLayout w:type="fixed"/>
        <w:tblCellMar>
          <w:top w:w="28" w:type="dxa"/>
          <w:left w:w="28" w:type="dxa"/>
          <w:bottom w:w="28" w:type="dxa"/>
          <w:right w:w="28" w:type="dxa"/>
        </w:tblCellMar>
      </w:tblPr>
      <w:tblGrid>
        <w:gridCol w:w="803"/>
        <w:gridCol w:w="707"/>
        <w:gridCol w:w="709"/>
        <w:gridCol w:w="669"/>
        <w:gridCol w:w="669"/>
        <w:gridCol w:w="671"/>
        <w:gridCol w:w="109"/>
        <w:gridCol w:w="109"/>
        <w:gridCol w:w="109"/>
        <w:gridCol w:w="283"/>
        <w:gridCol w:w="804"/>
        <w:gridCol w:w="157"/>
        <w:gridCol w:w="109"/>
        <w:gridCol w:w="109"/>
        <w:gridCol w:w="109"/>
        <w:gridCol w:w="304"/>
        <w:gridCol w:w="1002"/>
        <w:gridCol w:w="239"/>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671"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3.4: Contract Balances</w:t>
            </w:r>
          </w:p>
        </w:tc>
      </w:tr>
      <w:tr>
        <w:trPr/>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Balance Sheet Presentation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Billed accounts receivables </w:t>
            </w:r>
            <w:r>
              <w:rPr>
                <w:rFonts w:ascii="Times New Roman;sans-serif" w:hAnsi="Times New Roman;sans-serif"/>
                <w:b w:val="false"/>
                <w:color w:val="000000"/>
                <w:sz w:val="12"/>
              </w:rPr>
              <w:t>(1)</w:t>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accounts receivable</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Net of allowance for credit losses.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Company's contract assets and contract liabilities during the current period were primarily the result of the timing differences between the Company's performance, invoicing and customer payments. Revenue recognized for the three months ended March 31, 2025, and 2024, that was included in the contract liabilities balance at the beginning of each reporting period was $2.4 million and $2.7 million, respectively.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approximately $51.4 million of remaining performance obligations, which we also refer to as funded backlog. We expect to recognize approximately 95% of our remaining performance obligations over the next 12 months, and the balance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4. ACCOUNTS RECEIVABLE, NET</w:t>
      </w:r>
    </w:p>
    <w:tbl>
      <w:tblPr>
        <w:tblW w:w="5522" w:type="dxa"/>
        <w:jc w:val="left"/>
        <w:tblInd w:w="0" w:type="dxa"/>
        <w:tblLayout w:type="fixed"/>
        <w:tblCellMar>
          <w:top w:w="28" w:type="dxa"/>
          <w:left w:w="28" w:type="dxa"/>
          <w:bottom w:w="28" w:type="dxa"/>
          <w:right w:w="28" w:type="dxa"/>
        </w:tblCellMar>
      </w:tblPr>
      <w:tblGrid>
        <w:gridCol w:w="814"/>
        <w:gridCol w:w="717"/>
        <w:gridCol w:w="719"/>
        <w:gridCol w:w="265"/>
        <w:gridCol w:w="874"/>
        <w:gridCol w:w="147"/>
        <w:gridCol w:w="147"/>
        <w:gridCol w:w="147"/>
        <w:gridCol w:w="147"/>
        <w:gridCol w:w="304"/>
        <w:gridCol w:w="1003"/>
        <w:gridCol w:w="238"/>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52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4: Details of Accounts Receivable, Net</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Billed accounts receivable</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accounts receivable</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Allowance for credit losses </w:t>
            </w:r>
            <w:r>
              <w:rPr>
                <w:rFonts w:ascii="Times New Roman;sans-serif" w:hAnsi="Times New Roman;sans-serif"/>
                <w:b w:val="false"/>
                <w:color w:val="000000"/>
                <w:sz w:val="12"/>
              </w:rPr>
              <w:t>(1)</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19,172 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recoveries from credit losses, net of provision.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our primary customer base includes agencies of the U.S. government, we have a concentration of credit risk associated with our accounts receivable, as 74% and 88% of our billed and unbilled accounts receivable as of March 31, 2025, and December 31, 2024, respectively, were directly with U.S. government customers. While we acknowledge the potential material and adverse risk of such a significant concentration of credit risk, our past experience collecting substantially all of such receivables provides us with an informed basis that such risk, if any, is manageable. We perform ongoing credit evaluations of all of our customers and generally do not require collateral or other guarantees from our customers. We maintain allowances for potential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5. INVENTORIES, NET</w:t>
      </w:r>
    </w:p>
    <w:tbl>
      <w:tblPr>
        <w:tblW w:w="6002" w:type="dxa"/>
        <w:jc w:val="left"/>
        <w:tblInd w:w="0" w:type="dxa"/>
        <w:tblLayout w:type="fixed"/>
        <w:tblCellMar>
          <w:top w:w="28" w:type="dxa"/>
          <w:left w:w="28" w:type="dxa"/>
          <w:bottom w:w="28" w:type="dxa"/>
          <w:right w:w="28" w:type="dxa"/>
        </w:tblCellMar>
      </w:tblPr>
      <w:tblGrid>
        <w:gridCol w:w="1026"/>
        <w:gridCol w:w="901"/>
        <w:gridCol w:w="908"/>
        <w:gridCol w:w="283"/>
        <w:gridCol w:w="805"/>
        <w:gridCol w:w="156"/>
        <w:gridCol w:w="126"/>
        <w:gridCol w:w="126"/>
        <w:gridCol w:w="126"/>
        <w:gridCol w:w="334"/>
        <w:gridCol w:w="949"/>
        <w:gridCol w:w="262"/>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600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5: Details of Inventories, Net</w:t>
            </w:r>
          </w:p>
        </w:tc>
      </w:tr>
      <w:tr>
        <w:trPr/>
        <w:tc>
          <w:tcPr>
            <w:tcW w:w="2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inventory</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inventory obsolescence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6. PROPERTY AND EQUIPMENT, NET</w:t>
      </w:r>
    </w:p>
    <w:tbl>
      <w:tblPr>
        <w:tblW w:w="10205" w:type="dxa"/>
        <w:jc w:val="left"/>
        <w:tblInd w:w="0" w:type="dxa"/>
        <w:tblLayout w:type="fixed"/>
        <w:tblCellMar>
          <w:top w:w="28" w:type="dxa"/>
          <w:left w:w="28" w:type="dxa"/>
          <w:bottom w:w="28" w:type="dxa"/>
          <w:right w:w="28" w:type="dxa"/>
        </w:tblCellMar>
      </w:tblPr>
      <w:tblGrid>
        <w:gridCol w:w="588"/>
        <w:gridCol w:w="342"/>
        <w:gridCol w:w="344"/>
        <w:gridCol w:w="233"/>
        <w:gridCol w:w="768"/>
        <w:gridCol w:w="129"/>
        <w:gridCol w:w="109"/>
        <w:gridCol w:w="109"/>
        <w:gridCol w:w="109"/>
        <w:gridCol w:w="287"/>
        <w:gridCol w:w="1054"/>
        <w:gridCol w:w="159"/>
        <w:gridCol w:w="109"/>
        <w:gridCol w:w="109"/>
        <w:gridCol w:w="109"/>
        <w:gridCol w:w="225"/>
        <w:gridCol w:w="640"/>
        <w:gridCol w:w="125"/>
        <w:gridCol w:w="109"/>
        <w:gridCol w:w="109"/>
        <w:gridCol w:w="109"/>
        <w:gridCol w:w="233"/>
        <w:gridCol w:w="768"/>
        <w:gridCol w:w="129"/>
        <w:gridCol w:w="109"/>
        <w:gridCol w:w="109"/>
        <w:gridCol w:w="109"/>
        <w:gridCol w:w="287"/>
        <w:gridCol w:w="1054"/>
        <w:gridCol w:w="159"/>
        <w:gridCol w:w="109"/>
        <w:gridCol w:w="109"/>
        <w:gridCol w:w="109"/>
        <w:gridCol w:w="224"/>
        <w:gridCol w:w="636"/>
        <w:gridCol w:w="186"/>
      </w:tblGrid>
      <w:tr>
        <w:trPr/>
        <w:tc>
          <w:tcPr>
            <w:tcW w:w="5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Table 6.1: Details of Property and Equipment, Net</w:t>
            </w:r>
          </w:p>
        </w:tc>
      </w:tr>
      <w:tr>
        <w:trPr/>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2024</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Furniture and equipment</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Leasehold improvements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(16,768)</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20,635 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(16,352)</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56" w:type="dxa"/>
        <w:jc w:val="left"/>
        <w:tblInd w:w="0" w:type="dxa"/>
        <w:tblLayout w:type="fixed"/>
        <w:tblCellMar>
          <w:top w:w="28" w:type="dxa"/>
          <w:left w:w="28" w:type="dxa"/>
          <w:bottom w:w="28" w:type="dxa"/>
          <w:right w:w="28" w:type="dxa"/>
        </w:tblCellMar>
      </w:tblPr>
      <w:tblGrid>
        <w:gridCol w:w="1033"/>
        <w:gridCol w:w="907"/>
        <w:gridCol w:w="910"/>
        <w:gridCol w:w="366"/>
        <w:gridCol w:w="787"/>
        <w:gridCol w:w="203"/>
        <w:gridCol w:w="203"/>
        <w:gridCol w:w="203"/>
        <w:gridCol w:w="203"/>
        <w:gridCol w:w="366"/>
        <w:gridCol w:w="787"/>
        <w:gridCol w:w="288"/>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25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6.2: Depreciation and Amortization Expense</w:t>
            </w:r>
          </w:p>
        </w:tc>
      </w:tr>
      <w:tr>
        <w:trPr/>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7. GOODWILL</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goodwill balance was $17.9 million as of March 31, 2025, and December 31, 2024, of which $3.0 million is allocated to the Security Solutions segment and $14.9 million is allocated to the Secure Networks segment. Goodwill is subject to annual impairment tests and if triggering events are present in the interim before the annual tests, we will assess impairment. No impairment charges were recorded for the three months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8. INTANGIBLE ASSETS, NET</w:t>
      </w:r>
    </w:p>
    <w:tbl>
      <w:tblPr>
        <w:tblW w:w="10205" w:type="dxa"/>
        <w:jc w:val="left"/>
        <w:tblInd w:w="0" w:type="dxa"/>
        <w:tblLayout w:type="fixed"/>
        <w:tblCellMar>
          <w:top w:w="28" w:type="dxa"/>
          <w:left w:w="28" w:type="dxa"/>
          <w:bottom w:w="28" w:type="dxa"/>
          <w:right w:w="28" w:type="dxa"/>
        </w:tblCellMar>
      </w:tblPr>
      <w:tblGrid>
        <w:gridCol w:w="520"/>
        <w:gridCol w:w="365"/>
        <w:gridCol w:w="366"/>
        <w:gridCol w:w="292"/>
        <w:gridCol w:w="292"/>
        <w:gridCol w:w="293"/>
        <w:gridCol w:w="216"/>
        <w:gridCol w:w="712"/>
        <w:gridCol w:w="120"/>
        <w:gridCol w:w="109"/>
        <w:gridCol w:w="109"/>
        <w:gridCol w:w="109"/>
        <w:gridCol w:w="217"/>
        <w:gridCol w:w="796"/>
        <w:gridCol w:w="121"/>
        <w:gridCol w:w="109"/>
        <w:gridCol w:w="109"/>
        <w:gridCol w:w="109"/>
        <w:gridCol w:w="208"/>
        <w:gridCol w:w="687"/>
        <w:gridCol w:w="115"/>
        <w:gridCol w:w="109"/>
        <w:gridCol w:w="109"/>
        <w:gridCol w:w="109"/>
        <w:gridCol w:w="216"/>
        <w:gridCol w:w="712"/>
        <w:gridCol w:w="120"/>
        <w:gridCol w:w="109"/>
        <w:gridCol w:w="109"/>
        <w:gridCol w:w="109"/>
        <w:gridCol w:w="217"/>
        <w:gridCol w:w="796"/>
        <w:gridCol w:w="121"/>
        <w:gridCol w:w="109"/>
        <w:gridCol w:w="109"/>
        <w:gridCol w:w="109"/>
        <w:gridCol w:w="207"/>
        <w:gridCol w:w="685"/>
        <w:gridCol w:w="176"/>
      </w:tblGrid>
      <w:tr>
        <w:trPr/>
        <w:tc>
          <w:tcPr>
            <w:tcW w:w="52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Table 8.1: Details of Intangible Assets, Net</w:t>
            </w:r>
          </w:p>
        </w:tc>
      </w:tr>
      <w:tr>
        <w:trPr/>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2024</w:t>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Estimated Useful Life</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years)</w:t>
            </w:r>
          </w:p>
        </w:tc>
        <w:tc>
          <w:tcPr>
            <w:tcW w:w="80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4"/>
              </w:rPr>
            </w:pPr>
            <w:r>
              <w:rPr>
                <w:rFonts w:ascii="Times New Roman;sans-serif" w:hAnsi="Times New Roman;sans-serif"/>
                <w:b w:val="false"/>
                <w:i/>
                <w:color w:val="000000"/>
                <w:sz w:val="14"/>
              </w:rPr>
              <w:t>(in thousands)</w:t>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technology</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Software development costs</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2 - 5</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(17,172)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Subtotal</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35,152 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16,277 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31,036 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In-process software development costs </w:t>
            </w:r>
            <w:r>
              <w:rPr>
                <w:rFonts w:ascii="Times New Roman;sans-serif" w:hAnsi="Times New Roman;sans-serif"/>
                <w:b w:val="false"/>
                <w:color w:val="000000"/>
                <w:sz w:val="10"/>
              </w:rPr>
              <w:t>(1)</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50,031 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(18,875)</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31,156 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47,761 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(17,351)</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30,410 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4"/>
        <w:gridCol w:w="2871"/>
        <w:gridCol w:w="4070"/>
      </w:tblGrid>
      <w:tr>
        <w:trPr/>
        <w:tc>
          <w:tcPr>
            <w:tcW w:w="3264"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In-process software development costs are costs for software that is not yet available for its intended use or general release to customers as of balance sheet date, thus not yet amortized.</w:t>
            </w:r>
          </w:p>
        </w:tc>
      </w:tr>
    </w:tbl>
    <w:tbl>
      <w:tblPr>
        <w:tblW w:w="6988" w:type="dxa"/>
        <w:jc w:val="left"/>
        <w:tblInd w:w="0" w:type="dxa"/>
        <w:tblLayout w:type="fixed"/>
        <w:tblCellMar>
          <w:top w:w="28" w:type="dxa"/>
          <w:left w:w="28" w:type="dxa"/>
          <w:bottom w:w="28" w:type="dxa"/>
          <w:right w:w="28" w:type="dxa"/>
        </w:tblCellMar>
      </w:tblPr>
      <w:tblGrid>
        <w:gridCol w:w="1485"/>
        <w:gridCol w:w="1301"/>
        <w:gridCol w:w="1309"/>
        <w:gridCol w:w="283"/>
        <w:gridCol w:w="804"/>
        <w:gridCol w:w="157"/>
        <w:gridCol w:w="120"/>
        <w:gridCol w:w="120"/>
        <w:gridCol w:w="120"/>
        <w:gridCol w:w="279"/>
        <w:gridCol w:w="792"/>
        <w:gridCol w:w="218"/>
      </w:tblGrid>
      <w:tr>
        <w:trPr/>
        <w:tc>
          <w:tcPr>
            <w:tcW w:w="148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9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8.2: Amortization Expense</w:t>
            </w:r>
          </w:p>
        </w:tc>
      </w:tr>
      <w:tr>
        <w:trPr/>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 related to:</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Software development costs - cost of sales </w:t>
            </w:r>
            <w:r>
              <w:rPr>
                <w:rFonts w:ascii="Times New Roman;sans-serif" w:hAnsi="Times New Roman;sans-serif"/>
                <w:b w:val="false"/>
                <w:color w:val="000000"/>
                <w:sz w:val="12"/>
              </w:rPr>
              <w:t>(1)</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development costs - research and development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 general and administrative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Amortization expense for software development costs related to assets to be sold, leased, or otherwise marketed is charged under cost of sales on the unaudited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9. OTHER BALANCE SHEET COMPONENTS</w:t>
      </w:r>
    </w:p>
    <w:tbl>
      <w:tblPr>
        <w:tblW w:w="5855" w:type="dxa"/>
        <w:jc w:val="left"/>
        <w:tblInd w:w="0" w:type="dxa"/>
        <w:tblLayout w:type="fixed"/>
        <w:tblCellMar>
          <w:top w:w="28" w:type="dxa"/>
          <w:left w:w="28" w:type="dxa"/>
          <w:bottom w:w="28" w:type="dxa"/>
          <w:right w:w="28" w:type="dxa"/>
        </w:tblCellMar>
      </w:tblPr>
      <w:tblGrid>
        <w:gridCol w:w="976"/>
        <w:gridCol w:w="859"/>
        <w:gridCol w:w="865"/>
        <w:gridCol w:w="283"/>
        <w:gridCol w:w="805"/>
        <w:gridCol w:w="157"/>
        <w:gridCol w:w="122"/>
        <w:gridCol w:w="122"/>
        <w:gridCol w:w="122"/>
        <w:gridCol w:w="333"/>
        <w:gridCol w:w="949"/>
        <w:gridCol w:w="262"/>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85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9.1: Details of Other Assets</w:t>
            </w:r>
          </w:p>
        </w:tc>
      </w:tr>
      <w:tr>
        <w:trPr/>
        <w:tc>
          <w:tcPr>
            <w:tcW w:w="2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 long-term portion</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Investment </w:t>
            </w:r>
            <w:r>
              <w:rPr>
                <w:rFonts w:ascii="Times New Roman;sans-serif" w:hAnsi="Times New Roman;sans-serif"/>
                <w:b w:val="false"/>
                <w:color w:val="000000"/>
                <w:sz w:val="12"/>
              </w:rPr>
              <w:t>(1)</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8,189 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 March 2024, we made a $3.0 million investment in a privately held company via a simple agreement for future equity. The Company elected to apply the fair value option on this investment. The Company believes the fair value option best reflects the economics of the underlying transaction. The fair value of this investment was based on non-marketable observable inputs, which represent Level 3 measurement within the fair value hierarchy. Changes in the fair value of this investment are recognized within "Other income (expenses)" on the unaudited consolidated statements of operations, if any. We did not note any changes in the fair value during the three months ended March 31, 2025, and 2024.</w:t>
      </w:r>
    </w:p>
    <w:tbl>
      <w:tblPr>
        <w:tblW w:w="8009" w:type="dxa"/>
        <w:jc w:val="left"/>
        <w:tblInd w:w="0" w:type="dxa"/>
        <w:tblLayout w:type="fixed"/>
        <w:tblCellMar>
          <w:top w:w="28" w:type="dxa"/>
          <w:left w:w="28" w:type="dxa"/>
          <w:bottom w:w="28" w:type="dxa"/>
          <w:right w:w="28" w:type="dxa"/>
        </w:tblCellMar>
      </w:tblPr>
      <w:tblGrid>
        <w:gridCol w:w="1210"/>
        <w:gridCol w:w="1062"/>
        <w:gridCol w:w="1072"/>
        <w:gridCol w:w="436"/>
        <w:gridCol w:w="1239"/>
        <w:gridCol w:w="243"/>
        <w:gridCol w:w="243"/>
        <w:gridCol w:w="243"/>
        <w:gridCol w:w="243"/>
        <w:gridCol w:w="436"/>
        <w:gridCol w:w="1239"/>
        <w:gridCol w:w="343"/>
      </w:tblGrid>
      <w:tr>
        <w:trPr/>
        <w:tc>
          <w:tcPr>
            <w:tcW w:w="121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800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9.2: Details of Accounts Payable and Other Accrued Liabilities</w:t>
            </w:r>
          </w:p>
        </w:tc>
      </w:tr>
      <w:tr>
        <w:trPr/>
        <w:tc>
          <w:tcPr>
            <w:tcW w:w="3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payables</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5,817 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tbl>
      <w:tblPr>
        <w:tblW w:w="5635" w:type="dxa"/>
        <w:jc w:val="left"/>
        <w:tblInd w:w="0" w:type="dxa"/>
        <w:tblLayout w:type="fixed"/>
        <w:tblCellMar>
          <w:top w:w="28" w:type="dxa"/>
          <w:left w:w="28" w:type="dxa"/>
          <w:bottom w:w="28" w:type="dxa"/>
          <w:right w:w="28" w:type="dxa"/>
        </w:tblCellMar>
      </w:tblPr>
      <w:tblGrid>
        <w:gridCol w:w="835"/>
        <w:gridCol w:w="735"/>
        <w:gridCol w:w="739"/>
        <w:gridCol w:w="294"/>
        <w:gridCol w:w="835"/>
        <w:gridCol w:w="163"/>
        <w:gridCol w:w="163"/>
        <w:gridCol w:w="163"/>
        <w:gridCol w:w="163"/>
        <w:gridCol w:w="334"/>
        <w:gridCol w:w="949"/>
        <w:gridCol w:w="262"/>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63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9.3: Details of Other Current Liabilities</w:t>
            </w:r>
          </w:p>
        </w:tc>
      </w:tr>
      <w:tr>
        <w:trPr/>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expenses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 accrual</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10. REVOLVING CREDIT FACILITY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30, 2022, we entered into a Credit Agreement (the "Credit Agreement"), by and among the Company, as borrower, Xacta Corporation, ubIQuity.com, inc., Teloworks, Inc., and Telos Identity Management Solutions, LLC, as guarantors, the lenders party thereto (the "Lenders"), and JPMorgan Chase Bank N.A., as administrative agent for the Lenders (in such capacity, the "Agent"). The Credit Agreement provides for a $30.0 million senior secured revolving credit facility with a maturity date of December 30, 2025, with the option of issuing letters of credit thereunder with a sub-limit of $5.0 million, and with an uncommitted expansion feature of up to $30.0 million of additional revolver capacity (the "Loan"). The Loan is subject to acceleration in the event of customary events of default. The Company has not drawn any amount under the Loan.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Agreement will accrue interest, at our option, at one of three variable rates, plus a specified margin. We can elect to borrow at (i) the Alternative Base Rate, plus 0.9%; (ii) Adjusted Daily Simple Secured Overnight Financing Rate ("SOFR"), plus 1.9%; or (iii) Adjusted Term SOFR, plus 1.9%, as such capitalized terms are defined and calculated in the Credit Agreement. The Company may elect to convert borrowings from one type of borrowing to another type per the terms of the Credit Agreement. After the occurrence and during the continuance of any event of default, the interest rate may increase by an additional 2.0%. We are obligated to pay accrued interest (i) with respect to amounts accruing interest based on the Alternative Base Rate, each calendar quarter and on the maturity date, (ii) with respect to amounts accruing interest based on Adjusted Daily Simple SOFR, on each one-month anniversary of the borrowing and on the maturity date, and (iii) with respect to amounts accruing interest based on Adjusted Term SOFR, at the end of the period specified per the Credit Agreement and on the maturity date. Upon five, three, or one day's prior notice, as applicable, we may prepay any portion or the entire amount of the Loan. We also paid costs and customary fees, including a closing fee, commitment fees and letter of credit participation fee, if any, payable to the Agent and Lenders, as applicable, in connection with the Loan.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Loan under the Credit Agreement is collateralized by substantially all of the Company's assets, including the Company's pledge of its domestic and material foreign subsidiary equity interests.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Loan has various covenants that may, among other things, affect our ability to create, incur, assume or suffer any indebtedness, merge into or consolidate with another entity, acquire entity interests, sell or transfer certain assets, enter into certain arrangements (such as sale and leaseback and swap agreements) or restrictive agreements, pay dividends and make certain restricted payments, and amend material documents related to any subordinated indebtedness and corporate agreements. The Credit Agreement also requires certain financial covenants to maintain a Senior Leverage Ratio on the last day of any fiscal quarter, no greater than 3 to 1. We were in compliance with all covenants as of March 31, 2025.</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 event of default under the Credit Agreement could result in the Loan and other obligations becoming immediately due and payable and allow the Lenders to exercise all rights and remedies available to them under the Credit Agreement.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April 12, 2023, the Credit Agreement was amended to exclude from collateral the (i) amount collectible from a third party related to an Accounts Receivable Purchase Agreement and (ii) receivables generated by the Company from the sale of goods supplied to this third party in an amount not to exceed $25.0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11. STOCK-BASED COMPENSATION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stock-based compensation awards under the Amended and Restated 2016 Omnibus Long-Term Incentive Plan (the "2016 LTIP"). We have granted stock options, restricted stock units with time-based vesting ("RSUs") and restricted stock units with performance-based vesting ("PSU"). Awards granted under the 2016 LTIP vest over the periods determined by the Board of Directors or the Compensation Committee of the Board of Directors, which has the discretion to establish the terms, conditions and criteria of the various awards. The RSUs granted to eligible employees generally vest in installments over a period of up to three years. PSUs will vest upon the achievement of a defined performance target or market conditions for the Company's common stock, and certain operational milestones over a prescribed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May 8, 2025, the Company's stockholders approved an amendment to the 2016 LTIP that increased the number of shares available for issuance under the 2016 LTIP by an additional 4,900,000 shares, increasing the total number of shares available for issuance under the 2016 LTIP. As of March 31, 2025, approximately 1.1 million shares of our common stock were available for future grants under the 2016 LTIP.</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income tax benefits recognized on the share-based compensation expense for both periods.</w:t>
      </w:r>
    </w:p>
    <w:tbl>
      <w:tblPr>
        <w:tblW w:w="8170" w:type="dxa"/>
        <w:jc w:val="left"/>
        <w:tblInd w:w="0" w:type="dxa"/>
        <w:tblLayout w:type="fixed"/>
        <w:tblCellMar>
          <w:top w:w="28" w:type="dxa"/>
          <w:left w:w="28" w:type="dxa"/>
          <w:bottom w:w="28" w:type="dxa"/>
          <w:right w:w="28" w:type="dxa"/>
        </w:tblCellMar>
      </w:tblPr>
      <w:tblGrid>
        <w:gridCol w:w="1916"/>
        <w:gridCol w:w="1687"/>
        <w:gridCol w:w="1691"/>
        <w:gridCol w:w="283"/>
        <w:gridCol w:w="805"/>
        <w:gridCol w:w="156"/>
        <w:gridCol w:w="114"/>
        <w:gridCol w:w="114"/>
        <w:gridCol w:w="114"/>
        <w:gridCol w:w="279"/>
        <w:gridCol w:w="792"/>
        <w:gridCol w:w="219"/>
      </w:tblGrid>
      <w:tr>
        <w:trPr/>
        <w:tc>
          <w:tcPr>
            <w:tcW w:w="191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11.1: Details of Stock Compensation Expense by Department</w:t>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services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tbl>
      <w:tblPr>
        <w:tblW w:w="10205" w:type="dxa"/>
        <w:jc w:val="left"/>
        <w:tblInd w:w="0" w:type="dxa"/>
        <w:tblLayout w:type="fixed"/>
        <w:tblCellMar>
          <w:top w:w="28" w:type="dxa"/>
          <w:left w:w="28" w:type="dxa"/>
          <w:bottom w:w="28" w:type="dxa"/>
          <w:right w:w="28" w:type="dxa"/>
        </w:tblCellMar>
      </w:tblPr>
      <w:tblGrid>
        <w:gridCol w:w="995"/>
        <w:gridCol w:w="876"/>
        <w:gridCol w:w="881"/>
        <w:gridCol w:w="435"/>
        <w:gridCol w:w="436"/>
        <w:gridCol w:w="376"/>
        <w:gridCol w:w="109"/>
        <w:gridCol w:w="109"/>
        <w:gridCol w:w="109"/>
        <w:gridCol w:w="500"/>
        <w:gridCol w:w="500"/>
        <w:gridCol w:w="501"/>
        <w:gridCol w:w="109"/>
        <w:gridCol w:w="109"/>
        <w:gridCol w:w="109"/>
        <w:gridCol w:w="480"/>
        <w:gridCol w:w="481"/>
        <w:gridCol w:w="279"/>
        <w:gridCol w:w="109"/>
        <w:gridCol w:w="109"/>
        <w:gridCol w:w="109"/>
        <w:gridCol w:w="594"/>
        <w:gridCol w:w="1416"/>
        <w:gridCol w:w="474"/>
      </w:tblGrid>
      <w:tr>
        <w:trPr/>
        <w:tc>
          <w:tcPr>
            <w:tcW w:w="9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11.2: Restricted Stock Activity</w:t>
            </w:r>
          </w:p>
        </w:tc>
      </w:tr>
      <w:tr>
        <w:trPr/>
        <w:tc>
          <w:tcPr>
            <w:tcW w:w="2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Service-Based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Performance-Based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Grant Date Fair Value</w:t>
            </w:r>
          </w:p>
        </w:tc>
      </w:tr>
      <w:tr>
        <w:trPr/>
        <w:tc>
          <w:tcPr>
            <w:tcW w:w="2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units as of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1,952,103 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10,683,230 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12,635,333 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(109,375)</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(109,375)</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(56,380)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(79,043)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(135,423)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units as of March 31, 2025</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1,786,348 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10,604,187 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12,390,535 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20, 2025, the Company amended certain previously granted PSUs that could settle in up to 2,462,445 shares of its common stock, and would only vest if the Company achieves certain financial performance targets for fiscal year 2025. The amendment eliminated one of the financial performance targets.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2024, the intrinsic value of the RSUs and PSUs outstanding, exercisable, and vested or expected to vest was $29.5 million and $3.9 million, respectively. There were approximately $11.2 million of total compensation costs related to stock-based awards not yet recognized as of March 31, 2025, which is expected to be recognized on a straight-line basis over a weighted-average remaining vesting period of 0.5 years.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tbl>
      <w:tblPr>
        <w:tblW w:w="10205" w:type="dxa"/>
        <w:jc w:val="left"/>
        <w:tblInd w:w="0" w:type="dxa"/>
        <w:tblLayout w:type="fixed"/>
        <w:tblCellMar>
          <w:top w:w="28" w:type="dxa"/>
          <w:left w:w="28" w:type="dxa"/>
          <w:bottom w:w="28" w:type="dxa"/>
          <w:right w:w="28" w:type="dxa"/>
        </w:tblCellMar>
      </w:tblPr>
      <w:tblGrid>
        <w:gridCol w:w="748"/>
        <w:gridCol w:w="657"/>
        <w:gridCol w:w="661"/>
        <w:gridCol w:w="510"/>
        <w:gridCol w:w="456"/>
        <w:gridCol w:w="457"/>
        <w:gridCol w:w="109"/>
        <w:gridCol w:w="109"/>
        <w:gridCol w:w="109"/>
        <w:gridCol w:w="464"/>
        <w:gridCol w:w="1105"/>
        <w:gridCol w:w="260"/>
        <w:gridCol w:w="109"/>
        <w:gridCol w:w="109"/>
        <w:gridCol w:w="109"/>
        <w:gridCol w:w="827"/>
        <w:gridCol w:w="827"/>
        <w:gridCol w:w="828"/>
        <w:gridCol w:w="109"/>
        <w:gridCol w:w="109"/>
        <w:gridCol w:w="109"/>
        <w:gridCol w:w="255"/>
        <w:gridCol w:w="961"/>
        <w:gridCol w:w="208"/>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11.3: Stock Option Activity</w:t>
            </w:r>
          </w:p>
        </w:tc>
      </w:tr>
      <w:tr>
        <w:trPr/>
        <w:tc>
          <w:tcPr>
            <w:tcW w:w="2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Stock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Contractual 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Aggregate Intrinsic Value</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option balance as of December 31, 2024</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287,000 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464,940 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cancelled, or expired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option balance as of March 31, 2025</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287,000 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166,460 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stock option as of March 31, 2025</w:t>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287,000 </w:t>
            </w:r>
          </w:p>
        </w:tc>
        <w:tc>
          <w:tcPr>
            <w:tcW w:w="4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166,460 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is calculated as the difference between the exercise price of the underlying stock option awards and the quoted closing price of the Company's common stock as of March 31, 2025.</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stock options is expensed on a straight-line basis over the vesting period of one year, including the stock options granted to directors, as the next annual stockholders meeting is expected to occur at the same approximate time each year.</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were no unrecognized compensation costs related to non-vested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12. SHARE REPURCHASES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May 24, 2022, the Company announced that the Board of Directors approved a new share repurchase program ("SRP") authorizing the Company to repurchase up to $50.0 million of its common stock. Pursuant to this authorization, the Company may repurchase shares of its common stock on a discretionary basis from time to time through open market purchases. The repurchase program has no expiration date and may be modified, suspended, or terminated at any time.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share purchases during the first quarter of 2025 and 2024. As of March 31, 2025, there was approximately $38.7 million of the authorization remaining for future common stock repurchases under the SRP.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13. ACCUMULATED OTHER COMPREHENSIVE LOSS</w:t>
      </w:r>
    </w:p>
    <w:tbl>
      <w:tblPr>
        <w:tblW w:w="10205" w:type="dxa"/>
        <w:jc w:val="left"/>
        <w:tblInd w:w="0" w:type="dxa"/>
        <w:tblLayout w:type="fixed"/>
        <w:tblCellMar>
          <w:top w:w="28" w:type="dxa"/>
          <w:left w:w="28" w:type="dxa"/>
          <w:bottom w:w="28" w:type="dxa"/>
          <w:right w:w="28" w:type="dxa"/>
        </w:tblCellMar>
      </w:tblPr>
      <w:tblGrid>
        <w:gridCol w:w="1318"/>
        <w:gridCol w:w="1073"/>
        <w:gridCol w:w="1077"/>
        <w:gridCol w:w="607"/>
        <w:gridCol w:w="1433"/>
        <w:gridCol w:w="316"/>
        <w:gridCol w:w="192"/>
        <w:gridCol w:w="192"/>
        <w:gridCol w:w="192"/>
        <w:gridCol w:w="571"/>
        <w:gridCol w:w="877"/>
        <w:gridCol w:w="285"/>
        <w:gridCol w:w="192"/>
        <w:gridCol w:w="192"/>
        <w:gridCol w:w="192"/>
        <w:gridCol w:w="347"/>
        <w:gridCol w:w="864"/>
        <w:gridCol w:w="285"/>
      </w:tblGrid>
      <w:tr>
        <w:trPr/>
        <w:tc>
          <w:tcPr>
            <w:tcW w:w="131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13: Details of Changes in Accumulated Other Comprehensive Loss by Category</w:t>
            </w:r>
          </w:p>
        </w:tc>
      </w:tr>
      <w:tr>
        <w:trPr/>
        <w:tc>
          <w:tcPr>
            <w:tcW w:w="3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Pension liability adjustment</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2024</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before reclassification, net of tax</w:t>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2025</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14. LOSS PER SHARE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 of net loss, potentially dilutive securities are not included in the calculation of diluted net earnings (loss) per share, because to do so would be anti-dilutive.</w:t>
      </w:r>
    </w:p>
    <w:tbl>
      <w:tblPr>
        <w:tblW w:w="9561" w:type="dxa"/>
        <w:jc w:val="left"/>
        <w:tblInd w:w="0" w:type="dxa"/>
        <w:tblLayout w:type="fixed"/>
        <w:tblCellMar>
          <w:top w:w="28" w:type="dxa"/>
          <w:left w:w="28" w:type="dxa"/>
          <w:bottom w:w="28" w:type="dxa"/>
          <w:right w:w="28" w:type="dxa"/>
        </w:tblCellMar>
      </w:tblPr>
      <w:tblGrid>
        <w:gridCol w:w="2273"/>
        <w:gridCol w:w="1994"/>
        <w:gridCol w:w="2003"/>
        <w:gridCol w:w="415"/>
        <w:gridCol w:w="415"/>
        <w:gridCol w:w="415"/>
        <w:gridCol w:w="252"/>
        <w:gridCol w:w="252"/>
        <w:gridCol w:w="252"/>
        <w:gridCol w:w="378"/>
        <w:gridCol w:w="378"/>
        <w:gridCol w:w="534"/>
      </w:tblGrid>
      <w:tr>
        <w:trPr/>
        <w:tc>
          <w:tcPr>
            <w:tcW w:w="2273"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956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14: Potentially Dilutive Securities</w:t>
            </w:r>
          </w:p>
        </w:tc>
      </w:tr>
      <w:tr>
        <w:trPr/>
        <w:tc>
          <w:tcPr>
            <w:tcW w:w="6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shares – unvested restricted stock units and stock options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outstanding PSUs aggregating to 10,604,187 and 43,800, respectively, have been excluded from the calculation of potentially dilutive securities above because the issuance of shares is contingent upon the satisfaction of certain conditions which were not satisfied by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15. SEGMENT INFORMATION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our business in two reportable and operating segments: Security Solutions and Secure Networks. </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Our Security Solutions segment is primarily focused on cybersecurity, cloud and identity solutions, and secure messaging through Xacta</w:t>
      </w:r>
      <w:r>
        <w:rPr>
          <w:rFonts w:ascii="Times New Roman;sans-serif" w:hAnsi="Times New Roman;sans-serif"/>
          <w:b w:val="false"/>
          <w:color w:val="000000"/>
          <w:sz w:val="13"/>
        </w:rPr>
        <w:t>®</w:t>
      </w:r>
      <w:r>
        <w:rPr>
          <w:rFonts w:ascii="Times New Roman;sans-serif" w:hAnsi="Times New Roman;sans-serif"/>
          <w:b w:val="false"/>
          <w:color w:val="000000"/>
          <w:sz w:val="20"/>
        </w:rPr>
        <w:t>, Telos Automated Message Handling System ("AMHS") and Telos ID offerings. We recognize revenue on contracts from providing various system platforms in the cloud, on-premises, and in hybrid cloud environments, as well as software sales or software-as-a-service. Revenue associated with the segment's custom solutions is recognized as work progresses or upon delivery of services and products. Fluctuation in revenue from period to period is the result of the volume of software sales, and the progress or completion of cloud and/or cybersecurity solutions during the period. Other segment expenses relate to labor, material, and overhead costs. Software sales generally yield higher margins. Gross profit and margin are a function of operational efficiency on security solutions and changes in the volume of software sales.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Our Secure Networks segment provides secure networking architectures and solutions to our customers through secure mobility solutions, and network management and defense services. Revenue is recognized over time as the work progresses on contracts related to managing network services and information delivery. Contract costs include labor, material, and overhead costs. Variances in costs recognized from period to period primarily reflect increases and decreases in activity levels on individual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92"/>
        <w:gridCol w:w="652"/>
        <w:gridCol w:w="647"/>
        <w:gridCol w:w="239"/>
        <w:gridCol w:w="789"/>
        <w:gridCol w:w="132"/>
        <w:gridCol w:w="109"/>
        <w:gridCol w:w="109"/>
        <w:gridCol w:w="109"/>
        <w:gridCol w:w="245"/>
        <w:gridCol w:w="697"/>
        <w:gridCol w:w="136"/>
        <w:gridCol w:w="109"/>
        <w:gridCol w:w="109"/>
        <w:gridCol w:w="109"/>
        <w:gridCol w:w="196"/>
        <w:gridCol w:w="646"/>
        <w:gridCol w:w="109"/>
        <w:gridCol w:w="109"/>
        <w:gridCol w:w="109"/>
        <w:gridCol w:w="109"/>
        <w:gridCol w:w="239"/>
        <w:gridCol w:w="789"/>
        <w:gridCol w:w="132"/>
        <w:gridCol w:w="109"/>
        <w:gridCol w:w="109"/>
        <w:gridCol w:w="109"/>
        <w:gridCol w:w="232"/>
        <w:gridCol w:w="766"/>
        <w:gridCol w:w="129"/>
        <w:gridCol w:w="109"/>
        <w:gridCol w:w="109"/>
        <w:gridCol w:w="109"/>
        <w:gridCol w:w="196"/>
        <w:gridCol w:w="646"/>
        <w:gridCol w:w="161"/>
      </w:tblGrid>
      <w:tr>
        <w:trPr/>
        <w:tc>
          <w:tcPr>
            <w:tcW w:w="79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15: Results of Operations by Business Segment</w:t>
            </w:r>
          </w:p>
        </w:tc>
      </w:tr>
      <w:tr>
        <w:trPr/>
        <w:tc>
          <w:tcPr>
            <w:tcW w:w="2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4"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Secure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Secure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Depreciation and amortization </w:t>
            </w:r>
            <w:r>
              <w:rPr>
                <w:rFonts w:ascii="Times New Roman;sans-serif" w:hAnsi="Times New Roman;sans-serif"/>
                <w:b w:val="false"/>
                <w:color w:val="000000"/>
                <w:sz w:val="12"/>
              </w:rPr>
              <w:t>(1)</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Stock-based compensation expense </w:t>
            </w:r>
            <w:r>
              <w:rPr>
                <w:rFonts w:ascii="Times New Roman;sans-serif" w:hAnsi="Times New Roman;sans-serif"/>
                <w:b w:val="false"/>
                <w:color w:val="000000"/>
                <w:sz w:val="12"/>
              </w:rPr>
              <w:t>(1)</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segment items </w:t>
            </w:r>
            <w:r>
              <w:rPr>
                <w:rFonts w:ascii="Times New Roman;sans-serif" w:hAnsi="Times New Roman;sans-serif"/>
                <w:b w:val="false"/>
                <w:color w:val="000000"/>
                <w:sz w:val="12"/>
              </w:rPr>
              <w:t>(2)</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(provision for) income taxes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significant segment expense categories and amounts align with the segment-level information regularly provided by the CODM.</w:t>
      </w:r>
    </w:p>
    <w:p>
      <w:pPr>
        <w:pStyle w:val="TextBody"/>
        <w:bidi w:val="0"/>
        <w:spacing w:lineRule="auto" w:line="288" w:before="120" w:after="18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Other segment items for each reportable segment include direct labor, direct subcontractor costs, direct materials and inventory, other direct non-labor costs, fringes, overhead, and facility costs.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measure each segment's profitability based on gross profit. The Chief Executive Officer, whom we identified as the CODM, evaluates the segment's performance based on metrics, such as segment revenue and gross profit, to align with our strategies and objectives, and provide a framework for the timely and rational allocation of resources between the segments.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inter-segment sales and transfers as if the sales or transfers were to third parties, that is, at current market prices, if any. There were no inter-segment sales and transfers during the three months ended March 31, 2025, and 2024. Interest income, interest expense, other income and expense items, and income taxes, as reported in the consolidated financial statements, are not part of the segment profitability measure and are primarily recorded at the corporate level.</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does not utilize total assets by segment to evaluate segment performance or allocate resources. As a result, assets are not tracked by segment, and therefore, total assets by segment are not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 COMMITMENTS AND CONTINGENCIES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a party to litigation or claims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believes that the outcome of such known matters will not have a material adverse effect on the Company's business or its unaudited consolidated financial statements as of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 Government Contracts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a U.S. government contractor, we are subject to various audits and investigations by the U.S. government to determine whether our operations are being conducted in accordance with applicable regulatory requirements. U.S.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may also be audited or investigated.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17. SUPPLEMENTAL CASH FLOW INFORMATION</w:t>
      </w:r>
    </w:p>
    <w:tbl>
      <w:tblPr>
        <w:tblW w:w="7772" w:type="dxa"/>
        <w:jc w:val="left"/>
        <w:tblInd w:w="0" w:type="dxa"/>
        <w:tblLayout w:type="fixed"/>
        <w:tblCellMar>
          <w:top w:w="28" w:type="dxa"/>
          <w:left w:w="28" w:type="dxa"/>
          <w:bottom w:w="28" w:type="dxa"/>
          <w:right w:w="28" w:type="dxa"/>
        </w:tblCellMar>
      </w:tblPr>
      <w:tblGrid>
        <w:gridCol w:w="1131"/>
        <w:gridCol w:w="991"/>
        <w:gridCol w:w="997"/>
        <w:gridCol w:w="401"/>
        <w:gridCol w:w="1322"/>
        <w:gridCol w:w="223"/>
        <w:gridCol w:w="223"/>
        <w:gridCol w:w="223"/>
        <w:gridCol w:w="223"/>
        <w:gridCol w:w="401"/>
        <w:gridCol w:w="1322"/>
        <w:gridCol w:w="315"/>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777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17.1: Details of Cash, Cash Equivalents, and Restricted Cash</w:t>
            </w:r>
          </w:p>
        </w:tc>
      </w:tr>
      <w:tr>
        <w:trPr/>
        <w:tc>
          <w:tcPr>
            <w:tcW w:w="3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54,578 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Restricted cash </w:t>
            </w:r>
            <w:r>
              <w:rPr>
                <w:rFonts w:ascii="Times New Roman;sans-serif" w:hAnsi="Times New Roman;sans-serif"/>
                <w:b w:val="false"/>
                <w:color w:val="000000"/>
                <w:sz w:val="12"/>
              </w:rPr>
              <w:t>(1)</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57,930 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54,717 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Restricted cash consists of a commercial money market account held as a deposit on the Ashburn lease and is included within "Other assets" on the unaudited consolidated balance sheets.</w:t>
      </w:r>
    </w:p>
    <w:tbl>
      <w:tblPr>
        <w:tblW w:w="9024" w:type="dxa"/>
        <w:jc w:val="left"/>
        <w:tblInd w:w="0" w:type="dxa"/>
        <w:tblLayout w:type="fixed"/>
        <w:tblCellMar>
          <w:top w:w="28" w:type="dxa"/>
          <w:left w:w="28" w:type="dxa"/>
          <w:bottom w:w="28" w:type="dxa"/>
          <w:right w:w="28" w:type="dxa"/>
        </w:tblCellMar>
      </w:tblPr>
      <w:tblGrid>
        <w:gridCol w:w="2059"/>
        <w:gridCol w:w="1805"/>
        <w:gridCol w:w="1805"/>
        <w:gridCol w:w="361"/>
        <w:gridCol w:w="775"/>
        <w:gridCol w:w="200"/>
        <w:gridCol w:w="200"/>
        <w:gridCol w:w="200"/>
        <w:gridCol w:w="200"/>
        <w:gridCol w:w="361"/>
        <w:gridCol w:w="775"/>
        <w:gridCol w:w="283"/>
      </w:tblGrid>
      <w:tr>
        <w:trPr/>
        <w:tc>
          <w:tcPr>
            <w:tcW w:w="2059"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9024"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17.2: Supplemental Cash Flow Information</w:t>
            </w:r>
          </w:p>
        </w:tc>
      </w:tr>
      <w:tr>
        <w:trPr/>
        <w:tc>
          <w:tcPr>
            <w:tcW w:w="5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 activity in accounts payable and other accrued liabilities</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401K match</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Purchase of investment in accounts payable and other accrued liabilities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ROU assets obtained in exchange for operating lease liabilities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Any statements contained herein that are not statements of historical fact may be deemed to be forward-looking statements. Without limiting the foregoing, the words "believes," "anticipates," "plans," "expects," and similar expressions are intended to identify forward-looking statements. Several important factors could cause the Company's actual results to differ materially from those indicated by such forward-looking statements. These factors include, without limitation, those set forth in the risk factors section included in the Company's Form 10-K for the year ended December 31, 2024, as filed with the Securities and Exchange Commission on March 10,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General and Business Overview</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offer technologically advanced, software-based security solutions that empower and protect the world's most security-conscious organizations against rapidly evolving, sophisticated and pervasive threats. Our portfolio of security products, services and expertise empowers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 Our primary customers include the U.S. federal government, large commercial businesses, state and local governments, and international customers. Our consolidated revenue is largely attributable to prime contracts or to subcontracts with our contractors engaged in work for the U.S. government, with the remaining attributable to state, local, and commercial markets.</w:t>
      </w:r>
    </w:p>
    <w:p>
      <w:pPr>
        <w:pStyle w:val="TextBody"/>
        <w:bidi w:val="0"/>
        <w:spacing w:lineRule="auto" w:line="288" w:before="120" w:after="180"/>
        <w:jc w:val="left"/>
        <w:rPr/>
      </w:pPr>
      <w:r>
        <w:rPr>
          <w:rFonts w:ascii="Times New Roman;sans-serif" w:hAnsi="Times New Roman;sans-serif"/>
          <w:b w:val="false"/>
          <w:color w:val="000000"/>
          <w:sz w:val="20"/>
        </w:rPr>
        <w:t xml:space="preserve">Information regarding our two reportable segments – Security Solutions and Secure Networks – is presented in </w:t>
      </w:r>
      <w:hyperlink w:anchor="i0576624f09fb407da1b4071445024365_88">
        <w:r>
          <w:rPr>
            <w:rStyle w:val="InternetLink"/>
          </w:rPr>
          <w:t>Note 1</w:t>
        </w:r>
      </w:hyperlink>
      <w:hyperlink w:anchor="i0576624f09fb407da1b4071445024365_88">
        <w:r>
          <w:rPr>
            <w:rStyle w:val="InternetLink"/>
          </w:rPr>
          <w:t>5</w:t>
        </w:r>
      </w:hyperlink>
      <w:hyperlink w:anchor="i0576624f09fb407da1b4071445024365_88">
        <w:r>
          <w:rPr>
            <w:rStyle w:val="InternetLink"/>
          </w:rPr>
          <w:t xml:space="preserve"> - Segment Information</w:t>
        </w:r>
      </w:hyperlink>
      <w:r>
        <w:rPr>
          <w:color w:val="000000"/>
        </w:rPr>
        <w:t xml:space="preserve"> </w:t>
      </w:r>
      <w:r>
        <w:rPr>
          <w:rFonts w:ascii="Times New Roman;sans-serif" w:hAnsi="Times New Roman;sans-serif"/>
          <w:b w:val="false"/>
          <w:color w:val="000000"/>
          <w:sz w:val="20"/>
        </w:rPr>
        <w:t>to the unaudited consolidated financial statements at Item 1 of this Form 10-Q.</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Economic Opportunities, Challenges and Risks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generated approximately 89% of our total revenues from contracts with U.S. government agencies in the first quarter of fiscal year ("FY") 2025. Our business performance is affected by the overall level of U.S. government spending and the alignment of our offerings and capabilities with the budget priorities of the U.S. government.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new Presidential Administration is currently evaluating federal agencies and existing government contracts, grants, and programs for affordability, efficiency, and alignment with U.S. government objectives. The Administration’s efforts to reduce federal spending create uncertainty and risk for government contractors, including potentially resulting in change in budgetary priorities and timing on issuing awards. Decreases in, or delays in contract awards and in government spending on the types of programs that we support, and terminations or stop-work-orders on government contracts on which we are currently performing could adversely affect our future revenues and profitability. The ongoing and potential future reforms to the U.S. government acquisition process, including changes to procurement rules and regulations, could transform how contracts are awarded, negotiated, and managed, which could lead to delays in contract awards and/or modifications to the scope or terms of contracts we hold. At the same time, given the nature of our business, the Administration’s focus on efficiency, along with the potential for certain traditionally government functions to be transferred to private entities, may present business opportunities for us.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light of ongoing conflicts and heightened global instability as well as political tensions and related legal challenges, we expect continued uncertainty in the U.S. political, budget and regulatory environment. Initiatives to reduce governmental spending, federal budget and debt ceiling action, and U.S. government policy positions, including trade policy, potential tax reform and U.S. government policies or priorities, could materially impact federal spending broadly and the company’s programs in particular.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factors have contributed to our first quarter of fiscal year 2025 results of operations, the most significant of which are described below. More details on these changes are presented below within our "Results of Operations" section.</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 xml:space="preserve">The year-over-year increase in our Security Solutions revenue was primarily driven by the successful transition and ramping towards the full operational capacity of a significant program. </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Our TSA PreCheck enrollment revenue grew as a result of the expansion of TSA PreCheck enrollment sites.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Our overall gross margin increased as the result of a more favorable program mix.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tbl>
      <w:tblPr>
        <w:tblW w:w="7674" w:type="dxa"/>
        <w:jc w:val="left"/>
        <w:tblInd w:w="0" w:type="dxa"/>
        <w:tblLayout w:type="fixed"/>
        <w:tblCellMar>
          <w:top w:w="28" w:type="dxa"/>
          <w:left w:w="28" w:type="dxa"/>
          <w:bottom w:w="28" w:type="dxa"/>
          <w:right w:w="28" w:type="dxa"/>
        </w:tblCellMar>
      </w:tblPr>
      <w:tblGrid>
        <w:gridCol w:w="1208"/>
        <w:gridCol w:w="1063"/>
        <w:gridCol w:w="1074"/>
        <w:gridCol w:w="222"/>
        <w:gridCol w:w="733"/>
        <w:gridCol w:w="290"/>
        <w:gridCol w:w="109"/>
        <w:gridCol w:w="109"/>
        <w:gridCol w:w="109"/>
        <w:gridCol w:w="222"/>
        <w:gridCol w:w="733"/>
        <w:gridCol w:w="290"/>
        <w:gridCol w:w="109"/>
        <w:gridCol w:w="109"/>
        <w:gridCol w:w="109"/>
        <w:gridCol w:w="236"/>
        <w:gridCol w:w="763"/>
        <w:gridCol w:w="186"/>
      </w:tblGrid>
      <w:tr>
        <w:trPr/>
        <w:tc>
          <w:tcPr>
            <w:tcW w:w="120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674"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1: Consolidated Results of Operations</w:t>
            </w:r>
          </w:p>
        </w:tc>
      </w:tr>
      <w:tr>
        <w:trPr/>
        <w:tc>
          <w:tcPr>
            <w:tcW w:w="3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 Change</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30,616 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18,434 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12,182 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10,961 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margin</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39.8 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37.0 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expenses as percentage of revenue</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69.3 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65.5 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(9,022)</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(8,608)</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(7,361)</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Consolidated Results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segments have different factors driving revenue fluctuations and profitability. The discussion of the changes in our revenue and profitability are covered in greater detail in the following section, "Segment Results." We generate revenue from the delivery of products and services to our customers. Cost of sales, for both products and services, consists of labor, materials, subcontracting costs and an allocation of indirect costs.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increased by $1.8 million, or 9.3%, in the first quarter of 2025, compared to the same period in 2024. Selling, general and administrative expenses increased by $3.4 million, or 21.0%, in the first quarter of 2025, compared to the same period in 2024, due to higher stock-based compensation costs. Research and development expenses declined by $1.6 million, or 50.4%, in the first quarter of 2025, compared to the same period in 2024, due to lower amortization costs and stock-based compensation expenses, coupled with the discontinued development of selected solutions.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decreased by 55.2% in the first quarter of 2025, compared to the same period in 2024, primarily due to a decrease in dividend income from money market placements.</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of each business segment are the same as those followed by the Company as a whole. Management evaluates business segment performance based on gross profit.</w:t>
      </w:r>
    </w:p>
    <w:tbl>
      <w:tblPr>
        <w:tblW w:w="8691" w:type="dxa"/>
        <w:jc w:val="left"/>
        <w:tblInd w:w="0" w:type="dxa"/>
        <w:tblLayout w:type="fixed"/>
        <w:tblCellMar>
          <w:top w:w="28" w:type="dxa"/>
          <w:left w:w="28" w:type="dxa"/>
          <w:bottom w:w="28" w:type="dxa"/>
          <w:right w:w="28" w:type="dxa"/>
        </w:tblCellMar>
      </w:tblPr>
      <w:tblGrid>
        <w:gridCol w:w="1447"/>
        <w:gridCol w:w="1273"/>
        <w:gridCol w:w="1285"/>
        <w:gridCol w:w="241"/>
        <w:gridCol w:w="794"/>
        <w:gridCol w:w="314"/>
        <w:gridCol w:w="134"/>
        <w:gridCol w:w="134"/>
        <w:gridCol w:w="134"/>
        <w:gridCol w:w="241"/>
        <w:gridCol w:w="794"/>
        <w:gridCol w:w="314"/>
        <w:gridCol w:w="134"/>
        <w:gridCol w:w="134"/>
        <w:gridCol w:w="134"/>
        <w:gridCol w:w="256"/>
        <w:gridCol w:w="727"/>
        <w:gridCol w:w="201"/>
      </w:tblGrid>
      <w:tr>
        <w:trPr/>
        <w:tc>
          <w:tcPr>
            <w:tcW w:w="144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8691"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2: Security Solutions Segment - Financial Results</w:t>
            </w:r>
          </w:p>
        </w:tc>
      </w:tr>
      <w:tr>
        <w:trPr/>
        <w:tc>
          <w:tcPr>
            <w:tcW w:w="4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 Change</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25,818 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(excluding depreciation and amortization)</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13,257 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8,739 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14,758 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10,014 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11,060 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8,626 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Gross margin</w:t>
            </w:r>
          </w:p>
        </w:tc>
        <w:tc>
          <w:tcPr>
            <w:tcW w:w="10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42.8 </w:t>
            </w:r>
          </w:p>
        </w:tc>
        <w:tc>
          <w:tcPr>
            <w:tcW w:w="3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46.3 </w:t>
            </w:r>
          </w:p>
        </w:tc>
        <w:tc>
          <w:tcPr>
            <w:tcW w:w="3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 ended March 31, 2025, Security Solutions segment revenue increased by 38.5%, compared to the same period in 2024, primarily due to the successful ramp towards the full operational capacity of a significant program and increased volume of product sales.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 ended March 31, 2025, Security Solutions segment gross profit increased by 28.2%, compared with the same period in 2024, due to higher segment revenues. Segment gross margin decreased from 46.3% in 2024 to 42.8% in 2025, primarily due to the result of the unfavorable program mix within the segment and increased costs on a specific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tbl>
      <w:tblPr>
        <w:tblW w:w="8559" w:type="dxa"/>
        <w:jc w:val="left"/>
        <w:tblInd w:w="0" w:type="dxa"/>
        <w:tblLayout w:type="fixed"/>
        <w:tblCellMar>
          <w:top w:w="28" w:type="dxa"/>
          <w:left w:w="28" w:type="dxa"/>
          <w:bottom w:w="28" w:type="dxa"/>
          <w:right w:w="28" w:type="dxa"/>
        </w:tblCellMar>
      </w:tblPr>
      <w:tblGrid>
        <w:gridCol w:w="1447"/>
        <w:gridCol w:w="1273"/>
        <w:gridCol w:w="1285"/>
        <w:gridCol w:w="241"/>
        <w:gridCol w:w="687"/>
        <w:gridCol w:w="316"/>
        <w:gridCol w:w="132"/>
        <w:gridCol w:w="132"/>
        <w:gridCol w:w="132"/>
        <w:gridCol w:w="237"/>
        <w:gridCol w:w="783"/>
        <w:gridCol w:w="310"/>
        <w:gridCol w:w="132"/>
        <w:gridCol w:w="132"/>
        <w:gridCol w:w="132"/>
        <w:gridCol w:w="237"/>
        <w:gridCol w:w="765"/>
        <w:gridCol w:w="186"/>
      </w:tblGrid>
      <w:tr>
        <w:trPr/>
        <w:tc>
          <w:tcPr>
            <w:tcW w:w="144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855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3: Secure Networks Segment - Financial Results</w:t>
            </w:r>
          </w:p>
        </w:tc>
      </w:tr>
      <w:tr>
        <w:trPr/>
        <w:tc>
          <w:tcPr>
            <w:tcW w:w="4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 Change</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(excluding depreciation and amortization)</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8,641 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(4,967)</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8,644 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(4,968)</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Gross margin</w:t>
            </w:r>
          </w:p>
        </w:tc>
        <w:tc>
          <w:tcPr>
            <w:tcW w:w="9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23.4 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21.3 </w:t>
            </w:r>
          </w:p>
        </w:tc>
        <w:tc>
          <w:tcPr>
            <w:tcW w:w="3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 ended March 31, 2025, Secure Networks segment revenue decreased by 56.3%, compared to the same period in 2024, primarily due to the ramp down of several programs within the portfolio.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 ended March 31, 2025, Secure Networks segment gross profit decreased by 51.9%, compared with the same period in 2024, due to lower revenue. Segment gross margin expanded to 23.4% for the first quarter of 2025, from 21.3% for the same period in 2024, primarily due to the impact of indirect costs allocation on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GAAP, we believe the non-GAAP financial measures of EBITDA, Adjusted EBITDA, EBITDA Margin, Adjusted EBITDA Margin, Adjusted Net (Loss) Income, Adjusted Earnings Per Share ("EPS"), Adjusted Gross Profit, Cash Gross Profit, Adjusted Gross Margin, Cash Gross Margin and Free Cash Flow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these non-GAAP financial measures facilitate comparison of our operating performance on a consistent basis between periods by excluding certain items that may, or could, have a disproportionately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pStyle w:val="TextBody"/>
        <w:bidi w:val="0"/>
        <w:spacing w:lineRule="auto" w:line="288" w:before="120" w:after="180"/>
        <w:jc w:val="left"/>
        <w:rPr/>
      </w:pPr>
      <w:r>
        <w:rPr>
          <w:rFonts w:ascii="Times New Roman;sans-serif" w:hAnsi="Times New Roman;sans-serif"/>
          <w:b/>
          <w:i/>
          <w:color w:val="000000"/>
          <w:sz w:val="20"/>
        </w:rPr>
        <w:t>EBITDA, Adjusted EBITDA, EBITDA Margin and Adjusted EBITDA Margin</w:t>
      </w:r>
      <w:r>
        <w:rPr>
          <w:color w:val="000000"/>
        </w:rPr>
        <w:t xml:space="preserve">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EBITDA, Adjusted EBITDA, EBITDA Margin and Adjusted EBITDA Margin are supplemental measures of operating performance that are not made under GAAP and do not represent, and should not be considered as, an alternative to net loss as determined by GAAP. We define EBITDA as net (loss) income, adjusted for non-operating (income) expense, interest expense, provision for (benefit from) income taxes, and depreciation and amortization. We define Adjusted EBITDA as EBITDA, adjusted for stock-based compensation expense and restructuring expenses. We define EBITDA Margin as EBITDA as a percentage of total revenue. We define Adjusted EBITDA Margin as Adjusted EBITDA as a percentage of total revenue.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EBITDA, EBITDA Margin, Adjusted EBITDA and Adjusted EBITDA Margin provide the Board, management and investors with clear representation of our core operating performance and trends, provide greater visibility into the long-term financial performance of the Company, and eliminate the impact of items that do not relate to the ongoing operating performance of the business. Further, Adjusted EBITDA is used by the Board and management to prepare and approve our annual budget, and to evaluate the performance of certain management personnel when determining incentive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82"/>
        <w:gridCol w:w="656"/>
        <w:gridCol w:w="622"/>
        <w:gridCol w:w="427"/>
        <w:gridCol w:w="1351"/>
        <w:gridCol w:w="237"/>
        <w:gridCol w:w="237"/>
        <w:gridCol w:w="237"/>
        <w:gridCol w:w="237"/>
        <w:gridCol w:w="327"/>
        <w:gridCol w:w="272"/>
        <w:gridCol w:w="237"/>
        <w:gridCol w:w="237"/>
        <w:gridCol w:w="237"/>
        <w:gridCol w:w="237"/>
        <w:gridCol w:w="427"/>
        <w:gridCol w:w="1351"/>
        <w:gridCol w:w="237"/>
        <w:gridCol w:w="237"/>
        <w:gridCol w:w="237"/>
        <w:gridCol w:w="237"/>
        <w:gridCol w:w="327"/>
        <w:gridCol w:w="272"/>
        <w:gridCol w:w="347"/>
      </w:tblGrid>
      <w:tr>
        <w:trPr/>
        <w:tc>
          <w:tcPr>
            <w:tcW w:w="98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4: Reconciliation of Net Loss to EBITDA and Adjusted EBITDA; Net Loss Margin to EBITDA Margin and Adjusted EBITDA Margin</w:t>
            </w:r>
          </w:p>
        </w:tc>
      </w:tr>
      <w:tr>
        <w:trPr/>
        <w:tc>
          <w:tcPr>
            <w:tcW w:w="2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(24.9 %)</w:t>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(4.2 %)</w:t>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0.5 %</w:t>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provision for income taxes</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ans-serif" w:hAnsi="Times New Roman;sans-serif"/>
                <w:b w:val="false"/>
                <w:color w:val="000000"/>
                <w:sz w:val="18"/>
              </w:rPr>
              <w: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0.1 %</w:t>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10.6 %</w:t>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 (Non-GAAP)</w:t>
            </w:r>
          </w:p>
        </w:tc>
        <w:tc>
          <w:tcPr>
            <w:tcW w:w="1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(6,686)</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(5,309)</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(17.9 %)</w:t>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Stock-based compensation expense </w:t>
            </w:r>
            <w:r>
              <w:rPr>
                <w:rFonts w:ascii="Times New Roman;sans-serif" w:hAnsi="Times New Roman;sans-serif"/>
                <w:b w:val="false"/>
                <w:color w:val="000000"/>
                <w:sz w:val="12"/>
              </w:rPr>
              <w:t>(1)</w:t>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10.0 %</w:t>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adjustments </w:t>
            </w:r>
            <w:r>
              <w:rPr>
                <w:rFonts w:ascii="Times New Roman;sans-serif" w:hAnsi="Times New Roman;sans-serif"/>
                <w:b w:val="false"/>
                <w:color w:val="000000"/>
                <w:sz w:val="12"/>
              </w:rPr>
              <w:t>(2)</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ans-serif" w:hAnsi="Times New Roman;sans-serif"/>
                <w:b w:val="false"/>
                <w:color w:val="000000"/>
                <w:sz w:val="18"/>
              </w:rPr>
              <w: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ans-serif" w:hAnsi="Times New Roman;sans-serif"/>
                <w:b w:val="false"/>
                <w:color w:val="000000"/>
                <w:sz w:val="18"/>
              </w:rPr>
              <w:t>%</w:t>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(Non-GAAP)</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 %</w:t>
            </w:r>
          </w:p>
        </w:tc>
      </w:tr>
    </w:tbl>
    <w:p>
      <w:pPr>
        <w:pStyle w:val="TextBody"/>
        <w:bidi w:val="0"/>
        <w:spacing w:lineRule="auto" w:line="288" w:before="120" w:after="180"/>
        <w:ind w:left="0" w:right="0" w:hanging="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stock-based compensation expense to EBITDA as of March 31, 2025, and 2024 is made up of $5.5 million and $1.6 million, respectively, of stock-based compensation expense for the awarded RSUs, PSUs, and stock options, and $1.5 million and $1.3 million, respectively, of other sources of stock-based compensation expense. The other sources of stock-based compensation consist of accrued compensation, which the Company intends to settle in shares of the Company's common stock. However, the Company has the discretion to determine whether this compensation will ultimately be paid in stock or cash up until the date at which they are paid. Any change to the expected payment form would result in out-of-quarter adjustments to this add back to Adjusted EBITDA.</w:t>
      </w:r>
    </w:p>
    <w:p>
      <w:pPr>
        <w:pStyle w:val="TextBody"/>
        <w:bidi w:val="0"/>
        <w:spacing w:lineRule="auto" w:line="288" w:before="120" w:after="180"/>
        <w:ind w:left="0" w:right="0" w:hanging="18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xml:space="preserve">The restructuring (adjustments) expenses include severance and other related benefit costs (including outplacement services and continuing health insurance coverage), external consulting and advisory fees related to implementing the restructuring plan. </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Adjusted Net Loss and Adjusted EPS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 Income and Adjusted EPS are supplemental measures of operating performance that are not made under GAAP and do not represent, and should not be considered as, alternatives to net (loss) income as determined by GAAP. We define Adjusted Net (Loss) Income as net loss, adjusted for non-operating (income) expense, stock-based compensation expense and restructuring expense. We define Adjusted EPS as Adjusted Net (Loss) Income divided by the weighted-average number of common shares outstanding for the period.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Net (Loss) Income and Adjusted EPS provide the Board, management and investors with clear representation of our core operating performance and trends, provide greater visibility into the long-term financial performance of the Company, and eliminate the impact of items that do not relate to the ongoing operating performance of the business. </w:t>
      </w:r>
    </w:p>
    <w:tbl>
      <w:tblPr>
        <w:tblW w:w="10205" w:type="dxa"/>
        <w:jc w:val="left"/>
        <w:tblInd w:w="0" w:type="dxa"/>
        <w:tblLayout w:type="fixed"/>
        <w:tblCellMar>
          <w:top w:w="28" w:type="dxa"/>
          <w:left w:w="28" w:type="dxa"/>
          <w:bottom w:w="28" w:type="dxa"/>
          <w:right w:w="28" w:type="dxa"/>
        </w:tblCellMar>
      </w:tblPr>
      <w:tblGrid>
        <w:gridCol w:w="1482"/>
        <w:gridCol w:w="980"/>
        <w:gridCol w:w="874"/>
        <w:gridCol w:w="245"/>
        <w:gridCol w:w="767"/>
        <w:gridCol w:w="136"/>
        <w:gridCol w:w="136"/>
        <w:gridCol w:w="136"/>
        <w:gridCol w:w="136"/>
        <w:gridCol w:w="387"/>
        <w:gridCol w:w="1048"/>
        <w:gridCol w:w="214"/>
        <w:gridCol w:w="136"/>
        <w:gridCol w:w="136"/>
        <w:gridCol w:w="136"/>
        <w:gridCol w:w="245"/>
        <w:gridCol w:w="767"/>
        <w:gridCol w:w="136"/>
        <w:gridCol w:w="136"/>
        <w:gridCol w:w="136"/>
        <w:gridCol w:w="136"/>
        <w:gridCol w:w="377"/>
        <w:gridCol w:w="1021"/>
        <w:gridCol w:w="302"/>
      </w:tblGrid>
      <w:tr>
        <w:trPr/>
        <w:tc>
          <w:tcPr>
            <w:tcW w:w="148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5: Reconciliation of Net Loss to Adjusted Net Loss; EPS to Adjusted EPS</w:t>
            </w:r>
          </w:p>
        </w:tc>
      </w:tr>
      <w:tr>
        <w:trPr/>
        <w:tc>
          <w:tcPr>
            <w:tcW w:w="3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w:t>
              <w:br/>
              <w:t>Net Loss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 Earnings Per Share</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w:t>
              <w:br/>
              <w:t>Net Loss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 Earnings Per Share</w:t>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Stock-based compensation expense </w:t>
            </w:r>
            <w:r>
              <w:rPr>
                <w:rFonts w:ascii="Times New Roman;sans-serif" w:hAnsi="Times New Roman;sans-serif"/>
                <w:b w:val="false"/>
                <w:color w:val="000000"/>
                <w:sz w:val="12"/>
              </w:rPr>
              <w:t>(1)</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adjustments </w:t>
            </w:r>
            <w:r>
              <w:rPr>
                <w:rFonts w:ascii="Times New Roman;sans-serif" w:hAnsi="Times New Roman;sans-serif"/>
                <w:b w:val="false"/>
                <w:color w:val="000000"/>
                <w:sz w:val="12"/>
              </w:rPr>
              <w:t>(2)</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loss (Non-GAAP measure)</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of common stock outstanding, basic</w:t>
            </w:r>
          </w:p>
        </w:tc>
        <w:tc>
          <w:tcPr>
            <w:tcW w:w="10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72,715 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70,628 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stock-based compensation expense to net loss as of March 31, 2025, and 2024 is made up of $5.5 million and $1.6 million, respectively, of stock-based compensation expense for the awarded RSUs, PSUs and stock options, and $1.5 million and $1.3 million, respectively, of other sources of stock-based compensation expense. The other sources of stock-based compensation consist of accrued compensation, which the Company intends to settle in shares of the Company's common stock. However, the Company has the discretion to determine whether this compensation will ultimately be paid in stock or cash up until the date at which they are paid. Any change to the expected payment form would result in out-of-quarter adjustments to this add back to Adjusted Net Loss.</w:t>
      </w:r>
    </w:p>
    <w:p>
      <w:pPr>
        <w:pStyle w:val="TextBody"/>
        <w:bidi w:val="0"/>
        <w:spacing w:lineRule="auto" w:line="288" w:before="120" w:after="180"/>
        <w:ind w:left="0" w:right="0" w:hanging="18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restructuring (adjustments) expenses include severance and other related benefit costs (including outplacement services and continuing health insurance coverage), external consulting and advisory fees related to implementing the restructuring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Adjusted Gross Profit, Cash Gross Profit, Adjusted Gross Margin and Cash Gross Margin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Cash Gross Profit, Adjusted Gross Margin and Cash Gross Margin are supplemental measures of operating performance that are not made under GAAP and do not represent, and should not be considered as, alternatives to gross profit and gross margin as determined by GAAP. We define Adjusted Gross Profit as gross profit, plus stock-based compensation expense, impairment loss on intangible assets, and restructuring expenses charged under cost of sales. We define Adjusted Gross Margin as Adjusted Gross Profit as a percentage of total revenue. We define Cash Gross Profit as Adjusted Gross Profit, plus depreciation and amortization charged under cost of sales. We define Cash Gross Margin as Cash Gross Profit as a percentage of total revenue.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Cash Gross Profit, Adjusted Gross Margin and Cash Gross Margin provide management and investors a clear representation of the core economics of gross profit and gross margin without the impact of non-cash expenses and sunk costs expended.</w:t>
      </w:r>
    </w:p>
    <w:tbl>
      <w:tblPr>
        <w:tblW w:w="10205" w:type="dxa"/>
        <w:jc w:val="left"/>
        <w:tblInd w:w="0" w:type="dxa"/>
        <w:tblLayout w:type="fixed"/>
        <w:tblCellMar>
          <w:top w:w="28" w:type="dxa"/>
          <w:left w:w="28" w:type="dxa"/>
          <w:bottom w:w="28" w:type="dxa"/>
          <w:right w:w="28" w:type="dxa"/>
        </w:tblCellMar>
      </w:tblPr>
      <w:tblGrid>
        <w:gridCol w:w="905"/>
        <w:gridCol w:w="794"/>
        <w:gridCol w:w="714"/>
        <w:gridCol w:w="409"/>
        <w:gridCol w:w="1349"/>
        <w:gridCol w:w="227"/>
        <w:gridCol w:w="227"/>
        <w:gridCol w:w="227"/>
        <w:gridCol w:w="227"/>
        <w:gridCol w:w="349"/>
        <w:gridCol w:w="260"/>
        <w:gridCol w:w="227"/>
        <w:gridCol w:w="227"/>
        <w:gridCol w:w="227"/>
        <w:gridCol w:w="227"/>
        <w:gridCol w:w="409"/>
        <w:gridCol w:w="1349"/>
        <w:gridCol w:w="227"/>
        <w:gridCol w:w="227"/>
        <w:gridCol w:w="227"/>
        <w:gridCol w:w="227"/>
        <w:gridCol w:w="349"/>
        <w:gridCol w:w="260"/>
        <w:gridCol w:w="334"/>
      </w:tblGrid>
      <w:tr>
        <w:trPr/>
        <w:tc>
          <w:tcPr>
            <w:tcW w:w="90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6: Reconciliation of Gross Profit to Adjusted Gross Profit and Cash Gross Profit; Gross Margin to Adjusted Gross Margin and Cash Gross Margin</w:t>
            </w:r>
          </w:p>
        </w:tc>
      </w:tr>
      <w:tr>
        <w:trPr/>
        <w:tc>
          <w:tcPr>
            <w:tcW w:w="2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2"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39.8%</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37.0%</w:t>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 cost of sales</w:t>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0.9%</w:t>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gross profit (Non-GAAP)</w:t>
            </w:r>
          </w:p>
        </w:tc>
        <w:tc>
          <w:tcPr>
            <w:tcW w:w="1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12,372 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40.4%</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11,218 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37.9%</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 cost of sales</w:t>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gross profit (Non-GAAP)</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13,875 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45.3%</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12,496 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42.2%</w:t>
            </w:r>
          </w:p>
        </w:tc>
      </w:tr>
    </w:tbl>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Free cash flow is a supplemental measure of operating and cash flow performance that is not made under GAAP and does not represent, and should not be considered as an alternative to, net cash flow provided by (used in) operating activities, as determined by GAAP. We define Free Cash Flow as net cash provided by (used in) operating activities, less purchases of property and equipment, and capitalized software development costs.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use Free Cash Flow to understand the cash flows that directly correspond with our operations and the investments we must make in those operations, using a methodology that combines operating cash flows and capital expenditures. Further, Free Cash Flow may be useful to management and investors in evaluating the Company's operating performance and liquidity, and to evaluate the performance of certain management personnel when determining incentive compensation.</w:t>
      </w:r>
    </w:p>
    <w:tbl>
      <w:tblPr>
        <w:tblW w:w="10205" w:type="dxa"/>
        <w:jc w:val="left"/>
        <w:tblInd w:w="0" w:type="dxa"/>
        <w:tblLayout w:type="fixed"/>
        <w:tblCellMar>
          <w:top w:w="28" w:type="dxa"/>
          <w:left w:w="28" w:type="dxa"/>
          <w:bottom w:w="28" w:type="dxa"/>
          <w:right w:w="28" w:type="dxa"/>
        </w:tblCellMar>
      </w:tblPr>
      <w:tblGrid>
        <w:gridCol w:w="1284"/>
        <w:gridCol w:w="1098"/>
        <w:gridCol w:w="1088"/>
        <w:gridCol w:w="609"/>
        <w:gridCol w:w="1727"/>
        <w:gridCol w:w="338"/>
        <w:gridCol w:w="338"/>
        <w:gridCol w:w="338"/>
        <w:gridCol w:w="338"/>
        <w:gridCol w:w="609"/>
        <w:gridCol w:w="1955"/>
        <w:gridCol w:w="483"/>
      </w:tblGrid>
      <w:tr>
        <w:trPr/>
        <w:tc>
          <w:tcPr>
            <w:tcW w:w="128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7: Reconciliation of Net Cash Provided by (Used in) Operating Activities to Free Cash Flow</w:t>
            </w:r>
          </w:p>
        </w:tc>
      </w:tr>
      <w:tr>
        <w:trPr/>
        <w:tc>
          <w:tcPr>
            <w:tcW w:w="3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3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1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3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2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2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2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 (Non-GAAP)</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of EBITDA, Adjusted EBITDA, EBITDA Margin, Adjusted EBITDA Margin, Adjusted Net Loss, Adjusted EPS, Adjusted Gross Profit, Cash Gross Profit, Adjusted Gross Margin, Cash Gross Margin and Free Cash Flow has limitations as an analytical tool, and you should not consider any of them in isolation, or as a substitute for analysis of our results as reported under GAAP. Among other limitations, each of EBITDA, Adjusted EBITDA, EBITDA Margin, Adjusted EBITDA Margin, Adjusted Net Loss, Adjusted EPS, Adjusted Gross Profit, Cash Gross Profit, Adjusted Gross Margin, Cash Gross Margin and Free Cash Flow does not reflect our cash expenditures, or future requirements, for capital expenditures or contractual commitments, does not reflect the impact of certain cash and non-cash charges resulting from matters we consider not to be indicative of our ongoing operations, and does not reflect income tax expense or benefit. Other companies in our industry may calculate Adjusted EBITDA, Adjusted EBITDA Margin, Adjusted Net (Loss) Income, Adjusted EPS, Cash Gross Profit, Cash Gross Margin and Free Cash Flow differently than we do, which limits their usefulness as comparative measures. Because of these limitations, neither EBITDA, Adjusted EBITDA, EBITDA Margin, Adjusted EBITDA Margin, Adjusted Net Loss, Adjusted EPS, Adjusted Gross Profit, Cash Gross Profit, Adjusted Gross Margin, Cash Gross Margin nor Free Cash Flow should be considered as a replacement for gross profit, gross margin, net (loss) income, earnings per share or net cash flows (used in) provided by operating activities, as determined by GAAP, or as a measure of our profitability. We compensate for these limitations by relying primarily on our GAAP results and using non-GAAP measures only for supplemental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cash on hand, future operating cash flows, and, if needed, borrowings under our $30.0 million revolving credit facility with a maturity date of December 30, 2025, and with an available expansion feature of up to $30.0 million of additional revolver facility. While a variety of factors related to sources and uses of cash, such as timeliness of accounts receivable collections, vendor credit terms, or significant collateral requirements, ultimately impact our liquidity, such factors may or may not have a direct impact on our liquidity.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cash and cash equivalents of $57.8 million and our working capital was $70.6 million.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place a strong emphasis on liquidity management. This focus gives us the flexibility for capital deployment while preserving a strong balance sheet to position us for future opportunities. We believe we have adequate funds on hand to execute our financial and operating strategy. Our overall financial position and liquidity are strong. Although no assurances can be given, we believe the available cash balances and access to our revolving credit facility are sufficient to maintain the liquidity we require to meet our operating, investing and financing needs for the next 12 months.</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Cash Flow</w:t>
      </w:r>
    </w:p>
    <w:tbl>
      <w:tblPr>
        <w:tblW w:w="9405" w:type="dxa"/>
        <w:jc w:val="left"/>
        <w:tblInd w:w="0" w:type="dxa"/>
        <w:tblLayout w:type="fixed"/>
        <w:tblCellMar>
          <w:top w:w="28" w:type="dxa"/>
          <w:left w:w="28" w:type="dxa"/>
          <w:bottom w:w="28" w:type="dxa"/>
          <w:right w:w="28" w:type="dxa"/>
        </w:tblCellMar>
      </w:tblPr>
      <w:tblGrid>
        <w:gridCol w:w="1482"/>
        <w:gridCol w:w="1306"/>
        <w:gridCol w:w="1306"/>
        <w:gridCol w:w="480"/>
        <w:gridCol w:w="1361"/>
        <w:gridCol w:w="267"/>
        <w:gridCol w:w="267"/>
        <w:gridCol w:w="267"/>
        <w:gridCol w:w="267"/>
        <w:gridCol w:w="480"/>
        <w:gridCol w:w="1545"/>
        <w:gridCol w:w="377"/>
      </w:tblGrid>
      <w:tr>
        <w:trPr/>
        <w:tc>
          <w:tcPr>
            <w:tcW w:w="148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94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8: Net Change in Cash, Cash Equivalents, and Restricted Cash</w:t>
            </w:r>
          </w:p>
        </w:tc>
      </w:tr>
      <w:tr>
        <w:trPr/>
        <w:tc>
          <w:tcPr>
            <w:tcW w:w="4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6,106 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(4,149)</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three months ended March 31, 2025, was $6.1 million, an increase of $6.5 million compared to the same period in 2024. The change is primarily driven by the Company's operating losses, the timing of receipts of customer payments, and the timing of payments to vendors and employees, adjusted for certain non-cash items that do not impact cash flows from operating activities.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three months ended March 31, 2025, decreased by $1.8 million, compared to the same period of the prior year, primarily due to the decreases in capital expenditures in 2024 and purchase of an investment of $0.9 million in 2024, with no similar transaction in 2025.</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for the three months ended March 31, 2025, slightly decreased by $0.3 million, compared to the same period in 2024. This is primarily attributable to the decreases in payment of tax withholding related to net share settlement of equity awards of $0.1 million in the first quarter of 2025, compared with $0.4 million in the same period of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requires us to make estimates, judgments, and assumptions that affect the amounts reported. Actual results could differ from those estimates. The 2024 Form 10-K, as filed with the SEC on March 10, 2025, includes a summary of critical accounting policies we believe are the most important to aid in understanding our financial results. There have been no changes to those critical accounting policies that have had a material impact on our reported amounts of assets, liabilities, revenues, or expenses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are exposed to a variety of financial risks, such as interest rate risk, foreign currency translation risk, and counterparty risk, which can affect our operations and profitability. The Company's market risk disclosure set forth on "Part II, Item 7A – Quantitative and Qualitative Disclosure about Market Risk," on the 2024 Form 10-K, as filed with the SEC on March 10, 2025, have not changed materially during the three months period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(as defined in Rules 13a-15(e) and 15d-15(e) under the Securities Exchange Act of 1934, as amended (the "Exchange Act")), which are designed to ensure that information required to be disclosed by the Company in reports that it files or submits under the Exchange Act, including this Report, are recorded, processed, summarized and reported within the time periods specified in the SEC's rules and forms. These disclosure controls and procedures include controls and procedures designed to ensure that information required to be disclosed by the Company under the Exchange Act is accumulated and communicated to the Company's management, including its principal executive officer ("CEO") and principal financial officer ("CFO") as appropriate to allow timely decisions regarding required disclosure.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including the Company's CEO and CFO, conducted an evaluation of the effectiveness of the Company's disclosure controls and procedures as of the end of the period covered by this Report and, based on that evaluation, the CEO and CFO concluded that the Company’s disclosure controls and procedures were effective at the reasonable assurance level as of March 31, 2025.</w:t>
      </w:r>
    </w:p>
    <w:p>
      <w:pPr>
        <w:pStyle w:val="TextBody"/>
        <w:bidi w:val="0"/>
        <w:spacing w:lineRule="auto" w:line="288" w:before="12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during the quarter ended March 31, 2025, identified in connection with management’s evaluation required by paragraph (d) of Rules 13a-15 and 15d-15 under the Exchange Act,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80"/>
        <w:jc w:val="left"/>
        <w:rPr/>
      </w:pPr>
      <w:r>
        <w:rPr>
          <w:rFonts w:ascii="Times New Roman;sans-serif" w:hAnsi="Times New Roman;sans-serif"/>
          <w:b w:val="false"/>
          <w:color w:val="000000"/>
          <w:sz w:val="20"/>
        </w:rPr>
        <w:t xml:space="preserve">Information regarding legal proceedings is included under </w:t>
      </w:r>
      <w:hyperlink w:anchor="i0576624f09fb407da1b4071445024365_91">
        <w:r>
          <w:rPr>
            <w:rStyle w:val="InternetLink"/>
          </w:rPr>
          <w:t>Note 1</w:t>
        </w:r>
      </w:hyperlink>
      <w:hyperlink w:anchor="i0576624f09fb407da1b4071445024365_91">
        <w:r>
          <w:rPr>
            <w:rStyle w:val="InternetLink"/>
          </w:rPr>
          <w:t>6</w:t>
        </w:r>
      </w:hyperlink>
      <w:hyperlink w:anchor="i0576624f09fb407da1b4071445024365_91">
        <w:r>
          <w:rPr>
            <w:rStyle w:val="InternetLink"/>
          </w:rPr>
          <w:t xml:space="preserve"> – Commitments and Contingencies</w:t>
        </w:r>
      </w:hyperlink>
      <w:r>
        <w:rPr>
          <w:color w:val="000000"/>
        </w:rPr>
        <w:t xml:space="preserve"> </w:t>
      </w:r>
      <w:r>
        <w:rPr>
          <w:rFonts w:ascii="Times New Roman;sans-serif" w:hAnsi="Times New Roman;sans-serif"/>
          <w:b w:val="false"/>
          <w:color w:val="000000"/>
          <w:sz w:val="20"/>
        </w:rPr>
        <w:t>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disclosed under "Part I, Item 1A – Risk Factors" in our Annual Report on Form 10-K for the year ended December 31, 2024, the risk factors that may materially affect our business, financial conditions or results of operations. Except as set forth below, there have been no material changes from the risk factors previously disclosed. </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The new Administration's actions, such as tariffs and other changes in international trade policies, could adversely and unexpectedly impact our business.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January 2025, the new Administration began to increase tariff rates on numerous products from a range of nations. Further, in early April 2025, the U.S. imposed a universal baseline tariff rate of 10% on all imports globally, with certain exemptions on some products. Changes in international trade policies, including higher tariffs on imported goods and materials, may increase the procurement costs of certain IT hardware we use, both internally or on our contracts, or sell to our customers. These actions could have a negative effect on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During the three months ended March 31, 2025, no director or officer of the Company adopted or terminated a "Rule 10b5-1 trading arrangement" or "non-Rule 10b5-1 trading arrangement," as each term is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2"/>
        <w:gridCol w:w="248"/>
        <w:gridCol w:w="249"/>
        <w:gridCol w:w="109"/>
        <w:gridCol w:w="109"/>
        <w:gridCol w:w="109"/>
        <w:gridCol w:w="2721"/>
        <w:gridCol w:w="2629"/>
        <w:gridCol w:w="3749"/>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ans-serif" w:hAnsi="Times New Roman;sans-serif"/>
                  <w:b w:val="false"/>
                  <w:color w:val="0000FF"/>
                  <w:sz w:val="18"/>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80"/>
                  <w:sz w:val="18"/>
                  <w:u w:val="single"/>
                </w:rPr>
                <w:t xml:space="preserve">Amendment No. 1 to the Telos Corporation Amended and Restated 2016 Omnibus Long-Term Incentive Plan (incorporated by reference to </w:t>
              </w:r>
            </w:hyperlink>
            <w:hyperlink r:id="rId5">
              <w:r>
                <w:rPr>
                  <w:rStyle w:val="InternetLink"/>
                  <w:rFonts w:ascii="Times New Roman;sans-serif" w:hAnsi="Times New Roman;sans-serif"/>
                  <w:b w:val="false"/>
                  <w:color w:val="000080"/>
                  <w:sz w:val="18"/>
                  <w:u w:val="single"/>
                </w:rPr>
                <w:t>Exhibit 10.1 filed with the Company's Current Report on Form 8-K on May 9, 2025</w:t>
              </w:r>
            </w:hyperlink>
            <w:hyperlink r:id="rId6">
              <w:r>
                <w:rPr>
                  <w:rStyle w:val="InternetLink"/>
                  <w:rFonts w:ascii="Times New Roman;sans-serif" w:hAnsi="Times New Roman;sans-serif"/>
                  <w:b w:val="false"/>
                  <w:color w:val="000080"/>
                  <w:sz w:val="18"/>
                  <w:u w:val="single"/>
                </w:rPr>
                <w:t>)</w:t>
              </w:r>
            </w:hyperlink>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tls-20250331xexhibit311q125.htm">
              <w:r>
                <w:rPr>
                  <w:rStyle w:val="InternetLink"/>
                  <w:rFonts w:ascii="Times New Roman;sans-serif" w:hAnsi="Times New Roman;sans-serif"/>
                  <w:b w:val="false"/>
                  <w:color w:val="0000FF"/>
                  <w:sz w:val="18"/>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ls-20250331xexhibit311q125.htm">
              <w:r>
                <w:rPr>
                  <w:rStyle w:val="InternetLink"/>
                  <w:rFonts w:ascii="Times New Roman;sans-serif" w:hAnsi="Times New Roman;sans-serif"/>
                  <w:b w:val="false"/>
                  <w:color w:val="0000FF"/>
                  <w:sz w:val="18"/>
                  <w:u w:val="single"/>
                </w:rPr>
                <w:t>Certification of Chief Executive Officer pursuant to Section 302 of the Sarbanes-Oxley Act of 2002</w:t>
              </w:r>
            </w:hyperlink>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tls-20250331xexhibit312q125.htm">
              <w:r>
                <w:rPr>
                  <w:rStyle w:val="InternetLink"/>
                  <w:rFonts w:ascii="Times New Roman;sans-serif" w:hAnsi="Times New Roman;sans-serif"/>
                  <w:b w:val="false"/>
                  <w:color w:val="0000FF"/>
                  <w:sz w:val="18"/>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ls-20250331xexhibit312q125.htm">
              <w:r>
                <w:rPr>
                  <w:rStyle w:val="InternetLink"/>
                  <w:rFonts w:ascii="Times New Roman;sans-serif" w:hAnsi="Times New Roman;sans-serif"/>
                  <w:b w:val="false"/>
                  <w:color w:val="0000FF"/>
                  <w:sz w:val="18"/>
                  <w:u w:val="single"/>
                </w:rPr>
                <w:t>Certification of Chief Financial Officer pursuant to Section 302 of the Sarbanes-Oxley Act of 2002</w:t>
              </w:r>
            </w:hyperlink>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tls-20250331xexhibit32q125.htm">
              <w:r>
                <w:rPr>
                  <w:rStyle w:val="InternetLink"/>
                  <w:rFonts w:ascii="Times New Roman;sans-serif" w:hAnsi="Times New Roman;sans-serif"/>
                  <w:b w:val="false"/>
                  <w:color w:val="0000FF"/>
                  <w:sz w:val="18"/>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ls-20250331xexhibit32q125.htm">
              <w:r>
                <w:rPr>
                  <w:rStyle w:val="InternetLink"/>
                  <w:rFonts w:ascii="Times New Roman;sans-serif" w:hAnsi="Times New Roman;sans-serif"/>
                  <w:b w:val="false"/>
                  <w:color w:val="0000FF"/>
                  <w:sz w:val="18"/>
                  <w:u w:val="single"/>
                </w:rPr>
                <w:t>Certification pursuant to 18 U.S.C. Section 1350, as Adopted pursuant to Section 906 of the Sarbanes-Oxley Act of 2002</w:t>
              </w:r>
            </w:hyperlink>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 - the instance document does not appear in the Interactive Data File because its XBRL tags are embedded within the Inline XBRL document</w:t>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 Linkbase Document</w:t>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 the cover page iXBRL tags are embedded within the Inline XBRL document contained in Exhibit 101</w:t>
            </w:r>
          </w:p>
        </w:tc>
      </w:tr>
    </w:tbl>
    <w:tbl>
      <w:tblPr>
        <w:tblW w:w="5546" w:type="dxa"/>
        <w:jc w:val="left"/>
        <w:tblInd w:w="0" w:type="dxa"/>
        <w:tblLayout w:type="fixed"/>
        <w:tblCellMar>
          <w:top w:w="28" w:type="dxa"/>
          <w:left w:w="28" w:type="dxa"/>
          <w:bottom w:w="28" w:type="dxa"/>
          <w:right w:w="28" w:type="dxa"/>
        </w:tblCellMar>
      </w:tblPr>
      <w:tblGrid>
        <w:gridCol w:w="124"/>
        <w:gridCol w:w="109"/>
        <w:gridCol w:w="109"/>
        <w:gridCol w:w="1523"/>
        <w:gridCol w:w="1523"/>
        <w:gridCol w:w="2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Constitute a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Furnished herewith</w:t>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576624f09fb407da1b407144502436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421" w:type="dxa"/>
        <w:jc w:val="left"/>
        <w:tblInd w:w="0" w:type="dxa"/>
        <w:tblLayout w:type="fixed"/>
        <w:tblCellMar>
          <w:top w:w="28" w:type="dxa"/>
          <w:left w:w="28" w:type="dxa"/>
          <w:bottom w:w="28" w:type="dxa"/>
          <w:right w:w="28" w:type="dxa"/>
        </w:tblCellMar>
      </w:tblPr>
      <w:tblGrid>
        <w:gridCol w:w="2141"/>
        <w:gridCol w:w="1881"/>
        <w:gridCol w:w="1887"/>
        <w:gridCol w:w="109"/>
        <w:gridCol w:w="109"/>
        <w:gridCol w:w="109"/>
        <w:gridCol w:w="347"/>
        <w:gridCol w:w="347"/>
        <w:gridCol w:w="491"/>
      </w:tblGrid>
      <w:tr>
        <w:trPr/>
        <w:tc>
          <w:tcPr>
            <w:tcW w:w="2141"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TELOS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2025</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John B.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Bendza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2025</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Mark Bendza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Victoria Harding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2025</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Victoria Harding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Controller and 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B. Wood,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Telos Corporation;</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p>
      <w:pPr>
        <w:pStyle w:val="TextBody"/>
        <w:bidi w:val="0"/>
        <w:spacing w:before="200" w:after="283"/>
        <w:jc w:val="left"/>
        <w:rPr/>
      </w:pPr>
      <w:r>
        <w:rPr/>
      </w:r>
    </w:p>
    <w:tbl>
      <w:tblPr>
        <w:tblW w:w="4782" w:type="dxa"/>
        <w:jc w:val="left"/>
        <w:tblInd w:w="0" w:type="dxa"/>
        <w:tblLayout w:type="fixed"/>
        <w:tblCellMar>
          <w:top w:w="28" w:type="dxa"/>
          <w:left w:w="28" w:type="dxa"/>
          <w:bottom w:w="28" w:type="dxa"/>
          <w:right w:w="28" w:type="dxa"/>
        </w:tblCellMar>
      </w:tblPr>
      <w:tblGrid>
        <w:gridCol w:w="124"/>
        <w:gridCol w:w="109"/>
        <w:gridCol w:w="109"/>
        <w:gridCol w:w="1296"/>
        <w:gridCol w:w="1296"/>
        <w:gridCol w:w="1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Mark Bendza,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Telos Corporation;</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tbl>
      <w:tblPr>
        <w:tblW w:w="4662" w:type="dxa"/>
        <w:jc w:val="left"/>
        <w:tblInd w:w="0" w:type="dxa"/>
        <w:tblLayout w:type="fixed"/>
        <w:tblCellMar>
          <w:top w:w="28" w:type="dxa"/>
          <w:left w:w="28" w:type="dxa"/>
          <w:bottom w:w="28" w:type="dxa"/>
          <w:right w:w="28" w:type="dxa"/>
        </w:tblCellMar>
      </w:tblPr>
      <w:tblGrid>
        <w:gridCol w:w="124"/>
        <w:gridCol w:w="109"/>
        <w:gridCol w:w="109"/>
        <w:gridCol w:w="1261"/>
        <w:gridCol w:w="1261"/>
        <w:gridCol w:w="1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w:t>
      </w:r>
    </w:p>
    <w:p>
      <w:pPr>
        <w:pStyle w:val="TextBody"/>
        <w:bidi w:val="0"/>
        <w:spacing w:lineRule="auto" w:line="288" w:before="120" w:after="1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CERTIFICATION PURSUANT TO 18 U.S.C. SECTION 1350, </w:t>
        <w:br/>
        <w:t>AS ADOPTED PURSUANT TO SECTION 906 OF THE SARBANES-OXLEY ACT OF 2002</w:t>
      </w:r>
    </w:p>
    <w:p>
      <w:pPr>
        <w:pStyle w:val="TextBody"/>
        <w:bidi w:val="0"/>
        <w:spacing w:lineRule="auto" w:line="288" w:before="120" w:after="180"/>
        <w:jc w:val="left"/>
        <w:rPr/>
      </w:pPr>
      <w:r>
        <w:rPr>
          <w:rFonts w:ascii="Times New Roman;sans-serif" w:hAnsi="Times New Roman;sans-serif"/>
          <w:b w:val="false"/>
          <w:color w:val="000000"/>
          <w:sz w:val="20"/>
          <w:shd w:fill="FFFFFF" w:val="clear"/>
        </w:rPr>
        <w:t xml:space="preserve">In connection with the Quarterly Report of Telos Corporation (the "Company") on Form 10-Q for the period ended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as filed with the Securities and Exchange Commission on the date hereof (the "Report"), we, John B. Wood and Mark Bendza, certify, pursuant to 18 U.S.C. § 1350, as adopted pursuant to § 906 of the Sarbanes-Oxley Act of 2002, that to our knowledge:</w:t>
      </w:r>
    </w:p>
    <w:p>
      <w:pPr>
        <w:pStyle w:val="TextBody"/>
        <w:bidi w:val="0"/>
        <w:spacing w:lineRule="auto" w:line="288" w:before="12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(1)The Report fully complies with the requirements of section 13(a) or 15(d) of the Securities Exchange Act of 1934, as amended; and</w:t>
      </w:r>
    </w:p>
    <w:p>
      <w:pPr>
        <w:pStyle w:val="TextBody"/>
        <w:bidi w:val="0"/>
        <w:spacing w:lineRule="auto" w:line="288" w:before="120" w:after="180"/>
        <w:jc w:val="left"/>
        <w:rPr/>
      </w:pPr>
      <w:r>
        <w:rPr>
          <w:rFonts w:ascii="Times New Roman;sans-serif" w:hAnsi="Times New Roman;sans-serif"/>
          <w:b w:val="false"/>
          <w:color w:val="000000"/>
          <w:sz w:val="20"/>
          <w:shd w:fill="FFFFFF" w:val="clear"/>
        </w:rPr>
        <w:t xml:space="preserve">(2)The information </w:t>
      </w:r>
      <w:r>
        <w:rPr>
          <w:rFonts w:ascii="Times New Roman;sans-serif" w:hAnsi="Times New Roman;sans-serif"/>
          <w:b w:val="false"/>
          <w:color w:val="000000"/>
          <w:sz w:val="20"/>
        </w:rPr>
        <w:t>contained</w:t>
      </w:r>
      <w:r>
        <w:rPr>
          <w:color w:val="000000"/>
          <w:shd w:fill="FFFFFF" w:val="clear"/>
        </w:rPr>
        <w:t xml:space="preserve"> </w:t>
      </w:r>
      <w:r>
        <w:rPr>
          <w:rFonts w:ascii="Times New Roman;sans-serif" w:hAnsi="Times New Roman;sans-serif"/>
          <w:b w:val="false"/>
          <w:color w:val="000000"/>
          <w:sz w:val="20"/>
          <w:shd w:fill="FFFFFF" w:val="clear"/>
        </w:rPr>
        <w:t>in the Report fairly presents, in all material respects, the financial condition and results of operations of the Company.</w:t>
      </w:r>
    </w:p>
    <w:tbl>
      <w:tblPr>
        <w:tblW w:w="4782" w:type="dxa"/>
        <w:jc w:val="right"/>
        <w:tblInd w:w="0" w:type="dxa"/>
        <w:tblLayout w:type="fixed"/>
        <w:tblCellMar>
          <w:top w:w="28" w:type="dxa"/>
          <w:left w:w="28" w:type="dxa"/>
          <w:bottom w:w="28" w:type="dxa"/>
          <w:right w:w="28" w:type="dxa"/>
        </w:tblCellMar>
      </w:tblPr>
      <w:tblGrid>
        <w:gridCol w:w="124"/>
        <w:gridCol w:w="109"/>
        <w:gridCol w:w="109"/>
        <w:gridCol w:w="1296"/>
        <w:gridCol w:w="1296"/>
        <w:gridCol w:w="1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20121/000032012125000023/amendmentno1toar2016omnibu.htm" TargetMode="External"/><Relationship Id="rId4" Type="http://schemas.openxmlformats.org/officeDocument/2006/relationships/hyperlink" Target="https://www.sec.gov/Archives/edgar/data/320121/000032012125000023/amendmentno1toar2016omnibu.htm" TargetMode="External"/><Relationship Id="rId5" Type="http://schemas.openxmlformats.org/officeDocument/2006/relationships/hyperlink" Target="https://www.sec.gov/Archives/edgar/data/320121/000032012125000023/amendmentno1toar2016omnibu.htm" TargetMode="External"/><Relationship Id="rId6" Type="http://schemas.openxmlformats.org/officeDocument/2006/relationships/hyperlink" Target="https://www.sec.gov/Archives/edgar/data/320121/000032012125000023/amendmentno1toar2016omnibu.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12646</Words>
  <Characters>70510</Characters>
  <CharactersWithSpaces>81921</CharactersWithSpaces>
  <Paragraphs>1858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