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r>
      <w:tr>
        <w:trPr/>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001-08443</w:t>
      </w:r>
    </w:p>
    <w:p>
      <w:pPr>
        <w:pStyle w:val="TextBody"/>
        <w:bidi w:val="0"/>
        <w:spacing w:before="140" w:after="283"/>
        <w:jc w:val="center"/>
        <w:rPr/>
      </w:pPr>
      <w:r>
        <w:rPr/>
        <w:drawing>
          <wp:inline distT="0" distB="0" distL="0" distR="0">
            <wp:extent cx="31146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895350"/>
                    </a:xfrm>
                    <a:prstGeom prst="rect">
                      <a:avLst/>
                    </a:prstGeom>
                  </pic:spPr>
                </pic:pic>
              </a:graphicData>
            </a:graphic>
          </wp:inline>
        </w:drawing>
      </w:r>
    </w:p>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TELOS CORPORATION</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52-0880974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19886 Ashburn Road, Ashburn,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20147-2358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(703) 724-3800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52"/>
        <w:gridCol w:w="1184"/>
        <w:gridCol w:w="1198"/>
        <w:gridCol w:w="464"/>
        <w:gridCol w:w="464"/>
        <w:gridCol w:w="46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140" w:after="283"/>
        <w:ind w:left="0" w:right="0" w:firstLine="7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w:t>
      </w:r>
      <w:r>
        <w:rPr>
          <w:color w:val="000000"/>
        </w:rPr>
        <w:t> </w:t>
      </w:r>
      <w:r>
        <w:rPr>
          <w:rFonts w:ascii="Wingdings;sans-serif" w:hAnsi="Wingdings;sans-serif"/>
          <w:b w:val="false"/>
          <w:color w:val="000000"/>
          <w:sz w:val="20"/>
        </w:rPr>
        <w:t>x</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May 3, 2024, the registrant had outstanding 71,757,998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center"/>
                        <w:rPr/>
                      </w:pPr>
                      <w:r>
                        <w:rPr/>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of Contents to First Quarter 2024 Form 10-Q</w:t>
      </w:r>
    </w:p>
    <w:tbl>
      <w:tblPr>
        <w:tblW w:w="8703" w:type="dxa"/>
        <w:jc w:val="left"/>
        <w:tblInd w:w="0" w:type="dxa"/>
        <w:tblLayout w:type="fixed"/>
        <w:tblCellMar>
          <w:top w:w="28" w:type="dxa"/>
          <w:left w:w="28" w:type="dxa"/>
          <w:bottom w:w="28" w:type="dxa"/>
          <w:right w:w="28" w:type="dxa"/>
        </w:tblCellMar>
      </w:tblPr>
      <w:tblGrid>
        <w:gridCol w:w="615"/>
        <w:gridCol w:w="541"/>
        <w:gridCol w:w="541"/>
        <w:gridCol w:w="2154"/>
        <w:gridCol w:w="2154"/>
        <w:gridCol w:w="2187"/>
        <w:gridCol w:w="149"/>
        <w:gridCol w:w="149"/>
        <w:gridCol w:w="213"/>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0">
              <w:r>
                <w:rPr>
                  <w:rStyle w:val="InternetLink"/>
                  <w:rFonts w:ascii="Times New Roman;sans-serif" w:hAnsi="Times New Roman;sans-serif"/>
                  <w:b/>
                  <w:color w:val="0000FF"/>
                  <w:sz w:val="18"/>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0">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
              <w:r>
                <w:rPr>
                  <w:rStyle w:val="InternetLink"/>
                  <w:rFonts w:ascii="Times New Roman;sans-serif" w:hAnsi="Times New Roman;sans-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
              <w:r>
                <w:rPr>
                  <w:rStyle w:val="InternetLink"/>
                  <w:rFonts w:ascii="Times New Roman;sans-serif" w:hAnsi="Times New Roman;sans-serif"/>
                  <w:b w:val="false"/>
                  <w:color w:val="0000FF"/>
                  <w:sz w:val="18"/>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3">
              <w:r>
                <w:rPr>
                  <w:rStyle w:val="InternetLink"/>
                  <w:rFonts w:ascii="Times New Roman;sans-serif" w:hAnsi="Times New Roman;sans-serif"/>
                  <w:b w:val="false"/>
                  <w:color w:val="0000FF"/>
                  <w:sz w:val="18"/>
                  <w:u w:val="single"/>
                </w:rPr>
                <w:t>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6">
              <w:r>
                <w:rPr>
                  <w:rStyle w:val="InternetLink"/>
                  <w:rFonts w:ascii="Times New Roman;sans-serif" w:hAnsi="Times New Roman;sans-serif"/>
                  <w:b w:val="false"/>
                  <w:color w:val="0000FF"/>
                  <w:sz w:val="18"/>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6">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9">
              <w:r>
                <w:rPr>
                  <w:rStyle w:val="InternetLink"/>
                  <w:rFonts w:ascii="Times New Roman;sans-serif" w:hAnsi="Times New Roman;sans-serif"/>
                  <w:b w:val="false"/>
                  <w:color w:val="0000FF"/>
                  <w:sz w:val="18"/>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9">
              <w:r>
                <w:rPr>
                  <w:rStyle w:val="InternetLink"/>
                  <w:rFonts w:ascii="Times New Roman;sans-serif" w:hAnsi="Times New Roman;sans-serif"/>
                  <w:b w:val="false"/>
                  <w:color w:val="0000FF"/>
                  <w:sz w:val="18"/>
                  <w:u w:val="single"/>
                </w:rPr>
                <w:t>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22">
              <w:r>
                <w:rPr>
                  <w:rStyle w:val="InternetLink"/>
                  <w:rFonts w:ascii="Times New Roman;sans-serif" w:hAnsi="Times New Roman;sans-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22">
              <w:r>
                <w:rPr>
                  <w:rStyle w:val="InternetLink"/>
                  <w:rFonts w:ascii="Times New Roman;sans-serif" w:hAnsi="Times New Roman;sans-serif"/>
                  <w:b w:val="false"/>
                  <w:color w:val="0000FF"/>
                  <w:sz w:val="18"/>
                  <w:u w:val="single"/>
                </w:rPr>
                <w:t>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25">
              <w:r>
                <w:rPr>
                  <w:rStyle w:val="InternetLink"/>
                  <w:rFonts w:ascii="Times New Roman;sans-serif" w:hAnsi="Times New Roman;sans-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25">
              <w:r>
                <w:rPr>
                  <w:rStyle w:val="InternetLink"/>
                  <w:rFonts w:ascii="Times New Roman;sans-serif" w:hAnsi="Times New Roman;sans-serif"/>
                  <w:b w:val="false"/>
                  <w:color w:val="0000FF"/>
                  <w:sz w:val="18"/>
                  <w:u w:val="single"/>
                </w:rPr>
                <w:t>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28">
              <w:r>
                <w:rPr>
                  <w:rStyle w:val="InternetLink"/>
                  <w:rFonts w:ascii="Times New Roman;sans-serif" w:hAnsi="Times New Roman;sans-serif"/>
                  <w:b w:val="false"/>
                  <w:color w:val="0000FF"/>
                  <w:sz w:val="18"/>
                  <w:u w:val="single"/>
                </w:rPr>
                <w:t>Consolidated Statements of Changes in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28">
              <w:r>
                <w:rPr>
                  <w:rStyle w:val="InternetLink"/>
                  <w:rFonts w:ascii="Times New Roman;sans-serif" w:hAnsi="Times New Roman;sans-serif"/>
                  <w:b w:val="false"/>
                  <w:color w:val="0000FF"/>
                  <w:sz w:val="18"/>
                  <w:u w:val="single"/>
                </w:rPr>
                <w:t>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31">
              <w:r>
                <w:rPr>
                  <w:rStyle w:val="InternetLink"/>
                  <w:rFonts w:ascii="Times New Roman;sans-serif" w:hAnsi="Times New Roman;sans-serif"/>
                  <w:b w:val="false"/>
                  <w:color w:val="0000FF"/>
                  <w:sz w:val="18"/>
                  <w:u w:val="single"/>
                </w:rPr>
                <w:t>Notes to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31">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34">
              <w:r>
                <w:rPr>
                  <w:rStyle w:val="InternetLink"/>
                  <w:rFonts w:ascii="Times New Roman;sans-serif" w:hAnsi="Times New Roman;sans-serif"/>
                  <w:b w:val="false"/>
                  <w:color w:val="0000FF"/>
                  <w:sz w:val="18"/>
                  <w:u w:val="single"/>
                </w:rPr>
                <w:t>1. Organization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34">
              <w:r>
                <w:rPr>
                  <w:rStyle w:val="InternetLink"/>
                  <w:rFonts w:ascii="Times New Roman;sans-serif" w:hAnsi="Times New Roman;sans-serif"/>
                  <w:b w:val="false"/>
                  <w:color w:val="0000FF"/>
                  <w:sz w:val="18"/>
                  <w:u w:val="single"/>
                </w:rPr>
                <w:t>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37">
              <w:r>
                <w:rPr>
                  <w:rStyle w:val="InternetLink"/>
                  <w:rFonts w:ascii="Times New Roman;sans-serif" w:hAnsi="Times New Roman;sans-serif"/>
                  <w:b w:val="false"/>
                  <w:color w:val="0000FF"/>
                  <w:sz w:val="18"/>
                  <w:u w:val="single"/>
                </w:rPr>
                <w:t>2.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37">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40">
              <w:r>
                <w:rPr>
                  <w:rStyle w:val="InternetLink"/>
                  <w:rFonts w:ascii="Times New Roman;sans-serif" w:hAnsi="Times New Roman;sans-serif"/>
                  <w:b w:val="false"/>
                  <w:color w:val="0000FF"/>
                  <w:sz w:val="18"/>
                  <w:u w:val="single"/>
                </w:rPr>
                <w:t>3. Revenue Recognition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40">
              <w:r>
                <w:rPr>
                  <w:rStyle w:val="InternetLink"/>
                  <w:rFonts w:ascii="Times New Roman;sans-serif" w:hAnsi="Times New Roman;sans-serif"/>
                  <w:b w:val="false"/>
                  <w:color w:val="0000FF"/>
                  <w:sz w:val="18"/>
                  <w:u w:val="single"/>
                </w:rPr>
                <w:t>10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46">
              <w:r>
                <w:rPr>
                  <w:rStyle w:val="InternetLink"/>
                  <w:rFonts w:ascii="Times New Roman;sans-serif" w:hAnsi="Times New Roman;sans-serif"/>
                  <w:b w:val="false"/>
                  <w:color w:val="0000FF"/>
                  <w:sz w:val="18"/>
                  <w:u w:val="single"/>
                </w:rPr>
                <w:t>4. Accounts Receivable,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46">
              <w:r>
                <w:rPr>
                  <w:rStyle w:val="InternetLink"/>
                  <w:rFonts w:ascii="Times New Roman;sans-serif" w:hAnsi="Times New Roman;sans-serif"/>
                  <w:b w:val="false"/>
                  <w:color w:val="0000FF"/>
                  <w:sz w:val="18"/>
                  <w:u w:val="single"/>
                </w:rPr>
                <w:t>11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49">
              <w:r>
                <w:rPr>
                  <w:rStyle w:val="InternetLink"/>
                  <w:rFonts w:ascii="Times New Roman;sans-serif" w:hAnsi="Times New Roman;sans-serif"/>
                  <w:b w:val="false"/>
                  <w:color w:val="0000FF"/>
                  <w:sz w:val="18"/>
                  <w:u w:val="single"/>
                </w:rPr>
                <w:t>5. Inventories, Net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49">
              <w:r>
                <w:rPr>
                  <w:rStyle w:val="InternetLink"/>
                  <w:rFonts w:ascii="Times New Roman;sans-serif" w:hAnsi="Times New Roman;sans-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52">
              <w:r>
                <w:rPr>
                  <w:rStyle w:val="InternetLink"/>
                  <w:rFonts w:ascii="Times New Roman;sans-serif" w:hAnsi="Times New Roman;sans-serif"/>
                  <w:b w:val="false"/>
                  <w:color w:val="0000FF"/>
                  <w:sz w:val="18"/>
                  <w:u w:val="single"/>
                </w:rPr>
                <w:t>6. Property and Equipment,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52">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55">
              <w:r>
                <w:rPr>
                  <w:rStyle w:val="InternetLink"/>
                  <w:rFonts w:ascii="Times New Roman;sans-serif" w:hAnsi="Times New Roman;sans-serif"/>
                  <w:b w:val="false"/>
                  <w:color w:val="0000FF"/>
                  <w:sz w:val="18"/>
                  <w:u w:val="single"/>
                </w:rPr>
                <w:t xml:space="preserve">7. Goodwill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55">
              <w:r>
                <w:rPr>
                  <w:rStyle w:val="InternetLink"/>
                  <w:rFonts w:ascii="Times New Roman;sans-serif" w:hAnsi="Times New Roman;sans-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58">
              <w:r>
                <w:rPr>
                  <w:rStyle w:val="InternetLink"/>
                  <w:rFonts w:ascii="Times New Roman;sans-serif" w:hAnsi="Times New Roman;sans-serif"/>
                  <w:b w:val="false"/>
                  <w:color w:val="0000FF"/>
                  <w:sz w:val="18"/>
                  <w:u w:val="single"/>
                </w:rPr>
                <w:t>8. Intangible Assets,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58">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3240b0a7fc924a4b82e8b132951151be_61">
              <w:r>
                <w:rPr>
                  <w:rStyle w:val="InternetLink"/>
                  <w:rFonts w:ascii="Times New Roman;sans-serif" w:hAnsi="Times New Roman;sans-serif"/>
                  <w:b w:val="false"/>
                  <w:color w:val="0000FF"/>
                  <w:sz w:val="18"/>
                  <w:u w:val="single"/>
                </w:rPr>
                <w:t>9. Other Balance Sheet Components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61">
              <w:r>
                <w:rPr>
                  <w:rStyle w:val="InternetLink"/>
                  <w:rFonts w:ascii="Times New Roman;sans-serif" w:hAnsi="Times New Roman;sans-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64">
              <w:r>
                <w:rPr>
                  <w:rStyle w:val="InternetLink"/>
                  <w:rFonts w:ascii="Times New Roman;sans-serif" w:hAnsi="Times New Roman;sans-serif"/>
                  <w:b w:val="false"/>
                  <w:color w:val="0000FF"/>
                  <w:sz w:val="18"/>
                  <w:u w:val="single"/>
                </w:rPr>
                <w:t>10. Debt and Other Obligations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64">
              <w:r>
                <w:rPr>
                  <w:rStyle w:val="InternetLink"/>
                  <w:rFonts w:ascii="Times New Roman;sans-serif" w:hAnsi="Times New Roman;sans-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70">
              <w:r>
                <w:rPr>
                  <w:rStyle w:val="InternetLink"/>
                  <w:rFonts w:ascii="Times New Roman;sans-serif" w:hAnsi="Times New Roman;sans-serif"/>
                  <w:b w:val="false"/>
                  <w:color w:val="000080"/>
                  <w:sz w:val="18"/>
                  <w:u w:val="single"/>
                </w:rPr>
                <w:t>1</w:t>
              </w:r>
            </w:hyperlink>
            <w:hyperlink w:anchor="i3240b0a7fc924a4b82e8b132951151be_70">
              <w:r>
                <w:rPr>
                  <w:rStyle w:val="InternetLink"/>
                  <w:rFonts w:ascii="Times New Roman;sans-serif" w:hAnsi="Times New Roman;sans-serif"/>
                  <w:b w:val="false"/>
                  <w:color w:val="000080"/>
                  <w:sz w:val="18"/>
                  <w:u w:val="single"/>
                </w:rPr>
                <w:t>1</w:t>
              </w:r>
            </w:hyperlink>
            <w:hyperlink w:anchor="i3240b0a7fc924a4b82e8b132951151be_70">
              <w:r>
                <w:rPr>
                  <w:rStyle w:val="InternetLink"/>
                  <w:rFonts w:ascii="Times New Roman;sans-serif" w:hAnsi="Times New Roman;sans-serif"/>
                  <w:b w:val="false"/>
                  <w:color w:val="000080"/>
                  <w:sz w:val="18"/>
                  <w:u w:val="single"/>
                </w:rPr>
                <w:t>. Stock-Based Compensation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70">
              <w:r>
                <w:rPr>
                  <w:rStyle w:val="InternetLink"/>
                  <w:rFonts w:ascii="Times New Roman;sans-serif" w:hAnsi="Times New Roman;sans-serif"/>
                  <w:b w:val="false"/>
                  <w:color w:val="0000FF"/>
                  <w:sz w:val="18"/>
                  <w:u w:val="single"/>
                </w:rPr>
                <w:t>14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76">
              <w:r>
                <w:rPr>
                  <w:rStyle w:val="InternetLink"/>
                  <w:rFonts w:ascii="Times New Roman;sans-serif" w:hAnsi="Times New Roman;sans-serif"/>
                  <w:b w:val="false"/>
                  <w:color w:val="000080"/>
                  <w:sz w:val="18"/>
                  <w:u w:val="single"/>
                </w:rPr>
                <w:t>1</w:t>
              </w:r>
            </w:hyperlink>
            <w:hyperlink w:anchor="i3240b0a7fc924a4b82e8b132951151be_76">
              <w:r>
                <w:rPr>
                  <w:rStyle w:val="InternetLink"/>
                  <w:rFonts w:ascii="Times New Roman;sans-serif" w:hAnsi="Times New Roman;sans-serif"/>
                  <w:b w:val="false"/>
                  <w:color w:val="000080"/>
                  <w:sz w:val="18"/>
                  <w:u w:val="single"/>
                </w:rPr>
                <w:t>2</w:t>
              </w:r>
            </w:hyperlink>
            <w:hyperlink w:anchor="i3240b0a7fc924a4b82e8b132951151be_76">
              <w:r>
                <w:rPr>
                  <w:rStyle w:val="InternetLink"/>
                  <w:rFonts w:ascii="Times New Roman;sans-serif" w:hAnsi="Times New Roman;sans-serif"/>
                  <w:b w:val="false"/>
                  <w:color w:val="000080"/>
                  <w:sz w:val="18"/>
                  <w:u w:val="single"/>
                </w:rPr>
                <w:t>. Share Repurchases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76">
              <w:r>
                <w:rPr>
                  <w:rStyle w:val="InternetLink"/>
                  <w:rFonts w:ascii="Times New Roman;sans-serif" w:hAnsi="Times New Roman;sans-serif"/>
                  <w:b w:val="false"/>
                  <w:color w:val="0000FF"/>
                  <w:sz w:val="18"/>
                  <w:u w:val="single"/>
                </w:rPr>
                <w:t>15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79">
              <w:r>
                <w:rPr>
                  <w:rStyle w:val="InternetLink"/>
                  <w:rFonts w:ascii="Times New Roman;sans-serif" w:hAnsi="Times New Roman;sans-serif"/>
                  <w:b w:val="false"/>
                  <w:color w:val="000080"/>
                  <w:sz w:val="18"/>
                  <w:u w:val="single"/>
                </w:rPr>
                <w:t>1</w:t>
              </w:r>
            </w:hyperlink>
            <w:hyperlink w:anchor="i3240b0a7fc924a4b82e8b132951151be_79">
              <w:r>
                <w:rPr>
                  <w:rStyle w:val="InternetLink"/>
                  <w:rFonts w:ascii="Times New Roman;sans-serif" w:hAnsi="Times New Roman;sans-serif"/>
                  <w:b w:val="false"/>
                  <w:color w:val="000080"/>
                  <w:sz w:val="18"/>
                  <w:u w:val="single"/>
                </w:rPr>
                <w:t>3</w:t>
              </w:r>
            </w:hyperlink>
            <w:hyperlink w:anchor="i3240b0a7fc924a4b82e8b132951151be_79">
              <w:r>
                <w:rPr>
                  <w:rStyle w:val="InternetLink"/>
                  <w:rFonts w:ascii="Times New Roman;sans-serif" w:hAnsi="Times New Roman;sans-serif"/>
                  <w:b w:val="false"/>
                  <w:color w:val="000080"/>
                  <w:sz w:val="18"/>
                  <w:u w:val="single"/>
                </w:rPr>
                <w:t>. Accumulated Other Comprehensive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79">
              <w:r>
                <w:rPr>
                  <w:rStyle w:val="InternetLink"/>
                  <w:rFonts w:ascii="Times New Roman;sans-serif" w:hAnsi="Times New Roman;sans-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82">
              <w:r>
                <w:rPr>
                  <w:rStyle w:val="InternetLink"/>
                  <w:rFonts w:ascii="Times New Roman;sans-serif" w:hAnsi="Times New Roman;sans-serif"/>
                  <w:b w:val="false"/>
                  <w:color w:val="000080"/>
                  <w:sz w:val="18"/>
                  <w:u w:val="single"/>
                </w:rPr>
                <w:t>1</w:t>
              </w:r>
            </w:hyperlink>
            <w:hyperlink w:anchor="i3240b0a7fc924a4b82e8b132951151be_82">
              <w:r>
                <w:rPr>
                  <w:rStyle w:val="InternetLink"/>
                  <w:rFonts w:ascii="Times New Roman;sans-serif" w:hAnsi="Times New Roman;sans-serif"/>
                  <w:b w:val="false"/>
                  <w:color w:val="000080"/>
                  <w:sz w:val="18"/>
                  <w:u w:val="single"/>
                </w:rPr>
                <w:t>4</w:t>
              </w:r>
            </w:hyperlink>
            <w:hyperlink w:anchor="i3240b0a7fc924a4b82e8b132951151be_82">
              <w:r>
                <w:rPr>
                  <w:rStyle w:val="InternetLink"/>
                  <w:rFonts w:ascii="Times New Roman;sans-serif" w:hAnsi="Times New Roman;sans-serif"/>
                  <w:b w:val="false"/>
                  <w:color w:val="000080"/>
                  <w:sz w:val="18"/>
                  <w:u w:val="single"/>
                </w:rPr>
                <w:t>. Loss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82">
              <w:r>
                <w:rPr>
                  <w:rStyle w:val="InternetLink"/>
                  <w:rFonts w:ascii="Times New Roman;sans-serif" w:hAnsi="Times New Roman;sans-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85">
              <w:r>
                <w:rPr>
                  <w:rStyle w:val="InternetLink"/>
                  <w:rFonts w:ascii="Times New Roman;sans-serif" w:hAnsi="Times New Roman;sans-serif"/>
                  <w:b w:val="false"/>
                  <w:color w:val="000080"/>
                  <w:sz w:val="18"/>
                  <w:u w:val="single"/>
                </w:rPr>
                <w:t>1</w:t>
              </w:r>
            </w:hyperlink>
            <w:hyperlink w:anchor="i3240b0a7fc924a4b82e8b132951151be_85">
              <w:r>
                <w:rPr>
                  <w:rStyle w:val="InternetLink"/>
                  <w:rFonts w:ascii="Times New Roman;sans-serif" w:hAnsi="Times New Roman;sans-serif"/>
                  <w:b w:val="false"/>
                  <w:color w:val="000080"/>
                  <w:sz w:val="18"/>
                  <w:u w:val="single"/>
                </w:rPr>
                <w:t>5</w:t>
              </w:r>
            </w:hyperlink>
            <w:hyperlink w:anchor="i3240b0a7fc924a4b82e8b132951151be_85">
              <w:r>
                <w:rPr>
                  <w:rStyle w:val="InternetLink"/>
                  <w:rFonts w:ascii="Times New Roman;sans-serif" w:hAnsi="Times New Roman;sans-serif"/>
                  <w:b w:val="false"/>
                  <w:color w:val="000080"/>
                  <w:sz w:val="18"/>
                  <w:u w:val="single"/>
                </w:rPr>
                <w:t>. Related Party Transactions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85">
              <w:r>
                <w:rPr>
                  <w:rStyle w:val="InternetLink"/>
                  <w:rFonts w:ascii="Times New Roman;sans-serif" w:hAnsi="Times New Roman;sans-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91">
              <w:r>
                <w:rPr>
                  <w:rStyle w:val="InternetLink"/>
                  <w:rFonts w:ascii="Times New Roman;sans-serif" w:hAnsi="Times New Roman;sans-serif"/>
                  <w:b w:val="false"/>
                  <w:color w:val="000080"/>
                  <w:sz w:val="18"/>
                  <w:u w:val="single"/>
                </w:rPr>
                <w:t>1</w:t>
              </w:r>
            </w:hyperlink>
            <w:hyperlink w:anchor="i3240b0a7fc924a4b82e8b132951151be_91">
              <w:r>
                <w:rPr>
                  <w:rStyle w:val="InternetLink"/>
                  <w:rFonts w:ascii="Times New Roman;sans-serif" w:hAnsi="Times New Roman;sans-serif"/>
                  <w:b w:val="false"/>
                  <w:color w:val="000080"/>
                  <w:sz w:val="18"/>
                  <w:u w:val="single"/>
                </w:rPr>
                <w:t>6</w:t>
              </w:r>
            </w:hyperlink>
            <w:hyperlink w:anchor="i3240b0a7fc924a4b82e8b132951151be_91">
              <w:r>
                <w:rPr>
                  <w:rStyle w:val="InternetLink"/>
                  <w:rFonts w:ascii="Times New Roman;sans-serif" w:hAnsi="Times New Roman;sans-serif"/>
                  <w:b w:val="false"/>
                  <w:color w:val="000080"/>
                  <w:sz w:val="18"/>
                  <w:u w:val="single"/>
                </w:rPr>
                <w:t>. Segment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91">
              <w:r>
                <w:rPr>
                  <w:rStyle w:val="InternetLink"/>
                  <w:rFonts w:ascii="Times New Roman;sans-serif" w:hAnsi="Times New Roman;sans-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94">
              <w:r>
                <w:rPr>
                  <w:rStyle w:val="InternetLink"/>
                  <w:rFonts w:ascii="Times New Roman;sans-serif" w:hAnsi="Times New Roman;sans-serif"/>
                  <w:b w:val="false"/>
                  <w:color w:val="000080"/>
                  <w:sz w:val="18"/>
                  <w:u w:val="single"/>
                </w:rPr>
                <w:t>1</w:t>
              </w:r>
            </w:hyperlink>
            <w:hyperlink w:anchor="i3240b0a7fc924a4b82e8b132951151be_94">
              <w:r>
                <w:rPr>
                  <w:rStyle w:val="InternetLink"/>
                  <w:rFonts w:ascii="Times New Roman;sans-serif" w:hAnsi="Times New Roman;sans-serif"/>
                  <w:b w:val="false"/>
                  <w:color w:val="000080"/>
                  <w:sz w:val="18"/>
                  <w:u w:val="single"/>
                </w:rPr>
                <w:t>7</w:t>
              </w:r>
            </w:hyperlink>
            <w:hyperlink w:anchor="i3240b0a7fc924a4b82e8b132951151be_94">
              <w:r>
                <w:rPr>
                  <w:rStyle w:val="InternetLink"/>
                  <w:rFonts w:ascii="Times New Roman;sans-serif" w:hAnsi="Times New Roman;sans-serif"/>
                  <w:b w:val="false"/>
                  <w:color w:val="000080"/>
                  <w:sz w:val="18"/>
                  <w:u w:val="single"/>
                </w:rPr>
                <w:t>. Commitments and Contingencies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94">
              <w:r>
                <w:rPr>
                  <w:rStyle w:val="InternetLink"/>
                  <w:rFonts w:ascii="Times New Roman;sans-serif" w:hAnsi="Times New Roman;sans-serif"/>
                  <w:b w:val="false"/>
                  <w:color w:val="0000FF"/>
                  <w:sz w:val="18"/>
                  <w:u w:val="single"/>
                </w:rPr>
                <w:t>17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97">
              <w:r>
                <w:rPr>
                  <w:rStyle w:val="InternetLink"/>
                  <w:rFonts w:ascii="Times New Roman;sans-serif" w:hAnsi="Times New Roman;sans-serif"/>
                  <w:b w:val="false"/>
                  <w:color w:val="000080"/>
                  <w:sz w:val="18"/>
                  <w:u w:val="single"/>
                </w:rPr>
                <w:t>1</w:t>
              </w:r>
            </w:hyperlink>
            <w:hyperlink w:anchor="i3240b0a7fc924a4b82e8b132951151be_97">
              <w:r>
                <w:rPr>
                  <w:rStyle w:val="InternetLink"/>
                  <w:rFonts w:ascii="Times New Roman;sans-serif" w:hAnsi="Times New Roman;sans-serif"/>
                  <w:b w:val="false"/>
                  <w:color w:val="000080"/>
                  <w:sz w:val="18"/>
                  <w:u w:val="single"/>
                </w:rPr>
                <w:t>8</w:t>
              </w:r>
            </w:hyperlink>
            <w:hyperlink w:anchor="i3240b0a7fc924a4b82e8b132951151be_97">
              <w:r>
                <w:rPr>
                  <w:rStyle w:val="InternetLink"/>
                  <w:rFonts w:ascii="Times New Roman;sans-serif" w:hAnsi="Times New Roman;sans-serif"/>
                  <w:b w:val="false"/>
                  <w:color w:val="000080"/>
                  <w:sz w:val="18"/>
                  <w:u w:val="single"/>
                </w:rPr>
                <w:t>. Supplemental Cash Flow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97">
              <w:r>
                <w:rPr>
                  <w:rStyle w:val="InternetLink"/>
                  <w:rFonts w:ascii="Times New Roman;sans-serif" w:hAnsi="Times New Roman;sans-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03">
              <w:r>
                <w:rPr>
                  <w:rStyle w:val="InternetLink"/>
                  <w:rFonts w:ascii="Times New Roman;sans-serif" w:hAnsi="Times New Roman;sans-serif"/>
                  <w:b w:val="false"/>
                  <w:color w:val="0000FF"/>
                  <w:sz w:val="18"/>
                  <w:u w:val="single"/>
                </w:rPr>
                <w:t>Item 2.</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03">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03">
              <w:r>
                <w:rPr>
                  <w:rStyle w:val="InternetLink"/>
                  <w:rFonts w:ascii="Times New Roman;sans-serif" w:hAnsi="Times New Roman;sans-serif"/>
                  <w:b w:val="false"/>
                  <w:color w:val="0000FF"/>
                  <w:sz w:val="18"/>
                  <w:u w:val="single"/>
                </w:rPr>
                <w:t>19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06">
              <w:r>
                <w:rPr>
                  <w:rStyle w:val="InternetLink"/>
                  <w:rFonts w:ascii="Times New Roman;sans-serif" w:hAnsi="Times New Roman;sans-serif"/>
                  <w:b w:val="false"/>
                  <w:color w:val="0000FF"/>
                  <w:sz w:val="18"/>
                  <w:u w:val="single"/>
                </w:rPr>
                <w:t>Forward-Looking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06">
              <w:r>
                <w:rPr>
                  <w:rStyle w:val="InternetLink"/>
                  <w:rFonts w:ascii="Times New Roman;sans-serif" w:hAnsi="Times New Roman;sans-serif"/>
                  <w:b w:val="false"/>
                  <w:color w:val="0000FF"/>
                  <w:sz w:val="18"/>
                  <w:u w:val="single"/>
                </w:rPr>
                <w:t>19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09">
              <w:r>
                <w:rPr>
                  <w:rStyle w:val="InternetLink"/>
                  <w:rFonts w:ascii="Times New Roman;sans-serif" w:hAnsi="Times New Roman;sans-serif"/>
                  <w:b w:val="false"/>
                  <w:color w:val="0000FF"/>
                  <w:sz w:val="18"/>
                  <w:u w:val="single"/>
                </w:rPr>
                <w:t>General and Business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09">
              <w:r>
                <w:rPr>
                  <w:rStyle w:val="InternetLink"/>
                  <w:rFonts w:ascii="Times New Roman;sans-serif" w:hAnsi="Times New Roman;sans-serif"/>
                  <w:b w:val="false"/>
                  <w:color w:val="0000FF"/>
                  <w:sz w:val="18"/>
                  <w:u w:val="single"/>
                </w:rPr>
                <w:t>19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12">
              <w:r>
                <w:rPr>
                  <w:rStyle w:val="InternetLink"/>
                  <w:rFonts w:ascii="Times New Roman;sans-serif" w:hAnsi="Times New Roman;sans-serif"/>
                  <w:b w:val="false"/>
                  <w:color w:val="0000FF"/>
                  <w:sz w:val="18"/>
                  <w:u w:val="single"/>
                </w:rPr>
                <w:t>Business Environment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12">
              <w:r>
                <w:rPr>
                  <w:rStyle w:val="InternetLink"/>
                  <w:rFonts w:ascii="Times New Roman;sans-serif" w:hAnsi="Times New Roman;sans-serif"/>
                  <w:b w:val="false"/>
                  <w:color w:val="0000FF"/>
                  <w:sz w:val="18"/>
                  <w:u w:val="single"/>
                </w:rPr>
                <w:t>19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18">
              <w:r>
                <w:rPr>
                  <w:rStyle w:val="InternetLink"/>
                  <w:rFonts w:ascii="Times New Roman;sans-serif" w:hAnsi="Times New Roman;sans-serif"/>
                  <w:b w:val="false"/>
                  <w:color w:val="0000FF"/>
                  <w:sz w:val="18"/>
                  <w:u w:val="single"/>
                </w:rPr>
                <w:t>Financial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18">
              <w:r>
                <w:rPr>
                  <w:rStyle w:val="InternetLink"/>
                  <w:rFonts w:ascii="Times New Roman;sans-serif" w:hAnsi="Times New Roman;sans-serif"/>
                  <w:b w:val="false"/>
                  <w:color w:val="0000FF"/>
                  <w:sz w:val="18"/>
                  <w:u w:val="single"/>
                </w:rPr>
                <w:t>20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21">
              <w:r>
                <w:rPr>
                  <w:rStyle w:val="InternetLink"/>
                  <w:rFonts w:ascii="Times New Roman;sans-serif" w:hAnsi="Times New Roman;sans-serif"/>
                  <w:b w:val="false"/>
                  <w:color w:val="0000FF"/>
                  <w:sz w:val="18"/>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21">
              <w:r>
                <w:rPr>
                  <w:rStyle w:val="InternetLink"/>
                  <w:rFonts w:ascii="Times New Roman;sans-serif" w:hAnsi="Times New Roman;sans-serif"/>
                  <w:b w:val="false"/>
                  <w:color w:val="0000FF"/>
                  <w:sz w:val="18"/>
                  <w:u w:val="single"/>
                </w:rPr>
                <w:t>21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24">
              <w:r>
                <w:rPr>
                  <w:rStyle w:val="InternetLink"/>
                  <w:rFonts w:ascii="Times New Roman;sans-serif" w:hAnsi="Times New Roman;sans-serif"/>
                  <w:b w:val="false"/>
                  <w:color w:val="0000FF"/>
                  <w:sz w:val="18"/>
                  <w:u w:val="single"/>
                </w:rPr>
                <w:t>Non-GAAP Financial Measures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24">
              <w:r>
                <w:rPr>
                  <w:rStyle w:val="InternetLink"/>
                  <w:rFonts w:ascii="Times New Roman;sans-serif" w:hAnsi="Times New Roman;sans-serif"/>
                  <w:b w:val="false"/>
                  <w:color w:val="0000FF"/>
                  <w:sz w:val="18"/>
                  <w:u w:val="single"/>
                </w:rPr>
                <w:t>22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27">
              <w:r>
                <w:rPr>
                  <w:rStyle w:val="InternetLink"/>
                  <w:rFonts w:ascii="Times New Roman;sans-serif" w:hAnsi="Times New Roman;sans-serif"/>
                  <w:b w:val="false"/>
                  <w:color w:val="0000FF"/>
                  <w:sz w:val="18"/>
                  <w:u w:val="single"/>
                </w:rPr>
                <w:t>Liquidity and Capital Resources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27">
              <w:r>
                <w:rPr>
                  <w:rStyle w:val="InternetLink"/>
                  <w:rFonts w:ascii="Times New Roman;sans-serif" w:hAnsi="Times New Roman;sans-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0">
              <w:r>
                <w:rPr>
                  <w:rStyle w:val="InternetLink"/>
                  <w:rFonts w:ascii="Times New Roman;sans-serif" w:hAnsi="Times New Roman;sans-serif"/>
                  <w:b w:val="false"/>
                  <w:color w:val="0000FF"/>
                  <w:sz w:val="18"/>
                  <w:u w:val="single"/>
                </w:rPr>
                <w:t>Critical Accounting Policies and Estimates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30">
              <w:r>
                <w:rPr>
                  <w:rStyle w:val="InternetLink"/>
                  <w:rFonts w:ascii="Times New Roman;sans-serif" w:hAnsi="Times New Roman;sans-serif"/>
                  <w:b w:val="false"/>
                  <w:color w:val="0000FF"/>
                  <w:sz w:val="18"/>
                  <w:u w:val="single"/>
                </w:rPr>
                <w:t>25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3">
              <w:r>
                <w:rPr>
                  <w:rStyle w:val="InternetLink"/>
                  <w:rFonts w:ascii="Times New Roman;sans-serif" w:hAnsi="Times New Roman;sans-serif"/>
                  <w:b w:val="false"/>
                  <w:color w:val="0000FF"/>
                  <w:sz w:val="18"/>
                  <w:u w:val="single"/>
                </w:rPr>
                <w:t>Item 3.</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3">
              <w:r>
                <w:rPr>
                  <w:rStyle w:val="InternetLink"/>
                  <w:rFonts w:ascii="Times New Roman;sans-serif" w:hAnsi="Times New Roman;sans-serif"/>
                  <w:b w:val="false"/>
                  <w:color w:val="0000FF"/>
                  <w:sz w:val="18"/>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33">
              <w:r>
                <w:rPr>
                  <w:rStyle w:val="InternetLink"/>
                  <w:rFonts w:ascii="Times New Roman;sans-serif" w:hAnsi="Times New Roman;sans-serif"/>
                  <w:b w:val="false"/>
                  <w:color w:val="0000FF"/>
                  <w:sz w:val="18"/>
                  <w:u w:val="single"/>
                </w:rPr>
                <w:t>25</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6">
              <w:r>
                <w:rPr>
                  <w:rStyle w:val="InternetLink"/>
                  <w:rFonts w:ascii="Times New Roman;sans-serif" w:hAnsi="Times New Roman;sans-serif"/>
                  <w:b w:val="false"/>
                  <w:color w:val="0000FF"/>
                  <w:sz w:val="18"/>
                  <w:u w:val="single"/>
                </w:rPr>
                <w:t>Item 4.</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6">
              <w:r>
                <w:rPr>
                  <w:rStyle w:val="InternetLink"/>
                  <w:rFonts w:ascii="Times New Roman;sans-serif" w:hAnsi="Times New Roman;sans-serif"/>
                  <w:b w:val="false"/>
                  <w:color w:val="0000FF"/>
                  <w:sz w:val="18"/>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36">
              <w:r>
                <w:rPr>
                  <w:rStyle w:val="InternetLink"/>
                  <w:rFonts w:ascii="Times New Roman;sans-serif" w:hAnsi="Times New Roman;sans-serif"/>
                  <w:b w:val="false"/>
                  <w:color w:val="0000FF"/>
                  <w:sz w:val="18"/>
                  <w:u w:val="single"/>
                </w:rPr>
                <w:t>26</w:t>
              </w:r>
            </w:hyperlink>
          </w:p>
        </w:tc>
      </w:tr>
      <w:tr>
        <w:trPr/>
        <w:tc>
          <w:tcPr>
            <w:tcW w:w="81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39">
              <w:r>
                <w:rPr>
                  <w:rStyle w:val="InternetLink"/>
                  <w:rFonts w:ascii="Times New Roman;sans-serif" w:hAnsi="Times New Roman;sans-serif"/>
                  <w:b/>
                  <w:color w:val="0000FF"/>
                  <w:sz w:val="18"/>
                  <w:u w:val="single"/>
                </w:rPr>
                <w:t>PART II -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39">
              <w:r>
                <w:rPr>
                  <w:rStyle w:val="InternetLink"/>
                  <w:rFonts w:ascii="Times New Roman;sans-serif" w:hAnsi="Times New Roman;sans-serif"/>
                  <w:b w:val="false"/>
                  <w:color w:val="0000FF"/>
                  <w:sz w:val="18"/>
                  <w:u w:val="single"/>
                </w:rPr>
                <w:t>27</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42">
              <w:r>
                <w:rPr>
                  <w:rStyle w:val="InternetLink"/>
                  <w:rFonts w:ascii="Times New Roman;sans-serif" w:hAnsi="Times New Roman;sans-serif"/>
                  <w:b w:val="false"/>
                  <w:color w:val="0000FF"/>
                  <w:sz w:val="18"/>
                  <w:u w:val="single"/>
                </w:rPr>
                <w:t>Item 1.</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42">
              <w:r>
                <w:rPr>
                  <w:rStyle w:val="InternetLink"/>
                  <w:rFonts w:ascii="Times New Roman;sans-serif" w:hAnsi="Times New Roman;sans-serif"/>
                  <w:b w:val="false"/>
                  <w:color w:val="0000FF"/>
                  <w:sz w:val="18"/>
                  <w:u w:val="single"/>
                </w:rPr>
                <w:t>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42">
              <w:r>
                <w:rPr>
                  <w:rStyle w:val="InternetLink"/>
                  <w:rFonts w:ascii="Times New Roman;sans-serif" w:hAnsi="Times New Roman;sans-serif"/>
                  <w:b w:val="false"/>
                  <w:color w:val="0000FF"/>
                  <w:sz w:val="18"/>
                  <w:u w:val="single"/>
                </w:rPr>
                <w:t>27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45">
              <w:r>
                <w:rPr>
                  <w:rStyle w:val="InternetLink"/>
                  <w:rFonts w:ascii="Times New Roman;sans-serif" w:hAnsi="Times New Roman;sans-serif"/>
                  <w:b w:val="false"/>
                  <w:color w:val="0000FF"/>
                  <w:sz w:val="18"/>
                  <w:u w:val="single"/>
                </w:rPr>
                <w:t>Item 1A.</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45">
              <w:r>
                <w:rPr>
                  <w:rStyle w:val="InternetLink"/>
                  <w:rFonts w:ascii="Times New Roman;sans-serif" w:hAnsi="Times New Roman;sans-serif"/>
                  <w:b w:val="false"/>
                  <w:color w:val="0000FF"/>
                  <w:sz w:val="18"/>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45">
              <w:r>
                <w:rPr>
                  <w:rStyle w:val="InternetLink"/>
                  <w:rFonts w:ascii="Times New Roman;sans-serif" w:hAnsi="Times New Roman;sans-serif"/>
                  <w:b w:val="false"/>
                  <w:color w:val="0000FF"/>
                  <w:sz w:val="18"/>
                  <w:u w:val="single"/>
                </w:rPr>
                <w:t>27</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48">
              <w:r>
                <w:rPr>
                  <w:rStyle w:val="InternetLink"/>
                  <w:rFonts w:ascii="Times New Roman;sans-serif" w:hAnsi="Times New Roman;sans-serif"/>
                  <w:b w:val="false"/>
                  <w:color w:val="0000FF"/>
                  <w:sz w:val="18"/>
                  <w:u w:val="single"/>
                </w:rPr>
                <w:t>Item 2.</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48">
              <w:r>
                <w:rPr>
                  <w:rStyle w:val="InternetLink"/>
                  <w:rFonts w:ascii="Times New Roman;sans-serif" w:hAnsi="Times New Roman;sans-serif"/>
                  <w:b w:val="false"/>
                  <w:color w:val="0000FF"/>
                  <w:sz w:val="18"/>
                  <w:u w:val="single"/>
                </w:rPr>
                <w:t>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48">
              <w:r>
                <w:rPr>
                  <w:rStyle w:val="InternetLink"/>
                  <w:rFonts w:ascii="Times New Roman;sans-serif" w:hAnsi="Times New Roman;sans-serif"/>
                  <w:b w:val="false"/>
                  <w:color w:val="0000FF"/>
                  <w:sz w:val="18"/>
                  <w:u w:val="single"/>
                </w:rPr>
                <w:t>27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51">
              <w:r>
                <w:rPr>
                  <w:rStyle w:val="InternetLink"/>
                  <w:rFonts w:ascii="Times New Roman;sans-serif" w:hAnsi="Times New Roman;sans-serif"/>
                  <w:b w:val="false"/>
                  <w:color w:val="0000FF"/>
                  <w:sz w:val="18"/>
                  <w:u w:val="single"/>
                </w:rPr>
                <w:t>Item 3.</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51">
              <w:r>
                <w:rPr>
                  <w:rStyle w:val="InternetLink"/>
                  <w:rFonts w:ascii="Times New Roman;sans-serif" w:hAnsi="Times New Roman;sans-serif"/>
                  <w:b w:val="false"/>
                  <w:color w:val="0000FF"/>
                  <w:sz w:val="18"/>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51">
              <w:r>
                <w:rPr>
                  <w:rStyle w:val="InternetLink"/>
                  <w:rFonts w:ascii="Times New Roman;sans-serif" w:hAnsi="Times New Roman;sans-serif"/>
                  <w:b w:val="false"/>
                  <w:color w:val="0000FF"/>
                  <w:sz w:val="18"/>
                  <w:u w:val="single"/>
                </w:rPr>
                <w:t>27</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54">
              <w:r>
                <w:rPr>
                  <w:rStyle w:val="InternetLink"/>
                  <w:rFonts w:ascii="Times New Roman;sans-serif" w:hAnsi="Times New Roman;sans-serif"/>
                  <w:b w:val="false"/>
                  <w:color w:val="0000FF"/>
                  <w:sz w:val="18"/>
                  <w:u w:val="single"/>
                </w:rPr>
                <w:t>Item 4.</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54">
              <w:r>
                <w:rPr>
                  <w:rStyle w:val="InternetLink"/>
                  <w:rFonts w:ascii="Times New Roman;sans-serif" w:hAnsi="Times New Roman;sans-serif"/>
                  <w:b w:val="false"/>
                  <w:color w:val="0000FF"/>
                  <w:sz w:val="18"/>
                  <w:u w:val="single"/>
                </w:rPr>
                <w:t>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54">
              <w:r>
                <w:rPr>
                  <w:rStyle w:val="InternetLink"/>
                  <w:rFonts w:ascii="Times New Roman;sans-serif" w:hAnsi="Times New Roman;sans-serif"/>
                  <w:b w:val="false"/>
                  <w:color w:val="0000FF"/>
                  <w:sz w:val="18"/>
                  <w:u w:val="single"/>
                </w:rPr>
                <w:t>27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57">
              <w:r>
                <w:rPr>
                  <w:rStyle w:val="InternetLink"/>
                  <w:rFonts w:ascii="Times New Roman;sans-serif" w:hAnsi="Times New Roman;sans-serif"/>
                  <w:b w:val="false"/>
                  <w:color w:val="0000FF"/>
                  <w:sz w:val="18"/>
                  <w:u w:val="single"/>
                </w:rPr>
                <w:t>Item 5.</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57">
              <w:r>
                <w:rPr>
                  <w:rStyle w:val="InternetLink"/>
                  <w:rFonts w:ascii="Times New Roman;sans-serif" w:hAnsi="Times New Roman;sans-serif"/>
                  <w:b w:val="false"/>
                  <w:color w:val="0000FF"/>
                  <w:sz w:val="18"/>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57">
              <w:r>
                <w:rPr>
                  <w:rStyle w:val="InternetLink"/>
                  <w:rFonts w:ascii="Times New Roman;sans-serif" w:hAnsi="Times New Roman;sans-serif"/>
                  <w:b w:val="false"/>
                  <w:color w:val="0000FF"/>
                  <w:sz w:val="18"/>
                  <w:u w:val="single"/>
                </w:rPr>
                <w:t>27</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60">
              <w:r>
                <w:rPr>
                  <w:rStyle w:val="InternetLink"/>
                  <w:rFonts w:ascii="Times New Roman;sans-serif" w:hAnsi="Times New Roman;sans-serif"/>
                  <w:b w:val="false"/>
                  <w:color w:val="0000FF"/>
                  <w:sz w:val="18"/>
                  <w:u w:val="single"/>
                </w:rPr>
                <w:t>Item 6.</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60">
              <w:r>
                <w:rPr>
                  <w:rStyle w:val="InternetLink"/>
                  <w:rFonts w:ascii="Times New Roman;sans-serif" w:hAnsi="Times New Roman;sans-serif"/>
                  <w:b w:val="false"/>
                  <w:color w:val="0000FF"/>
                  <w:sz w:val="18"/>
                  <w:u w:val="single"/>
                </w:rPr>
                <w:t>Exhibits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60">
              <w:r>
                <w:rPr>
                  <w:rStyle w:val="InternetLink"/>
                  <w:rFonts w:ascii="Times New Roman;sans-serif" w:hAnsi="Times New Roman;sans-serif"/>
                  <w:b w:val="false"/>
                  <w:color w:val="0000FF"/>
                  <w:sz w:val="18"/>
                  <w:u w:val="single"/>
                </w:rPr>
                <w:t>27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240b0a7fc924a4b82e8b132951151be_163">
              <w:r>
                <w:rPr>
                  <w:rStyle w:val="InternetLink"/>
                  <w:rFonts w:ascii="Times New Roman;sans-serif" w:hAnsi="Times New Roman;sans-serif"/>
                  <w:b w:val="false"/>
                  <w:color w:val="0000FF"/>
                  <w:sz w:val="18"/>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240b0a7fc924a4b82e8b132951151be_163">
              <w:r>
                <w:rPr>
                  <w:rStyle w:val="InternetLink"/>
                  <w:rFonts w:ascii="Times New Roman;sans-serif" w:hAnsi="Times New Roman;sans-serif"/>
                  <w:b w:val="false"/>
                  <w:color w:val="0000FF"/>
                  <w:sz w:val="18"/>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7796" w:type="dxa"/>
        <w:jc w:val="left"/>
        <w:tblInd w:w="0" w:type="dxa"/>
        <w:tblLayout w:type="fixed"/>
        <w:tblCellMar>
          <w:top w:w="28" w:type="dxa"/>
          <w:left w:w="28" w:type="dxa"/>
          <w:bottom w:w="28" w:type="dxa"/>
          <w:right w:w="28" w:type="dxa"/>
        </w:tblCellMar>
      </w:tblPr>
      <w:tblGrid>
        <w:gridCol w:w="1738"/>
        <w:gridCol w:w="1527"/>
        <w:gridCol w:w="1534"/>
        <w:gridCol w:w="268"/>
        <w:gridCol w:w="887"/>
        <w:gridCol w:w="148"/>
        <w:gridCol w:w="114"/>
        <w:gridCol w:w="114"/>
        <w:gridCol w:w="114"/>
        <w:gridCol w:w="247"/>
        <w:gridCol w:w="911"/>
        <w:gridCol w:w="194"/>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services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products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 (excluding depreciation and amortization)</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products (excluding depreciation and amortization)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(10,723)</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6160" w:type="dxa"/>
        <w:jc w:val="center"/>
        <w:tblInd w:w="0" w:type="dxa"/>
        <w:tblLayout w:type="fixed"/>
        <w:tblCellMar>
          <w:top w:w="28" w:type="dxa"/>
          <w:left w:w="28" w:type="dxa"/>
          <w:bottom w:w="28" w:type="dxa"/>
          <w:right w:w="28" w:type="dxa"/>
        </w:tblCellMar>
      </w:tblPr>
      <w:tblGrid>
        <w:gridCol w:w="1194"/>
        <w:gridCol w:w="1046"/>
        <w:gridCol w:w="1059"/>
        <w:gridCol w:w="260"/>
        <w:gridCol w:w="839"/>
        <w:gridCol w:w="145"/>
        <w:gridCol w:w="109"/>
        <w:gridCol w:w="109"/>
        <w:gridCol w:w="109"/>
        <w:gridCol w:w="236"/>
        <w:gridCol w:w="869"/>
        <w:gridCol w:w="185"/>
      </w:tblGrid>
      <w:tr>
        <w:trPr/>
        <w:tc>
          <w:tcPr>
            <w:tcW w:w="119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 on pension liability adjustment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27"/>
        <w:gridCol w:w="2184"/>
        <w:gridCol w:w="2203"/>
        <w:gridCol w:w="245"/>
        <w:gridCol w:w="923"/>
        <w:gridCol w:w="136"/>
        <w:gridCol w:w="123"/>
        <w:gridCol w:w="123"/>
        <w:gridCol w:w="123"/>
        <w:gridCol w:w="272"/>
        <w:gridCol w:w="1024"/>
        <w:gridCol w:w="222"/>
      </w:tblGrid>
      <w:tr>
        <w:trPr/>
        <w:tc>
          <w:tcPr>
            <w:tcW w:w="2627"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7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 and share data)</w:t>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Inventories, net </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123,117 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139,991 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Goodwill </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195,352 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208,699 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accrued liabilities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current portion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current portion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non-current portion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non-current portion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40,956 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49,696 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250,000,000 shares authorized, 71,757,998 shares and 70,239,890 shares issued and outstanding as of March 31, 2024 and December 31, 2023, respectively</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436,616 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433,781 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(274,827)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159,003 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195,352 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208,699 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290" w:type="dxa"/>
        <w:jc w:val="left"/>
        <w:tblInd w:w="0" w:type="dxa"/>
        <w:tblLayout w:type="fixed"/>
        <w:tblCellMar>
          <w:top w:w="28" w:type="dxa"/>
          <w:left w:w="28" w:type="dxa"/>
          <w:bottom w:w="28" w:type="dxa"/>
          <w:right w:w="28" w:type="dxa"/>
        </w:tblCellMar>
      </w:tblPr>
      <w:tblGrid>
        <w:gridCol w:w="1967"/>
        <w:gridCol w:w="1725"/>
        <w:gridCol w:w="1738"/>
        <w:gridCol w:w="256"/>
        <w:gridCol w:w="846"/>
        <w:gridCol w:w="142"/>
        <w:gridCol w:w="109"/>
        <w:gridCol w:w="109"/>
        <w:gridCol w:w="109"/>
        <w:gridCol w:w="232"/>
        <w:gridCol w:w="874"/>
        <w:gridCol w:w="183"/>
      </w:tblGrid>
      <w:tr>
        <w:trPr/>
        <w:tc>
          <w:tcPr>
            <w:tcW w:w="196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cash used in operating activities: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discount in acquisition holdback</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other financing obligations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operating assets and liabilities: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other current assets, other assets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payables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DFT holdback amount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under finance lease obligations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 withholding related to net share settlement of equity awards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94,051 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112,595 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14"/>
        <w:gridCol w:w="630"/>
        <w:gridCol w:w="632"/>
        <w:gridCol w:w="323"/>
        <w:gridCol w:w="323"/>
        <w:gridCol w:w="186"/>
        <w:gridCol w:w="109"/>
        <w:gridCol w:w="109"/>
        <w:gridCol w:w="109"/>
        <w:gridCol w:w="196"/>
        <w:gridCol w:w="421"/>
        <w:gridCol w:w="109"/>
        <w:gridCol w:w="109"/>
        <w:gridCol w:w="109"/>
        <w:gridCol w:w="109"/>
        <w:gridCol w:w="210"/>
        <w:gridCol w:w="788"/>
        <w:gridCol w:w="116"/>
        <w:gridCol w:w="109"/>
        <w:gridCol w:w="109"/>
        <w:gridCol w:w="109"/>
        <w:gridCol w:w="358"/>
        <w:gridCol w:w="799"/>
        <w:gridCol w:w="201"/>
        <w:gridCol w:w="109"/>
        <w:gridCol w:w="109"/>
        <w:gridCol w:w="109"/>
        <w:gridCol w:w="211"/>
        <w:gridCol w:w="830"/>
        <w:gridCol w:w="117"/>
        <w:gridCol w:w="109"/>
        <w:gridCol w:w="109"/>
        <w:gridCol w:w="109"/>
        <w:gridCol w:w="215"/>
        <w:gridCol w:w="812"/>
        <w:gridCol w:w="179"/>
      </w:tblGrid>
      <w:tr>
        <w:trPr/>
        <w:tc>
          <w:tcPr>
            <w:tcW w:w="9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loss on pension liability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436,616 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(282,205)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154,396 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420,980 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(251,151)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169,895 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18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 ORGANIZATION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100% ownership interest in Telos Identity Management Solutions, LLC ("Telos ID"), Teloworks, Inc., and Telos APAC Pte. Ltd. ("Telos APAC").</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the Board unanimously approved the dissolution of Telos APAC, a pre-operating foreign subsidiary, pursuant to a plan of complete liquidation and dissolution.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 SIGNIFICANT ACCOUNTING POLICIES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 of Consolidation</w:t>
      </w:r>
    </w:p>
    <w:p>
      <w:pPr>
        <w:pStyle w:val="TextBody"/>
        <w:bidi w:val="0"/>
        <w:spacing w:lineRule="auto" w:line="288" w:before="120" w:after="180"/>
        <w:jc w:val="left"/>
        <w:rPr/>
      </w:pPr>
      <w:r>
        <w:rPr>
          <w:rFonts w:ascii="Times New Roman;sans-serif" w:hAnsi="Times New Roman;sans-serif"/>
          <w:b w:val="false"/>
          <w:color w:val="000000"/>
          <w:sz w:val="20"/>
        </w:rPr>
        <w:t xml:space="preserve">The accompanying unaudited consolidated financial statements include the accounts of Telos and its subsidiaries (see </w:t>
      </w:r>
      <w:hyperlink w:anchor="i3240b0a7fc924a4b82e8b132951151be_34">
        <w:r>
          <w:rPr>
            <w:rStyle w:val="InternetLink"/>
            <w:rFonts w:ascii="Times New Roman;sans-serif" w:hAnsi="Times New Roman;sans-serif"/>
            <w:b w:val="false"/>
            <w:color w:val="0000FF"/>
            <w:sz w:val="20"/>
            <w:u w:val="single"/>
          </w:rPr>
          <w:t>Note 1 – Organization</w:t>
        </w:r>
      </w:hyperlink>
      <w:r>
        <w:rPr>
          <w:rFonts w:ascii="Times New Roman;sans-serif" w:hAnsi="Times New Roman;sans-serif"/>
          <w:b w:val="false"/>
          <w:color w:val="000000"/>
          <w:sz w:val="20"/>
        </w:rPr>
        <w:t>), all of whose issued and outstanding share capital is wholly owned directly and indirectly by Telos Corporation. All intercompany transactions have been eliminated in consolidation.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for Interim Periods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2023, included in our Annual Report on Form 10-K for the fiscal year then ended. We have continued to follow the accounting policies set forth in those financial statements.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Comparison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prior-period amounts have been reclassified to conform to the current period presentation. Starting Q3 2023, we reclassified and presented depreciation and amortization separately from the cost of sales line items. Starting Q1 2024, we reclassified sales and marketing expenses and general and administrative expenses to be presented together as selling, general and administrative expenses. The reclassifications had no net impact on gross profit, total selling, general and administrative expenses or net loss in the unaudited consolidated statements of operations.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Preparing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of intangible assets and goodwill, restructuring expenses accruals, and contingencies. Actual results could differ from those estimates. The impact of changes in estimates is recorded in the period in which they become known.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include general and administrative expenses, as well as direct and indirect sales and marketing expenses. These costs consists primarily of compensation and benefits (including incentive-based compensation), advertising, facilities, and certain types of depreciation and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Expenses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committed to a restructuring plan to streamline its workforce and spending to better align its cost structure with its volume of business. The restructuring plan reduced the Company's workforce, with a majority of the affected employees separating from the business in early 2023. In connection with this restructuring plan, we incurred restructuring-related costs, including employee severance and related benefit costs. Employee severance and related benefit costs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a cumulative amount of $3.9 million of restructuring expenses, which is the total expected costs for this restructuring plan, as disclosed in the Company's recent Annual Report on Form 10-K for the year ended December 31, 2023. The restructuring actions were substantially complete in fiscal year 2023.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restructuring expenses (adjustments) are included within "Selling, general and administrative expenses" on the Company's unaudited consolidated statements of operations.</w:t>
      </w:r>
    </w:p>
    <w:tbl>
      <w:tblPr>
        <w:tblW w:w="6513" w:type="dxa"/>
        <w:jc w:val="left"/>
        <w:tblInd w:w="0" w:type="dxa"/>
        <w:tblLayout w:type="fixed"/>
        <w:tblCellMar>
          <w:top w:w="28" w:type="dxa"/>
          <w:left w:w="28" w:type="dxa"/>
          <w:bottom w:w="28" w:type="dxa"/>
          <w:right w:w="28" w:type="dxa"/>
        </w:tblCellMar>
      </w:tblPr>
      <w:tblGrid>
        <w:gridCol w:w="1127"/>
        <w:gridCol w:w="994"/>
        <w:gridCol w:w="998"/>
        <w:gridCol w:w="343"/>
        <w:gridCol w:w="711"/>
        <w:gridCol w:w="190"/>
        <w:gridCol w:w="190"/>
        <w:gridCol w:w="190"/>
        <w:gridCol w:w="190"/>
        <w:gridCol w:w="342"/>
        <w:gridCol w:w="970"/>
        <w:gridCol w:w="268"/>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51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2.1: Restructuring Expenses (Adjustments)</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related benefit costs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related costs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(adjustments) expenses</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each reporting date, the Company evaluates its restructuring expense accrual to determine if the liabilities reported are still appropriate. Any changes in the estimated costs of executing the approved restructuring plan are reflected in the Company's unaudited consolidated statement of operations.</w:t>
      </w:r>
    </w:p>
    <w:tbl>
      <w:tblPr>
        <w:tblW w:w="6012" w:type="dxa"/>
        <w:jc w:val="left"/>
        <w:tblInd w:w="0" w:type="dxa"/>
        <w:tblLayout w:type="fixed"/>
        <w:tblCellMar>
          <w:top w:w="28" w:type="dxa"/>
          <w:left w:w="28" w:type="dxa"/>
          <w:bottom w:w="28" w:type="dxa"/>
          <w:right w:w="28" w:type="dxa"/>
        </w:tblCellMar>
      </w:tblPr>
      <w:tblGrid>
        <w:gridCol w:w="823"/>
        <w:gridCol w:w="728"/>
        <w:gridCol w:w="728"/>
        <w:gridCol w:w="946"/>
        <w:gridCol w:w="2035"/>
        <w:gridCol w:w="752"/>
      </w:tblGrid>
      <w:tr>
        <w:trPr/>
        <w:tc>
          <w:tcPr>
            <w:tcW w:w="8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60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2.2: Summary of Changes in Restructuring Expenses Accrual</w:t>
            </w:r>
          </w:p>
        </w:tc>
      </w:tr>
      <w:tr>
        <w:trPr/>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Severance and related benefit costs </w:t>
            </w:r>
            <w:r>
              <w:rPr>
                <w:rFonts w:ascii="Times New Roman;sans-serif" w:hAnsi="Times New Roman;sans-serif"/>
                <w:b w:val="false"/>
                <w:color w:val="000000"/>
                <w:sz w:val="12"/>
              </w:rPr>
              <w:t>(1)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2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2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Restructuring expenses accrual is included within "Other current liabilities" on the Company's unaudited consolidated balance sheets (see </w:t>
      </w:r>
      <w:hyperlink w:anchor="i3240b0a7fc924a4b82e8b132951151be_61">
        <w:r>
          <w:rPr>
            <w:rStyle w:val="InternetLink"/>
            <w:rFonts w:ascii="Times New Roman;sans-serif" w:hAnsi="Times New Roman;sans-serif"/>
            <w:b w:val="false"/>
            <w:color w:val="0000FF"/>
            <w:sz w:val="16"/>
            <w:u w:val="single"/>
          </w:rPr>
          <w:t>Note 9 - Other Balance Sheet Components</w:t>
        </w:r>
      </w:hyperlink>
      <w:r>
        <w:rPr>
          <w:color w:val="000000"/>
        </w:rPr>
        <w:t xml:space="preserve"> </w:t>
      </w:r>
      <w:r>
        <w:rPr>
          <w:rFonts w:ascii="Times New Roman;sans-serif" w:hAnsi="Times New Roman;sans-serif"/>
          <w:b w:val="false"/>
          <w:color w:val="000000"/>
          <w:sz w:val="16"/>
        </w:rPr>
        <w:t>for further details.)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Adopted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will affect how we report segment information, starting with our Form 10-K for the year ended December 31, 2024, and our quarterly reports on Form 10-Q starting with our quarterly report for the quarter ended March 31, 2025. This standard requires that we provide disclosures of significant segment expenses and other segment items that are regularly provided to our chief operating decision maker ("CODM") and included in each reported measure of segment profit or loss. We will also have to disclose other segment items by reportable segment (i.e. the difference between reported segment revenues less the significant segment expenses (which are disclosed) less reported segment profit or loss). We will disclose the CODM and their position within the Company and details about the information that they regularly review to make capital allocation and other operating decisions about each segment, as well as an explanation of how the CODM uses the reported measures and other disclosures. We are currently evaluating these new segment disclosure requirements and the impact of their adoption on our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Not Yet Adopted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the FASB issued ASU No. 2023-09, "Income Taxes (Topic 740): Improvements to Income Tax Disclosure," which requires public entities, on an annual basis, (1) to disclosure specific categories in the rate reconciliation, and (2) to provide additional information for reconciling items that meet a quantitative threshold (if the effect of those reconciling items is equal to or greater than 5% of the amount computed by multiplying pretax income (loss) by the applicable statutory income tax rate). This ASU will be effective, for public entities, for the fiscal year beginning after December 15, 2024, with early adoption permitted. We are currently assessing the impact of the adoption of this ASU on our unaudited consolidated financial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new accounting standards are issued by the Financial Accounting Standard Board or other standard-setting bodies and are adopted by the Company as of the specified accounting date. Unless otherwise discussed, the Company believes that issued standards not yet effective will not have a material effect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REVENUE RECOGNITION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revenue in accordance with ASC Topic 606, "Revenue from Contracts with Customers." The unit of account in ASC 606 is a performance obligation, which is a promise in a contract with a customer to transfer a good or service to the customer.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is recognized over time, as control is transferred continuously to our customers who receive and consume benefits as we perform. Revenue transferred to customers over time accounted for 81% and 89% of our revenue for the three months ended March 31, 2024 and 2023, respectively. All of our business groups earn services revenue under a variety of contract types, including time and materials, firm-fixed price, firm-fixed price level of effort, and cost-plus fixed fee contract types, which may include variable consideration.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19% and 11% of our revenue for the three months ended March 31, 2024 and 2023,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may include various types of variable considerations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months ended March 31, 2024 and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for anticipated losses on contracts during the period when the loss is determined by recording an expense for the total expected costs that exceeds the total estimated revenue for a performance obligation. We recorded an immaterial contract loss during the three months ended March 31, 2024. No contract loss was recorded during the three months ended March 31, 2023.</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bidi w:val="0"/>
        <w:spacing w:lineRule="auto" w:line="288" w:before="120" w:after="180"/>
        <w:jc w:val="left"/>
        <w:rPr/>
      </w:pPr>
      <w:r>
        <w:rPr>
          <w:rFonts w:ascii="Times New Roman;sans-serif" w:hAnsi="Times New Roman;sans-serif"/>
          <w:b w:val="false"/>
          <w:color w:val="000000"/>
          <w:sz w:val="20"/>
        </w:rPr>
        <w:t xml:space="preserve">In addition to our segment reporting, as further discussed in </w:t>
      </w:r>
      <w:hyperlink w:anchor="i3240b0a7fc924a4b82e8b132951151be_91">
        <w:r>
          <w:rPr>
            <w:rStyle w:val="InternetLink"/>
          </w:rPr>
          <w:t>Note 1</w:t>
        </w:r>
      </w:hyperlink>
      <w:hyperlink w:anchor="i3240b0a7fc924a4b82e8b132951151be_91">
        <w:r>
          <w:rPr>
            <w:rStyle w:val="InternetLink"/>
          </w:rPr>
          <w:t>6</w:t>
        </w:r>
      </w:hyperlink>
      <w:hyperlink w:anchor="i3240b0a7fc924a4b82e8b132951151be_91">
        <w:r>
          <w:rPr>
            <w:rStyle w:val="InternetLink"/>
          </w:rPr>
          <w:t xml:space="preserve"> – Segment Information</w:t>
        </w:r>
      </w:hyperlink>
      <w:r>
        <w:rPr>
          <w:rFonts w:ascii="Times New Roman;sans-serif" w:hAnsi="Times New Roman;sans-serif"/>
          <w:b w:val="false"/>
          <w:color w:val="000000"/>
          <w:sz w:val="20"/>
        </w:rPr>
        <w:t>, we disaggregate our revenues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tbl>
      <w:tblPr>
        <w:tblW w:w="6289" w:type="dxa"/>
        <w:jc w:val="left"/>
        <w:tblInd w:w="0" w:type="dxa"/>
        <w:tblLayout w:type="fixed"/>
        <w:tblCellMar>
          <w:top w:w="28" w:type="dxa"/>
          <w:left w:w="28" w:type="dxa"/>
          <w:bottom w:w="28" w:type="dxa"/>
          <w:right w:w="28" w:type="dxa"/>
        </w:tblCellMar>
      </w:tblPr>
      <w:tblGrid>
        <w:gridCol w:w="803"/>
        <w:gridCol w:w="703"/>
        <w:gridCol w:w="713"/>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0"/>
        <w:gridCol w:w="180"/>
        <w:gridCol w:w="256"/>
      </w:tblGrid>
      <w:tr>
        <w:trPr/>
        <w:tc>
          <w:tcPr>
            <w:tcW w:w="8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28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3.1: Revenue by Customer Type</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&amp; local, and commercial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tbl>
      <w:tblPr>
        <w:tblW w:w="5556" w:type="dxa"/>
        <w:jc w:val="left"/>
        <w:tblInd w:w="0" w:type="dxa"/>
        <w:tblLayout w:type="fixed"/>
        <w:tblCellMar>
          <w:top w:w="28" w:type="dxa"/>
          <w:left w:w="28" w:type="dxa"/>
          <w:bottom w:w="28" w:type="dxa"/>
          <w:right w:w="28" w:type="dxa"/>
        </w:tblCellMar>
      </w:tblPr>
      <w:tblGrid>
        <w:gridCol w:w="538"/>
        <w:gridCol w:w="472"/>
        <w:gridCol w:w="476"/>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0"/>
        <w:gridCol w:w="180"/>
        <w:gridCol w:w="25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55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3.2: Revenue by Contract Type</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Firm fixed-price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Time-and-materials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plus fixed fee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tbl>
      <w:tblPr>
        <w:tblW w:w="7000" w:type="dxa"/>
        <w:jc w:val="left"/>
        <w:tblInd w:w="0" w:type="dxa"/>
        <w:tblLayout w:type="fixed"/>
        <w:tblCellMar>
          <w:top w:w="28" w:type="dxa"/>
          <w:left w:w="28" w:type="dxa"/>
          <w:bottom w:w="28" w:type="dxa"/>
          <w:right w:w="28" w:type="dxa"/>
        </w:tblCellMar>
      </w:tblPr>
      <w:tblGrid>
        <w:gridCol w:w="1022"/>
        <w:gridCol w:w="899"/>
        <w:gridCol w:w="899"/>
        <w:gridCol w:w="444"/>
        <w:gridCol w:w="444"/>
        <w:gridCol w:w="444"/>
        <w:gridCol w:w="444"/>
        <w:gridCol w:w="444"/>
        <w:gridCol w:w="444"/>
        <w:gridCol w:w="444"/>
        <w:gridCol w:w="444"/>
        <w:gridCol w:w="628"/>
      </w:tblGrid>
      <w:tr>
        <w:trPr/>
        <w:tc>
          <w:tcPr>
            <w:tcW w:w="102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700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3.3: Revenue Concentration Greater than 10% of Total Revenue</w:t>
            </w:r>
          </w:p>
        </w:tc>
      </w:tr>
      <w:tr>
        <w:trPr/>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Defense ("DoD")</w:t>
            </w:r>
          </w:p>
        </w:tc>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r>
    </w:tbl>
    <w:tbl>
      <w:tblPr>
        <w:tblW w:w="7671" w:type="dxa"/>
        <w:jc w:val="left"/>
        <w:tblInd w:w="0" w:type="dxa"/>
        <w:tblLayout w:type="fixed"/>
        <w:tblCellMar>
          <w:top w:w="28" w:type="dxa"/>
          <w:left w:w="28" w:type="dxa"/>
          <w:bottom w:w="28" w:type="dxa"/>
          <w:right w:w="28" w:type="dxa"/>
        </w:tblCellMar>
      </w:tblPr>
      <w:tblGrid>
        <w:gridCol w:w="803"/>
        <w:gridCol w:w="707"/>
        <w:gridCol w:w="709"/>
        <w:gridCol w:w="669"/>
        <w:gridCol w:w="669"/>
        <w:gridCol w:w="671"/>
        <w:gridCol w:w="109"/>
        <w:gridCol w:w="109"/>
        <w:gridCol w:w="109"/>
        <w:gridCol w:w="283"/>
        <w:gridCol w:w="804"/>
        <w:gridCol w:w="157"/>
        <w:gridCol w:w="109"/>
        <w:gridCol w:w="109"/>
        <w:gridCol w:w="109"/>
        <w:gridCol w:w="304"/>
        <w:gridCol w:w="1002"/>
        <w:gridCol w:w="23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671"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3.4: Contract Balances</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Balance Sheet Presentation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Billed accounts receivables </w:t>
            </w:r>
            <w:r>
              <w:rPr>
                <w:rFonts w:ascii="Times New Roman;sans-serif" w:hAnsi="Times New Roman;sans-serif"/>
                <w:b w:val="false"/>
                <w:color w:val="000000"/>
                <w:sz w:val="12"/>
              </w:rPr>
              <w:t>(1)</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Net of allowance for credit losses.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Company's contract assets and contract liabilities during the current period were primarily the result of the timing differences between the Company's performance, invoicing and customer payments. Revenue recognized for the three months ended March 31, 2024 and 2023, that was included in the contract liabilities balance at the beginning of each reporting period was $2.7 million and $2.5 million,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approximately $36.1 million of remaining performance obligations, which we also refer to as funded backlog. We expect to recognize approximately 89% of our remaining performance obligations over the next 12 months, and the balance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4. ACCOUNTS RECEIVABLE, NET</w:t>
      </w:r>
    </w:p>
    <w:tbl>
      <w:tblPr>
        <w:tblW w:w="5522" w:type="dxa"/>
        <w:jc w:val="left"/>
        <w:tblInd w:w="0" w:type="dxa"/>
        <w:tblLayout w:type="fixed"/>
        <w:tblCellMar>
          <w:top w:w="28" w:type="dxa"/>
          <w:left w:w="28" w:type="dxa"/>
          <w:bottom w:w="28" w:type="dxa"/>
          <w:right w:w="28" w:type="dxa"/>
        </w:tblCellMar>
      </w:tblPr>
      <w:tblGrid>
        <w:gridCol w:w="814"/>
        <w:gridCol w:w="717"/>
        <w:gridCol w:w="719"/>
        <w:gridCol w:w="265"/>
        <w:gridCol w:w="874"/>
        <w:gridCol w:w="147"/>
        <w:gridCol w:w="147"/>
        <w:gridCol w:w="147"/>
        <w:gridCol w:w="147"/>
        <w:gridCol w:w="304"/>
        <w:gridCol w:w="1003"/>
        <w:gridCol w:w="238"/>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52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4: Details of Accounts Receivable, Net</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Billed accounts receivable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Allowance for credit losses </w:t>
            </w:r>
            <w:r>
              <w:rPr>
                <w:rFonts w:ascii="Times New Roman;sans-serif" w:hAnsi="Times New Roman;sans-serif"/>
                <w:b w:val="false"/>
                <w:color w:val="000000"/>
                <w:sz w:val="12"/>
              </w:rPr>
              <w:t>(1)</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30,424 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provision for credit losses, net of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our primary customer base includes agencies of the U.S. government, we have a concentration of credit risk associated with our accounts receivable, as 96% and 91% of our billed and unbilled accounts receivable as of March 31, 2024 and December 31, 2023, respectively, were directly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5. INVENTORIES, NET</w:t>
      </w:r>
    </w:p>
    <w:tbl>
      <w:tblPr>
        <w:tblW w:w="6002" w:type="dxa"/>
        <w:jc w:val="left"/>
        <w:tblInd w:w="0" w:type="dxa"/>
        <w:tblLayout w:type="fixed"/>
        <w:tblCellMar>
          <w:top w:w="28" w:type="dxa"/>
          <w:left w:w="28" w:type="dxa"/>
          <w:bottom w:w="28" w:type="dxa"/>
          <w:right w:w="28" w:type="dxa"/>
        </w:tblCellMar>
      </w:tblPr>
      <w:tblGrid>
        <w:gridCol w:w="1026"/>
        <w:gridCol w:w="901"/>
        <w:gridCol w:w="908"/>
        <w:gridCol w:w="283"/>
        <w:gridCol w:w="805"/>
        <w:gridCol w:w="156"/>
        <w:gridCol w:w="126"/>
        <w:gridCol w:w="126"/>
        <w:gridCol w:w="126"/>
        <w:gridCol w:w="334"/>
        <w:gridCol w:w="949"/>
        <w:gridCol w:w="262"/>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00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5: Details of Inventories, Net</w:t>
            </w:r>
          </w:p>
        </w:tc>
      </w:tr>
      <w:tr>
        <w:trPr/>
        <w:tc>
          <w:tcPr>
            <w:tcW w:w="2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inventory</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inventory obsolescence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6. PROPERTY AND EQUIPMENT, NET</w:t>
      </w:r>
    </w:p>
    <w:tbl>
      <w:tblPr>
        <w:tblW w:w="10205" w:type="dxa"/>
        <w:jc w:val="left"/>
        <w:tblInd w:w="0" w:type="dxa"/>
        <w:tblLayout w:type="fixed"/>
        <w:tblCellMar>
          <w:top w:w="28" w:type="dxa"/>
          <w:left w:w="28" w:type="dxa"/>
          <w:bottom w:w="28" w:type="dxa"/>
          <w:right w:w="28" w:type="dxa"/>
        </w:tblCellMar>
      </w:tblPr>
      <w:tblGrid>
        <w:gridCol w:w="588"/>
        <w:gridCol w:w="342"/>
        <w:gridCol w:w="344"/>
        <w:gridCol w:w="233"/>
        <w:gridCol w:w="768"/>
        <w:gridCol w:w="129"/>
        <w:gridCol w:w="109"/>
        <w:gridCol w:w="109"/>
        <w:gridCol w:w="109"/>
        <w:gridCol w:w="287"/>
        <w:gridCol w:w="1054"/>
        <w:gridCol w:w="159"/>
        <w:gridCol w:w="109"/>
        <w:gridCol w:w="109"/>
        <w:gridCol w:w="109"/>
        <w:gridCol w:w="225"/>
        <w:gridCol w:w="640"/>
        <w:gridCol w:w="125"/>
        <w:gridCol w:w="109"/>
        <w:gridCol w:w="109"/>
        <w:gridCol w:w="109"/>
        <w:gridCol w:w="233"/>
        <w:gridCol w:w="768"/>
        <w:gridCol w:w="129"/>
        <w:gridCol w:w="109"/>
        <w:gridCol w:w="109"/>
        <w:gridCol w:w="109"/>
        <w:gridCol w:w="287"/>
        <w:gridCol w:w="1054"/>
        <w:gridCol w:w="159"/>
        <w:gridCol w:w="109"/>
        <w:gridCol w:w="109"/>
        <w:gridCol w:w="109"/>
        <w:gridCol w:w="224"/>
        <w:gridCol w:w="636"/>
        <w:gridCol w:w="186"/>
      </w:tblGrid>
      <w:tr>
        <w:trPr/>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6.1: Details of Property and Equipment, Net</w:t>
            </w:r>
          </w:p>
        </w:tc>
      </w:tr>
      <w:tr>
        <w:trPr/>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2023</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Furniture and equipment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Leasehold improvements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(16,170)</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19,424 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56" w:type="dxa"/>
        <w:jc w:val="left"/>
        <w:tblInd w:w="0" w:type="dxa"/>
        <w:tblLayout w:type="fixed"/>
        <w:tblCellMar>
          <w:top w:w="28" w:type="dxa"/>
          <w:left w:w="28" w:type="dxa"/>
          <w:bottom w:w="28" w:type="dxa"/>
          <w:right w:w="28" w:type="dxa"/>
        </w:tblCellMar>
      </w:tblPr>
      <w:tblGrid>
        <w:gridCol w:w="1033"/>
        <w:gridCol w:w="907"/>
        <w:gridCol w:w="910"/>
        <w:gridCol w:w="366"/>
        <w:gridCol w:w="787"/>
        <w:gridCol w:w="203"/>
        <w:gridCol w:w="203"/>
        <w:gridCol w:w="203"/>
        <w:gridCol w:w="203"/>
        <w:gridCol w:w="366"/>
        <w:gridCol w:w="787"/>
        <w:gridCol w:w="288"/>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25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6.2: Depreciation and Amortization Expense</w:t>
            </w:r>
          </w:p>
        </w:tc>
      </w:tr>
      <w:tr>
        <w:trPr/>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7. GOODWILL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balance was $17.9 million as of March 31, 2024, and December 31, 2023,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were recorded for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8. INTANGIBLE ASSETS, NET</w:t>
      </w:r>
    </w:p>
    <w:tbl>
      <w:tblPr>
        <w:tblW w:w="10205" w:type="dxa"/>
        <w:jc w:val="left"/>
        <w:tblInd w:w="0" w:type="dxa"/>
        <w:tblLayout w:type="fixed"/>
        <w:tblCellMar>
          <w:top w:w="28" w:type="dxa"/>
          <w:left w:w="28" w:type="dxa"/>
          <w:bottom w:w="28" w:type="dxa"/>
          <w:right w:w="28" w:type="dxa"/>
        </w:tblCellMar>
      </w:tblPr>
      <w:tblGrid>
        <w:gridCol w:w="520"/>
        <w:gridCol w:w="365"/>
        <w:gridCol w:w="366"/>
        <w:gridCol w:w="292"/>
        <w:gridCol w:w="292"/>
        <w:gridCol w:w="293"/>
        <w:gridCol w:w="216"/>
        <w:gridCol w:w="712"/>
        <w:gridCol w:w="120"/>
        <w:gridCol w:w="109"/>
        <w:gridCol w:w="109"/>
        <w:gridCol w:w="109"/>
        <w:gridCol w:w="217"/>
        <w:gridCol w:w="796"/>
        <w:gridCol w:w="121"/>
        <w:gridCol w:w="109"/>
        <w:gridCol w:w="109"/>
        <w:gridCol w:w="109"/>
        <w:gridCol w:w="208"/>
        <w:gridCol w:w="687"/>
        <w:gridCol w:w="115"/>
        <w:gridCol w:w="109"/>
        <w:gridCol w:w="109"/>
        <w:gridCol w:w="109"/>
        <w:gridCol w:w="216"/>
        <w:gridCol w:w="712"/>
        <w:gridCol w:w="120"/>
        <w:gridCol w:w="109"/>
        <w:gridCol w:w="109"/>
        <w:gridCol w:w="109"/>
        <w:gridCol w:w="217"/>
        <w:gridCol w:w="796"/>
        <w:gridCol w:w="121"/>
        <w:gridCol w:w="109"/>
        <w:gridCol w:w="109"/>
        <w:gridCol w:w="109"/>
        <w:gridCol w:w="207"/>
        <w:gridCol w:w="685"/>
        <w:gridCol w:w="176"/>
      </w:tblGrid>
      <w:tr>
        <w:trPr/>
        <w:tc>
          <w:tcPr>
            <w:tcW w:w="5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8.1: Details of Intangible Assets, Net</w:t>
            </w:r>
          </w:p>
        </w:tc>
      </w:tr>
      <w:tr>
        <w:trPr/>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2023</w:t>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Useful Life</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80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(in thousands)</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technology</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Software development costs</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2 - 5</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Subtotal</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40,269 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In-process software development costs </w:t>
            </w:r>
            <w:r>
              <w:rPr>
                <w:rFonts w:ascii="Times New Roman;sans-serif" w:hAnsi="Times New Roman;sans-serif"/>
                <w:b w:val="false"/>
                <w:color w:val="000000"/>
                <w:sz w:val="10"/>
              </w:rPr>
              <w:t>(1)</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40,530 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In-process software development costs are costs for software that is not yet available for its intended use or general release to customers as of balance sheet date, thus not yet amortized.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tbl>
      <w:tblPr>
        <w:tblW w:w="7009" w:type="dxa"/>
        <w:jc w:val="left"/>
        <w:tblInd w:w="0" w:type="dxa"/>
        <w:tblLayout w:type="fixed"/>
        <w:tblCellMar>
          <w:top w:w="28" w:type="dxa"/>
          <w:left w:w="28" w:type="dxa"/>
          <w:bottom w:w="28" w:type="dxa"/>
          <w:right w:w="28" w:type="dxa"/>
        </w:tblCellMar>
      </w:tblPr>
      <w:tblGrid>
        <w:gridCol w:w="1485"/>
        <w:gridCol w:w="1301"/>
        <w:gridCol w:w="1309"/>
        <w:gridCol w:w="282"/>
        <w:gridCol w:w="805"/>
        <w:gridCol w:w="157"/>
        <w:gridCol w:w="127"/>
        <w:gridCol w:w="127"/>
        <w:gridCol w:w="127"/>
        <w:gridCol w:w="327"/>
        <w:gridCol w:w="705"/>
        <w:gridCol w:w="257"/>
      </w:tblGrid>
      <w:tr>
        <w:trPr/>
        <w:tc>
          <w:tcPr>
            <w:tcW w:w="148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700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8.2: Amortization Expense</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 related to:</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Software development costs - cost of sales </w:t>
            </w:r>
            <w:r>
              <w:rPr>
                <w:rFonts w:ascii="Times New Roman;sans-serif" w:hAnsi="Times New Roman;sans-serif"/>
                <w:b w:val="false"/>
                <w:color w:val="000000"/>
                <w:sz w:val="12"/>
              </w:rPr>
              <w:t>(1)</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 - research and development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 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Amortization expense for software development costs related to assets to be sold, leased, or otherwise marketed is charged under cost of sales on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9. OTHER BALANCE SHEET COMPONENTS</w:t>
      </w:r>
    </w:p>
    <w:tbl>
      <w:tblPr>
        <w:tblW w:w="4361" w:type="dxa"/>
        <w:jc w:val="left"/>
        <w:tblInd w:w="0" w:type="dxa"/>
        <w:tblLayout w:type="fixed"/>
        <w:tblCellMar>
          <w:top w:w="28" w:type="dxa"/>
          <w:left w:w="28" w:type="dxa"/>
          <w:bottom w:w="28" w:type="dxa"/>
          <w:right w:w="28" w:type="dxa"/>
        </w:tblCellMar>
      </w:tblPr>
      <w:tblGrid>
        <w:gridCol w:w="428"/>
        <w:gridCol w:w="378"/>
        <w:gridCol w:w="379"/>
        <w:gridCol w:w="283"/>
        <w:gridCol w:w="805"/>
        <w:gridCol w:w="157"/>
        <w:gridCol w:w="129"/>
        <w:gridCol w:w="129"/>
        <w:gridCol w:w="129"/>
        <w:gridCol w:w="392"/>
        <w:gridCol w:w="844"/>
        <w:gridCol w:w="308"/>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36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9.1: Details of Other Assets</w:t>
            </w:r>
          </w:p>
        </w:tc>
      </w:tr>
      <w:tr>
        <w:trPr/>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Investment </w:t>
            </w:r>
            <w:r>
              <w:rPr>
                <w:rFonts w:ascii="Times New Roman;sans-serif" w:hAnsi="Times New Roman;sans-serif"/>
                <w:b w:val="false"/>
                <w:color w:val="000000"/>
                <w:sz w:val="12"/>
              </w:rPr>
              <w:t>(1)</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 March 2024, we made a $3.0 million investment in a privately held company via a simple agreement for future equity. We paid $0.9 million in March 2024 and the remainder was paid in April 2024. The Company elected to apply the fair value option on this investment, and we did not note any changes in the fair value during the three months ended March 31, 2024.</w:t>
      </w:r>
    </w:p>
    <w:tbl>
      <w:tblPr>
        <w:tblW w:w="8036" w:type="dxa"/>
        <w:jc w:val="left"/>
        <w:tblInd w:w="0" w:type="dxa"/>
        <w:tblLayout w:type="fixed"/>
        <w:tblCellMar>
          <w:top w:w="28" w:type="dxa"/>
          <w:left w:w="28" w:type="dxa"/>
          <w:bottom w:w="28" w:type="dxa"/>
          <w:right w:w="28" w:type="dxa"/>
        </w:tblCellMar>
      </w:tblPr>
      <w:tblGrid>
        <w:gridCol w:w="1210"/>
        <w:gridCol w:w="1062"/>
        <w:gridCol w:w="1072"/>
        <w:gridCol w:w="421"/>
        <w:gridCol w:w="1195"/>
        <w:gridCol w:w="234"/>
        <w:gridCol w:w="234"/>
        <w:gridCol w:w="234"/>
        <w:gridCol w:w="234"/>
        <w:gridCol w:w="421"/>
        <w:gridCol w:w="1388"/>
        <w:gridCol w:w="331"/>
      </w:tblGrid>
      <w:tr>
        <w:trPr/>
        <w:tc>
          <w:tcPr>
            <w:tcW w:w="12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03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9.2: Details of Accounts Payable and Other Accrued Liabilities</w:t>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payables</w:t>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9,164 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5" w:type="dxa"/>
        <w:jc w:val="left"/>
        <w:tblInd w:w="0" w:type="dxa"/>
        <w:tblLayout w:type="fixed"/>
        <w:tblCellMar>
          <w:top w:w="28" w:type="dxa"/>
          <w:left w:w="28" w:type="dxa"/>
          <w:bottom w:w="28" w:type="dxa"/>
          <w:right w:w="28" w:type="dxa"/>
        </w:tblCellMar>
      </w:tblPr>
      <w:tblGrid>
        <w:gridCol w:w="835"/>
        <w:gridCol w:w="735"/>
        <w:gridCol w:w="739"/>
        <w:gridCol w:w="294"/>
        <w:gridCol w:w="835"/>
        <w:gridCol w:w="163"/>
        <w:gridCol w:w="163"/>
        <w:gridCol w:w="163"/>
        <w:gridCol w:w="163"/>
        <w:gridCol w:w="334"/>
        <w:gridCol w:w="949"/>
        <w:gridCol w:w="262"/>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6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9.3: Details of Other Current Liabilities</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accrual</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10. DEBT AND OTHER OBLIGATIONS</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will accrue interest, at our option, at one of three variable rates, plus a specified margin. We can elect to borrow at (i) 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under the Credit Agreement is collateralized by substantially all of the Company's assets, including the Company's pledge of its domestic and material foreign subsidiary equity interests.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March 31, 2024.</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 event of default under the Credit Agreement could result in the Loan and other obligations becoming immediately due and payable and allow the Lenders to exercise all rights and remedies available to them under the Credit Agreement.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Financing Obligations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Master Purchase Agreement ("MPA") with a third-party buyer ("Buyer") for $9.1 million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Buyer and Telos will cooperate in preparing such a claim, which would be filed in Telos' name. Buyer has notified Telos of its intent to pursue a claim against the customer.</w:t>
      </w:r>
    </w:p>
    <w:p>
      <w:pPr>
        <w:pStyle w:val="TextBody"/>
        <w:bidi w:val="0"/>
        <w:spacing w:lineRule="auto" w:line="288" w:before="120" w:after="180"/>
        <w:jc w:val="left"/>
        <w:rPr/>
      </w:pPr>
      <w:r>
        <w:rPr>
          <w:rFonts w:ascii="Times New Roman;sans-serif" w:hAnsi="Times New Roman;sans-serif"/>
          <w:b w:val="false"/>
          <w:color w:val="000000"/>
          <w:sz w:val="20"/>
        </w:rPr>
        <w:t xml:space="preserve">Concurrently, 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Times New Roman;sans-serif" w:hAnsi="Times New Roman;sans-serif"/>
          <w:b w:val="false"/>
          <w:i/>
          <w:color w:val="000000"/>
          <w:sz w:val="20"/>
        </w:rPr>
        <w:t>Debt</w:t>
      </w:r>
      <w:r>
        <w:rPr>
          <w:rFonts w:ascii="Times New Roman;sans-serif" w:hAnsi="Times New Roman;sans-serif"/>
          <w:b w:val="false"/>
          <w:color w:val="000000"/>
          <w:sz w:val="20"/>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During the three months ended March 31, 2023, the Company reported a gain of $1.4 million, which was recorded as "Other income" in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11. STOCK-BASED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stock-based compensation awards under the 2016 Omnibus Long-Term Incentive Plan, as amended (the "2016 LTIP"). We may grant restricted stock awards, restricted stock units with time-based vesting ("RSUs") and restricted stock units with performance-based vesting ("PSUs"). Awards granted under the 2016 LTIP vest over the periods determined by the Board of Directors or the Compensation Committee of the Board of Directors, which has the discretion to establish the terms, conditions and criteria of the various awards. The RSUs granted to eligible employees generally vest in installments over a period of up to three years. PSUs will vest upon the achievement of a defined performance target or market conditions for the Company's common stock, certain operational milestones over prescribed period, or at the end of the defined performance period from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income tax benefits recognized on the share-based compensation expense for both periods.</w:t>
      </w:r>
    </w:p>
    <w:tbl>
      <w:tblPr>
        <w:tblW w:w="8170" w:type="dxa"/>
        <w:jc w:val="left"/>
        <w:tblInd w:w="0" w:type="dxa"/>
        <w:tblLayout w:type="fixed"/>
        <w:tblCellMar>
          <w:top w:w="28" w:type="dxa"/>
          <w:left w:w="28" w:type="dxa"/>
          <w:bottom w:w="28" w:type="dxa"/>
          <w:right w:w="28" w:type="dxa"/>
        </w:tblCellMar>
      </w:tblPr>
      <w:tblGrid>
        <w:gridCol w:w="1916"/>
        <w:gridCol w:w="1687"/>
        <w:gridCol w:w="1691"/>
        <w:gridCol w:w="283"/>
        <w:gridCol w:w="805"/>
        <w:gridCol w:w="156"/>
        <w:gridCol w:w="114"/>
        <w:gridCol w:w="114"/>
        <w:gridCol w:w="114"/>
        <w:gridCol w:w="279"/>
        <w:gridCol w:w="792"/>
        <w:gridCol w:w="219"/>
      </w:tblGrid>
      <w:tr>
        <w:trPr/>
        <w:tc>
          <w:tcPr>
            <w:tcW w:w="191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11.1: Details of Stock Compensation Expense by Department</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tbl>
      <w:tblPr>
        <w:tblW w:w="10205" w:type="dxa"/>
        <w:jc w:val="left"/>
        <w:tblInd w:w="0" w:type="dxa"/>
        <w:tblLayout w:type="fixed"/>
        <w:tblCellMar>
          <w:top w:w="28" w:type="dxa"/>
          <w:left w:w="28" w:type="dxa"/>
          <w:bottom w:w="28" w:type="dxa"/>
          <w:right w:w="28" w:type="dxa"/>
        </w:tblCellMar>
      </w:tblPr>
      <w:tblGrid>
        <w:gridCol w:w="992"/>
        <w:gridCol w:w="873"/>
        <w:gridCol w:w="879"/>
        <w:gridCol w:w="459"/>
        <w:gridCol w:w="462"/>
        <w:gridCol w:w="376"/>
        <w:gridCol w:w="109"/>
        <w:gridCol w:w="109"/>
        <w:gridCol w:w="109"/>
        <w:gridCol w:w="500"/>
        <w:gridCol w:w="500"/>
        <w:gridCol w:w="501"/>
        <w:gridCol w:w="109"/>
        <w:gridCol w:w="109"/>
        <w:gridCol w:w="109"/>
        <w:gridCol w:w="459"/>
        <w:gridCol w:w="462"/>
        <w:gridCol w:w="278"/>
        <w:gridCol w:w="109"/>
        <w:gridCol w:w="109"/>
        <w:gridCol w:w="109"/>
        <w:gridCol w:w="593"/>
        <w:gridCol w:w="1414"/>
        <w:gridCol w:w="476"/>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11.2: Restricted Stock Activity</w:t>
            </w:r>
          </w:p>
        </w:tc>
      </w:tr>
      <w:tr>
        <w:trPr/>
        <w:tc>
          <w:tcPr>
            <w:tcW w:w="2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Service-Based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Performance-Based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December 31, 2023</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2,132,613 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2,176,413 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(1,260,068)</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(1,260,068)</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March 31, 2024</w:t>
            </w:r>
          </w:p>
        </w:tc>
        <w:tc>
          <w:tcPr>
            <w:tcW w:w="9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894,171 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937,971 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intrinsic value of the RSUs and PSUs outstanding, exercisable, and vested or expected to vest was $3.9 million. There was approximately $2.1 million of total compensation costs related to stock-based awards not yet recognized as of March 31, 2024, which is expected to be recognized on a straight-line basis over a weighted-average remaining vesting period of 0.7 years.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tbl>
      <w:tblPr>
        <w:tblW w:w="10205" w:type="dxa"/>
        <w:jc w:val="left"/>
        <w:tblInd w:w="0" w:type="dxa"/>
        <w:tblLayout w:type="fixed"/>
        <w:tblCellMar>
          <w:top w:w="28" w:type="dxa"/>
          <w:left w:w="28" w:type="dxa"/>
          <w:bottom w:w="28" w:type="dxa"/>
          <w:right w:w="28" w:type="dxa"/>
        </w:tblCellMar>
      </w:tblPr>
      <w:tblGrid>
        <w:gridCol w:w="748"/>
        <w:gridCol w:w="657"/>
        <w:gridCol w:w="661"/>
        <w:gridCol w:w="510"/>
        <w:gridCol w:w="456"/>
        <w:gridCol w:w="457"/>
        <w:gridCol w:w="109"/>
        <w:gridCol w:w="109"/>
        <w:gridCol w:w="109"/>
        <w:gridCol w:w="464"/>
        <w:gridCol w:w="1105"/>
        <w:gridCol w:w="260"/>
        <w:gridCol w:w="109"/>
        <w:gridCol w:w="109"/>
        <w:gridCol w:w="109"/>
        <w:gridCol w:w="827"/>
        <w:gridCol w:w="827"/>
        <w:gridCol w:w="828"/>
        <w:gridCol w:w="109"/>
        <w:gridCol w:w="109"/>
        <w:gridCol w:w="109"/>
        <w:gridCol w:w="255"/>
        <w:gridCol w:w="961"/>
        <w:gridCol w:w="208"/>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11.3: Stock Option Activity</w:t>
            </w:r>
          </w:p>
        </w:tc>
      </w:tr>
      <w:tr>
        <w:trPr/>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Aggregate Intrinsic Value</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December 31, 2023</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740,000 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March 31, 2024</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944,000 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stock option as of March 31, 2024</w:t>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exercise price of the underlying stock option awards and the quoted closing price of the Company's common stock as of March 31, 2024.</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were approximately $0.04 million of unrecognized compensation costs related to non-vested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12. SHARE REPURCHASES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share purchases during the first quarter of 2024 and 2023. As of March 31, 2024, there was approximately $38.7 million of the authorization remaining for future common stock repurchases under the SRP.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13. ACCUMULATED OTHER COMPREHENSIVE LOSS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 income.</w:t>
      </w:r>
    </w:p>
    <w:tbl>
      <w:tblPr>
        <w:tblW w:w="10205" w:type="dxa"/>
        <w:jc w:val="left"/>
        <w:tblInd w:w="0" w:type="dxa"/>
        <w:tblLayout w:type="fixed"/>
        <w:tblCellMar>
          <w:top w:w="28" w:type="dxa"/>
          <w:left w:w="28" w:type="dxa"/>
          <w:bottom w:w="28" w:type="dxa"/>
          <w:right w:w="28" w:type="dxa"/>
        </w:tblCellMar>
      </w:tblPr>
      <w:tblGrid>
        <w:gridCol w:w="1167"/>
        <w:gridCol w:w="973"/>
        <w:gridCol w:w="977"/>
        <w:gridCol w:w="640"/>
        <w:gridCol w:w="1551"/>
        <w:gridCol w:w="341"/>
        <w:gridCol w:w="197"/>
        <w:gridCol w:w="197"/>
        <w:gridCol w:w="197"/>
        <w:gridCol w:w="514"/>
        <w:gridCol w:w="1050"/>
        <w:gridCol w:w="270"/>
        <w:gridCol w:w="197"/>
        <w:gridCol w:w="197"/>
        <w:gridCol w:w="197"/>
        <w:gridCol w:w="356"/>
        <w:gridCol w:w="892"/>
        <w:gridCol w:w="292"/>
      </w:tblGrid>
      <w:tr>
        <w:trPr/>
        <w:tc>
          <w:tcPr>
            <w:tcW w:w="11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13: Details of Changes in Accumulated Other Comprehensive Loss by Category</w:t>
            </w:r>
          </w:p>
        </w:tc>
      </w:tr>
      <w:tr>
        <w:trPr/>
        <w:tc>
          <w:tcPr>
            <w:tcW w:w="3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Pension liability adjustment</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before reclassification</w:t>
            </w:r>
          </w:p>
        </w:tc>
        <w:tc>
          <w:tcPr>
            <w:tcW w:w="2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14. LOSS PER SHARE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of net loss, potentially dilutive securities are not included in the calculation of diluted net earnings (loss) per share, because to do so would be anti-dilutive.</w:t>
      </w:r>
    </w:p>
    <w:tbl>
      <w:tblPr>
        <w:tblW w:w="6995" w:type="dxa"/>
        <w:jc w:val="left"/>
        <w:tblInd w:w="0" w:type="dxa"/>
        <w:tblLayout w:type="fixed"/>
        <w:tblCellMar>
          <w:top w:w="28" w:type="dxa"/>
          <w:left w:w="28" w:type="dxa"/>
          <w:bottom w:w="28" w:type="dxa"/>
          <w:right w:w="28" w:type="dxa"/>
        </w:tblCellMar>
      </w:tblPr>
      <w:tblGrid>
        <w:gridCol w:w="1340"/>
        <w:gridCol w:w="1177"/>
        <w:gridCol w:w="1187"/>
        <w:gridCol w:w="415"/>
        <w:gridCol w:w="415"/>
        <w:gridCol w:w="415"/>
        <w:gridCol w:w="252"/>
        <w:gridCol w:w="252"/>
        <w:gridCol w:w="252"/>
        <w:gridCol w:w="378"/>
        <w:gridCol w:w="378"/>
        <w:gridCol w:w="534"/>
      </w:tblGrid>
      <w:tr>
        <w:trPr/>
        <w:tc>
          <w:tcPr>
            <w:tcW w:w="134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69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14: Potentially Dilutive Securities</w:t>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and restricted stock units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outstanding PSUs aggregating to 43,800 and 265,608, respectively, have been excluded from the calculation of potentially dilutive securities above because the issuance of shares is contingent upon the satisfaction of certain conditions which were not satisfied by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15. RELATED PARTY TRANSACTIONS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Emmett J. Wood, the brother of our Chairman and CEO, had been an employee of the Company since 1996. In January 2023, he tendered his resignation as an employee effective February 7, 2023. The amount paid to him as compensation for his remaining tenure in 2023 was $249,000.</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Company’s directors served as a consultant to the Company under a consultancy agreement that expired on December 31, 2023. The Company, at its election, paid the director's 2023 consultancy fees in a fixed amount, in the form of RSUs. On January 3, 2023, the Company granted the director 16,859 RSUs for his consulting services through June 30, 2023, one-half of which vested on March 3, 2023, and the other half vested on May 18, 2023. Beginning in July 2023, the director was paid a firm-fixed monthly retainer fee, plus additional fees and contingent bonus payments upon achievement of certain contract goals, payable in cash through the expiration of the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16. SEGMENT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two reportable and operating segments: Security Solutions and Secure Networks. These segments enable the alignment of our strategies and objectives and provide a framework for the timely and rational allocation of resources within the business lines.</w:t>
      </w:r>
    </w:p>
    <w:p>
      <w:pPr>
        <w:pStyle w:val="TextBody"/>
        <w:bidi w:val="0"/>
        <w:spacing w:lineRule="auto" w:line="268" w:before="0" w:after="0"/>
        <w:jc w:val="left"/>
        <w:rPr/>
      </w:pPr>
      <w:r>
        <w:rPr>
          <w:rFonts w:ascii="Times New Roman;sans-serif" w:hAnsi="Times New Roman;sans-serif"/>
          <w:b w:val="false"/>
          <w:color w:val="000000"/>
          <w:sz w:val="20"/>
        </w:rPr>
        <w:t>Our Security Solutions segment is primarily focused on cybersecurity, cloud and identity solutions, and secure messaging through Xacta</w:t>
      </w:r>
      <w:r>
        <w:rPr>
          <w:rFonts w:ascii="Times New Roman;sans-serif" w:hAnsi="Times New Roman;sans-serif"/>
          <w:b w:val="false"/>
          <w:color w:val="000000"/>
          <w:sz w:val="13"/>
        </w:rPr>
        <w:t>®</w:t>
      </w:r>
      <w:r>
        <w:rPr>
          <w:rFonts w:ascii="Times New Roman;sans-serif" w:hAnsi="Times New Roman;sans-serif"/>
          <w:b w:val="false"/>
          <w:color w:val="000000"/>
          <w:sz w:val="20"/>
        </w:rPr>
        <w:t>, Telos Ghost</w:t>
      </w:r>
      <w:r>
        <w:rPr>
          <w:rFonts w:ascii="Times New Roman;sans-serif" w:hAnsi="Times New Roman;sans-serif"/>
          <w:b w:val="false"/>
          <w:color w:val="000000"/>
          <w:sz w:val="13"/>
        </w:rPr>
        <w:t>®</w:t>
      </w:r>
      <w:r>
        <w:rPr>
          <w:rFonts w:ascii="Times New Roman;sans-serif" w:hAnsi="Times New Roman;sans-serif"/>
          <w:b w:val="false"/>
          <w:color w:val="000000"/>
          <w:sz w:val="20"/>
        </w:rPr>
        <w:t>, Telos Advanced Cyber Analytics ("Telos ACA</w:t>
      </w:r>
      <w:r>
        <w:rPr>
          <w:rFonts w:ascii="Times New Roman;sans-serif" w:hAnsi="Times New Roman;sans-serif"/>
          <w:b w:val="false"/>
          <w:color w:val="000000"/>
          <w:sz w:val="13"/>
        </w:rPr>
        <w:t>TM</w:t>
      </w:r>
      <w:r>
        <w:rPr>
          <w:rFonts w:ascii="Times New Roman;sans-serif" w:hAnsi="Times New Roman;sans-serif"/>
          <w:b w:val="false"/>
          <w:color w:val="000000"/>
          <w:sz w:val="20"/>
        </w:rPr>
        <w:t>"), Telos Automated Message Handling System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or cybersecurity solutions during the period. The majority of the operating costs relate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tbl>
      <w:tblPr>
        <w:tblW w:w="6953" w:type="dxa"/>
        <w:jc w:val="left"/>
        <w:tblInd w:w="0" w:type="dxa"/>
        <w:tblLayout w:type="fixed"/>
        <w:tblCellMar>
          <w:top w:w="28" w:type="dxa"/>
          <w:left w:w="28" w:type="dxa"/>
          <w:bottom w:w="28" w:type="dxa"/>
          <w:right w:w="28" w:type="dxa"/>
        </w:tblCellMar>
      </w:tblPr>
      <w:tblGrid>
        <w:gridCol w:w="1173"/>
        <w:gridCol w:w="1031"/>
        <w:gridCol w:w="1035"/>
        <w:gridCol w:w="310"/>
        <w:gridCol w:w="1022"/>
        <w:gridCol w:w="172"/>
        <w:gridCol w:w="172"/>
        <w:gridCol w:w="172"/>
        <w:gridCol w:w="172"/>
        <w:gridCol w:w="310"/>
        <w:gridCol w:w="1141"/>
        <w:gridCol w:w="243"/>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695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16: Results of Operations by Business Segment</w:t>
            </w:r>
          </w:p>
        </w:tc>
      </w:tr>
      <w:tr>
        <w:trPr/>
        <w:tc>
          <w:tcPr>
            <w:tcW w:w="3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(10,723)</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utilize total assets by segment to evaluate segment performance or allocate resources. As a result, assets are not tracked by segment, and therefore, total assets by segment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a party to litigation or claims arising in the ordinary course of business, including those relating to employment matters, relationship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business or its unaudited consolidated financial statements as of March 31, 2024.</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 Government Contracts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18. SUPPLEMENTAL CASH FLOW INFORMATION</w:t>
      </w:r>
    </w:p>
    <w:tbl>
      <w:tblPr>
        <w:tblW w:w="7772" w:type="dxa"/>
        <w:jc w:val="left"/>
        <w:tblInd w:w="0" w:type="dxa"/>
        <w:tblLayout w:type="fixed"/>
        <w:tblCellMar>
          <w:top w:w="28" w:type="dxa"/>
          <w:left w:w="28" w:type="dxa"/>
          <w:bottom w:w="28" w:type="dxa"/>
          <w:right w:w="28" w:type="dxa"/>
        </w:tblCellMar>
      </w:tblPr>
      <w:tblGrid>
        <w:gridCol w:w="1131"/>
        <w:gridCol w:w="991"/>
        <w:gridCol w:w="997"/>
        <w:gridCol w:w="401"/>
        <w:gridCol w:w="1322"/>
        <w:gridCol w:w="223"/>
        <w:gridCol w:w="223"/>
        <w:gridCol w:w="223"/>
        <w:gridCol w:w="223"/>
        <w:gridCol w:w="401"/>
        <w:gridCol w:w="1322"/>
        <w:gridCol w:w="31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77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18.1: Details of Cash, Cash Equivalents, and Restricted Cash</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Restricted cash </w:t>
            </w:r>
            <w:r>
              <w:rPr>
                <w:rFonts w:ascii="Times New Roman;sans-serif" w:hAnsi="Times New Roman;sans-serif"/>
                <w:b w:val="false"/>
                <w:color w:val="000000"/>
                <w:sz w:val="12"/>
              </w:rPr>
              <w:t>(1)</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94,051 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99,396 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Restricted cash consists of a commercial money market account held as a deposit on the Ashburn lease and is included within "Other assets" on the unaudited consolidated balance sheets.</w:t>
      </w:r>
    </w:p>
    <w:tbl>
      <w:tblPr>
        <w:tblW w:w="9024" w:type="dxa"/>
        <w:jc w:val="left"/>
        <w:tblInd w:w="0" w:type="dxa"/>
        <w:tblLayout w:type="fixed"/>
        <w:tblCellMar>
          <w:top w:w="28" w:type="dxa"/>
          <w:left w:w="28" w:type="dxa"/>
          <w:bottom w:w="28" w:type="dxa"/>
          <w:right w:w="28" w:type="dxa"/>
        </w:tblCellMar>
      </w:tblPr>
      <w:tblGrid>
        <w:gridCol w:w="2059"/>
        <w:gridCol w:w="1805"/>
        <w:gridCol w:w="1805"/>
        <w:gridCol w:w="361"/>
        <w:gridCol w:w="775"/>
        <w:gridCol w:w="200"/>
        <w:gridCol w:w="200"/>
        <w:gridCol w:w="200"/>
        <w:gridCol w:w="200"/>
        <w:gridCol w:w="361"/>
        <w:gridCol w:w="775"/>
        <w:gridCol w:w="283"/>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902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18.2: Supplemental Cash Flow Information</w:t>
            </w:r>
          </w:p>
        </w:tc>
      </w:tr>
      <w:tr>
        <w:trPr/>
        <w:tc>
          <w:tcPr>
            <w:tcW w:w="5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 obtained in exchange for operating lease liabilities</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activity in accounts payable and other accrued liabilities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Purchase of investment in accounts payable and other accrued liabilities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transferred to extinguish other financing obligations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Withholding tax on net share settlement under other current liabilities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2023, as filed with the Securities and Exchange Commission on March 15,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General and Business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our two reportable segments – Security Solutions and Secure Networks – is presented in </w:t>
      </w:r>
      <w:hyperlink w:anchor="i3240b0a7fc924a4b82e8b132951151be_91">
        <w:r>
          <w:rPr>
            <w:rStyle w:val="InternetLink"/>
          </w:rPr>
          <w:t>Note 1</w:t>
        </w:r>
      </w:hyperlink>
      <w:hyperlink w:anchor="i3240b0a7fc924a4b82e8b132951151be_91">
        <w:r>
          <w:rPr>
            <w:rStyle w:val="InternetLink"/>
          </w:rPr>
          <w:t>6</w:t>
        </w:r>
      </w:hyperlink>
      <w:hyperlink w:anchor="i3240b0a7fc924a4b82e8b132951151be_91">
        <w:r>
          <w:rPr>
            <w:rStyle w:val="InternetLink"/>
          </w:rPr>
          <w:t xml:space="preserve"> - Segment Information</w:t>
        </w:r>
      </w:hyperlink>
      <w:r>
        <w:rPr>
          <w:color w:val="000000"/>
        </w:rPr>
        <w:t xml:space="preserve"> </w:t>
      </w:r>
      <w:r>
        <w:rPr>
          <w:rFonts w:ascii="Times New Roman;sans-serif" w:hAnsi="Times New Roman;sans-serif"/>
          <w:b w:val="false"/>
          <w:color w:val="000000"/>
          <w:sz w:val="20"/>
        </w:rPr>
        <w:t>to the unaudited consolidated financial statements at Item 1 of this Form 10-Q.</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transition efforts carried out by the Company in fiscal year 2023 are exhibiting promising outcomes at the beginning of fiscal year 2024 in the form of new business wins. The Company will continue these efforts into fiscal year 2024 by focusing on optimizing its solution portfolio, expanding its business pipeline, strengthening proposals for new business and building a healthy culture by engaging employees through synergy, setting performance goals, and improving benefits. With this foundation established, the Company's priorities for fiscal year 2024 include beginning execution of significant new business wins with our prime partners, pending the favorable outcomes on ongoing protests, ramping TSA PreCheck enrollment sites to achieve program growth, and strategically increasing the Company's business development pipeline.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U.S. Budget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using continuing resolutions (“CRs”) to fund the government for the first six months of Fiscal Year (“FY”) 2024 at the previous year’s levels, Congress completed action in late March on all appropriations bills for FY2024. This has allowed federal departments and agencies to begin proceeding with new program starts and acceleration for the final six months of the fiscal year. Of note, the final FY2024 appropriations bill for the Department of Defense provided a $27 billion (three percent) increase in defense spending.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White House also submitted to Congress in March its proposed budget for FY2025. The President’s proposal calls for a one percent increase in funding for the Department of Defense next year, with a total spending level in line with the spending caps Congress imposed on itself in the Fiscal Responsibility Act of 2023. There will be debate in Congress on whether to adjust the spending caps in order to boost defense spending to meet increased challenges abroad. The proposed budget also calls for increases in funding for non-defense cybersecurity programs and initiatives, many of which continue to prioritize accelerated cloud adoption, IT modernization, further private sector collaboration for sector risk management responsibilities, ensuring adequate cyber threat information sharing, and supply chain risk management. These priorities continue to align with the solutions Telos has been developing and bringing to market for the past several years. However, in the current political environment in Congress and with the presidential election looming in November, it is highly questionable whether Congress and the President can reach agreement on FY2025 appropriations bills prior to the start of FY2025 on October 1, 2024; this means the Defense Department along with the rest of the federal government will likely begin the fiscal year funded by a CR at FY2024 spending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Cybersecurity Landscape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we have seen cybersecurity threats become more complex, with threat actors leveraging a wide variety of tactics to exploit their victims. With this growing threat, below are some trends to consider when looking at the cybersecurity landscape:</w:t>
      </w:r>
    </w:p>
    <w:p>
      <w:pPr>
        <w:pStyle w:val="TextBody"/>
        <w:bidi w:val="0"/>
        <w:spacing w:lineRule="auto" w:line="288" w:before="120" w:after="180"/>
        <w:jc w:val="left"/>
        <w:rPr/>
      </w:pPr>
      <w:r>
        <w:rPr>
          <w:rFonts w:ascii="Times New Roman;sans-serif" w:hAnsi="Times New Roman;sans-serif"/>
          <w:b w:val="false"/>
          <w:i/>
          <w:color w:val="000000"/>
          <w:sz w:val="20"/>
        </w:rPr>
        <w:t xml:space="preserve">Rising Threats, Rising Liability: </w:t>
      </w:r>
      <w:r>
        <w:rPr>
          <w:rFonts w:ascii="Times New Roman;sans-serif" w:hAnsi="Times New Roman;sans-serif"/>
          <w:b w:val="false"/>
          <w:color w:val="000000"/>
          <w:sz w:val="20"/>
        </w:rPr>
        <w:t>Ransomware remains arguably the most severe cyber threat to enterprises in the commercial, state, and local government and education sectors. One reason for the rise of ransomware attacks is that it is exceedingly profitable for cybercriminals, and ransomware victims generally settle the ransom rather than restoring the system from backups or dealing with the fallout from a data breach. Aside from the financial costs of paying the ransom and restoring the system, the consequences of a successful ransomware attack can include damage to the organization's reputation, stolen sensitive data being used for malicious purposes, and loss of business.</w:t>
      </w:r>
    </w:p>
    <w:p>
      <w:pPr>
        <w:pStyle w:val="TextBody"/>
        <w:bidi w:val="0"/>
        <w:spacing w:lineRule="auto" w:line="288" w:before="120" w:after="180"/>
        <w:jc w:val="left"/>
        <w:rPr/>
      </w:pPr>
      <w:r>
        <w:rPr>
          <w:rFonts w:ascii="Times New Roman;sans-serif" w:hAnsi="Times New Roman;sans-serif"/>
          <w:b w:val="false"/>
          <w:i/>
          <w:color w:val="000000"/>
          <w:sz w:val="20"/>
        </w:rPr>
        <w:t xml:space="preserve">The Nation's Critical Systems Are Still at Risk: </w:t>
      </w:r>
      <w:r>
        <w:rPr>
          <w:rFonts w:ascii="Times New Roman;sans-serif" w:hAnsi="Times New Roman;sans-serif"/>
          <w:b w:val="false"/>
          <w:color w:val="000000"/>
          <w:sz w:val="20"/>
        </w:rPr>
        <w:t xml:space="preserve">Critical infrastructure and industrial IoT are among the categories at greatest risk of cyberattacks. </w:t>
      </w:r>
    </w:p>
    <w:p>
      <w:pPr>
        <w:pStyle w:val="TextBody"/>
        <w:bidi w:val="0"/>
        <w:spacing w:lineRule="auto" w:line="288" w:before="120" w:after="180"/>
        <w:jc w:val="left"/>
        <w:rPr/>
      </w:pPr>
      <w:r>
        <w:rPr>
          <w:rFonts w:ascii="Times New Roman;sans-serif" w:hAnsi="Times New Roman;sans-serif"/>
          <w:b w:val="false"/>
          <w:i/>
          <w:color w:val="000000"/>
          <w:sz w:val="20"/>
        </w:rPr>
        <w:t xml:space="preserve">The Challenging Complexity of Regulatory Compliance: </w:t>
      </w:r>
      <w:r>
        <w:rPr>
          <w:rFonts w:ascii="Times New Roman;sans-serif" w:hAnsi="Times New Roman;sans-serif"/>
          <w:b w:val="false"/>
          <w:color w:val="000000"/>
          <w:sz w:val="20"/>
        </w:rPr>
        <w:t>Government mandates stronger security in highly regulated industries. These government initiatives and audit fatigue continue to burden highly regulated organizations, with automation solutions being recognized as the most effective remedy for the many repetitive and redundant tasks that security compliance requires.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SEC has finalized and adopted new cybersecurity rules for publicly traded companies, which will require registrants to disclose additional cyber-related information in their regulatory filings. Specifically, they will have to: (1) regularly disclose their governance methods, risk analysis and management processes; (2) meet specific disclosure requirements and deadlines for reporting and describing material cyber incidents; and (3) describe the board's oversight of risks from cybersecurity threats, and management's expertise and role in assessing and managing material risks from cybersecurity threats. The required reporting of this information will lead many companies to proactively establish policies that will improve their cyber risk management posture and enable them to better withstand heightened public and regulatory scrutiny. </w:t>
      </w:r>
    </w:p>
    <w:p>
      <w:pPr>
        <w:pStyle w:val="TextBody"/>
        <w:bidi w:val="0"/>
        <w:spacing w:lineRule="auto" w:line="288" w:before="120" w:after="180"/>
        <w:jc w:val="left"/>
        <w:rPr/>
      </w:pPr>
      <w:r>
        <w:rPr>
          <w:rFonts w:ascii="Times New Roman;sans-serif" w:hAnsi="Times New Roman;sans-serif"/>
          <w:b w:val="false"/>
          <w:i/>
          <w:color w:val="000000"/>
          <w:sz w:val="20"/>
        </w:rPr>
        <w:t xml:space="preserve">Identity Assurance and Privacy Protection are Essential for Today's Enterprises: </w:t>
      </w:r>
      <w:r>
        <w:rPr>
          <w:rFonts w:ascii="Times New Roman;sans-serif" w:hAnsi="Times New Roman;sans-serif"/>
          <w:b w:val="false"/>
          <w:color w:val="000000"/>
          <w:sz w:val="20"/>
        </w:rPr>
        <w:t xml:space="preserve">Identity and access management continues to be a major cybersecurity concern for organizations and individuals that need to ensure their security and protect their privacy. Trusted identities are essential to confidence in IT and physical security strategies and to the success of Zero Trust security models and architectures. </w:t>
      </w:r>
    </w:p>
    <w:p>
      <w:pPr>
        <w:pStyle w:val="TextBody"/>
        <w:bidi w:val="0"/>
        <w:spacing w:lineRule="auto" w:line="288" w:before="120" w:after="180"/>
        <w:jc w:val="left"/>
        <w:rPr/>
      </w:pPr>
      <w:r>
        <w:rPr>
          <w:rFonts w:ascii="Times New Roman;sans-serif" w:hAnsi="Times New Roman;sans-serif"/>
          <w:b w:val="false"/>
          <w:i/>
          <w:color w:val="000000"/>
          <w:sz w:val="20"/>
        </w:rPr>
        <w:t>Artificial Intelligence</w:t>
      </w:r>
      <w:r>
        <w:rPr>
          <w:rFonts w:ascii="Times New Roman;sans-serif" w:hAnsi="Times New Roman;sans-serif"/>
          <w:b w:val="false"/>
          <w:color w:val="000000"/>
          <w:sz w:val="20"/>
        </w:rPr>
        <w:t>: Cybercriminals are using Artificial Intelligence ("AI") to launch more sophisticated attacks that can quickly adapt to changing environments, making detection harder. To protect against AI-powered cyberattacks, organizations must stay vigilant and adopt advanced cybersecurity tools and techniques that can detect and respond to these threats timely before they can cause damage.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factors have contributed to our first quarter of fiscal year 2024 results of operations, the most significant of which are described below. More details on these changes are presented below within our "Results of Operations" section.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Decline in year-over-year revenue primarily driven by the ramp down of programs within Secure Networks.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Growth in TSA PreCheck revenue.</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Reduction in gross margins driven by the increased impact of amortization of software development costs.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Lower operating costs through a combination of lower stock-based compensation and restructuring expenses.</w:t>
      </w:r>
    </w:p>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tbl>
      <w:tblPr>
        <w:tblW w:w="7779" w:type="dxa"/>
        <w:jc w:val="left"/>
        <w:tblInd w:w="0" w:type="dxa"/>
        <w:tblLayout w:type="fixed"/>
        <w:tblCellMar>
          <w:top w:w="28" w:type="dxa"/>
          <w:left w:w="28" w:type="dxa"/>
          <w:bottom w:w="28" w:type="dxa"/>
          <w:right w:w="28" w:type="dxa"/>
        </w:tblCellMar>
      </w:tblPr>
      <w:tblGrid>
        <w:gridCol w:w="1468"/>
        <w:gridCol w:w="1293"/>
        <w:gridCol w:w="1303"/>
        <w:gridCol w:w="275"/>
        <w:gridCol w:w="909"/>
        <w:gridCol w:w="360"/>
        <w:gridCol w:w="153"/>
        <w:gridCol w:w="153"/>
        <w:gridCol w:w="153"/>
        <w:gridCol w:w="275"/>
        <w:gridCol w:w="1014"/>
        <w:gridCol w:w="423"/>
      </w:tblGrid>
      <w:tr>
        <w:trPr/>
        <w:tc>
          <w:tcPr>
            <w:tcW w:w="146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77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2: Consolidated Results of Operations</w:t>
            </w:r>
          </w:p>
        </w:tc>
      </w:tr>
      <w:tr>
        <w:trPr/>
        <w:tc>
          <w:tcPr>
            <w:tcW w:w="4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18,658 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21,740 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13,482 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Gross margin</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37.0 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38.3 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("R&amp;D") expenses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R&amp;D expenses as percentage of revenue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10.7 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8.0 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("SG&amp;A") expenses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SG&amp;A expenses as percentage of revenue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54.8 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67.1 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(10,723)</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segments have different factors driving revenue fluctuations and profitability. The discussion of the changes in our revenue and profitability are covered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by $0.3 million, or 11.9%, in the first quarter of 2024, compared to the same period in 2023, primarily due to increases in amortization costs.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decreased by $7.4 million, or 31.3%, in the first quarter of 2024 compared to the same period in 2023. This is primarily due to reduced stock-based compensation costs of $6.1 million and the $1.2 million of restructuring expenses in 2023, with no similar charges in 2024.</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decreased by $1.2 million year-over-year due to the gain on early extinguishment of other financing obligations of $1.4 million in the first quarter of 2023, without similar gain in the same period in 2024. The remaining variance is attributable to the change in dividend income from money market placements. There was no significant change in interest expense between comparable periods.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income tax provision for the first quarter of 2024 compared to the same period in 2023 is based on the estimated annual effective tax rate applied to the pretax loss incurred for the quarter plus discrete tax items, based on our expectation of pretax loss for the fiscal year.</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each business segment are the same as those followed by the Company as a whole. Management evaluates business segment performance based on gross profit.</w:t>
      </w:r>
    </w:p>
    <w:tbl>
      <w:tblPr>
        <w:tblW w:w="8449" w:type="dxa"/>
        <w:jc w:val="left"/>
        <w:tblInd w:w="0" w:type="dxa"/>
        <w:tblLayout w:type="fixed"/>
        <w:tblCellMar>
          <w:top w:w="28" w:type="dxa"/>
          <w:left w:w="28" w:type="dxa"/>
          <w:bottom w:w="28" w:type="dxa"/>
          <w:right w:w="28" w:type="dxa"/>
        </w:tblCellMar>
      </w:tblPr>
      <w:tblGrid>
        <w:gridCol w:w="1447"/>
        <w:gridCol w:w="1273"/>
        <w:gridCol w:w="1285"/>
        <w:gridCol w:w="339"/>
        <w:gridCol w:w="1119"/>
        <w:gridCol w:w="443"/>
        <w:gridCol w:w="188"/>
        <w:gridCol w:w="188"/>
        <w:gridCol w:w="188"/>
        <w:gridCol w:w="339"/>
        <w:gridCol w:w="1119"/>
        <w:gridCol w:w="521"/>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844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3: Security Solutions Segment - Financial Results</w:t>
            </w:r>
          </w:p>
        </w:tc>
      </w:tr>
      <w:tr>
        <w:trPr/>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19,773 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(excluding depreciation and amortization)</w:t>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8,739 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9,329 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10,014 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10,274 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4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46.3 </w:t>
            </w:r>
          </w:p>
        </w:tc>
        <w:tc>
          <w:tcPr>
            <w:tcW w:w="4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52.0 </w:t>
            </w:r>
          </w:p>
        </w:tc>
        <w:tc>
          <w:tcPr>
            <w:tcW w:w="5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Security Solutions segment revenue decreased by $1.1 million, or 5.7%, compared to the same period in 2023, primarily due to lower volume on ongoing programs, partially offset by growth in TSA PreCheck.</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Security Solutions decreased by $1.6 million, or 16.0%, for the first quarter of 2024, compared with the same period in 2023, primarily due to the decrease in revenue and a decrease in segment gross margin to 46.3% for the first quarter of 2024 from 52.0% for the same period in 2023. The gross margin contraction in the first quarter of 2024 was primarily the result of the impact of the increased amortization of software development costs within the segment.</w:t>
      </w:r>
    </w:p>
    <w:tbl>
      <w:tblPr>
        <w:tblW w:w="8371" w:type="dxa"/>
        <w:jc w:val="left"/>
        <w:tblInd w:w="0" w:type="dxa"/>
        <w:tblLayout w:type="fixed"/>
        <w:tblCellMar>
          <w:top w:w="28" w:type="dxa"/>
          <w:left w:w="28" w:type="dxa"/>
          <w:bottom w:w="28" w:type="dxa"/>
          <w:right w:w="28" w:type="dxa"/>
        </w:tblCellMar>
      </w:tblPr>
      <w:tblGrid>
        <w:gridCol w:w="1447"/>
        <w:gridCol w:w="1273"/>
        <w:gridCol w:w="1285"/>
        <w:gridCol w:w="333"/>
        <w:gridCol w:w="1099"/>
        <w:gridCol w:w="435"/>
        <w:gridCol w:w="185"/>
        <w:gridCol w:w="185"/>
        <w:gridCol w:w="185"/>
        <w:gridCol w:w="333"/>
        <w:gridCol w:w="1099"/>
        <w:gridCol w:w="512"/>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37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4: Secure Networks Segment - Financial Results</w:t>
            </w:r>
          </w:p>
        </w:tc>
      </w:tr>
      <w:tr>
        <w:trPr/>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15,449 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(excluding depreciation and amortization)</w:t>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8,641 </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12,235 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8,644 </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12,241 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4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21.3 </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20.8 </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 Networks segment revenue for the three months ended March 31, 2024 decreased by $4.5 million, or 28.9%, compared to the same period in 2023, primarily due to the ramp down of several programs within the portfolio.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Secure Networks decreased by $0.9 million, or 27.2%, for the first quarter of 2024, compared with the same period in 2023, due to the lower revenue, offset by improved margin across the portfolio. Segment gross margin slightly increased to 21.3% for the first quarter of 2024 from 20.8% for the same period in 2023 primarily due to strong program management and favorable program revenue mix, offset by the higher impact of indirect expenses on lower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the non-GAAP financial measures of EBITDA, Adjusted EBITDA, EBITDA Margin, Adjusted EBITDA Margin, Adjusted Net (Loss) Income, Adjusted Earnings Per Share ("EPS"), Cash Gross Profit, Cash Gross Margin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pStyle w:val="TextBody"/>
        <w:bidi w:val="0"/>
        <w:spacing w:lineRule="auto" w:line="288" w:before="120" w:after="180"/>
        <w:jc w:val="left"/>
        <w:rPr/>
      </w:pPr>
      <w:r>
        <w:rPr>
          <w:rFonts w:ascii="Times New Roman;sans-serif" w:hAnsi="Times New Roman;sans-serif"/>
          <w:b/>
          <w:i/>
          <w:color w:val="000000"/>
          <w:sz w:val="20"/>
        </w:rPr>
        <w:t>EBITDA, Adjusted EBITDA, EBITDA Margin and Adjusted EBITDA Margin</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EBITDA Margin and Adjusted EBITDA Margin are supplemental measures of operating performance that are not made under GAAP and do not represent, and should not be considered as, an alternative to net loss as determined by GAAP. We define EBITDA as net (loss) income, adjusted for non-operating (income) expense, interest expense, provision for (benefit from) income taxes, and depreciation and amortization. We define Adjusted EBITDA as EBITDA, adjusted for stock-based compensation expense and restructuring expenses. We define EBITDA Margin as EBITDA as a percentage of total revenue. We define Adjusted EBITDA Margin as Adjusted EBITDA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EBITDA, EBITDA Margin, Adjusted EBITDA and Adjusted EBITDA Margin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Further, Adjusted EBITDA is used by the Board and management to prepare and approve our annual budget, and to evaluate the performance of certain management personnel when determining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39"/>
        <w:gridCol w:w="871"/>
        <w:gridCol w:w="862"/>
        <w:gridCol w:w="392"/>
        <w:gridCol w:w="1256"/>
        <w:gridCol w:w="218"/>
        <w:gridCol w:w="218"/>
        <w:gridCol w:w="218"/>
        <w:gridCol w:w="218"/>
        <w:gridCol w:w="269"/>
        <w:gridCol w:w="269"/>
        <w:gridCol w:w="227"/>
        <w:gridCol w:w="218"/>
        <w:gridCol w:w="218"/>
        <w:gridCol w:w="218"/>
        <w:gridCol w:w="392"/>
        <w:gridCol w:w="1437"/>
        <w:gridCol w:w="218"/>
        <w:gridCol w:w="218"/>
        <w:gridCol w:w="218"/>
        <w:gridCol w:w="218"/>
        <w:gridCol w:w="231"/>
        <w:gridCol w:w="231"/>
        <w:gridCol w:w="331"/>
      </w:tblGrid>
      <w:tr>
        <w:trPr/>
        <w:tc>
          <w:tcPr>
            <w:tcW w:w="10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5: Reconciliation of Net Loss to EBITDA, Adjusted EBITDA and Adjusted EBITDA Margin</w:t>
            </w:r>
          </w:p>
        </w:tc>
      </w:tr>
      <w:tr>
        <w:trPr/>
        <w:tc>
          <w:tcPr>
            <w:tcW w:w="2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 (Non-GAAP)</w:t>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(5,309)</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(11,545)</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(1)</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(adjustments) expenses </w:t>
            </w:r>
            <w:r>
              <w:rPr>
                <w:rFonts w:ascii="Times New Roman;sans-serif" w:hAnsi="Times New Roman;sans-serif"/>
                <w:b w:val="false"/>
                <w:color w:val="000000"/>
                <w:sz w:val="12"/>
              </w:rPr>
              <w:t>(2)</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(Non-GAAP)</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expense to EBITDA as of March 31, 2024 and 2023 is made up of $1.6 million and $7.9 million, respectively, of stock-based compensation expense for the awarded RSUs, PSUs, and stock options, and $1.3 million and $1.6 million, respectively, of other sources of stock-based compensation expense.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EBITDA.</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The restructuring (adjustments) expenses include severance and other related benefit costs (including outplacement services and continuing health insurance coverage), external consulting and advisory fees related to implementing the restructuring plan.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Adjusted Net (Loss) Income and Adjusted EPS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 Income and Adjusted EPS are supplemental measures of operating performance that are not made under GAAP and do not represent, and should not be considered as, alternatives to net (loss) income as determined by GAAP. We define Adjusted Net (Loss) Income as net loss, adjusted for non-operating (income) expense, stock-based compensation expense and restructuring expense. We define Adjusted EPS as Adjusted Net (Loss) Income divided by the weighted-average number of common shares outstanding for the period.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(Loss) Income and Adjusted EPS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w:t>
      </w:r>
    </w:p>
    <w:tbl>
      <w:tblPr>
        <w:tblW w:w="10205" w:type="dxa"/>
        <w:jc w:val="left"/>
        <w:tblInd w:w="0" w:type="dxa"/>
        <w:tblLayout w:type="fixed"/>
        <w:tblCellMar>
          <w:top w:w="28" w:type="dxa"/>
          <w:left w:w="28" w:type="dxa"/>
          <w:bottom w:w="28" w:type="dxa"/>
          <w:right w:w="28" w:type="dxa"/>
        </w:tblCellMar>
      </w:tblPr>
      <w:tblGrid>
        <w:gridCol w:w="1480"/>
        <w:gridCol w:w="777"/>
        <w:gridCol w:w="783"/>
        <w:gridCol w:w="275"/>
        <w:gridCol w:w="859"/>
        <w:gridCol w:w="153"/>
        <w:gridCol w:w="153"/>
        <w:gridCol w:w="153"/>
        <w:gridCol w:w="153"/>
        <w:gridCol w:w="358"/>
        <w:gridCol w:w="961"/>
        <w:gridCol w:w="199"/>
        <w:gridCol w:w="153"/>
        <w:gridCol w:w="153"/>
        <w:gridCol w:w="153"/>
        <w:gridCol w:w="275"/>
        <w:gridCol w:w="985"/>
        <w:gridCol w:w="153"/>
        <w:gridCol w:w="153"/>
        <w:gridCol w:w="153"/>
        <w:gridCol w:w="153"/>
        <w:gridCol w:w="350"/>
        <w:gridCol w:w="938"/>
        <w:gridCol w:w="282"/>
      </w:tblGrid>
      <w:tr>
        <w:trPr/>
        <w:tc>
          <w:tcPr>
            <w:tcW w:w="148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6: Reconciliation of Net Loss and GAAP EPS to Non-GAAP Adjusted Net Loss and Adjusted EPS</w:t>
            </w:r>
          </w:p>
        </w:tc>
      </w:tr>
      <w:tr>
        <w:trPr/>
        <w:tc>
          <w:tcPr>
            <w:tcW w:w="3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w:t>
              <w:br/>
              <w:t>Net Loss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Earnings Per Share</w:t>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(1)</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(adjustments) expenses </w:t>
            </w:r>
            <w:r>
              <w:rPr>
                <w:rFonts w:ascii="Times New Roman;sans-serif" w:hAnsi="Times New Roman;sans-serif"/>
                <w:b w:val="false"/>
                <w:color w:val="000000"/>
                <w:sz w:val="12"/>
              </w:rPr>
              <w:t>(2)</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loss (Non-GAAP measure)</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of common stock outstanding, basic</w:t>
            </w:r>
          </w:p>
        </w:tc>
        <w:tc>
          <w:tcPr>
            <w:tcW w:w="11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70,628 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68,176 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expense to net loss as of March 31, 2024 and 2023 is made up of $1.6 million and $7.9 million, respectively, of stock-based compensation expense for the awarded RSUs, PSUs and stock options, and $1.3 million and $1.6 million, respectively, of other sources of stock-based compensation expense.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Net (Loss) Income.</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restructuring (adjustments) expenses include severance and other related benefit costs (including outplacement services and continuing health insurance coverage), external consulting and advisory fees related to implementing the restructuring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Cash Gross Profit and Cash Gross Margin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Cash Gross Profit and Cash Gross Margin are supplemental measures of operating performance that are not made under GAAP and do not represent, and should not be considered as, alternatives to gross profit and gross margin as determined by GAAP. We define Cash Gross Profit as gross profit, plus noncash charges for stock-based compensation expense, depreciation and amortization, as well as non-recurring items (such as restructuring expenses) charged under cost of sales. We define Cash Gross Margin as Cash Gross Profit as a percentage of total revenue.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Cash Gross Profit and Cash Gross Margin provide management and investors a clear representation of the core economics of gross profit and gross margin without the impact of non-cash expenses and sunk costs expended.</w:t>
      </w:r>
    </w:p>
    <w:tbl>
      <w:tblPr>
        <w:tblW w:w="10205" w:type="dxa"/>
        <w:jc w:val="left"/>
        <w:tblInd w:w="0" w:type="dxa"/>
        <w:tblLayout w:type="fixed"/>
        <w:tblCellMar>
          <w:top w:w="28" w:type="dxa"/>
          <w:left w:w="28" w:type="dxa"/>
          <w:bottom w:w="28" w:type="dxa"/>
          <w:right w:w="28" w:type="dxa"/>
        </w:tblCellMar>
      </w:tblPr>
      <w:tblGrid>
        <w:gridCol w:w="1387"/>
        <w:gridCol w:w="987"/>
        <w:gridCol w:w="905"/>
        <w:gridCol w:w="372"/>
        <w:gridCol w:w="1230"/>
        <w:gridCol w:w="207"/>
        <w:gridCol w:w="207"/>
        <w:gridCol w:w="207"/>
        <w:gridCol w:w="207"/>
        <w:gridCol w:w="229"/>
        <w:gridCol w:w="229"/>
        <w:gridCol w:w="218"/>
        <w:gridCol w:w="207"/>
        <w:gridCol w:w="207"/>
        <w:gridCol w:w="207"/>
        <w:gridCol w:w="372"/>
        <w:gridCol w:w="1230"/>
        <w:gridCol w:w="207"/>
        <w:gridCol w:w="207"/>
        <w:gridCol w:w="207"/>
        <w:gridCol w:w="207"/>
        <w:gridCol w:w="229"/>
        <w:gridCol w:w="229"/>
        <w:gridCol w:w="311"/>
      </w:tblGrid>
      <w:tr>
        <w:trPr/>
        <w:tc>
          <w:tcPr>
            <w:tcW w:w="13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7: Reconciliation of Gross Profit to Cash Gross Profit; Gross Margin to Cash Gross Margin</w:t>
            </w:r>
          </w:p>
        </w:tc>
      </w:tr>
      <w:tr>
        <w:trPr/>
        <w:tc>
          <w:tcPr>
            <w:tcW w:w="3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6"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Margin</w:t>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37.0%</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 cost of sales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0.9%</w:t>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 cost of sales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gross profit (Non-GAAP)</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39.7 %</w:t>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reconciled in the table below, is a non-GAAP financial measure defined as net cash provided by (used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Free Cash Flow to understand the cash flows that directly correspond with our operations and the investments we must make in those operations, using a methodology that combines operating cash flows and capital expenditures. Further, Free Cash Flow may be useful to management and investors in evaluating the Company's operating performance and liquidity, and to evaluate the performance of certain management personnel when determining incentive compensation.</w:t>
      </w:r>
    </w:p>
    <w:tbl>
      <w:tblPr>
        <w:tblW w:w="9116" w:type="dxa"/>
        <w:jc w:val="left"/>
        <w:tblInd w:w="0" w:type="dxa"/>
        <w:tblLayout w:type="fixed"/>
        <w:tblCellMar>
          <w:top w:w="28" w:type="dxa"/>
          <w:left w:w="28" w:type="dxa"/>
          <w:bottom w:w="28" w:type="dxa"/>
          <w:right w:w="28" w:type="dxa"/>
        </w:tblCellMar>
      </w:tblPr>
      <w:tblGrid>
        <w:gridCol w:w="1056"/>
        <w:gridCol w:w="927"/>
        <w:gridCol w:w="927"/>
        <w:gridCol w:w="542"/>
        <w:gridCol w:w="1746"/>
        <w:gridCol w:w="301"/>
        <w:gridCol w:w="301"/>
        <w:gridCol w:w="301"/>
        <w:gridCol w:w="301"/>
        <w:gridCol w:w="542"/>
        <w:gridCol w:w="1746"/>
        <w:gridCol w:w="426"/>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911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8: Reconciliation of Net Cash Used in Operating Activities to Free Cash Flow</w:t>
            </w:r>
          </w:p>
        </w:tc>
      </w:tr>
      <w:tr>
        <w:trPr/>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2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2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(Non-GAAP)</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of EBITDA, Adjusted EBITDA, EBITDA Margin, Adjusted EBITDA Margin, Adjusted Net (Loss) Income, Adjusted EPS, Cash Gross Profit, Cash Gross Margin and Free Cash Flow has limitations as an analytical tool, and you should not consider any of them in isolation, or as a substitute for analysis of our results as reported under GAAP. Among other limitations, each of EBITDA, Adjusted EBITDA, EBITDA Margin, Adjusted EBITDA Margin, Adjusted Net (Loss) Income, Adjusted EPS, Cash Gross Profit, Cash Gross Margin and Free Cash Flow does not reflect our cash expenditures, or future requirements, for capital expenditures or contractual commitments, does not reflect the impact of certain cash and non-cash charges resulting from matters we consider not to be indicative of our ongoing operations, and does not reflect income tax expense or benefit. Other companies in our industry may calculate Adjusted EBITDA, Adjusted EBITDA Margin, Adjusted Net (Loss) Income, Adjusted EPS, Cash Gross Profit, Cash Gross Margin and Free Cash Flow differently than we do, which limits their usefulness as comparative measures. Because of these limitations, neither EBITDA, Adjusted EBITDA, EBITDA Margin, Adjusted EBITDA Margin, Adjusted Net (Loss) Income, Adjusted EPS, Cash Gross Profit, Cash Gross Margin nor Free Cash Flow should be considered as a replacement for gross profit, gross margin, net (loss) income, earnings per share or net cash flows (used in) provided by operating activities, as determined by GAAP, or as a measure of our profitability. We compensate for these limitations by relying primarily on our GAAP results and using non-GAAP measures only for supplemental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on hand, future operating cash flows, and, if needed, borrowings under our $30.0 million revolving credit facility,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cash and cash equivalents of $93.9 million and our working capital was $92.7 million.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Cash Flow</w:t>
      </w:r>
    </w:p>
    <w:tbl>
      <w:tblPr>
        <w:tblW w:w="8965" w:type="dxa"/>
        <w:jc w:val="left"/>
        <w:tblInd w:w="0" w:type="dxa"/>
        <w:tblLayout w:type="fixed"/>
        <w:tblCellMar>
          <w:top w:w="28" w:type="dxa"/>
          <w:left w:w="28" w:type="dxa"/>
          <w:bottom w:w="28" w:type="dxa"/>
          <w:right w:w="28" w:type="dxa"/>
        </w:tblCellMar>
      </w:tblPr>
      <w:tblGrid>
        <w:gridCol w:w="2208"/>
        <w:gridCol w:w="1943"/>
        <w:gridCol w:w="1954"/>
        <w:gridCol w:w="260"/>
        <w:gridCol w:w="839"/>
        <w:gridCol w:w="145"/>
        <w:gridCol w:w="109"/>
        <w:gridCol w:w="109"/>
        <w:gridCol w:w="109"/>
        <w:gridCol w:w="257"/>
        <w:gridCol w:w="830"/>
        <w:gridCol w:w="202"/>
      </w:tblGrid>
      <w:tr>
        <w:trPr/>
        <w:tc>
          <w:tcPr>
            <w:tcW w:w="220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9: Net Change in Cash, Cash Equivalents, and Restricted Cash</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(6,843)</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three months ended March 31, 2024 was $0.4 million, an increase of $0.3 million compared to the same period in 2023. The change is primarily driven by the Company's operating losses, the timing of receipts of customer payments, the timing of payments to vendors and employees, and the timing of inventory turnover, adjusted for certain non-cash items that do not impact cash flows from operating activities.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2024 slightly decreased by $0.4 million, compared to the same period of the prior year, primarily due to the decreases in capital expenditures in 2024 and a $0.6 million payment for the DFT holdback in February 2023, with no similar payment in 2024. This was partially offset by the purchase of an investment of $0.9 million in 2024, with no similar transaction in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for the three months ended March 31, 2024 decreased by $1.3 million, compared to the same period in 2023. This is primarily attributable to the decreases in payment of tax withholding related to net share settlement of equity awards of $0.4 million in the first quarter of 2024 compared with $1.5 million in the same period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U.S. requires us to make estimates, judgments, and assumptions that affect the amounts reported. Actual results could differ from those estimates. The 2023 Form 10-K, as filed with the SEC on March 15, 2024,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March 31, 2024.</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during the quarter ended March 31, 2024, identified in connection with management’s evaluation required by paragraph (d) of Rules 13a-15 and 15d-15 under the Exchange Act,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legal proceedings is included under </w:t>
      </w:r>
      <w:hyperlink w:anchor="i3240b0a7fc924a4b82e8b132951151be_94">
        <w:r>
          <w:rPr>
            <w:rStyle w:val="InternetLink"/>
          </w:rPr>
          <w:t>Note 1</w:t>
        </w:r>
      </w:hyperlink>
      <w:hyperlink w:anchor="i3240b0a7fc924a4b82e8b132951151be_94">
        <w:r>
          <w:rPr>
            <w:rStyle w:val="InternetLink"/>
          </w:rPr>
          <w:t>7</w:t>
        </w:r>
      </w:hyperlink>
      <w:hyperlink w:anchor="i3240b0a7fc924a4b82e8b132951151be_94">
        <w:r>
          <w:rPr>
            <w:rStyle w:val="InternetLink"/>
          </w:rPr>
          <w:t xml:space="preserve"> – Commitments and Contingencies</w:t>
        </w:r>
      </w:hyperlink>
      <w:r>
        <w:rPr>
          <w:color w:val="000000"/>
        </w:rPr>
        <w:t xml:space="preserve"> </w:t>
      </w:r>
      <w:r>
        <w:rPr>
          <w:rFonts w:ascii="Times New Roman;sans-serif" w:hAnsi="Times New Roman;sans-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disclosed under "Item 1A – Risk Factors" in our Annual Report on Form 10-K for the year ended December 31, 2023, the risk factors which may materially affect our business, financial conditions or results of operations. There have been no material changes from the risk factors previously disclosed.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During the three months ended March 31, 2024, no director or officer of the Company adopted or terminated a "Rule 10b5-1 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50"/>
        <w:gridCol w:w="251"/>
        <w:gridCol w:w="109"/>
        <w:gridCol w:w="109"/>
        <w:gridCol w:w="109"/>
        <w:gridCol w:w="2654"/>
        <w:gridCol w:w="2654"/>
        <w:gridCol w:w="3785"/>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tls-20240331xexhibit311q124.htm">
              <w:r>
                <w:rPr>
                  <w:rStyle w:val="InternetLink"/>
                  <w:rFonts w:ascii="Times New Roman;sans-serif" w:hAnsi="Times New Roman;sans-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tls-20240331xexhibit311q124.htm">
              <w:r>
                <w:rPr>
                  <w:rStyle w:val="InternetLink"/>
                  <w:rFonts w:ascii="Times New Roman;sans-serif" w:hAnsi="Times New Roman;sans-serif"/>
                  <w:b w:val="false"/>
                  <w:color w:val="0000FF"/>
                  <w:sz w:val="18"/>
                  <w:u w:val="single"/>
                </w:rPr>
                <w:t>Certification of Chief Executive Officer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40331xexhibit312q124.htm">
              <w:r>
                <w:rPr>
                  <w:rStyle w:val="InternetLink"/>
                  <w:rFonts w:ascii="Times New Roman;sans-serif" w:hAnsi="Times New Roman;sans-serif"/>
                  <w:b w:val="false"/>
                  <w:color w:val="0000FF"/>
                  <w:sz w:val="18"/>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40331xexhibit312q124.htm">
              <w:r>
                <w:rPr>
                  <w:rStyle w:val="InternetLink"/>
                  <w:rFonts w:ascii="Times New Roman;sans-serif" w:hAnsi="Times New Roman;sans-serif"/>
                  <w:b w:val="false"/>
                  <w:color w:val="0000FF"/>
                  <w:sz w:val="18"/>
                  <w:u w:val="single"/>
                </w:rPr>
                <w:t>Certification of Chief Financial Officer pursuant to Section 302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40331xexhibit32q124.htm">
              <w:r>
                <w:rPr>
                  <w:rStyle w:val="InternetLink"/>
                  <w:rFonts w:ascii="Times New Roman;sans-serif" w:hAnsi="Times New Roman;sans-serif"/>
                  <w:b w:val="false"/>
                  <w:color w:val="0000FF"/>
                  <w:sz w:val="18"/>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40331xexhibit32q124.htm">
              <w:r>
                <w:rPr>
                  <w:rStyle w:val="InternetLink"/>
                  <w:rFonts w:ascii="Times New Roman;sans-serif" w:hAnsi="Times New Roman;sans-serif"/>
                  <w:b w:val="false"/>
                  <w:color w:val="0000FF"/>
                  <w:sz w:val="18"/>
                  <w:u w:val="single"/>
                </w:rPr>
                <w:t>Certification pursuant to 18 U.S.C. Section 1350, as Adopted pursuant to Section 906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instance document does not appear in the Interactive Data File because its XBRL tags are embedded within the Inline XBRL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the cover page iXBRL tags are embedded within the Inline XBRL document contained in Exhibit 101</w:t>
            </w:r>
          </w:p>
        </w:tc>
      </w:tr>
    </w:tbl>
    <w:tbl>
      <w:tblPr>
        <w:tblW w:w="1871" w:type="dxa"/>
        <w:jc w:val="left"/>
        <w:tblInd w:w="0" w:type="dxa"/>
        <w:tblLayout w:type="fixed"/>
        <w:tblCellMar>
          <w:top w:w="28" w:type="dxa"/>
          <w:left w:w="28" w:type="dxa"/>
          <w:bottom w:w="28" w:type="dxa"/>
          <w:right w:w="28" w:type="dxa"/>
        </w:tblCellMar>
      </w:tblPr>
      <w:tblGrid>
        <w:gridCol w:w="124"/>
        <w:gridCol w:w="109"/>
        <w:gridCol w:w="109"/>
        <w:gridCol w:w="447"/>
        <w:gridCol w:w="447"/>
        <w:gridCol w:w="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240b0a7fc924a4b82e8b132951151be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525" w:type="dxa"/>
        <w:jc w:val="left"/>
        <w:tblInd w:w="0" w:type="dxa"/>
        <w:tblLayout w:type="fixed"/>
        <w:tblCellMar>
          <w:top w:w="28" w:type="dxa"/>
          <w:left w:w="28" w:type="dxa"/>
          <w:bottom w:w="28" w:type="dxa"/>
          <w:right w:w="28" w:type="dxa"/>
        </w:tblCellMar>
      </w:tblPr>
      <w:tblGrid>
        <w:gridCol w:w="2141"/>
        <w:gridCol w:w="1881"/>
        <w:gridCol w:w="1887"/>
        <w:gridCol w:w="109"/>
        <w:gridCol w:w="109"/>
        <w:gridCol w:w="109"/>
        <w:gridCol w:w="377"/>
        <w:gridCol w:w="377"/>
        <w:gridCol w:w="535"/>
      </w:tblGrid>
      <w:tr>
        <w:trPr/>
        <w:tc>
          <w:tcPr>
            <w:tcW w:w="214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TELOS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2024</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Controller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B. Wood,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p>
      <w:pPr>
        <w:pStyle w:val="TextBody"/>
        <w:bidi w:val="0"/>
        <w:spacing w:before="200" w:after="283"/>
        <w:jc w:val="left"/>
        <w:rPr/>
      </w:pPr>
      <w:r>
        <w:rPr/>
      </w:r>
    </w:p>
    <w:tbl>
      <w:tblPr>
        <w:tblW w:w="4782" w:type="dxa"/>
        <w:jc w:val="left"/>
        <w:tblInd w:w="0" w:type="dxa"/>
        <w:tblLayout w:type="fixed"/>
        <w:tblCellMar>
          <w:top w:w="28" w:type="dxa"/>
          <w:left w:w="28" w:type="dxa"/>
          <w:bottom w:w="28" w:type="dxa"/>
          <w:right w:w="28" w:type="dxa"/>
        </w:tblCellMar>
      </w:tblPr>
      <w:tblGrid>
        <w:gridCol w:w="124"/>
        <w:gridCol w:w="109"/>
        <w:gridCol w:w="109"/>
        <w:gridCol w:w="1295"/>
        <w:gridCol w:w="1295"/>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Mark Bendza,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4662" w:type="dxa"/>
        <w:jc w:val="left"/>
        <w:tblInd w:w="0" w:type="dxa"/>
        <w:tblLayout w:type="fixed"/>
        <w:tblCellMar>
          <w:top w:w="28" w:type="dxa"/>
          <w:left w:w="28" w:type="dxa"/>
          <w:bottom w:w="28" w:type="dxa"/>
          <w:right w:w="28" w:type="dxa"/>
        </w:tblCellMar>
      </w:tblPr>
      <w:tblGrid>
        <w:gridCol w:w="124"/>
        <w:gridCol w:w="109"/>
        <w:gridCol w:w="109"/>
        <w:gridCol w:w="1260"/>
        <w:gridCol w:w="1260"/>
        <w:gridCol w:w="1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lineRule="auto" w:line="288" w:before="12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PURSUANT TO 18 U.S.C. SECTION 1350, </w:t>
        <w:br/>
        <w:t>AS ADOPTED PURSUANT TO SECTION 906 OF THE SARBANES-OXLEY ACT OF 2002</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In connection with the Quarterly Report of Telos Corporation (the "Company") on Form 10-Q for the period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as filed with the Securities and Exchange Commission on the date hereof (the "Report"), we, John B. Wood and Mark Bendza, certify, pursuant to 18 U.S.C. § 1350, as adopted pursuant to § 906 of the Sarbanes-Oxley Act of 2002, that to our knowledge:</w:t>
      </w:r>
    </w:p>
    <w:p>
      <w:pPr>
        <w:pStyle w:val="TextBody"/>
        <w:bidi w:val="0"/>
        <w:spacing w:lineRule="auto" w:line="288" w:before="12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(1)The Report fully complies with the requirements of section 13(a) or 15(d) of the Securities Exchange Act of 1934, as amended; and</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(2)The information </w:t>
      </w:r>
      <w:r>
        <w:rPr>
          <w:rFonts w:ascii="Times New Roman;sans-serif" w:hAnsi="Times New Roman;sans-serif"/>
          <w:b w:val="false"/>
          <w:color w:val="000000"/>
          <w:sz w:val="20"/>
        </w:rPr>
        <w:t>contained</w:t>
      </w:r>
      <w:r>
        <w:rPr>
          <w:color w:val="000000"/>
          <w:shd w:fill="FFFFFF" w:val="clear"/>
        </w:rPr>
        <w:t xml:space="preserve"> </w:t>
      </w:r>
      <w:r>
        <w:rPr>
          <w:rFonts w:ascii="Times New Roman;sans-serif" w:hAnsi="Times New Roman;sans-serif"/>
          <w:b w:val="false"/>
          <w:color w:val="000000"/>
          <w:sz w:val="20"/>
          <w:shd w:fill="FFFFFF" w:val="clear"/>
        </w:rPr>
        <w:t>in the Report fairly presents, in all material respects, the financial condition and results of operations of the Company.</w:t>
      </w:r>
    </w:p>
    <w:tbl>
      <w:tblPr>
        <w:tblW w:w="4782" w:type="dxa"/>
        <w:jc w:val="right"/>
        <w:tblInd w:w="0" w:type="dxa"/>
        <w:tblLayout w:type="fixed"/>
        <w:tblCellMar>
          <w:top w:w="28" w:type="dxa"/>
          <w:left w:w="28" w:type="dxa"/>
          <w:bottom w:w="28" w:type="dxa"/>
          <w:right w:w="28" w:type="dxa"/>
        </w:tblCellMar>
      </w:tblPr>
      <w:tblGrid>
        <w:gridCol w:w="124"/>
        <w:gridCol w:w="109"/>
        <w:gridCol w:w="109"/>
        <w:gridCol w:w="1295"/>
        <w:gridCol w:w="1295"/>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13741</Words>
  <Characters>76801</Characters>
  <CharactersWithSpaces>89280</CharactersWithSpaces>
  <Paragraphs>1842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