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bookmarkStart w:id="0" w:name="i-1"/>
      <w:bookmarkEnd w:id="0"/>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TELOS CORPORATION</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(703) 724-3800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As of August 4, 2025, the registrant had outstanding 72,703,011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 to Second Quarter 2025 Form 10-Q</w:t>
      </w:r>
    </w:p>
    <w:tbl>
      <w:tblPr>
        <w:tblW w:w="8703" w:type="dxa"/>
        <w:jc w:val="left"/>
        <w:tblInd w:w="0" w:type="dxa"/>
        <w:tblLayout w:type="fixed"/>
        <w:tblCellMar>
          <w:top w:w="28" w:type="dxa"/>
          <w:left w:w="28" w:type="dxa"/>
          <w:bottom w:w="28" w:type="dxa"/>
          <w:right w:w="28" w:type="dxa"/>
        </w:tblCellMar>
      </w:tblPr>
      <w:tblGrid>
        <w:gridCol w:w="615"/>
        <w:gridCol w:w="541"/>
        <w:gridCol w:w="541"/>
        <w:gridCol w:w="2154"/>
        <w:gridCol w:w="2154"/>
        <w:gridCol w:w="2187"/>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0">
              <w:r>
                <w:rPr>
                  <w:rStyle w:val="InternetLink"/>
                  <w:rFonts w:ascii="Times New Roman;serif" w:hAnsi="Times New Roman;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0">
              <w:r>
                <w:rPr>
                  <w:rStyle w:val="InternetLink"/>
                  <w:rFonts w:ascii="Times New Roman;serif" w:hAnsi="Times New Roman;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
              <w:r>
                <w:rPr>
                  <w:rStyle w:val="InternetLink"/>
                  <w:rFonts w:ascii="Times New Roman;serif" w:hAnsi="Times New Roman;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
              <w:r>
                <w:rPr>
                  <w:rStyle w:val="InternetLink"/>
                  <w:rFonts w:ascii="Times New Roman;serif" w:hAnsi="Times New Roman;serif"/>
                  <w:b w:val="false"/>
                  <w:color w:val="000080"/>
                  <w:sz w:val="18"/>
                  <w:u w:val="single"/>
                </w:rPr>
                <w:t>Financial Statement</w:t>
              </w:r>
            </w:hyperlink>
            <w:hyperlink w:anchor="i39beeefaa0da48ab94f72b8bf9b05a36_13">
              <w:r>
                <w:rPr>
                  <w:rStyle w:val="InternetLink"/>
                  <w:rFonts w:ascii="Times New Roman;serif" w:hAnsi="Times New Roman;serif"/>
                  <w:b w:val="false"/>
                  <w:color w:val="000080"/>
                  <w:sz w:val="18"/>
                  <w:u w:val="single"/>
                </w:rPr>
                <w:t>s (</w:t>
              </w:r>
            </w:hyperlink>
            <w:hyperlink w:anchor="i39beeefaa0da48ab94f72b8bf9b05a36_13">
              <w:r>
                <w:rPr>
                  <w:rStyle w:val="InternetLink"/>
                  <w:rFonts w:ascii="Times New Roman;serif" w:hAnsi="Times New Roman;serif"/>
                  <w:b w:val="false"/>
                  <w:color w:val="000080"/>
                  <w:sz w:val="18"/>
                  <w:u w:val="single"/>
                </w:rPr>
                <w:t>Un</w:t>
              </w:r>
            </w:hyperlink>
            <w:hyperlink w:anchor="i39beeefaa0da48ab94f72b8bf9b05a36_13">
              <w:r>
                <w:rPr>
                  <w:rStyle w:val="InternetLink"/>
                  <w:rFonts w:ascii="Times New Roman;serif" w:hAnsi="Times New Roman;serif"/>
                  <w:b w:val="false"/>
                  <w:color w:val="000080"/>
                  <w:sz w:val="18"/>
                  <w:u w:val="single"/>
                </w:rPr>
                <w:t>audited</w:t>
              </w:r>
            </w:hyperlink>
            <w:hyperlink w:anchor="i39beeefaa0da48ab94f72b8bf9b05a36_13">
              <w:r>
                <w:rPr>
                  <w:rStyle w:val="InternetLink"/>
                  <w:rFonts w:ascii="Times New Roman;serif" w:hAnsi="Times New Roman;serif"/>
                  <w:b w:val="false"/>
                  <w:color w:val="000080"/>
                  <w:sz w:val="18"/>
                  <w:u w:val="single"/>
                </w:rPr>
                <w:t>)</w:t>
              </w:r>
            </w:hyperlink>
            <w:r>
              <w:rPr>
                <w:color w:val="000000"/>
              </w:rPr>
              <w:t xml:space="preserve"> </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3">
              <w:r>
                <w:rPr>
                  <w:rStyle w:val="InternetLink"/>
                  <w:rFonts w:ascii="Times New Roman;serif" w:hAnsi="Times New Roman;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6">
              <w:r>
                <w:rPr>
                  <w:rStyle w:val="InternetLink"/>
                  <w:rFonts w:ascii="Times New Roman;serif" w:hAnsi="Times New Roman;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6">
              <w:r>
                <w:rPr>
                  <w:rStyle w:val="InternetLink"/>
                  <w:rFonts w:ascii="Times New Roman;serif" w:hAnsi="Times New Roman;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9">
              <w:r>
                <w:rPr>
                  <w:rStyle w:val="InternetLink"/>
                  <w:rFonts w:ascii="Times New Roman;serif" w:hAnsi="Times New Roman;serif"/>
                  <w:b w:val="false"/>
                  <w:color w:val="0000FF"/>
                  <w:sz w:val="18"/>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9">
              <w:r>
                <w:rPr>
                  <w:rStyle w:val="InternetLink"/>
                  <w:rFonts w:ascii="Times New Roman;serif" w:hAnsi="Times New Roman;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22">
              <w:r>
                <w:rPr>
                  <w:rStyle w:val="InternetLink"/>
                  <w:rFonts w:ascii="Times New Roman;serif" w:hAnsi="Times New Roman;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22">
              <w:r>
                <w:rPr>
                  <w:rStyle w:val="InternetLink"/>
                  <w:rFonts w:ascii="Times New Roman;serif" w:hAnsi="Times New Roman;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25">
              <w:r>
                <w:rPr>
                  <w:rStyle w:val="InternetLink"/>
                  <w:rFonts w:ascii="Times New Roman;serif" w:hAnsi="Times New Roman;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25">
              <w:r>
                <w:rPr>
                  <w:rStyle w:val="InternetLink"/>
                  <w:rFonts w:ascii="Times New Roman;serif" w:hAnsi="Times New Roman;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28">
              <w:r>
                <w:rPr>
                  <w:rStyle w:val="InternetLink"/>
                  <w:rFonts w:ascii="Times New Roman;serif" w:hAnsi="Times New Roman;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28">
              <w:r>
                <w:rPr>
                  <w:rStyle w:val="InternetLink"/>
                  <w:rFonts w:ascii="Times New Roman;serif" w:hAnsi="Times New Roman;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31">
              <w:r>
                <w:rPr>
                  <w:rStyle w:val="InternetLink"/>
                  <w:rFonts w:ascii="Times New Roman;serif" w:hAnsi="Times New Roman;serif"/>
                  <w:b w:val="false"/>
                  <w:color w:val="0000FF"/>
                  <w:sz w:val="18"/>
                  <w:u w:val="singl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31">
              <w:r>
                <w:rPr>
                  <w:rStyle w:val="InternetLink"/>
                  <w:rFonts w:ascii="Times New Roman;serif" w:hAnsi="Times New Roman;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34">
              <w:r>
                <w:rPr>
                  <w:rStyle w:val="InternetLink"/>
                  <w:rFonts w:ascii="Times New Roman;serif" w:hAnsi="Times New Roman;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34">
              <w:r>
                <w:rPr>
                  <w:rStyle w:val="InternetLink"/>
                  <w:rFonts w:ascii="Times New Roman;serif" w:hAnsi="Times New Roman;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37">
              <w:r>
                <w:rPr>
                  <w:rStyle w:val="InternetLink"/>
                  <w:rFonts w:ascii="Times New Roman;serif" w:hAnsi="Times New Roman;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37">
              <w:r>
                <w:rPr>
                  <w:rStyle w:val="InternetLink"/>
                  <w:rFonts w:ascii="Times New Roman;serif" w:hAnsi="Times New Roman;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40">
              <w:r>
                <w:rPr>
                  <w:rStyle w:val="InternetLink"/>
                  <w:rFonts w:ascii="Times New Roman;serif" w:hAnsi="Times New Roman;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40">
              <w:r>
                <w:rPr>
                  <w:rStyle w:val="InternetLink"/>
                  <w:rFonts w:ascii="Times New Roman;serif" w:hAnsi="Times New Roman;serif"/>
                  <w:b w:val="false"/>
                  <w:color w:val="0000FF"/>
                  <w:sz w:val="18"/>
                  <w:u w:val="single"/>
                </w:rPr>
                <w:t>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46">
              <w:r>
                <w:rPr>
                  <w:rStyle w:val="InternetLink"/>
                  <w:rFonts w:ascii="Times New Roman;serif" w:hAnsi="Times New Roman;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46">
              <w:r>
                <w:rPr>
                  <w:rStyle w:val="InternetLink"/>
                  <w:rFonts w:ascii="Times New Roman;serif" w:hAnsi="Times New Roman;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49">
              <w:r>
                <w:rPr>
                  <w:rStyle w:val="InternetLink"/>
                  <w:rFonts w:ascii="Times New Roman;serif" w:hAnsi="Times New Roman;serif"/>
                  <w:b w:val="false"/>
                  <w:color w:val="0000FF"/>
                  <w:sz w:val="18"/>
                  <w:u w:val="single"/>
                </w:rPr>
                <w:t>5. Inventories,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49">
              <w:r>
                <w:rPr>
                  <w:rStyle w:val="InternetLink"/>
                  <w:rFonts w:ascii="Times New Roman;serif" w:hAnsi="Times New Roman;serif"/>
                  <w:b w:val="false"/>
                  <w:color w:val="0000FF"/>
                  <w:sz w:val="18"/>
                  <w:u w:val="single"/>
                </w:rPr>
                <w:t>11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52">
              <w:r>
                <w:rPr>
                  <w:rStyle w:val="InternetLink"/>
                  <w:rFonts w:ascii="Times New Roman;serif" w:hAnsi="Times New Roman;serif"/>
                  <w:b w:val="false"/>
                  <w:color w:val="0000FF"/>
                  <w:sz w:val="18"/>
                  <w:u w:val="single"/>
                </w:rPr>
                <w:t>6. 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52">
              <w:r>
                <w:rPr>
                  <w:rStyle w:val="InternetLink"/>
                  <w:rFonts w:ascii="Times New Roman;serif" w:hAnsi="Times New Roman;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55">
              <w:r>
                <w:rPr>
                  <w:rStyle w:val="InternetLink"/>
                  <w:rFonts w:ascii="Times New Roman;serif" w:hAnsi="Times New Roman;serif"/>
                  <w:b w:val="false"/>
                  <w:color w:val="0000FF"/>
                  <w:sz w:val="18"/>
                  <w:u w:val="single"/>
                </w:rPr>
                <w:t xml:space="preserve">7.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55">
              <w:r>
                <w:rPr>
                  <w:rStyle w:val="InternetLink"/>
                  <w:rFonts w:ascii="Times New Roman;serif" w:hAnsi="Times New Roman;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58">
              <w:r>
                <w:rPr>
                  <w:rStyle w:val="InternetLink"/>
                  <w:rFonts w:ascii="Times New Roman;serif" w:hAnsi="Times New Roman;serif"/>
                  <w:b w:val="false"/>
                  <w:color w:val="0000FF"/>
                  <w:sz w:val="18"/>
                  <w:u w:val="single"/>
                </w:rPr>
                <w:t>8.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58">
              <w:r>
                <w:rPr>
                  <w:rStyle w:val="InternetLink"/>
                  <w:rFonts w:ascii="Times New Roman;serif" w:hAnsi="Times New Roman;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9beeefaa0da48ab94f72b8bf9b05a36_61">
              <w:r>
                <w:rPr>
                  <w:rStyle w:val="InternetLink"/>
                  <w:rFonts w:ascii="Times New Roman;serif" w:hAnsi="Times New Roman;serif"/>
                  <w:b w:val="false"/>
                  <w:color w:val="0000FF"/>
                  <w:sz w:val="18"/>
                  <w:u w:val="single"/>
                </w:rPr>
                <w:t>9.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61">
              <w:r>
                <w:rPr>
                  <w:rStyle w:val="InternetLink"/>
                  <w:rFonts w:ascii="Times New Roman;serif" w:hAnsi="Times New Roman;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64">
              <w:r>
                <w:rPr>
                  <w:rStyle w:val="InternetLink"/>
                  <w:rFonts w:ascii="Times New Roman;serif" w:hAnsi="Times New Roman;serif"/>
                  <w:b w:val="false"/>
                  <w:color w:val="000080"/>
                  <w:sz w:val="18"/>
                  <w:u w:val="single"/>
                </w:rPr>
                <w:t xml:space="preserve">10. </w:t>
              </w:r>
            </w:hyperlink>
            <w:hyperlink w:anchor="i39beeefaa0da48ab94f72b8bf9b05a36_64">
              <w:r>
                <w:rPr>
                  <w:rStyle w:val="InternetLink"/>
                  <w:rFonts w:ascii="Times New Roman;serif" w:hAnsi="Times New Roman;serif"/>
                  <w:b w:val="false"/>
                  <w:color w:val="000080"/>
                  <w:sz w:val="18"/>
                  <w:u w:val="single"/>
                </w:rPr>
                <w:t>Revolving Cr</w:t>
              </w:r>
            </w:hyperlink>
            <w:hyperlink w:anchor="i39beeefaa0da48ab94f72b8bf9b05a36_64">
              <w:r>
                <w:rPr>
                  <w:rStyle w:val="InternetLink"/>
                  <w:rFonts w:ascii="Times New Roman;serif" w:hAnsi="Times New Roman;serif"/>
                  <w:b w:val="false"/>
                  <w:color w:val="000080"/>
                  <w:sz w:val="18"/>
                  <w:u w:val="single"/>
                </w:rPr>
                <w:t>edit Facility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64">
              <w:r>
                <w:rPr>
                  <w:rStyle w:val="InternetLink"/>
                  <w:rFonts w:ascii="Times New Roman;serif" w:hAnsi="Times New Roman;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67">
              <w:r>
                <w:rPr>
                  <w:rStyle w:val="InternetLink"/>
                  <w:rFonts w:ascii="Times New Roman;serif" w:hAnsi="Times New Roman;serif"/>
                  <w:b w:val="false"/>
                  <w:color w:val="0000FF"/>
                  <w:sz w:val="18"/>
                  <w:u w:val="single"/>
                </w:rPr>
                <w:t>11. Stock-Based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67">
              <w:r>
                <w:rPr>
                  <w:rStyle w:val="InternetLink"/>
                  <w:rFonts w:ascii="Times New Roman;serif" w:hAnsi="Times New Roman;serif"/>
                  <w:b w:val="false"/>
                  <w:color w:val="0000FF"/>
                  <w:sz w:val="18"/>
                  <w:u w:val="single"/>
                </w:rPr>
                <w:t>14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73">
              <w:r>
                <w:rPr>
                  <w:rStyle w:val="InternetLink"/>
                  <w:rFonts w:ascii="Times New Roman;serif" w:hAnsi="Times New Roman;serif"/>
                  <w:b w:val="false"/>
                  <w:color w:val="0000FF"/>
                  <w:sz w:val="18"/>
                  <w:u w:val="single"/>
                </w:rPr>
                <w:t>12. Share Repurchases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73">
              <w:r>
                <w:rPr>
                  <w:rStyle w:val="InternetLink"/>
                  <w:rFonts w:ascii="Times New Roman;serif" w:hAnsi="Times New Roman;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76">
              <w:r>
                <w:rPr>
                  <w:rStyle w:val="InternetLink"/>
                  <w:rFonts w:ascii="Times New Roman;serif" w:hAnsi="Times New Roman;serif"/>
                  <w:b w:val="false"/>
                  <w:color w:val="0000FF"/>
                  <w:sz w:val="18"/>
                  <w:u w:val="single"/>
                </w:rPr>
                <w:t>13. Accumulated Other Comprehensive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76">
              <w:r>
                <w:rPr>
                  <w:rStyle w:val="InternetLink"/>
                  <w:rFonts w:ascii="Times New Roman;serif" w:hAnsi="Times New Roman;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79">
              <w:r>
                <w:rPr>
                  <w:rStyle w:val="InternetLink"/>
                  <w:rFonts w:ascii="Times New Roman;serif" w:hAnsi="Times New Roman;serif"/>
                  <w:b w:val="false"/>
                  <w:color w:val="0000FF"/>
                  <w:sz w:val="18"/>
                  <w:u w:val="single"/>
                </w:rPr>
                <w:t>14. Loss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79">
              <w:r>
                <w:rPr>
                  <w:rStyle w:val="InternetLink"/>
                  <w:rFonts w:ascii="Times New Roman;serif" w:hAnsi="Times New Roman;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88">
              <w:r>
                <w:rPr>
                  <w:rStyle w:val="InternetLink"/>
                  <w:rFonts w:ascii="Times New Roman;serif" w:hAnsi="Times New Roman;serif"/>
                  <w:b w:val="false"/>
                  <w:color w:val="000080"/>
                  <w:sz w:val="18"/>
                  <w:u w:val="single"/>
                </w:rPr>
                <w:t>1</w:t>
              </w:r>
            </w:hyperlink>
            <w:hyperlink w:anchor="i39beeefaa0da48ab94f72b8bf9b05a36_88">
              <w:r>
                <w:rPr>
                  <w:rStyle w:val="InternetLink"/>
                  <w:rFonts w:ascii="Times New Roman;serif" w:hAnsi="Times New Roman;serif"/>
                  <w:b w:val="false"/>
                  <w:color w:val="000080"/>
                  <w:sz w:val="18"/>
                  <w:u w:val="single"/>
                </w:rPr>
                <w:t>5</w:t>
              </w:r>
            </w:hyperlink>
            <w:hyperlink w:anchor="i39beeefaa0da48ab94f72b8bf9b05a36_88">
              <w:r>
                <w:rPr>
                  <w:rStyle w:val="InternetLink"/>
                  <w:rFonts w:ascii="Times New Roman;serif" w:hAnsi="Times New Roman;serif"/>
                  <w:b w:val="false"/>
                  <w:color w:val="000080"/>
                  <w:sz w:val="18"/>
                  <w:u w:val="single"/>
                </w:rPr>
                <w:t>. Segment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88">
              <w:r>
                <w:rPr>
                  <w:rStyle w:val="InternetLink"/>
                  <w:rFonts w:ascii="Times New Roman;serif" w:hAnsi="Times New Roman;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91">
              <w:r>
                <w:rPr>
                  <w:rStyle w:val="InternetLink"/>
                  <w:rFonts w:ascii="Times New Roman;serif" w:hAnsi="Times New Roman;serif"/>
                  <w:b w:val="false"/>
                  <w:color w:val="000080"/>
                  <w:sz w:val="18"/>
                  <w:u w:val="single"/>
                </w:rPr>
                <w:t>1</w:t>
              </w:r>
            </w:hyperlink>
            <w:hyperlink w:anchor="i39beeefaa0da48ab94f72b8bf9b05a36_91">
              <w:r>
                <w:rPr>
                  <w:rStyle w:val="InternetLink"/>
                  <w:rFonts w:ascii="Times New Roman;serif" w:hAnsi="Times New Roman;serif"/>
                  <w:b w:val="false"/>
                  <w:color w:val="000080"/>
                  <w:sz w:val="18"/>
                  <w:u w:val="single"/>
                </w:rPr>
                <w:t>6</w:t>
              </w:r>
            </w:hyperlink>
            <w:hyperlink w:anchor="i39beeefaa0da48ab94f72b8bf9b05a36_91">
              <w:r>
                <w:rPr>
                  <w:rStyle w:val="InternetLink"/>
                  <w:rFonts w:ascii="Times New Roman;serif" w:hAnsi="Times New Roman;serif"/>
                  <w:b w:val="false"/>
                  <w:color w:val="000080"/>
                  <w:sz w:val="18"/>
                  <w:u w:val="single"/>
                </w:rPr>
                <w:t>. 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91">
              <w:r>
                <w:rPr>
                  <w:rStyle w:val="InternetLink"/>
                  <w:rFonts w:ascii="Times New Roman;serif" w:hAnsi="Times New Roman;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94">
              <w:r>
                <w:rPr>
                  <w:rStyle w:val="InternetLink"/>
                  <w:rFonts w:ascii="Times New Roman;serif" w:hAnsi="Times New Roman;serif"/>
                  <w:b w:val="false"/>
                  <w:color w:val="000080"/>
                  <w:sz w:val="18"/>
                  <w:u w:val="single"/>
                </w:rPr>
                <w:t>1</w:t>
              </w:r>
            </w:hyperlink>
            <w:hyperlink w:anchor="i39beeefaa0da48ab94f72b8bf9b05a36_94">
              <w:r>
                <w:rPr>
                  <w:rStyle w:val="InternetLink"/>
                  <w:rFonts w:ascii="Times New Roman;serif" w:hAnsi="Times New Roman;serif"/>
                  <w:b w:val="false"/>
                  <w:color w:val="000080"/>
                  <w:sz w:val="18"/>
                  <w:u w:val="single"/>
                </w:rPr>
                <w:t>7</w:t>
              </w:r>
            </w:hyperlink>
            <w:hyperlink w:anchor="i39beeefaa0da48ab94f72b8bf9b05a36_94">
              <w:r>
                <w:rPr>
                  <w:rStyle w:val="InternetLink"/>
                  <w:rFonts w:ascii="Times New Roman;serif" w:hAnsi="Times New Roman;serif"/>
                  <w:b w:val="false"/>
                  <w:color w:val="000080"/>
                  <w:sz w:val="18"/>
                  <w:u w:val="single"/>
                </w:rPr>
                <w:t>. Supplemental Cash Flow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94">
              <w:r>
                <w:rPr>
                  <w:rStyle w:val="InternetLink"/>
                  <w:rFonts w:ascii="Times New Roman;serif" w:hAnsi="Times New Roman;serif"/>
                  <w:b w:val="false"/>
                  <w:color w:val="0000FF"/>
                  <w:sz w:val="18"/>
                  <w:u w:val="single"/>
                </w:rPr>
                <w:t>18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97">
              <w:r>
                <w:rPr>
                  <w:rStyle w:val="InternetLink"/>
                  <w:rFonts w:ascii="Times New Roman;serif" w:hAnsi="Times New Roman;serif"/>
                  <w:b w:val="false"/>
                  <w:color w:val="0000FF"/>
                  <w:sz w:val="18"/>
                  <w:u w:val="single"/>
                </w:rPr>
                <w:t>Item 2.</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97">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97">
              <w:r>
                <w:rPr>
                  <w:rStyle w:val="InternetLink"/>
                  <w:rFonts w:ascii="Times New Roman;serif" w:hAnsi="Times New Roman;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00">
              <w:r>
                <w:rPr>
                  <w:rStyle w:val="InternetLink"/>
                  <w:rFonts w:ascii="Times New Roman;serif" w:hAnsi="Times New Roman;serif"/>
                  <w:b w:val="false"/>
                  <w:color w:val="0000FF"/>
                  <w:sz w:val="18"/>
                  <w:u w:val="single"/>
                </w:rPr>
                <w:t>Forward-Looking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00">
              <w:r>
                <w:rPr>
                  <w:rStyle w:val="InternetLink"/>
                  <w:rFonts w:ascii="Times New Roman;serif" w:hAnsi="Times New Roman;serif"/>
                  <w:b w:val="false"/>
                  <w:color w:val="0000FF"/>
                  <w:sz w:val="18"/>
                  <w:u w:val="single"/>
                </w:rPr>
                <w:t>19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03">
              <w:r>
                <w:rPr>
                  <w:rStyle w:val="InternetLink"/>
                  <w:rFonts w:ascii="Times New Roman;serif" w:hAnsi="Times New Roman;serif"/>
                  <w:b w:val="false"/>
                  <w:color w:val="0000FF"/>
                  <w:sz w:val="18"/>
                  <w:u w:val="single"/>
                </w:rPr>
                <w:t>General and Business Overview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03">
              <w:r>
                <w:rPr>
                  <w:rStyle w:val="InternetLink"/>
                  <w:rFonts w:ascii="Times New Roman;serif" w:hAnsi="Times New Roman;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09">
              <w:r>
                <w:rPr>
                  <w:rStyle w:val="InternetLink"/>
                  <w:rFonts w:ascii="Times New Roman;serif" w:hAnsi="Times New Roman;serif"/>
                  <w:b w:val="false"/>
                  <w:color w:val="0000FF"/>
                  <w:sz w:val="18"/>
                  <w:u w:val="single"/>
                </w:rPr>
                <w:t>Financial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09">
              <w:r>
                <w:rPr>
                  <w:rStyle w:val="InternetLink"/>
                  <w:rFonts w:ascii="Times New Roman;serif" w:hAnsi="Times New Roman;serif"/>
                  <w:b w:val="false"/>
                  <w:color w:val="0000FF"/>
                  <w:sz w:val="18"/>
                  <w:u w:val="single"/>
                </w:rPr>
                <w:t>20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12">
              <w:r>
                <w:rPr>
                  <w:rStyle w:val="InternetLink"/>
                  <w:rFonts w:ascii="Times New Roman;serif" w:hAnsi="Times New Roman;serif"/>
                  <w:b w:val="false"/>
                  <w:color w:val="0000FF"/>
                  <w:sz w:val="18"/>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12">
              <w:r>
                <w:rPr>
                  <w:rStyle w:val="InternetLink"/>
                  <w:rFonts w:ascii="Times New Roman;serif" w:hAnsi="Times New Roman;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18">
              <w:r>
                <w:rPr>
                  <w:rStyle w:val="InternetLink"/>
                  <w:rFonts w:ascii="Times New Roman;serif" w:hAnsi="Times New Roman;serif"/>
                  <w:b w:val="false"/>
                  <w:color w:val="0000FF"/>
                  <w:sz w:val="18"/>
                  <w:u w:val="single"/>
                </w:rPr>
                <w:t>Liquidity and Capital Resources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18">
              <w:r>
                <w:rPr>
                  <w:rStyle w:val="InternetLink"/>
                  <w:rFonts w:ascii="Times New Roman;serif" w:hAnsi="Times New Roman;serif"/>
                  <w:b w:val="false"/>
                  <w:color w:val="0000FF"/>
                  <w:sz w:val="18"/>
                  <w:u w:val="single"/>
                </w:rPr>
                <w:t>22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21">
              <w:r>
                <w:rPr>
                  <w:rStyle w:val="InternetLink"/>
                  <w:rFonts w:ascii="Times New Roman;serif" w:hAnsi="Times New Roman;serif"/>
                  <w:b w:val="false"/>
                  <w:color w:val="0000FF"/>
                  <w:sz w:val="18"/>
                  <w:u w:val="single"/>
                </w:rPr>
                <w:t>Critical Accounting Policies and Estimates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21">
              <w:r>
                <w:rPr>
                  <w:rStyle w:val="InternetLink"/>
                  <w:rFonts w:ascii="Times New Roman;serif" w:hAnsi="Times New Roman;serif"/>
                  <w:b w:val="false"/>
                  <w:color w:val="0000FF"/>
                  <w:sz w:val="18"/>
                  <w:u w:val="single"/>
                </w:rPr>
                <w:t>23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24">
              <w:r>
                <w:rPr>
                  <w:rStyle w:val="InternetLink"/>
                  <w:rFonts w:ascii="Times New Roman;serif" w:hAnsi="Times New Roman;serif"/>
                  <w:b w:val="false"/>
                  <w:color w:val="0000FF"/>
                  <w:sz w:val="18"/>
                  <w:u w:val="single"/>
                </w:rPr>
                <w:t>Item 3.</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24">
              <w:r>
                <w:rPr>
                  <w:rStyle w:val="InternetLink"/>
                  <w:rFonts w:ascii="Times New Roman;serif" w:hAnsi="Times New Roman;serif"/>
                  <w:b w:val="false"/>
                  <w:color w:val="0000FF"/>
                  <w:sz w:val="18"/>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24">
              <w:r>
                <w:rPr>
                  <w:rStyle w:val="InternetLink"/>
                  <w:rFonts w:ascii="Times New Roman;serif" w:hAnsi="Times New Roman;serif"/>
                  <w:b w:val="false"/>
                  <w:color w:val="0000FF"/>
                  <w:sz w:val="18"/>
                  <w:u w:val="single"/>
                </w:rPr>
                <w:t>23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27">
              <w:r>
                <w:rPr>
                  <w:rStyle w:val="InternetLink"/>
                  <w:rFonts w:ascii="Times New Roman;serif" w:hAnsi="Times New Roman;serif"/>
                  <w:b w:val="false"/>
                  <w:color w:val="0000FF"/>
                  <w:sz w:val="18"/>
                  <w:u w:val="single"/>
                </w:rPr>
                <w:t>Item 4.</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27">
              <w:r>
                <w:rPr>
                  <w:rStyle w:val="InternetLink"/>
                  <w:rFonts w:ascii="Times New Roman;serif" w:hAnsi="Times New Roman;serif"/>
                  <w:b w:val="false"/>
                  <w:color w:val="0000FF"/>
                  <w:sz w:val="18"/>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27">
              <w:r>
                <w:rPr>
                  <w:rStyle w:val="InternetLink"/>
                  <w:rFonts w:ascii="Times New Roman;serif" w:hAnsi="Times New Roman;serif"/>
                  <w:b w:val="false"/>
                  <w:color w:val="0000FF"/>
                  <w:sz w:val="18"/>
                  <w:u w:val="single"/>
                </w:rPr>
                <w:t>24</w:t>
              </w:r>
            </w:hyperlink>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0">
              <w:r>
                <w:rPr>
                  <w:rStyle w:val="InternetLink"/>
                  <w:rFonts w:ascii="Times New Roman;serif" w:hAnsi="Times New Roman;serif"/>
                  <w:b/>
                  <w:color w:val="0000FF"/>
                  <w:sz w:val="18"/>
                  <w:u w:val="single"/>
                </w:rPr>
                <w:t>PART II -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30">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3">
              <w:r>
                <w:rPr>
                  <w:rStyle w:val="InternetLink"/>
                  <w:rFonts w:ascii="Times New Roman;serif" w:hAnsi="Times New Roman;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3">
              <w:r>
                <w:rPr>
                  <w:rStyle w:val="InternetLink"/>
                  <w:rFonts w:ascii="Times New Roman;serif" w:hAnsi="Times New Roman;serif"/>
                  <w:b w:val="false"/>
                  <w:color w:val="0000FF"/>
                  <w:sz w:val="18"/>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33">
              <w:r>
                <w:rPr>
                  <w:rStyle w:val="InternetLink"/>
                  <w:rFonts w:ascii="Times New Roman;serif" w:hAnsi="Times New Roman;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6">
              <w:r>
                <w:rPr>
                  <w:rStyle w:val="InternetLink"/>
                  <w:rFonts w:ascii="Times New Roman;serif" w:hAnsi="Times New Roman;serif"/>
                  <w:b w:val="false"/>
                  <w:color w:val="0000FF"/>
                  <w:sz w:val="18"/>
                  <w:u w:val="single"/>
                </w:rPr>
                <w:t>Item 1A.</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6">
              <w:r>
                <w:rPr>
                  <w:rStyle w:val="InternetLink"/>
                  <w:rFonts w:ascii="Times New Roman;serif" w:hAnsi="Times New Roman;serif"/>
                  <w:b w:val="false"/>
                  <w:color w:val="0000FF"/>
                  <w:sz w:val="18"/>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36">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9">
              <w:r>
                <w:rPr>
                  <w:rStyle w:val="InternetLink"/>
                  <w:rFonts w:ascii="Times New Roman;serif" w:hAnsi="Times New Roman;serif"/>
                  <w:b w:val="false"/>
                  <w:color w:val="0000FF"/>
                  <w:sz w:val="18"/>
                  <w:u w:val="single"/>
                </w:rPr>
                <w:t>Item 2.</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39">
              <w:r>
                <w:rPr>
                  <w:rStyle w:val="InternetLink"/>
                  <w:rFonts w:ascii="Times New Roman;serif" w:hAnsi="Times New Roman;serif"/>
                  <w:b w:val="false"/>
                  <w:color w:val="0000FF"/>
                  <w:sz w:val="18"/>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39">
              <w:r>
                <w:rPr>
                  <w:rStyle w:val="InternetLink"/>
                  <w:rFonts w:ascii="Times New Roman;serif" w:hAnsi="Times New Roman;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42">
              <w:r>
                <w:rPr>
                  <w:rStyle w:val="InternetLink"/>
                  <w:rFonts w:ascii="Times New Roman;serif" w:hAnsi="Times New Roman;serif"/>
                  <w:b w:val="false"/>
                  <w:color w:val="0000FF"/>
                  <w:sz w:val="18"/>
                  <w:u w:val="single"/>
                </w:rPr>
                <w:t>Item 3.</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42">
              <w:r>
                <w:rPr>
                  <w:rStyle w:val="InternetLink"/>
                  <w:rFonts w:ascii="Times New Roman;serif" w:hAnsi="Times New Roman;serif"/>
                  <w:b w:val="false"/>
                  <w:color w:val="0000FF"/>
                  <w:sz w:val="18"/>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42">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45">
              <w:r>
                <w:rPr>
                  <w:rStyle w:val="InternetLink"/>
                  <w:rFonts w:ascii="Times New Roman;serif" w:hAnsi="Times New Roman;serif"/>
                  <w:b w:val="false"/>
                  <w:color w:val="0000FF"/>
                  <w:sz w:val="18"/>
                  <w:u w:val="single"/>
                </w:rPr>
                <w:t>Item 4.</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45">
              <w:r>
                <w:rPr>
                  <w:rStyle w:val="InternetLink"/>
                  <w:rFonts w:ascii="Times New Roman;serif" w:hAnsi="Times New Roman;serif"/>
                  <w:b w:val="false"/>
                  <w:color w:val="0000FF"/>
                  <w:sz w:val="18"/>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45">
              <w:r>
                <w:rPr>
                  <w:rStyle w:val="InternetLink"/>
                  <w:rFonts w:ascii="Times New Roman;serif" w:hAnsi="Times New Roman;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48">
              <w:r>
                <w:rPr>
                  <w:rStyle w:val="InternetLink"/>
                  <w:rFonts w:ascii="Times New Roman;serif" w:hAnsi="Times New Roman;serif"/>
                  <w:b w:val="false"/>
                  <w:color w:val="0000FF"/>
                  <w:sz w:val="18"/>
                  <w:u w:val="single"/>
                </w:rPr>
                <w:t>Item 5.</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48">
              <w:r>
                <w:rPr>
                  <w:rStyle w:val="InternetLink"/>
                  <w:rFonts w:ascii="Times New Roman;serif" w:hAnsi="Times New Roman;serif"/>
                  <w:b w:val="false"/>
                  <w:color w:val="0000FF"/>
                  <w:sz w:val="18"/>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48">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51">
              <w:r>
                <w:rPr>
                  <w:rStyle w:val="InternetLink"/>
                  <w:rFonts w:ascii="Times New Roman;serif" w:hAnsi="Times New Roman;serif"/>
                  <w:b w:val="false"/>
                  <w:color w:val="0000FF"/>
                  <w:sz w:val="18"/>
                  <w:u w:val="single"/>
                </w:rPr>
                <w:t>Item 6.</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51">
              <w:r>
                <w:rPr>
                  <w:rStyle w:val="InternetLink"/>
                  <w:rFonts w:ascii="Times New Roman;serif" w:hAnsi="Times New Roman;serif"/>
                  <w:b w:val="false"/>
                  <w:color w:val="0000FF"/>
                  <w:sz w:val="18"/>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51">
              <w:r>
                <w:rPr>
                  <w:rStyle w:val="InternetLink"/>
                  <w:rFonts w:ascii="Times New Roman;serif" w:hAnsi="Times New Roman;serif"/>
                  <w:b w:val="false"/>
                  <w:color w:val="0000FF"/>
                  <w:sz w:val="18"/>
                  <w:u w:val="single"/>
                </w:rPr>
                <w:t>26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beeefaa0da48ab94f72b8bf9b05a36_154">
              <w:r>
                <w:rPr>
                  <w:rStyle w:val="InternetLink"/>
                  <w:rFonts w:ascii="Times New Roman;serif" w:hAnsi="Times New Roman;serif"/>
                  <w:b w:val="false"/>
                  <w:color w:val="0000FF"/>
                  <w:sz w:val="18"/>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beeefaa0da48ab94f72b8bf9b05a36_154">
              <w:r>
                <w:rPr>
                  <w:rStyle w:val="InternetLink"/>
                  <w:rFonts w:ascii="Times New Roman;serif" w:hAnsi="Times New Roman;serif"/>
                  <w:b w:val="false"/>
                  <w:color w:val="0000FF"/>
                  <w:sz w:val="18"/>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25"/>
        <w:gridCol w:w="1508"/>
        <w:gridCol w:w="1515"/>
        <w:gridCol w:w="227"/>
        <w:gridCol w:w="752"/>
        <w:gridCol w:w="126"/>
        <w:gridCol w:w="109"/>
        <w:gridCol w:w="109"/>
        <w:gridCol w:w="109"/>
        <w:gridCol w:w="227"/>
        <w:gridCol w:w="752"/>
        <w:gridCol w:w="126"/>
        <w:gridCol w:w="109"/>
        <w:gridCol w:w="109"/>
        <w:gridCol w:w="109"/>
        <w:gridCol w:w="211"/>
        <w:gridCol w:w="778"/>
        <w:gridCol w:w="117"/>
        <w:gridCol w:w="109"/>
        <w:gridCol w:w="109"/>
        <w:gridCol w:w="109"/>
        <w:gridCol w:w="210"/>
        <w:gridCol w:w="776"/>
        <w:gridCol w:w="174"/>
      </w:tblGrid>
      <w:tr>
        <w:trPr/>
        <w:tc>
          <w:tcPr>
            <w:tcW w:w="172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services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products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services (excluding depreciation and amortization)</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products (excluding depreciation and amortization)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229" w:type="dxa"/>
        <w:jc w:val="center"/>
        <w:tblInd w:w="0" w:type="dxa"/>
        <w:tblLayout w:type="fixed"/>
        <w:tblCellMar>
          <w:top w:w="28" w:type="dxa"/>
          <w:left w:w="28" w:type="dxa"/>
          <w:bottom w:w="28" w:type="dxa"/>
          <w:right w:w="28" w:type="dxa"/>
        </w:tblCellMar>
      </w:tblPr>
      <w:tblGrid>
        <w:gridCol w:w="1362"/>
        <w:gridCol w:w="1194"/>
        <w:gridCol w:w="1209"/>
        <w:gridCol w:w="232"/>
        <w:gridCol w:w="748"/>
        <w:gridCol w:w="129"/>
        <w:gridCol w:w="109"/>
        <w:gridCol w:w="109"/>
        <w:gridCol w:w="109"/>
        <w:gridCol w:w="232"/>
        <w:gridCol w:w="748"/>
        <w:gridCol w:w="129"/>
        <w:gridCol w:w="109"/>
        <w:gridCol w:w="109"/>
        <w:gridCol w:w="109"/>
        <w:gridCol w:w="212"/>
        <w:gridCol w:w="780"/>
        <w:gridCol w:w="118"/>
        <w:gridCol w:w="109"/>
        <w:gridCol w:w="109"/>
        <w:gridCol w:w="109"/>
        <w:gridCol w:w="211"/>
        <w:gridCol w:w="778"/>
        <w:gridCol w:w="166"/>
      </w:tblGrid>
      <w:tr>
        <w:trPr/>
        <w:tc>
          <w:tcPr>
            <w:tcW w:w="136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gain (loss) on pension liability adjustment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(15,221)</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25"/>
        <w:gridCol w:w="2182"/>
        <w:gridCol w:w="2202"/>
        <w:gridCol w:w="236"/>
        <w:gridCol w:w="888"/>
        <w:gridCol w:w="131"/>
        <w:gridCol w:w="126"/>
        <w:gridCol w:w="126"/>
        <w:gridCol w:w="126"/>
        <w:gridCol w:w="280"/>
        <w:gridCol w:w="1055"/>
        <w:gridCol w:w="228"/>
      </w:tblGrid>
      <w:tr>
        <w:trPr/>
        <w:tc>
          <w:tcPr>
            <w:tcW w:w="2625"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 and share data)</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Inventories, net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program expenses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102,776 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and other accrued liabilities </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liabilities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 current portion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 non-current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 non-current portion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250,000,000 shares authorized, 72,441,668 shares and 72,514,652 shares issued and outstanding as of June 30, 2025, and December 31, 2024, respectively</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(345,468)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(327,347)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118,413 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127,137 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8577" w:type="dxa"/>
        <w:jc w:val="left"/>
        <w:tblInd w:w="0" w:type="dxa"/>
        <w:tblLayout w:type="fixed"/>
        <w:tblCellMar>
          <w:top w:w="28" w:type="dxa"/>
          <w:left w:w="28" w:type="dxa"/>
          <w:bottom w:w="28" w:type="dxa"/>
          <w:right w:w="28" w:type="dxa"/>
        </w:tblCellMar>
      </w:tblPr>
      <w:tblGrid>
        <w:gridCol w:w="2168"/>
        <w:gridCol w:w="1901"/>
        <w:gridCol w:w="1916"/>
        <w:gridCol w:w="212"/>
        <w:gridCol w:w="780"/>
        <w:gridCol w:w="118"/>
        <w:gridCol w:w="109"/>
        <w:gridCol w:w="109"/>
        <w:gridCol w:w="109"/>
        <w:gridCol w:w="211"/>
        <w:gridCol w:w="778"/>
        <w:gridCol w:w="166"/>
      </w:tblGrid>
      <w:tr>
        <w:trPr/>
        <w:tc>
          <w:tcPr>
            <w:tcW w:w="216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provided by (used in)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from doubtful accounts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operating assets and liabilities: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deferred program expenses, other current assets, other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payables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finance lease obligations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related to net share settlement of equity awards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90"/>
        <w:gridCol w:w="584"/>
        <w:gridCol w:w="589"/>
        <w:gridCol w:w="323"/>
        <w:gridCol w:w="323"/>
        <w:gridCol w:w="186"/>
        <w:gridCol w:w="109"/>
        <w:gridCol w:w="109"/>
        <w:gridCol w:w="109"/>
        <w:gridCol w:w="196"/>
        <w:gridCol w:w="421"/>
        <w:gridCol w:w="109"/>
        <w:gridCol w:w="109"/>
        <w:gridCol w:w="109"/>
        <w:gridCol w:w="109"/>
        <w:gridCol w:w="210"/>
        <w:gridCol w:w="790"/>
        <w:gridCol w:w="116"/>
        <w:gridCol w:w="109"/>
        <w:gridCol w:w="109"/>
        <w:gridCol w:w="109"/>
        <w:gridCol w:w="360"/>
        <w:gridCol w:w="802"/>
        <w:gridCol w:w="202"/>
        <w:gridCol w:w="109"/>
        <w:gridCol w:w="109"/>
        <w:gridCol w:w="109"/>
        <w:gridCol w:w="212"/>
        <w:gridCol w:w="832"/>
        <w:gridCol w:w="118"/>
        <w:gridCol w:w="109"/>
        <w:gridCol w:w="109"/>
        <w:gridCol w:w="109"/>
        <w:gridCol w:w="216"/>
        <w:gridCol w:w="813"/>
        <w:gridCol w:w="178"/>
      </w:tblGrid>
      <w:tr>
        <w:trPr/>
        <w:tc>
          <w:tcPr>
            <w:tcW w:w="99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(335,951)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(345,468)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436,616 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439,146 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(289,962)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149,149 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9"/>
        <w:gridCol w:w="625"/>
        <w:gridCol w:w="629"/>
        <w:gridCol w:w="323"/>
        <w:gridCol w:w="323"/>
        <w:gridCol w:w="186"/>
        <w:gridCol w:w="109"/>
        <w:gridCol w:w="109"/>
        <w:gridCol w:w="109"/>
        <w:gridCol w:w="196"/>
        <w:gridCol w:w="421"/>
        <w:gridCol w:w="109"/>
        <w:gridCol w:w="109"/>
        <w:gridCol w:w="109"/>
        <w:gridCol w:w="109"/>
        <w:gridCol w:w="210"/>
        <w:gridCol w:w="790"/>
        <w:gridCol w:w="116"/>
        <w:gridCol w:w="109"/>
        <w:gridCol w:w="109"/>
        <w:gridCol w:w="109"/>
        <w:gridCol w:w="360"/>
        <w:gridCol w:w="802"/>
        <w:gridCol w:w="202"/>
        <w:gridCol w:w="109"/>
        <w:gridCol w:w="109"/>
        <w:gridCol w:w="109"/>
        <w:gridCol w:w="212"/>
        <w:gridCol w:w="832"/>
        <w:gridCol w:w="118"/>
        <w:gridCol w:w="109"/>
        <w:gridCol w:w="109"/>
        <w:gridCol w:w="109"/>
        <w:gridCol w:w="216"/>
        <w:gridCol w:w="813"/>
        <w:gridCol w:w="178"/>
      </w:tblGrid>
      <w:tr>
        <w:trPr/>
        <w:tc>
          <w:tcPr>
            <w:tcW w:w="9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gain on pension liability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(345,468)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 on pension liability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439,146 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(289,962)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149,149 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 ORGANIZATION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Teloworks, Inc. ("Teloworks"), and 100% ownership interest in Telos Identity Management Solutions, LLC ("Telos 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2. SIGNIFICANT ACCOUNTING POLICIES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 of Consolidation</w:t>
      </w:r>
    </w:p>
    <w:p>
      <w:pPr>
        <w:pStyle w:val="TextBody"/>
        <w:bidi w:val="0"/>
        <w:spacing w:lineRule="auto" w:line="288" w:before="120" w:after="180"/>
        <w:jc w:val="left"/>
        <w:rPr/>
      </w:pPr>
      <w:r>
        <w:rPr>
          <w:rFonts w:ascii="Times New Roman;serif" w:hAnsi="Times New Roman;serif"/>
          <w:b w:val="false"/>
          <w:color w:val="000000"/>
          <w:sz w:val="20"/>
        </w:rPr>
        <w:t xml:space="preserve">The accompanying unaudited consolidated financial statements include the accounts of Telos and its subsidiaries (see </w:t>
      </w:r>
      <w:hyperlink w:anchor="i39beeefaa0da48ab94f72b8bf9b05a36_34">
        <w:r>
          <w:rPr>
            <w:rStyle w:val="InternetLink"/>
            <w:rFonts w:ascii="Times New Roman;serif" w:hAnsi="Times New Roman;serif"/>
            <w:b w:val="false"/>
            <w:color w:val="0000FF"/>
            <w:sz w:val="20"/>
            <w:u w:val="single"/>
          </w:rPr>
          <w:t>Note 1 – Organization</w:t>
        </w:r>
      </w:hyperlink>
      <w:r>
        <w:rPr>
          <w:rFonts w:ascii="Times New Roman;serif" w:hAnsi="Times New Roman;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have been prepared in accordance with accounting principles generally accepted in the United States of America ("U.S. GAAP"), and the rules and regulations of the U.S. Securities and Exchange Commission ("SEC").</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for Interim Periods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for the annual financial statements prepared in accordance with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2024, included in our Annual Report on Form 10-K for the fiscal year then ended. We have continued to follow the accounting policies set forth in those financial statements.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these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stock-based compensation, valuation of intangible assets and goodwill, restructuring expenses accruals, and contingencies. Actual results could differ from these estimates. The impact of changes in estimates is recorded in the period in which they become known.</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Deferred Program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Deferred program expenses include direct contract costs identifiable with or allocable to a specific contract. These costs are capitalized as deferred program expenses when the costs are expected to be recovered over a period of time. These costs are amortized using the straight-line method over the expected contract period of performance or recognized upon delivery of the performance obligation. If the contract period of performance is beyond twelve months, we classify the cost as long-term and is included within "Other assets" on the unaudited consolidated balance sheets.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period for which tax years are open, 2021 to 2024, has not been extended beyond the applicable statute of limitations. In September 2024, we were advised by the Internal Revenue Services ("IRS") regarding an audit of our 2021 federal income tax return. In April 2025, the IRS notified us that they completed their examination of our 2021 federal income tax return with no changes to our reported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which includes significant amendments to the Internal Revenue Code. The OBBBA imposes various changes to U.S. federal income tax regulations, such as restoring bonus depreciation, and removing the requirement to capitalize and amortize domestic research and development expenditures. The OBBBA also included certain modifications to the Inflation Reduction Act of 2022, including the repeal or acceleration of the sunset of certain tax credits and elimination of certain penalties for violations of certain regulatory credit programs. The legislation has multiple effective dates, with certain provisions effective in 2025 and others implemented through 2027. We are currently evaluating the potential impact of these provisions on our unaudited consolidated financial statements.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adopted all applicable standards effective as of December 31, 2024, within these unaudited consolidated financial statements, with no material impact as a result of the adoption.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ASU No. 2023-09, "Income Taxes (Topic 740): Improvements to Income Tax Disclosure," which requires public entities, on an annual basis, (1) to disclosure specific categories in the rate reconciliation, and (2) to provide additional information for reconciling items that meet a quantitative threshold (if the effect of those reconciling items is equal to or greater than 5% of the amount computed by multiplying pretax income (loss) by the applicable statutory income tax rate). This ASU will be effective, for public entities, for the fiscal year beginning after December 15, 2024, with early adoption permitted. We are currently assessing the impact of the adoption of this ASU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 (Topic 220): Disaggregation of Income Statement Expenses." This standard requires additional disclosure of certain amounts included in the expense captions presented on the statements of operations, as well as disclosures about selling expenses. This ASU is effective on a prospective basis, with the option for retrospective application. All public entities are required to adopt the guidance in annual reporting periods beginning after December 15, 2026, and interim reporting periods beginning after December 15, 2027, with early adoption permitted. We are in the process of assessing the impact of the adoption of this ASU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addition, from time to time, new accounting standards are issued by the FASB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3. REVENUE RECOGNITION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account for revenue in accordance with ASC Topic 606, "Revenue from Contracts with Customers." The unit of account in ASC 606 is a performance obligation, which is a promise in a contract with a customer to transfer a good or service to the customer.</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recognized over time, as control is transferred continuously to our customers, who receive and consume benefits as we perform. Revenue transferred to customers over time accounted for 68% and 73% of our revenue for the three and six months ended June 30, 2025, respectively, and 84% and 82% of our revenue for the three and six months ended June 30, 2024, respectively. All of our business groups earn services revenue under a variety of contract types, including time and materials, firm-fixed price, firm-fixed price level of effort, and cost-plus fixed fee, which may include variable consideration. On the other hand, for performance obligations in which control does not continuously transfer to the customer, we recognize revenue at the point in time when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32% and 27% of our revenue for the three and six months ended June 30, 2025, respectively, and 16% and 18% of our revenue for the three and six months ended June 30, 2024, respectively. The change in revenue mix for the three and six months ended June 30, 2025, as compared to the prior periods, was primarily driven by an increase in product sales volume.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and six months ended June 30, 2025, and 2024.</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for anticipated losses on contracts during the period when the loss is determined by recording an expense for the total expected costs that exceeds the total estimated revenue for a performance obligation. No contract loss was recorded during the three months ended June 30, 2025, and 2024. We recorded an immaterial contract loss during the six months ended June 30, 2025, and 2024. </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120" w:after="180"/>
        <w:jc w:val="left"/>
        <w:rPr/>
      </w:pPr>
      <w:r>
        <w:rPr>
          <w:rFonts w:ascii="Times New Roman;serif" w:hAnsi="Times New Roman;serif"/>
          <w:b w:val="false"/>
          <w:color w:val="000000"/>
          <w:sz w:val="20"/>
        </w:rPr>
        <w:t xml:space="preserve">In addition to our segment reporting, as further discussed in </w:t>
      </w:r>
      <w:hyperlink w:anchor="i39beeefaa0da48ab94f72b8bf9b05a36_88">
        <w:r>
          <w:rPr>
            <w:rStyle w:val="InternetLink"/>
          </w:rPr>
          <w:t>Note 1</w:t>
        </w:r>
      </w:hyperlink>
      <w:hyperlink w:anchor="i39beeefaa0da48ab94f72b8bf9b05a36_88">
        <w:r>
          <w:rPr>
            <w:rStyle w:val="InternetLink"/>
          </w:rPr>
          <w:t>5</w:t>
        </w:r>
      </w:hyperlink>
      <w:hyperlink w:anchor="i39beeefaa0da48ab94f72b8bf9b05a36_88">
        <w:r>
          <w:rPr>
            <w:rStyle w:val="InternetLink"/>
          </w:rPr>
          <w:t xml:space="preserve"> – Segment Information</w:t>
        </w:r>
      </w:hyperlink>
      <w:r>
        <w:rPr>
          <w:rFonts w:ascii="Times New Roman;serif" w:hAnsi="Times New Roman;serif"/>
          <w:b w:val="false"/>
          <w:color w:val="000000"/>
          <w:sz w:val="20"/>
        </w:rPr>
        <w:t>, we disaggregate our revenues by customer and contract types. We treat sales to U.S. customers as sales within the United States, regardless of where the services are performed. Substantially most of our revenues are generated from U.S. customers, while international customers are de minimis; as such, the financial information by geographic location is not presented.</w:t>
      </w:r>
    </w:p>
    <w:tbl>
      <w:tblPr>
        <w:tblW w:w="10205" w:type="dxa"/>
        <w:jc w:val="left"/>
        <w:tblInd w:w="0" w:type="dxa"/>
        <w:tblLayout w:type="fixed"/>
        <w:tblCellMar>
          <w:top w:w="28" w:type="dxa"/>
          <w:left w:w="28" w:type="dxa"/>
          <w:bottom w:w="28" w:type="dxa"/>
          <w:right w:w="28" w:type="dxa"/>
        </w:tblCellMar>
      </w:tblPr>
      <w:tblGrid>
        <w:gridCol w:w="705"/>
        <w:gridCol w:w="617"/>
        <w:gridCol w:w="626"/>
        <w:gridCol w:w="196"/>
        <w:gridCol w:w="646"/>
        <w:gridCol w:w="109"/>
        <w:gridCol w:w="109"/>
        <w:gridCol w:w="109"/>
        <w:gridCol w:w="109"/>
        <w:gridCol w:w="183"/>
        <w:gridCol w:w="173"/>
        <w:gridCol w:w="173"/>
        <w:gridCol w:w="109"/>
        <w:gridCol w:w="109"/>
        <w:gridCol w:w="109"/>
        <w:gridCol w:w="196"/>
        <w:gridCol w:w="646"/>
        <w:gridCol w:w="109"/>
        <w:gridCol w:w="109"/>
        <w:gridCol w:w="109"/>
        <w:gridCol w:w="109"/>
        <w:gridCol w:w="183"/>
        <w:gridCol w:w="173"/>
        <w:gridCol w:w="173"/>
        <w:gridCol w:w="109"/>
        <w:gridCol w:w="109"/>
        <w:gridCol w:w="109"/>
        <w:gridCol w:w="196"/>
        <w:gridCol w:w="646"/>
        <w:gridCol w:w="109"/>
        <w:gridCol w:w="109"/>
        <w:gridCol w:w="109"/>
        <w:gridCol w:w="109"/>
        <w:gridCol w:w="180"/>
        <w:gridCol w:w="175"/>
        <w:gridCol w:w="173"/>
        <w:gridCol w:w="109"/>
        <w:gridCol w:w="109"/>
        <w:gridCol w:w="109"/>
        <w:gridCol w:w="196"/>
        <w:gridCol w:w="646"/>
        <w:gridCol w:w="109"/>
        <w:gridCol w:w="109"/>
        <w:gridCol w:w="109"/>
        <w:gridCol w:w="109"/>
        <w:gridCol w:w="171"/>
        <w:gridCol w:w="168"/>
        <w:gridCol w:w="239"/>
      </w:tblGrid>
      <w:tr>
        <w:trPr/>
        <w:tc>
          <w:tcPr>
            <w:tcW w:w="70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3.1: Revenue by Customer Type</w:t>
            </w:r>
          </w:p>
        </w:tc>
      </w:tr>
      <w:tr>
        <w:trPr/>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&amp;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r>
    </w:tbl>
    <w:tbl>
      <w:tblPr>
        <w:tblW w:w="9904"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80"/>
        <w:gridCol w:w="180"/>
        <w:gridCol w:w="2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9904"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plus fixed 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majority of the Company's revenue was derived under prime contracts and subcontracts with agencies and departments of the federal government. No other customer accounted for 10% or more of the Company's revenue during the three and six months ended June 30, 2025, and 2024.</w:t>
      </w:r>
    </w:p>
    <w:tbl>
      <w:tblPr>
        <w:tblW w:w="7109" w:type="dxa"/>
        <w:jc w:val="left"/>
        <w:tblInd w:w="0" w:type="dxa"/>
        <w:tblLayout w:type="fixed"/>
        <w:tblCellMar>
          <w:top w:w="28" w:type="dxa"/>
          <w:left w:w="28" w:type="dxa"/>
          <w:bottom w:w="28" w:type="dxa"/>
          <w:right w:w="28" w:type="dxa"/>
        </w:tblCellMar>
      </w:tblPr>
      <w:tblGrid>
        <w:gridCol w:w="570"/>
        <w:gridCol w:w="501"/>
        <w:gridCol w:w="503"/>
        <w:gridCol w:w="228"/>
        <w:gridCol w:w="755"/>
        <w:gridCol w:w="126"/>
        <w:gridCol w:w="117"/>
        <w:gridCol w:w="117"/>
        <w:gridCol w:w="117"/>
        <w:gridCol w:w="228"/>
        <w:gridCol w:w="755"/>
        <w:gridCol w:w="126"/>
        <w:gridCol w:w="117"/>
        <w:gridCol w:w="117"/>
        <w:gridCol w:w="117"/>
        <w:gridCol w:w="228"/>
        <w:gridCol w:w="755"/>
        <w:gridCol w:w="126"/>
        <w:gridCol w:w="117"/>
        <w:gridCol w:w="117"/>
        <w:gridCol w:w="117"/>
        <w:gridCol w:w="227"/>
        <w:gridCol w:w="750"/>
        <w:gridCol w:w="178"/>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0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3.3: Revenue Concentration Greater than 10% of Total Revenue</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government:</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Solutions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 Networks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tbl>
      <w:tblPr>
        <w:tblW w:w="7536" w:type="dxa"/>
        <w:jc w:val="left"/>
        <w:tblInd w:w="0" w:type="dxa"/>
        <w:tblLayout w:type="fixed"/>
        <w:tblCellMar>
          <w:top w:w="28" w:type="dxa"/>
          <w:left w:w="28" w:type="dxa"/>
          <w:bottom w:w="28" w:type="dxa"/>
          <w:right w:w="28" w:type="dxa"/>
        </w:tblCellMar>
      </w:tblPr>
      <w:tblGrid>
        <w:gridCol w:w="803"/>
        <w:gridCol w:w="707"/>
        <w:gridCol w:w="709"/>
        <w:gridCol w:w="669"/>
        <w:gridCol w:w="669"/>
        <w:gridCol w:w="671"/>
        <w:gridCol w:w="109"/>
        <w:gridCol w:w="109"/>
        <w:gridCol w:w="109"/>
        <w:gridCol w:w="228"/>
        <w:gridCol w:w="754"/>
        <w:gridCol w:w="127"/>
        <w:gridCol w:w="109"/>
        <w:gridCol w:w="109"/>
        <w:gridCol w:w="109"/>
        <w:gridCol w:w="304"/>
        <w:gridCol w:w="1002"/>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53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3.4: Contract Balances</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Billed accounts receivables </w:t>
            </w:r>
            <w:r>
              <w:rPr>
                <w:rFonts w:ascii="Times New Roman;serif" w:hAnsi="Times New Roman;serif"/>
                <w:b w:val="false"/>
                <w:color w:val="000000"/>
                <w:sz w:val="12"/>
              </w:rPr>
              <w:t>(1)</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of allowance for credit losses.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changes in the Company's contract assets and contract liabilities during the current period were primarily the result of the timing differences between the Company's performance, invoicing and customer payments. Revenue recognized for the three and six months ended June 30, 2025, which was included in the contract liabilities balance at the beginning of each reporting period, was $1.7 million and $4.1 million, respectively. Revenue recognized for the three and six months ended June 30, 2024, which was included in the contract liabilities balance at the beginning of each reporting period, was $1.9 million and $4.5 million, respectively.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2025, we had approximately $51.7 million of remaining performance obligations, which we also refer to as funded backlog. We expect to recognize approximately 95%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4. ACCOUNTS RECEIVABLE, NET</w:t>
      </w:r>
    </w:p>
    <w:tbl>
      <w:tblPr>
        <w:tblW w:w="5522" w:type="dxa"/>
        <w:jc w:val="left"/>
        <w:tblInd w:w="0" w:type="dxa"/>
        <w:tblLayout w:type="fixed"/>
        <w:tblCellMar>
          <w:top w:w="28" w:type="dxa"/>
          <w:left w:w="28" w:type="dxa"/>
          <w:bottom w:w="28" w:type="dxa"/>
          <w:right w:w="28" w:type="dxa"/>
        </w:tblCellMar>
      </w:tblPr>
      <w:tblGrid>
        <w:gridCol w:w="814"/>
        <w:gridCol w:w="717"/>
        <w:gridCol w:w="719"/>
        <w:gridCol w:w="265"/>
        <w:gridCol w:w="874"/>
        <w:gridCol w:w="147"/>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5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Billed accounts receivable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credit losses </w:t>
            </w:r>
            <w:r>
              <w:rPr>
                <w:rFonts w:ascii="Times New Roman;serif" w:hAnsi="Times New Roman;serif"/>
                <w:b w:val="false"/>
                <w:color w:val="000000"/>
                <w:sz w:val="12"/>
              </w:rPr>
              <w:t>(1)</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provision for credit losses, net of recoveries.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our primary customer base includes agencies of the U.S. government, we have a concentration of credit risk associated with our accounts receivable, as 75% and 88% of our billed and unbilled accounts receivable as of June 30, 2025, and December 31, 2024, respectively, were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We maintain allowances for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5. INVENTORIES, NET</w:t>
      </w:r>
    </w:p>
    <w:tbl>
      <w:tblPr>
        <w:tblW w:w="5868" w:type="dxa"/>
        <w:jc w:val="left"/>
        <w:tblInd w:w="0" w:type="dxa"/>
        <w:tblLayout w:type="fixed"/>
        <w:tblCellMar>
          <w:top w:w="28" w:type="dxa"/>
          <w:left w:w="28" w:type="dxa"/>
          <w:bottom w:w="28" w:type="dxa"/>
          <w:right w:w="28" w:type="dxa"/>
        </w:tblCellMar>
      </w:tblPr>
      <w:tblGrid>
        <w:gridCol w:w="1026"/>
        <w:gridCol w:w="901"/>
        <w:gridCol w:w="908"/>
        <w:gridCol w:w="253"/>
        <w:gridCol w:w="718"/>
        <w:gridCol w:w="139"/>
        <w:gridCol w:w="126"/>
        <w:gridCol w:w="126"/>
        <w:gridCol w:w="126"/>
        <w:gridCol w:w="334"/>
        <w:gridCol w:w="949"/>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8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5: Details of Inventories, Net</w:t>
            </w:r>
          </w:p>
        </w:tc>
      </w:tr>
      <w:tr>
        <w:trPr/>
        <w:tc>
          <w:tcPr>
            <w:tcW w:w="2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inventory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inventory obsolescence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6. PROPERTY AND EQUIPMENT, NET</w:t>
      </w:r>
    </w:p>
    <w:tbl>
      <w:tblPr>
        <w:tblW w:w="10205" w:type="dxa"/>
        <w:jc w:val="left"/>
        <w:tblInd w:w="0" w:type="dxa"/>
        <w:tblLayout w:type="fixed"/>
        <w:tblCellMar>
          <w:top w:w="28" w:type="dxa"/>
          <w:left w:w="28" w:type="dxa"/>
          <w:bottom w:w="28" w:type="dxa"/>
          <w:right w:w="28" w:type="dxa"/>
        </w:tblCellMar>
      </w:tblPr>
      <w:tblGrid>
        <w:gridCol w:w="601"/>
        <w:gridCol w:w="339"/>
        <w:gridCol w:w="342"/>
        <w:gridCol w:w="233"/>
        <w:gridCol w:w="771"/>
        <w:gridCol w:w="130"/>
        <w:gridCol w:w="109"/>
        <w:gridCol w:w="109"/>
        <w:gridCol w:w="109"/>
        <w:gridCol w:w="300"/>
        <w:gridCol w:w="1023"/>
        <w:gridCol w:w="169"/>
        <w:gridCol w:w="109"/>
        <w:gridCol w:w="109"/>
        <w:gridCol w:w="109"/>
        <w:gridCol w:w="225"/>
        <w:gridCol w:w="641"/>
        <w:gridCol w:w="125"/>
        <w:gridCol w:w="109"/>
        <w:gridCol w:w="109"/>
        <w:gridCol w:w="109"/>
        <w:gridCol w:w="233"/>
        <w:gridCol w:w="771"/>
        <w:gridCol w:w="130"/>
        <w:gridCol w:w="109"/>
        <w:gridCol w:w="109"/>
        <w:gridCol w:w="109"/>
        <w:gridCol w:w="300"/>
        <w:gridCol w:w="1023"/>
        <w:gridCol w:w="169"/>
        <w:gridCol w:w="109"/>
        <w:gridCol w:w="109"/>
        <w:gridCol w:w="109"/>
        <w:gridCol w:w="224"/>
        <w:gridCol w:w="636"/>
        <w:gridCol w:w="185"/>
      </w:tblGrid>
      <w:tr>
        <w:trPr/>
        <w:tc>
          <w:tcPr>
            <w:tcW w:w="6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6.1: Details of Property and Equipment, Net</w:t>
            </w:r>
          </w:p>
        </w:tc>
      </w:tr>
      <w:tr>
        <w:trPr/>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(17,154)</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20" w:type="dxa"/>
        <w:jc w:val="left"/>
        <w:tblInd w:w="0" w:type="dxa"/>
        <w:tblLayout w:type="fixed"/>
        <w:tblCellMar>
          <w:top w:w="28" w:type="dxa"/>
          <w:left w:w="28" w:type="dxa"/>
          <w:bottom w:w="28" w:type="dxa"/>
          <w:right w:w="28" w:type="dxa"/>
        </w:tblCellMar>
      </w:tblPr>
      <w:tblGrid>
        <w:gridCol w:w="1033"/>
        <w:gridCol w:w="907"/>
        <w:gridCol w:w="910"/>
        <w:gridCol w:w="300"/>
        <w:gridCol w:w="644"/>
        <w:gridCol w:w="166"/>
        <w:gridCol w:w="132"/>
        <w:gridCol w:w="132"/>
        <w:gridCol w:w="132"/>
        <w:gridCol w:w="300"/>
        <w:gridCol w:w="644"/>
        <w:gridCol w:w="166"/>
        <w:gridCol w:w="109"/>
        <w:gridCol w:w="109"/>
        <w:gridCol w:w="109"/>
        <w:gridCol w:w="300"/>
        <w:gridCol w:w="645"/>
        <w:gridCol w:w="165"/>
        <w:gridCol w:w="121"/>
        <w:gridCol w:w="121"/>
        <w:gridCol w:w="121"/>
        <w:gridCol w:w="293"/>
        <w:gridCol w:w="631"/>
        <w:gridCol w:w="230"/>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42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6.2: Depreciation and Amortization Expense</w:t>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7. GOODWILL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goodwill balance was $17.9 million as of June 30, 2025, and December 31, 2024, of which $3.0 million is allocated to the Security Solutions segment and $14.9 million is allocated to the Secure Networks segment. Goodwill is subject to annual impairment tests and if triggering events are present in the interim before the annual tests, we will assess impairment. If the financial performance of our Secure Networks reporting segment remains at the current level for a sustained period of time, and after considering other qualitative factors, there may be a triggering event indicating goodwill may be impaired in our Secure Networks reporting unit. Accordingly, management may need to perform a quantitative impairment test over the Secure Networks reporting unit to determine if an impairment loss should be recorded which may have an adverse impact on our results of operations. No impairment charges were recorded for the three and six months ended June 30,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517"/>
        <w:gridCol w:w="361"/>
        <w:gridCol w:w="362"/>
        <w:gridCol w:w="295"/>
        <w:gridCol w:w="295"/>
        <w:gridCol w:w="296"/>
        <w:gridCol w:w="215"/>
        <w:gridCol w:w="711"/>
        <w:gridCol w:w="119"/>
        <w:gridCol w:w="109"/>
        <w:gridCol w:w="109"/>
        <w:gridCol w:w="109"/>
        <w:gridCol w:w="230"/>
        <w:gridCol w:w="780"/>
        <w:gridCol w:w="129"/>
        <w:gridCol w:w="109"/>
        <w:gridCol w:w="109"/>
        <w:gridCol w:w="109"/>
        <w:gridCol w:w="208"/>
        <w:gridCol w:w="686"/>
        <w:gridCol w:w="115"/>
        <w:gridCol w:w="109"/>
        <w:gridCol w:w="109"/>
        <w:gridCol w:w="109"/>
        <w:gridCol w:w="215"/>
        <w:gridCol w:w="711"/>
        <w:gridCol w:w="119"/>
        <w:gridCol w:w="109"/>
        <w:gridCol w:w="109"/>
        <w:gridCol w:w="109"/>
        <w:gridCol w:w="230"/>
        <w:gridCol w:w="780"/>
        <w:gridCol w:w="129"/>
        <w:gridCol w:w="109"/>
        <w:gridCol w:w="109"/>
        <w:gridCol w:w="109"/>
        <w:gridCol w:w="207"/>
        <w:gridCol w:w="684"/>
        <w:gridCol w:w="176"/>
      </w:tblGrid>
      <w:tr>
        <w:trPr/>
        <w:tc>
          <w:tcPr>
            <w:tcW w:w="5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8.1: Details of Intangible Assets, Net</w:t>
            </w:r>
          </w:p>
        </w:tc>
      </w:tr>
      <w:tr>
        <w:trPr/>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Useful Life</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80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2 - 5</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In-process software development costs </w:t>
            </w:r>
            <w:r>
              <w:rPr>
                <w:rFonts w:ascii="Times New Roman;serif" w:hAnsi="Times New Roman;serif"/>
                <w:b w:val="false"/>
                <w:color w:val="000000"/>
                <w:sz w:val="12"/>
              </w:rPr>
              <w:t>(1)</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52,180 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In-process software development costs are costs for software that is not yet available for its intended use or general release to customers as of balance sheet date, thus not yet amortized.</w:t>
      </w:r>
    </w:p>
    <w:tbl>
      <w:tblPr>
        <w:tblW w:w="9602" w:type="dxa"/>
        <w:jc w:val="left"/>
        <w:tblInd w:w="0" w:type="dxa"/>
        <w:tblLayout w:type="fixed"/>
        <w:tblCellMar>
          <w:top w:w="28" w:type="dxa"/>
          <w:left w:w="28" w:type="dxa"/>
          <w:bottom w:w="28" w:type="dxa"/>
          <w:right w:w="28" w:type="dxa"/>
        </w:tblCellMar>
      </w:tblPr>
      <w:tblGrid>
        <w:gridCol w:w="1495"/>
        <w:gridCol w:w="1311"/>
        <w:gridCol w:w="1318"/>
        <w:gridCol w:w="252"/>
        <w:gridCol w:w="718"/>
        <w:gridCol w:w="139"/>
        <w:gridCol w:w="114"/>
        <w:gridCol w:w="114"/>
        <w:gridCol w:w="114"/>
        <w:gridCol w:w="252"/>
        <w:gridCol w:w="718"/>
        <w:gridCol w:w="139"/>
        <w:gridCol w:w="109"/>
        <w:gridCol w:w="109"/>
        <w:gridCol w:w="109"/>
        <w:gridCol w:w="252"/>
        <w:gridCol w:w="717"/>
        <w:gridCol w:w="140"/>
        <w:gridCol w:w="109"/>
        <w:gridCol w:w="109"/>
        <w:gridCol w:w="109"/>
        <w:gridCol w:w="250"/>
        <w:gridCol w:w="709"/>
        <w:gridCol w:w="196"/>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60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8.2: Amortization Expense</w:t>
            </w:r>
          </w:p>
        </w:tc>
      </w:tr>
      <w:tr>
        <w:trPr/>
        <w:tc>
          <w:tcPr>
            <w:tcW w:w="4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related to:</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Software development costs – cost of sales </w:t>
            </w:r>
            <w:r>
              <w:rPr>
                <w:rFonts w:ascii="Times New Roman;serif" w:hAnsi="Times New Roman;serif"/>
                <w:b w:val="false"/>
                <w:color w:val="000000"/>
                <w:sz w:val="12"/>
              </w:rPr>
              <w:t>(1)</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 – research and development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 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Amortization expense for software development costs related to assets to be sold, leased, or otherwise marketed is charged under cost of sales on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9. OTHER BALANCE SHEET COMPONENTS</w:t>
      </w:r>
    </w:p>
    <w:tbl>
      <w:tblPr>
        <w:tblW w:w="5719" w:type="dxa"/>
        <w:jc w:val="left"/>
        <w:tblInd w:w="0" w:type="dxa"/>
        <w:tblLayout w:type="fixed"/>
        <w:tblCellMar>
          <w:top w:w="28" w:type="dxa"/>
          <w:left w:w="28" w:type="dxa"/>
          <w:bottom w:w="28" w:type="dxa"/>
          <w:right w:w="28" w:type="dxa"/>
        </w:tblCellMar>
      </w:tblPr>
      <w:tblGrid>
        <w:gridCol w:w="976"/>
        <w:gridCol w:w="860"/>
        <w:gridCol w:w="863"/>
        <w:gridCol w:w="252"/>
        <w:gridCol w:w="718"/>
        <w:gridCol w:w="140"/>
        <w:gridCol w:w="122"/>
        <w:gridCol w:w="122"/>
        <w:gridCol w:w="122"/>
        <w:gridCol w:w="333"/>
        <w:gridCol w:w="949"/>
        <w:gridCol w:w="262"/>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71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9.1: Details of Other Assets</w:t>
            </w:r>
          </w:p>
        </w:tc>
      </w:tr>
      <w:tr>
        <w:trPr/>
        <w:tc>
          <w:tcPr>
            <w:tcW w:w="2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w:t>
            </w:r>
            <w:r>
              <w:rPr>
                <w:rFonts w:ascii="Times New Roman;serif" w:hAnsi="Times New Roman;serif"/>
                <w:b w:val="false"/>
                <w:color w:val="000000"/>
                <w:sz w:val="12"/>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 – long-term portion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 March 2024, the Company made a $3.0 million investment in a privately held company via a simple agreement for future equity. The Company elected to apply the fair value option on this investment. The Company believes the fair value option best reflects the economics of the underlying transaction. The fair value of this investment was based on non-marketable observable inputs, which represent Level 3 measurement within the fair value hierarchy. Changes in the fair value of this investment are recognized within "Other income" on the unaudited consolidated statements of operations, if any. During the three and six months ended June 30, 2025, and 2024, the Company did not recognize any changes in the fair value. </w:t>
      </w:r>
    </w:p>
    <w:tbl>
      <w:tblPr>
        <w:tblW w:w="8036" w:type="dxa"/>
        <w:jc w:val="left"/>
        <w:tblInd w:w="0" w:type="dxa"/>
        <w:tblLayout w:type="fixed"/>
        <w:tblCellMar>
          <w:top w:w="28" w:type="dxa"/>
          <w:left w:w="28" w:type="dxa"/>
          <w:bottom w:w="28" w:type="dxa"/>
          <w:right w:w="28" w:type="dxa"/>
        </w:tblCellMar>
      </w:tblPr>
      <w:tblGrid>
        <w:gridCol w:w="1210"/>
        <w:gridCol w:w="1062"/>
        <w:gridCol w:w="1072"/>
        <w:gridCol w:w="421"/>
        <w:gridCol w:w="1388"/>
        <w:gridCol w:w="234"/>
        <w:gridCol w:w="234"/>
        <w:gridCol w:w="234"/>
        <w:gridCol w:w="234"/>
        <w:gridCol w:w="421"/>
        <w:gridCol w:w="1195"/>
        <w:gridCol w:w="331"/>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0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9.2: Details of Accounts Payable and Other Accrued Liabilities</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payables</w:t>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5" w:type="dxa"/>
        <w:jc w:val="left"/>
        <w:tblInd w:w="0" w:type="dxa"/>
        <w:tblLayout w:type="fixed"/>
        <w:tblCellMar>
          <w:top w:w="28" w:type="dxa"/>
          <w:left w:w="28" w:type="dxa"/>
          <w:bottom w:w="28" w:type="dxa"/>
          <w:right w:w="28" w:type="dxa"/>
        </w:tblCellMar>
      </w:tblPr>
      <w:tblGrid>
        <w:gridCol w:w="835"/>
        <w:gridCol w:w="735"/>
        <w:gridCol w:w="739"/>
        <w:gridCol w:w="294"/>
        <w:gridCol w:w="835"/>
        <w:gridCol w:w="163"/>
        <w:gridCol w:w="163"/>
        <w:gridCol w:w="163"/>
        <w:gridCol w:w="163"/>
        <w:gridCol w:w="334"/>
        <w:gridCol w:w="949"/>
        <w:gridCol w:w="26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6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9.3: Details of Other Current Liabilities</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 accrual</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10. REVOLVING CREDIT FACILITY</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Agreement will accrue interest, at our option, at one of three variable rates, plus a specified margin. We can elect to borrow at (i) 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payable to the Agent and Lenders, as applicable, in connection with the Loan.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Loan under the Credit Agreement is collateralized by substantially all of the Company's assets, including the Company's pledge of its domestic and material foreign subsidiary equity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June 30,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11. STOCK-BASED COMPENSATION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grants stock-based compensation awards under the Amended and Restated 2016 Omnibus Long-Term Incentive Plan (the "2016 LTIP"). We have granted stock options, restricted stock units with time-based vesting ("RSUs") and restricted stock units with performance-based vesting ("PSUs").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generally vest in installments over a period of up to three years. PSUs will vest upon the achievement of a defined performance target or market conditions for the Company's common stock or certain operational milestones over a prescribed period.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May 8, 2025, the Company's stockholders approved an amendment to the 2016 LTIP that increased the number of shares available for issuance under the 2016 LTIP by an additional 4,900,000 shares. As of June 30, 2025, approximately 1.6 million shares of our common stock were available for future grants under the 2016 LTIP.</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recognized for restricted stock units and stock options granted to employees and non-employees is included in the unaudited consolidated statements of operations, net of adjustments. There were no income tax benefits recognized on the stock-based compensation expense for the three and six months ended June 30, 2025, and 2024. </w:t>
      </w:r>
    </w:p>
    <w:tbl>
      <w:tblPr>
        <w:tblW w:w="8052" w:type="dxa"/>
        <w:jc w:val="left"/>
        <w:tblInd w:w="0" w:type="dxa"/>
        <w:tblLayout w:type="fixed"/>
        <w:tblCellMar>
          <w:top w:w="28" w:type="dxa"/>
          <w:left w:w="28" w:type="dxa"/>
          <w:bottom w:w="28" w:type="dxa"/>
          <w:right w:w="28" w:type="dxa"/>
        </w:tblCellMar>
      </w:tblPr>
      <w:tblGrid>
        <w:gridCol w:w="923"/>
        <w:gridCol w:w="812"/>
        <w:gridCol w:w="814"/>
        <w:gridCol w:w="252"/>
        <w:gridCol w:w="719"/>
        <w:gridCol w:w="139"/>
        <w:gridCol w:w="114"/>
        <w:gridCol w:w="114"/>
        <w:gridCol w:w="114"/>
        <w:gridCol w:w="252"/>
        <w:gridCol w:w="719"/>
        <w:gridCol w:w="139"/>
        <w:gridCol w:w="113"/>
        <w:gridCol w:w="113"/>
        <w:gridCol w:w="113"/>
        <w:gridCol w:w="228"/>
        <w:gridCol w:w="755"/>
        <w:gridCol w:w="126"/>
        <w:gridCol w:w="113"/>
        <w:gridCol w:w="113"/>
        <w:gridCol w:w="113"/>
        <w:gridCol w:w="249"/>
        <w:gridCol w:w="710"/>
        <w:gridCol w:w="195"/>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05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11.1: Details of Stock Compensation Expense by Category</w:t>
            </w:r>
          </w:p>
        </w:tc>
      </w:tr>
      <w:tr>
        <w:trPr/>
        <w:tc>
          <w:tcPr>
            <w:tcW w:w="2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services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Restricted Stock </w:t>
      </w:r>
    </w:p>
    <w:tbl>
      <w:tblPr>
        <w:tblW w:w="10205" w:type="dxa"/>
        <w:jc w:val="left"/>
        <w:tblInd w:w="0" w:type="dxa"/>
        <w:tblLayout w:type="fixed"/>
        <w:tblCellMar>
          <w:top w:w="28" w:type="dxa"/>
          <w:left w:w="28" w:type="dxa"/>
          <w:bottom w:w="28" w:type="dxa"/>
          <w:right w:w="28" w:type="dxa"/>
        </w:tblCellMar>
      </w:tblPr>
      <w:tblGrid>
        <w:gridCol w:w="985"/>
        <w:gridCol w:w="867"/>
        <w:gridCol w:w="873"/>
        <w:gridCol w:w="435"/>
        <w:gridCol w:w="436"/>
        <w:gridCol w:w="376"/>
        <w:gridCol w:w="113"/>
        <w:gridCol w:w="113"/>
        <w:gridCol w:w="113"/>
        <w:gridCol w:w="500"/>
        <w:gridCol w:w="500"/>
        <w:gridCol w:w="501"/>
        <w:gridCol w:w="113"/>
        <w:gridCol w:w="113"/>
        <w:gridCol w:w="113"/>
        <w:gridCol w:w="480"/>
        <w:gridCol w:w="481"/>
        <w:gridCol w:w="277"/>
        <w:gridCol w:w="113"/>
        <w:gridCol w:w="113"/>
        <w:gridCol w:w="113"/>
        <w:gridCol w:w="591"/>
        <w:gridCol w:w="1407"/>
        <w:gridCol w:w="479"/>
      </w:tblGrid>
      <w:tr>
        <w:trPr/>
        <w:tc>
          <w:tcPr>
            <w:tcW w:w="98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11.2: Restricted Stock Unit Activity</w:t>
            </w:r>
          </w:p>
        </w:tc>
      </w:tr>
      <w:tr>
        <w:trPr/>
        <w:tc>
          <w:tcPr>
            <w:tcW w:w="2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Service-Based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Performance-Based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outstanding units as of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1,952,103 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10,683,230 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12,635,333 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1,136,074 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3,381,163 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4,517,237 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(799,366)</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(283,375)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(1,082,741)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(154,649)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(263,065)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outstanding units as of June 30,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2,180,395 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13,626,369 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15,806,764 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February 20, 2025, the Company amended certain previously granted PSUs that could settle in up to 2,462,445 shares of its common stock and would only vest if the Company achieves certain financial performance targets for fiscal year 2025. The amendment eliminated one of the financial performance targets.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May 14, 2025, the Company granted PSUs that could settle in up to 65,000 shares of its common stock to an employee that will vest only if the Company achieves a certain operational milestone prior to January 1, 2027. In addition, the Company granted PSUs to an employee that could settle in up to 50,000 shares and will vest only if the Company achieves certain financial performance targets for fiscal year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11, 2025, the Company granted PSUs containing stock price market conditions to certain employees that could settle in up to 1,060,000 shares of its common stock. These PSUs will vest, in whole or in part, only if the Company's closing common stock price remains at or above certain specified stock prices for 50 consecutive days prior to January 1, 2027.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June 11, 2025, the Company also granted to certain executives PSUs with market conditions dependent on total shareholder return ("TSR"), that could settle in up to 2,206,163 shares of its common stock. The vesting criteria for these awards are based on the Company's TSR performance relative to the TSR performance of the Company's current compensation peer group over the three-year performance period, June 1, 2025, through May 31, 2028, and conditioned upon neutral or positive free cash flow (i.e. cash flows from operating activities less capital expenditure) at the end of each fiscal year in the performance period. The final payout of these PSUs will vary between 0% to 200% of the target number of PSUs granted, depending on the TSR performance and meeting the free cash flow requirements.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Company's stock-based compensation awards subject to market conditions, the grant date fair value per share is based on a Monte Carlo simulation method. The expenses for these awards are recognized over the derived service period as determined through the Monte Carlo simulation model (as defined below).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awards subject to stock price market conditions, the Monte Carlo approach uses a class of computational algorithms that rely on repeated random sampling to compute their results. This approach allows the calculation of the value of such PSUs based on a large number of possible stock price path scenarios. The risk-free rate is based on a zero-coupon yield from the Treasury Constant Maturities yield curve at the time of grant over the performance period. Our key assumptions include a performance period of 1.56 years, an expected volatility of 97.5%, and a risk-free rate of 3.9%. The fair value for these stock price market condition PSUs at the grant date ranges between $1.17 – $1.51, and the derived service period ranges between 0.8 – 0.94 years.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awards subject to TSR market conditions, the Monte Carlo simulation simulates a distribution of stock prices for the Company and its current compensation peer group throughout the remaining performance period based on certain assumptions of stock price performance. Monte Carlo valuations of relative TSR PSUs depend on two sets of prices: realized performance and simulated performance. Our key assumptions include a performance period of 2.97 years, an expected volatility of 114.7%, and a risk-free rate of 3.8%. The fair value for these relative TSR market condition PSUs at the grant date was $4.82.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2025, and 2024, the intrinsic value of the RSUs and PSUs outstanding, exercisable, and vested or expected to vest was $50.1 million and $52.1 million, respectively. There was approximately $23.2 million of total compensation costs related to stock-based awards not yet recognized as of June 30, 2025, which is expected to be recognized on a straight-line basis over a weighted-average remaining vesting period of 0.8 years.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tbl>
      <w:tblPr>
        <w:tblW w:w="10205" w:type="dxa"/>
        <w:jc w:val="left"/>
        <w:tblInd w:w="0" w:type="dxa"/>
        <w:tblLayout w:type="fixed"/>
        <w:tblCellMar>
          <w:top w:w="28" w:type="dxa"/>
          <w:left w:w="28" w:type="dxa"/>
          <w:bottom w:w="28" w:type="dxa"/>
          <w:right w:w="28" w:type="dxa"/>
        </w:tblCellMar>
      </w:tblPr>
      <w:tblGrid>
        <w:gridCol w:w="748"/>
        <w:gridCol w:w="657"/>
        <w:gridCol w:w="661"/>
        <w:gridCol w:w="510"/>
        <w:gridCol w:w="456"/>
        <w:gridCol w:w="457"/>
        <w:gridCol w:w="109"/>
        <w:gridCol w:w="109"/>
        <w:gridCol w:w="109"/>
        <w:gridCol w:w="464"/>
        <w:gridCol w:w="1105"/>
        <w:gridCol w:w="260"/>
        <w:gridCol w:w="109"/>
        <w:gridCol w:w="109"/>
        <w:gridCol w:w="109"/>
        <w:gridCol w:w="827"/>
        <w:gridCol w:w="827"/>
        <w:gridCol w:w="828"/>
        <w:gridCol w:w="109"/>
        <w:gridCol w:w="109"/>
        <w:gridCol w:w="109"/>
        <w:gridCol w:w="255"/>
        <w:gridCol w:w="961"/>
        <w:gridCol w:w="208"/>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11.3: Stock Option Activity</w:t>
            </w:r>
          </w:p>
        </w:tc>
      </w:tr>
      <w:tr>
        <w:trPr/>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 balance as of December 31, 2024</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 balance as of June 30, 2025</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393,190 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stock options as of June 30, 2025</w:t>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287,000 </w:t>
            </w:r>
          </w:p>
        </w:tc>
        <w:tc>
          <w:tcPr>
            <w:tcW w:w="4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of the underlying stock option awards and the quoted closing price of the Company's common stock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stock options is expensed on a straight-line basis over the vesting period of one year, including the stock options granted to directors, as the annual stockholders meeting is expected to occur at the same approximate time each year. As of June 30, 2025, there were no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12. SHARE REPURCHASES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May 24, 2022, the Company announced that the Board of Directors approved a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June 30, 2025, there was approximately $34.7 million of the authorization remaining for future common stock repurchases under the SRP.</w:t>
      </w:r>
    </w:p>
    <w:tbl>
      <w:tblPr>
        <w:tblW w:w="8494" w:type="dxa"/>
        <w:jc w:val="left"/>
        <w:tblInd w:w="0" w:type="dxa"/>
        <w:tblLayout w:type="fixed"/>
        <w:tblCellMar>
          <w:top w:w="28" w:type="dxa"/>
          <w:left w:w="28" w:type="dxa"/>
          <w:bottom w:w="28" w:type="dxa"/>
          <w:right w:w="28" w:type="dxa"/>
        </w:tblCellMar>
      </w:tblPr>
      <w:tblGrid>
        <w:gridCol w:w="1074"/>
        <w:gridCol w:w="946"/>
        <w:gridCol w:w="949"/>
        <w:gridCol w:w="253"/>
        <w:gridCol w:w="717"/>
        <w:gridCol w:w="140"/>
        <w:gridCol w:w="124"/>
        <w:gridCol w:w="124"/>
        <w:gridCol w:w="124"/>
        <w:gridCol w:w="306"/>
        <w:gridCol w:w="634"/>
        <w:gridCol w:w="170"/>
        <w:gridCol w:w="109"/>
        <w:gridCol w:w="109"/>
        <w:gridCol w:w="109"/>
        <w:gridCol w:w="252"/>
        <w:gridCol w:w="718"/>
        <w:gridCol w:w="140"/>
        <w:gridCol w:w="114"/>
        <w:gridCol w:w="114"/>
        <w:gridCol w:w="114"/>
        <w:gridCol w:w="299"/>
        <w:gridCol w:w="621"/>
        <w:gridCol w:w="23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849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12: Share Repurchase Activity</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and share data)</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Amounts paid for shares repurchased </w:t>
            </w:r>
            <w:r>
              <w:rPr>
                <w:rFonts w:ascii="Times New Roman;serif" w:hAnsi="Times New Roman;serif"/>
                <w:b w:val="false"/>
                <w:color w:val="000000"/>
                <w:sz w:val="12"/>
              </w:rPr>
              <w:t>(1)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repurchased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per share price paid </w:t>
            </w:r>
            <w:r>
              <w:rPr>
                <w:rFonts w:ascii="Times New Roman;serif" w:hAnsi="Times New Roman;serif"/>
                <w:b w:val="false"/>
                <w:color w:val="000000"/>
                <w:sz w:val="12"/>
              </w:rPr>
              <w:t>(1)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commission paid for repurchases on the open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13. ACCUMULATED OTHER COMPREHENSIVE LOSS</w:t>
      </w:r>
    </w:p>
    <w:tbl>
      <w:tblPr>
        <w:tblW w:w="10205" w:type="dxa"/>
        <w:jc w:val="left"/>
        <w:tblInd w:w="0" w:type="dxa"/>
        <w:tblLayout w:type="fixed"/>
        <w:tblCellMar>
          <w:top w:w="28" w:type="dxa"/>
          <w:left w:w="28" w:type="dxa"/>
          <w:bottom w:w="28" w:type="dxa"/>
          <w:right w:w="28" w:type="dxa"/>
        </w:tblCellMar>
      </w:tblPr>
      <w:tblGrid>
        <w:gridCol w:w="1358"/>
        <w:gridCol w:w="1101"/>
        <w:gridCol w:w="1106"/>
        <w:gridCol w:w="599"/>
        <w:gridCol w:w="1406"/>
        <w:gridCol w:w="311"/>
        <w:gridCol w:w="190"/>
        <w:gridCol w:w="190"/>
        <w:gridCol w:w="190"/>
        <w:gridCol w:w="567"/>
        <w:gridCol w:w="863"/>
        <w:gridCol w:w="280"/>
        <w:gridCol w:w="190"/>
        <w:gridCol w:w="190"/>
        <w:gridCol w:w="190"/>
        <w:gridCol w:w="343"/>
        <w:gridCol w:w="852"/>
        <w:gridCol w:w="279"/>
      </w:tblGrid>
      <w:tr>
        <w:trPr/>
        <w:tc>
          <w:tcPr>
            <w:tcW w:w="135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13: Details of Changes in Accumulated Other Comprehensive Loss by Category</w:t>
            </w:r>
          </w:p>
        </w:tc>
      </w:tr>
      <w:tr>
        <w:trPr/>
        <w:tc>
          <w:tcPr>
            <w:tcW w:w="3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Pension liability adjustment</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 net of tax</w:t>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14. LOSS PER SHARE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period of net loss, potentially dilutive securities are not included in the calculation of diluted net earnings (loss) per share, because to do so would be anti-dilutive.</w:t>
      </w:r>
    </w:p>
    <w:tbl>
      <w:tblPr>
        <w:tblW w:w="10205" w:type="dxa"/>
        <w:jc w:val="left"/>
        <w:tblInd w:w="0" w:type="dxa"/>
        <w:tblLayout w:type="fixed"/>
        <w:tblCellMar>
          <w:top w:w="28" w:type="dxa"/>
          <w:left w:w="28" w:type="dxa"/>
          <w:bottom w:w="28" w:type="dxa"/>
          <w:right w:w="28" w:type="dxa"/>
        </w:tblCellMar>
      </w:tblPr>
      <w:tblGrid>
        <w:gridCol w:w="1693"/>
        <w:gridCol w:w="1485"/>
        <w:gridCol w:w="1492"/>
        <w:gridCol w:w="355"/>
        <w:gridCol w:w="304"/>
        <w:gridCol w:w="304"/>
        <w:gridCol w:w="207"/>
        <w:gridCol w:w="207"/>
        <w:gridCol w:w="207"/>
        <w:gridCol w:w="355"/>
        <w:gridCol w:w="304"/>
        <w:gridCol w:w="304"/>
        <w:gridCol w:w="123"/>
        <w:gridCol w:w="123"/>
        <w:gridCol w:w="123"/>
        <w:gridCol w:w="370"/>
        <w:gridCol w:w="324"/>
        <w:gridCol w:w="304"/>
        <w:gridCol w:w="189"/>
        <w:gridCol w:w="189"/>
        <w:gridCol w:w="189"/>
        <w:gridCol w:w="337"/>
        <w:gridCol w:w="307"/>
        <w:gridCol w:w="410"/>
      </w:tblGrid>
      <w:tr>
        <w:trPr/>
        <w:tc>
          <w:tcPr>
            <w:tcW w:w="169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14: Potentially Dilutive Securities</w:t>
            </w:r>
          </w:p>
        </w:tc>
      </w:tr>
      <w:tr>
        <w:trPr/>
        <w:tc>
          <w:tcPr>
            <w:tcW w:w="4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 unvested RSUs, PSUs and stock options</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outstanding PSUs aggregating to 11,372,034 and 9,418,745 shares, respectively, have been excluded from the calculation of potentially dilutive securities above because the issuance of these shares is contingent upon certain conditions which were not satisfied by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15. SEGMENT INFORMATION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in two reportable and operating segments: Security Solutions and Secure Networks. </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Our Security Solutions segment is primarily focused on cybersecurity, cloud and identity solutions, and secure messaging through Xacta</w:t>
      </w:r>
      <w:r>
        <w:rPr>
          <w:rFonts w:ascii="Times New Roman;serif" w:hAnsi="Times New Roman;serif"/>
          <w:b w:val="false"/>
          <w:color w:val="000000"/>
          <w:sz w:val="13"/>
        </w:rPr>
        <w:t>®</w:t>
      </w:r>
      <w:r>
        <w:rPr>
          <w:rFonts w:ascii="Times New Roman;serif" w:hAnsi="Times New Roman;serif"/>
          <w:b w:val="false"/>
          <w:color w:val="000000"/>
          <w:sz w:val="20"/>
        </w:rPr>
        <w:t>, Telos Automated Message Handling System ("AMHS") and Telos ID offerings.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Our Secure Networks segment provides secure networking architectures and solutions to our customers through secure mobility solutions, and network management and defense services.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measure each segment's profitability based on gross profit. Our Chief Executive Officer, as the chief operating decision maker ("CODM"), evaluates the segment's performance based on metrics, such as segment revenue and gross profit, that align with our strategies and objectives, and provide a framework for the timely and rational allocation of resources between the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5"/>
        <w:gridCol w:w="576"/>
        <w:gridCol w:w="584"/>
        <w:gridCol w:w="265"/>
        <w:gridCol w:w="874"/>
        <w:gridCol w:w="147"/>
        <w:gridCol w:w="147"/>
        <w:gridCol w:w="147"/>
        <w:gridCol w:w="147"/>
        <w:gridCol w:w="265"/>
        <w:gridCol w:w="752"/>
        <w:gridCol w:w="147"/>
        <w:gridCol w:w="109"/>
        <w:gridCol w:w="109"/>
        <w:gridCol w:w="109"/>
        <w:gridCol w:w="196"/>
        <w:gridCol w:w="646"/>
        <w:gridCol w:w="109"/>
        <w:gridCol w:w="109"/>
        <w:gridCol w:w="109"/>
        <w:gridCol w:w="109"/>
        <w:gridCol w:w="227"/>
        <w:gridCol w:w="751"/>
        <w:gridCol w:w="126"/>
        <w:gridCol w:w="109"/>
        <w:gridCol w:w="109"/>
        <w:gridCol w:w="109"/>
        <w:gridCol w:w="220"/>
        <w:gridCol w:w="728"/>
        <w:gridCol w:w="122"/>
        <w:gridCol w:w="109"/>
        <w:gridCol w:w="109"/>
        <w:gridCol w:w="109"/>
        <w:gridCol w:w="196"/>
        <w:gridCol w:w="646"/>
        <w:gridCol w:w="164"/>
      </w:tblGrid>
      <w:tr>
        <w:trPr/>
        <w:tc>
          <w:tcPr>
            <w:tcW w:w="71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6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15.1: Results of Operations by Business Segment (Quarter)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2024</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(1)</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segment items </w:t>
            </w:r>
            <w:r>
              <w:rPr>
                <w:rFonts w:ascii="Times New Roman;serif" w:hAnsi="Times New Roman;serif"/>
                <w:b w:val="false"/>
                <w:color w:val="000000"/>
                <w:sz w:val="10"/>
              </w:rPr>
              <w:t>(2)</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4"/>
        <w:gridCol w:w="644"/>
        <w:gridCol w:w="653"/>
        <w:gridCol w:w="236"/>
        <w:gridCol w:w="779"/>
        <w:gridCol w:w="131"/>
        <w:gridCol w:w="109"/>
        <w:gridCol w:w="109"/>
        <w:gridCol w:w="109"/>
        <w:gridCol w:w="240"/>
        <w:gridCol w:w="682"/>
        <w:gridCol w:w="133"/>
        <w:gridCol w:w="109"/>
        <w:gridCol w:w="109"/>
        <w:gridCol w:w="109"/>
        <w:gridCol w:w="196"/>
        <w:gridCol w:w="689"/>
        <w:gridCol w:w="109"/>
        <w:gridCol w:w="109"/>
        <w:gridCol w:w="109"/>
        <w:gridCol w:w="109"/>
        <w:gridCol w:w="236"/>
        <w:gridCol w:w="779"/>
        <w:gridCol w:w="131"/>
        <w:gridCol w:w="109"/>
        <w:gridCol w:w="109"/>
        <w:gridCol w:w="109"/>
        <w:gridCol w:w="227"/>
        <w:gridCol w:w="750"/>
        <w:gridCol w:w="126"/>
        <w:gridCol w:w="109"/>
        <w:gridCol w:w="109"/>
        <w:gridCol w:w="109"/>
        <w:gridCol w:w="196"/>
        <w:gridCol w:w="689"/>
        <w:gridCol w:w="160"/>
      </w:tblGrid>
      <w:tr>
        <w:trPr/>
        <w:tc>
          <w:tcPr>
            <w:tcW w:w="7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15.2: Results of Operations by Business Segment (Year-to-Date)</w:t>
            </w:r>
          </w:p>
        </w:tc>
      </w:tr>
      <w:tr>
        <w:trPr/>
        <w:tc>
          <w:tcPr>
            <w:tcW w:w="2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2024</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(1)</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segment items </w:t>
            </w:r>
            <w:r>
              <w:rPr>
                <w:rFonts w:ascii="Times New Roman;serif" w:hAnsi="Times New Roman;serif"/>
                <w:b w:val="false"/>
                <w:color w:val="000000"/>
                <w:sz w:val="10"/>
              </w:rPr>
              <w:t>(2)</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(15,135)</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significant segment expense categories and amounts align with the segment-level information regularly provided to the CODM.</w:t>
      </w:r>
    </w:p>
    <w:p>
      <w:pPr>
        <w:pStyle w:val="TextBody"/>
        <w:bidi w:val="0"/>
        <w:spacing w:lineRule="auto" w:line="288" w:before="120" w:after="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Other segment items for each reportable segment include direct labor, direct subcontractor costs, direct materials and inventory, other direct non-labor costs, fringes, overhead, and facility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account for inter-segment sales and transfers as if the sales or transfers were to third parties, that is, at current market prices, if any. There were no inter-segment sales and transfers during the three and six months ended June 30, 2025, and 2024.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Management does not utilize total assets by segment to evaluate segment performance or allocate resources. As a result, assets are not tracked by segment, and therefore, total assets by segment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16.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business or its unaudited consolidated financial statements as of June 30, 2025.</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Other - Government Contracts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We also provide products and services to customers outside of the United States, which are subject to U.S. and foreign laws and regulations and foreign procurement policies and practices. Our compliance with local regulations or applicable U.S. government regulations may also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17. SUPPLEMENTAL CASH FLOW INFORMATION</w:t>
      </w:r>
    </w:p>
    <w:tbl>
      <w:tblPr>
        <w:tblW w:w="7772" w:type="dxa"/>
        <w:jc w:val="left"/>
        <w:tblInd w:w="0" w:type="dxa"/>
        <w:tblLayout w:type="fixed"/>
        <w:tblCellMar>
          <w:top w:w="28" w:type="dxa"/>
          <w:left w:w="28" w:type="dxa"/>
          <w:bottom w:w="28" w:type="dxa"/>
          <w:right w:w="28" w:type="dxa"/>
        </w:tblCellMar>
      </w:tblPr>
      <w:tblGrid>
        <w:gridCol w:w="1131"/>
        <w:gridCol w:w="991"/>
        <w:gridCol w:w="997"/>
        <w:gridCol w:w="401"/>
        <w:gridCol w:w="1322"/>
        <w:gridCol w:w="223"/>
        <w:gridCol w:w="223"/>
        <w:gridCol w:w="223"/>
        <w:gridCol w:w="223"/>
        <w:gridCol w:w="401"/>
        <w:gridCol w:w="1322"/>
        <w:gridCol w:w="31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17.1: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Restricted cash </w:t>
            </w:r>
            <w:r>
              <w:rPr>
                <w:rFonts w:ascii="Times New Roman;serif" w:hAnsi="Times New Roman;serif"/>
                <w:b w:val="false"/>
                <w:color w:val="000000"/>
                <w:sz w:val="12"/>
              </w:rPr>
              <w:t>(1)</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54,717 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Restricted cash consists of a commercial money market account held as a deposit on the Ashburn lease and is included within "Other assets" on the unaudited consolidated balance sheets.</w:t>
      </w:r>
    </w:p>
    <w:tbl>
      <w:tblPr>
        <w:tblW w:w="9095" w:type="dxa"/>
        <w:jc w:val="left"/>
        <w:tblInd w:w="0" w:type="dxa"/>
        <w:tblLayout w:type="fixed"/>
        <w:tblCellMar>
          <w:top w:w="28" w:type="dxa"/>
          <w:left w:w="28" w:type="dxa"/>
          <w:bottom w:w="28" w:type="dxa"/>
          <w:right w:w="28" w:type="dxa"/>
        </w:tblCellMar>
      </w:tblPr>
      <w:tblGrid>
        <w:gridCol w:w="2052"/>
        <w:gridCol w:w="1799"/>
        <w:gridCol w:w="1818"/>
        <w:gridCol w:w="321"/>
        <w:gridCol w:w="910"/>
        <w:gridCol w:w="178"/>
        <w:gridCol w:w="178"/>
        <w:gridCol w:w="178"/>
        <w:gridCol w:w="178"/>
        <w:gridCol w:w="321"/>
        <w:gridCol w:w="910"/>
        <w:gridCol w:w="252"/>
      </w:tblGrid>
      <w:tr>
        <w:trPr/>
        <w:tc>
          <w:tcPr>
            <w:tcW w:w="2052"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0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17.2: Supplemental Cash Flow Information</w:t>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401(k) match</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 activity in accounts payable and other accrued liabilities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obtained in exchange for operating lease liabilities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2024, as filed with the Securities and Exchange Commission on March 10,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General and Business Overview</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pStyle w:val="TextBody"/>
        <w:bidi w:val="0"/>
        <w:spacing w:lineRule="auto" w:line="288" w:before="120" w:after="180"/>
        <w:jc w:val="left"/>
        <w:rPr/>
      </w:pPr>
      <w:r>
        <w:rPr>
          <w:rFonts w:ascii="Times New Roman;serif" w:hAnsi="Times New Roman;serif"/>
          <w:b w:val="false"/>
          <w:color w:val="000000"/>
          <w:sz w:val="20"/>
        </w:rPr>
        <w:t xml:space="preserve">Information regarding our two reportable segments – Security Solutions and Secure Networks – is presented in </w:t>
      </w:r>
      <w:hyperlink w:anchor="i39beeefaa0da48ab94f72b8bf9b05a36_88">
        <w:r>
          <w:rPr>
            <w:rStyle w:val="InternetLink"/>
            <w:rFonts w:ascii="Times New Roman;serif" w:hAnsi="Times New Roman;serif"/>
            <w:b w:val="false"/>
            <w:color w:val="0000FF"/>
            <w:sz w:val="20"/>
            <w:u w:val="single"/>
          </w:rPr>
          <w:t>Note 15 - Segment Information</w:t>
        </w:r>
      </w:hyperlink>
      <w:r>
        <w:rPr>
          <w:color w:val="000000"/>
        </w:rPr>
        <w:t xml:space="preserve"> </w:t>
      </w:r>
      <w:r>
        <w:rPr>
          <w:rFonts w:ascii="Times New Roman;serif" w:hAnsi="Times New Roman;serif"/>
          <w:b w:val="false"/>
          <w:color w:val="000000"/>
          <w:sz w:val="20"/>
        </w:rPr>
        <w:t>to the unaudited consolidated financial statements at Item 1 of this Form 10-Q.</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Economic Opportunities, Challenges and Risks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generated approximately 90% of our total revenues in the first half of fiscal year ("FY") 2025 from contracts with U.S. government agencies. Our business performance is affected by the overall level of U.S. government spending and the alignment of our offerings and capabilities with the budget priorities of the U.S. government.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new Administration is currently evaluating federal agencies and existing government contracts, grants, and programs for affordability, efficiency, and alignment with U.S. government objectives. The Administration’s efforts to reduce federal spending create uncertainty and risk for government contractors, including potentially resulting in change in budgetary priorities and timing on issuing awards. Decreases or delays in contract awards and in government spending on the types of programs that we support, and terminations or stop-work-orders on government contracts on which we are currently performing, could adversely affect our future revenues and profitability. The ongoing and potential future reforms to the U.S. government acquisition process, including changes to procurement rules and regulations, could transform how contracts are awarded, negotiated, and managed, which could lead to delays in contract awards and/or modifications to the scope or terms of contracts we hold. At the same time, given the nature of our business, the Administration’s focus on efficiency, along with the potential for certain traditionally government functions to be transferred to private entities, may present new business opportunities for us.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The OBBBA includes significant changes to the Internal Revenue Code, with various provisions changing the U.S. federal income tax regulations and modifications to the Inflation Reduction Act of 2022. Further, the OBBBA significantly impacts the defense sector through substantial funding allocations and strategic investments, including specific investments in areas like Artificial Intelligence (“AI”), and provides the Department of Defense with extended time, until 2029, to make strategic investments in the defense industrial base. The increased funding and improved tax treatment for research and development could boost targeted defense investments, scale commercial technologies for military use, and support other related programs. See Note 2 – Significant Accounting Policies on Income Taxes for additional information on key income tax provisions of the OBBBA.</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light of ongoing conflicts and heightened global instability as well as political tensions and related legal challenges, we expect continued uncertainty in the U.S. political, budget and regulatory environment. Initiatives to reduce governmental spending, federal budget and debt ceiling action, and U.S. government policy positions, including trade policy, tax reform and U.S. government policies or priorities, could materially impact federal spending broadly and our programs in particular.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number of factors have contributed to our financial performance in the second quarter ended June 30, 2025, the most significant of which are described below. More details on these factors are presented below within our "Results of Operations" section.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The year-over-year increase in revenue was primarily driven by the successful transition and ramping towards the full operational capacity of a significant program within our Security Solutions segment.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TSA PreCheck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enrollment revenue grew as a result of the expansion of TSA PreCheck enrollment sites.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Our operating expenses increased due to higher stock-based compensation expense, partially offset by the lower expense associated with the restructuring efforts undertaken in the third quarter of 2024. Operating expenses, excluding stock-based compensation expense, declined year-over-year.</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We deployed $4.0 million to repurchase approximately 1.5 million shares of our common stock at a weighted-average share price of $2.69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811"/>
        <w:gridCol w:w="640"/>
        <w:gridCol w:w="645"/>
        <w:gridCol w:w="197"/>
        <w:gridCol w:w="649"/>
        <w:gridCol w:w="242"/>
        <w:gridCol w:w="109"/>
        <w:gridCol w:w="109"/>
        <w:gridCol w:w="109"/>
        <w:gridCol w:w="197"/>
        <w:gridCol w:w="649"/>
        <w:gridCol w:w="242"/>
        <w:gridCol w:w="109"/>
        <w:gridCol w:w="109"/>
        <w:gridCol w:w="109"/>
        <w:gridCol w:w="214"/>
        <w:gridCol w:w="662"/>
        <w:gridCol w:w="119"/>
        <w:gridCol w:w="109"/>
        <w:gridCol w:w="109"/>
        <w:gridCol w:w="109"/>
        <w:gridCol w:w="196"/>
        <w:gridCol w:w="691"/>
        <w:gridCol w:w="241"/>
        <w:gridCol w:w="109"/>
        <w:gridCol w:w="109"/>
        <w:gridCol w:w="109"/>
        <w:gridCol w:w="196"/>
        <w:gridCol w:w="691"/>
        <w:gridCol w:w="241"/>
        <w:gridCol w:w="109"/>
        <w:gridCol w:w="109"/>
        <w:gridCol w:w="109"/>
        <w:gridCol w:w="213"/>
        <w:gridCol w:w="659"/>
        <w:gridCol w:w="175"/>
      </w:tblGrid>
      <w:tr>
        <w:trPr/>
        <w:tc>
          <w:tcPr>
            <w:tcW w:w="8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MD&amp;A 1: Consolidated Results of Operations</w:t>
            </w:r>
          </w:p>
        </w:tc>
      </w:tr>
      <w:tr>
        <w:trPr/>
        <w:tc>
          <w:tcPr>
            <w:tcW w:w="2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w:t>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 Change</w:t>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Gross margin</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33.2 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34.1 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Operating expenses as percentage of revenue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60.7 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64.4 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(9,883)</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(7,740)</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(15,135)</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business segments have different factors driving revenue fluctuations and profitability. The discussion of the changes in our revenue and profitability are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operating expenses increased by $3.5 million, or 18.9%, compared to the same quarter in 2024. Research and development ("R&amp;D") expenses slightly increased by $0.1 million, or 3.6%, in the second quarter of 2025, compared to the same period in 2024. Selling, general and administrative ("SG&amp;A") expenses increased by $3.4 million, or 20.2%, in the second quarter of 2025, compared to the same period in 2024, due to higher stock-based compensation costs, partially offset by lower labor costs due to the restructuring efforts taken in the third quarter of 2024 and lower cash incentive compensation expense.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operating expenses increased by $5.3 million, or 14.0%, compared with the same period in 2024. R&amp;D expenses declined by $1.5 million, or 33.4%, in the first half of 2025, compared to the same period in 2024, due to lower amortization costs associated with the discontinued development of selected solutions in the third quarter of 2024. SG&amp;A expenses increased by $6.8 million, or 20.6%, in the first half of 2025, compared to the same period in 2024, due to higher stock-based compensation costs, partially offset by lower labor costs due to the restructuring efforts taken in the third quarter of 2024 and lower cash incentive compensation expense.</w:t>
      </w:r>
    </w:p>
    <w:p>
      <w:pPr>
        <w:pStyle w:val="TextBody"/>
        <w:bidi w:val="0"/>
        <w:spacing w:lineRule="auto" w:line="288" w:before="120" w:after="180"/>
        <w:jc w:val="left"/>
        <w:rPr/>
      </w:pPr>
      <w:r>
        <w:rPr>
          <w:rFonts w:ascii="Times New Roman;serif" w:hAnsi="Times New Roman;serif"/>
          <w:b w:val="false"/>
          <w:i/>
          <w:color w:val="000000"/>
          <w:sz w:val="20"/>
        </w:rPr>
        <w:t>Other income</w:t>
      </w:r>
      <w:r>
        <w:rPr>
          <w:rFonts w:ascii="Times New Roman;serif" w:hAnsi="Times New Roman;serif"/>
          <w:b w:val="false"/>
          <w:color w:val="000000"/>
          <w:sz w:val="20"/>
        </w:rPr>
        <w:t xml:space="preserv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decreased by $0.5 million, or 48.0%, for the second quarter of 2025, compared to the same period in 2024. Similarly, other income for the six months ended June 30, 2025, decreased by $1.2 million, or 51.9%, compared to the same period in 2024. The decreases in other income for both periods were primarily due to the changes in dividend income from money market placements.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each business segment are the same as those followed by the Company as a whole. Management evaluates business segment performance based on gross profit.</w:t>
      </w:r>
    </w:p>
    <w:tbl>
      <w:tblPr>
        <w:tblW w:w="10205" w:type="dxa"/>
        <w:jc w:val="left"/>
        <w:tblInd w:w="0" w:type="dxa"/>
        <w:tblLayout w:type="fixed"/>
        <w:tblCellMar>
          <w:top w:w="28" w:type="dxa"/>
          <w:left w:w="28" w:type="dxa"/>
          <w:bottom w:w="28" w:type="dxa"/>
          <w:right w:w="28" w:type="dxa"/>
        </w:tblCellMar>
      </w:tblPr>
      <w:tblGrid>
        <w:gridCol w:w="763"/>
        <w:gridCol w:w="654"/>
        <w:gridCol w:w="661"/>
        <w:gridCol w:w="196"/>
        <w:gridCol w:w="648"/>
        <w:gridCol w:w="257"/>
        <w:gridCol w:w="109"/>
        <w:gridCol w:w="109"/>
        <w:gridCol w:w="109"/>
        <w:gridCol w:w="196"/>
        <w:gridCol w:w="648"/>
        <w:gridCol w:w="257"/>
        <w:gridCol w:w="109"/>
        <w:gridCol w:w="109"/>
        <w:gridCol w:w="109"/>
        <w:gridCol w:w="209"/>
        <w:gridCol w:w="691"/>
        <w:gridCol w:w="116"/>
        <w:gridCol w:w="109"/>
        <w:gridCol w:w="109"/>
        <w:gridCol w:w="109"/>
        <w:gridCol w:w="196"/>
        <w:gridCol w:w="648"/>
        <w:gridCol w:w="257"/>
        <w:gridCol w:w="109"/>
        <w:gridCol w:w="109"/>
        <w:gridCol w:w="109"/>
        <w:gridCol w:w="196"/>
        <w:gridCol w:w="648"/>
        <w:gridCol w:w="257"/>
        <w:gridCol w:w="109"/>
        <w:gridCol w:w="109"/>
        <w:gridCol w:w="109"/>
        <w:gridCol w:w="209"/>
        <w:gridCol w:w="689"/>
        <w:gridCol w:w="174"/>
      </w:tblGrid>
      <w:tr>
        <w:trPr/>
        <w:tc>
          <w:tcPr>
            <w:tcW w:w="76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80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MD&amp;A 2: Security Solutions Segment - Financial Results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 and amortization)</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34.8 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40.7 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38.4 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43.5 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 Compared with Three Months Ended June 30, 2024</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Security Solutions segment revenue for the second quarter of 2025 increased by $14.6 million, or 81.8%, compared to the same period in 2024, primarily due to the successful ramp towards the full operational capacity of a significant program and increase in volume on another large program.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Security Solutions gross profit for the second quarter of 2025 increased by $4.0 million, or 55.5%, compared with the same period in 2024, due to higher segment revenues.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Segment gross margin decreased from 40.7% to 34.8% for the second quarter of 2025, compared with the same period in 2024, primarily due to revenue mix partially offset by the impact of lower depreciation and amortization expense on higher revenue.</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2025, Compared with Six Months Ended June 30, 2024</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Security Solutions segment revenue for the six months ended June 30, 2025, increased by $21.8 million, or 59.7%, compared to the same period in 2024, primarily due to the successful ramp towards the full operational capacity of a significant program and increase in volume on another large program.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gross profit for the six months ended June 30, 2025, increased by $6.5 million, or 40.7%, compared to the same period in 2024, due to higher segment revenues.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gross margin decreased from 43.5% in FY2024 to 38.4% in FY2025, primarily due to revenue mix partially offset by the impact of lower depreciation and amortization on higher revenue. </w:t>
      </w:r>
    </w:p>
    <w:tbl>
      <w:tblPr>
        <w:tblW w:w="10205" w:type="dxa"/>
        <w:jc w:val="left"/>
        <w:tblInd w:w="0" w:type="dxa"/>
        <w:tblLayout w:type="fixed"/>
        <w:tblCellMar>
          <w:top w:w="28" w:type="dxa"/>
          <w:left w:w="28" w:type="dxa"/>
          <w:bottom w:w="28" w:type="dxa"/>
          <w:right w:w="28" w:type="dxa"/>
        </w:tblCellMar>
      </w:tblPr>
      <w:tblGrid>
        <w:gridCol w:w="808"/>
        <w:gridCol w:w="695"/>
        <w:gridCol w:w="702"/>
        <w:gridCol w:w="203"/>
        <w:gridCol w:w="578"/>
        <w:gridCol w:w="266"/>
        <w:gridCol w:w="109"/>
        <w:gridCol w:w="109"/>
        <w:gridCol w:w="109"/>
        <w:gridCol w:w="196"/>
        <w:gridCol w:w="648"/>
        <w:gridCol w:w="257"/>
        <w:gridCol w:w="109"/>
        <w:gridCol w:w="109"/>
        <w:gridCol w:w="109"/>
        <w:gridCol w:w="212"/>
        <w:gridCol w:w="649"/>
        <w:gridCol w:w="118"/>
        <w:gridCol w:w="109"/>
        <w:gridCol w:w="109"/>
        <w:gridCol w:w="109"/>
        <w:gridCol w:w="203"/>
        <w:gridCol w:w="578"/>
        <w:gridCol w:w="266"/>
        <w:gridCol w:w="109"/>
        <w:gridCol w:w="109"/>
        <w:gridCol w:w="109"/>
        <w:gridCol w:w="196"/>
        <w:gridCol w:w="648"/>
        <w:gridCol w:w="257"/>
        <w:gridCol w:w="109"/>
        <w:gridCol w:w="109"/>
        <w:gridCol w:w="109"/>
        <w:gridCol w:w="204"/>
        <w:gridCol w:w="715"/>
        <w:gridCol w:w="171"/>
      </w:tblGrid>
      <w:tr>
        <w:trPr/>
        <w:tc>
          <w:tcPr>
            <w:tcW w:w="80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788"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MD&amp;A 3: Secure Networks Segment - Financial Results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 and amortization)</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7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18.1 </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23.0 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21.2 </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22.1 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 Compared with Three Months Ended June 30, 2024</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Secure Networks segment revenue for the three months ended June 30, 2025, decreased by $7.1 million, or 67.1%, compared to the same period in 2024, primarily due to the ramp down of several programs within the portfolio.</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gross profit for Secure Networks for the second quarter of 2025, decreased by $1.8 million, or 74.0%, compared with the same period in 2024, due to lower segment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gross margin decreased from 23.0% to 18.1% for the second quarter of 2025, compared with the same period in 2024, primarily due to the results of revenue mix. </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2025, Compared with Six Months Ended June 30, 2024</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Secure Network segment revenue for the six months ended June 30, 2025, decreased by $13.3 million, or 61.6%, compared to the same period in 2024. The decrease in revenue for the six months ended June 30, 2025, was primarily due to the ramp down of several programs within the portfolio.</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gross profit for the six months ended June 30, 2025, decreased by $3.0 million, or 63.2%, compared to the same period in 2024, due to lower segment revenue.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Segment gross margin in the first half of 2025 decreased from 22.1% in 2024 to 21.2% in 2025. The decline in segment gross margin for the six months ended June 30, 2025, was primarily due to the results of revenue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on hand, future operating cash flows, and, if needed, borrowings under our $30.0 million revolving credit facility with a maturity date of December 30, 2025, and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$57.0 million and our working capital was $64.0 million.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Cash Flow</w:t>
      </w:r>
    </w:p>
    <w:tbl>
      <w:tblPr>
        <w:tblW w:w="8696" w:type="dxa"/>
        <w:jc w:val="left"/>
        <w:tblInd w:w="0" w:type="dxa"/>
        <w:tblLayout w:type="fixed"/>
        <w:tblCellMar>
          <w:top w:w="28" w:type="dxa"/>
          <w:left w:w="28" w:type="dxa"/>
          <w:bottom w:w="28" w:type="dxa"/>
          <w:right w:w="28" w:type="dxa"/>
        </w:tblCellMar>
      </w:tblPr>
      <w:tblGrid>
        <w:gridCol w:w="2208"/>
        <w:gridCol w:w="1943"/>
        <w:gridCol w:w="1954"/>
        <w:gridCol w:w="228"/>
        <w:gridCol w:w="754"/>
        <w:gridCol w:w="127"/>
        <w:gridCol w:w="109"/>
        <w:gridCol w:w="109"/>
        <w:gridCol w:w="109"/>
        <w:gridCol w:w="211"/>
        <w:gridCol w:w="778"/>
        <w:gridCol w:w="166"/>
      </w:tblGrid>
      <w:tr>
        <w:trPr/>
        <w:tc>
          <w:tcPr>
            <w:tcW w:w="220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MD&amp;A 4: Net Change in Cash, Cash Equivalents, and Restricted Cash</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2024</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(19,155)</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2025, was $13.1 million, an increase of $21.4 million, compared to the same period in 2024. The increase is attributable to the favorable changes in working capital primarily driven by timing of receipts from customer and the timing of payments to vendors, coupled with higher cash earnings (i.e., net loss, excluding non-cash items that do not impact cash flows from operating activities).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2025, decreased by $5.0 million, compared to the same period of the prior year, primarily due to the decreases in capital expenditures in 2025 and purchase of an investment of $3.0 million in 2024, with no similar transaction in 2025. </w:t>
      </w:r>
    </w:p>
    <w:p>
      <w:pPr>
        <w:pStyle w:val="TextBody"/>
        <w:bidi w:val="0"/>
        <w:spacing w:lineRule="auto" w:line="288" w:before="120" w:after="180"/>
        <w:jc w:val="left"/>
        <w:rPr/>
      </w:pPr>
      <w:r>
        <w:rPr>
          <w:rFonts w:ascii="Times New Roman;serif" w:hAnsi="Times New Roman;serif"/>
          <w:b w:val="false"/>
          <w:color w:val="000000"/>
          <w:sz w:val="20"/>
        </w:rPr>
        <w:t xml:space="preserve">Net cash used in financing activities for the six months ended June 30, 2025, increased by $4.8 million, compared to the same period in 2024. This is primarily attributable to the increases in payment of tax withholding related to net share settlement of equity awards of $1.1 million in the first half of 2025, compared with $0.4 million in the same period of 2024, and the repurchase of common stock of $4.0 million in 2025 under the share repurchase program (See </w:t>
      </w:r>
      <w:hyperlink w:anchor="i39beeefaa0da48ab94f72b8bf9b05a36_73">
        <w:r>
          <w:rPr>
            <w:rStyle w:val="InternetLink"/>
          </w:rPr>
          <w:t>N</w:t>
        </w:r>
      </w:hyperlink>
      <w:hyperlink w:anchor="i39beeefaa0da48ab94f72b8bf9b05a36_73">
        <w:r>
          <w:rPr>
            <w:rStyle w:val="InternetLink"/>
          </w:rPr>
          <w:t xml:space="preserve">ote 12 </w:t>
        </w:r>
      </w:hyperlink>
      <w:hyperlink w:anchor="i39beeefaa0da48ab94f72b8bf9b05a36_73">
        <w:r>
          <w:rPr>
            <w:rStyle w:val="InternetLink"/>
          </w:rPr>
          <w:t>–</w:t>
        </w:r>
      </w:hyperlink>
      <w:hyperlink w:anchor="i39beeefaa0da48ab94f72b8bf9b05a36_73">
        <w:r>
          <w:rPr>
            <w:rStyle w:val="InternetLink"/>
          </w:rPr>
          <w:t xml:space="preserve"> Share Repurchases</w:t>
        </w:r>
      </w:hyperlink>
      <w:r>
        <w:rPr>
          <w:rFonts w:ascii="Times New Roman;serif" w:hAnsi="Times New Roman;serif"/>
          <w:b w:val="false"/>
          <w:color w:val="000000"/>
          <w:sz w:val="20"/>
        </w:rPr>
        <w:t>), with no similar activity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accounting principles generally accepted in the United States requires us to make estimates, judgments, and assumptions that affect the amounts reported. Actual results could differ from those estimates. Our 2024 Form 10-K, as filed with the SEC on March 10, 2025, includes a summary of critical accounting policies and estimates we believe are the most important to aid in understanding our financial results. </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stock-based compensation expense related to the stock options, RSUs and PSUs awarded under the Amended and Restated 2016 Omnibus Long-Term Incentive Plan (the “2016 LTIP”) is recognized ratably over the requisite service period.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awards with performance conditions, stock-based compensation expense is estimated at each reporting date using management’s expectation of the probable achievement of the specific performance targets and recognized over the requisite service period for each tranche on a graded-vesting basis. Stock-based compensation expense for PSUs with market conditions is recognized based on the grant-date fair value calculated using the Monte Carlo model, as described below, or sooner if the market conditions is achieved.</w:t>
      </w:r>
    </w:p>
    <w:p>
      <w:pPr>
        <w:pStyle w:val="TextBody"/>
        <w:bidi w:val="0"/>
        <w:spacing w:lineRule="auto" w:line="288" w:before="120" w:after="180"/>
        <w:jc w:val="left"/>
        <w:rPr/>
      </w:pPr>
      <w:r>
        <w:rPr>
          <w:rFonts w:ascii="Times New Roman;serif" w:hAnsi="Times New Roman;serif"/>
          <w:b w:val="false"/>
          <w:color w:val="000000"/>
          <w:sz w:val="20"/>
        </w:rPr>
        <w:t xml:space="preserve">The fair value of the PSUs is equal to the closing stock price on the date of the grant or the fair value of the award on the grant date as determined through an independent valuation for PSUs with market conditions. Estimating the fair value of PSUs with market condition, using the Monte Carlo simulation valuation model, requires assumptions as to the fair value of the underlying common stock, the estimated performance period, expected volatility, risk-free rate, and derived service period. See </w:t>
      </w:r>
      <w:hyperlink w:anchor="i39beeefaa0da48ab94f72b8bf9b05a36_67">
        <w:r>
          <w:rPr>
            <w:rStyle w:val="InternetLink"/>
            <w:rFonts w:ascii="Times New Roman;serif" w:hAnsi="Times New Roman;serif"/>
            <w:b w:val="false"/>
            <w:color w:val="0000FF"/>
            <w:sz w:val="20"/>
            <w:u w:val="single"/>
          </w:rPr>
          <w:t>Note 11 – Stock-Based Compensation</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test for goodwill impairment at the reporting unit level. Between annual evaluations, if events occur or circumstances change that would more-likely-than-not reduce the fair value of the reporting units below its carrying amount, then impairment must be evaluated. When evaluating goodwill for impairment, we first assess qualitative factors which could include, but not limited to, macroeconomic conditions, industry and market conditions, overall company financial performance and events affecting the reporting units or the Company as a whole.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If the financial performance of our Secure Networks reporting segment remains at the current level for a sustained period of time, and after considering other qualitative factors, there may be a triggering event indicating goodwill may be impaired in our Secure Networks reporting unit. Accordingly, management may need to perform a quantitative impairment test over the Secure Networks reporting unit to determine if an impairment loss should be recorded which may have an adverse impact on our results of operations.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result of our interim qualitative assessment, we determined that it is more-likely-than-not that the estimated fair value of the reporting units exceeds their carrying value and thus, no impairment charges were taken during the three and six months ended June 30, 2025.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Other critical accounting policies and estimates include revenue recognition, goodwill and long-lived assets, and income taxes, as discussed in our 2024 Form 10-K. There have been no changes to these critical accounting policies and estimates that have had a material impact on our reported amounts of assets, liabilities, revenues, or expenses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a variety of financial risks, such as interest rate risk, foreign currency translation risk, and counterparty risk, which can affect our operations and profitability. The Company's market risk disclosure set forth on "Part II, Item 7A – Quantitative and Qualitative Disclosure about Market Risk," on the 2024 Form 10-K, as filed with the SEC on March 10, 2025, have not changed materially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June 30, 2025.</w:t>
      </w:r>
    </w:p>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during the quarter ended June 30, 2025, identified in connection with management’s evaluation required by paragraph (d) of Rules 13a-15 and 15d-15 under the Exchange Act,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80"/>
        <w:jc w:val="left"/>
        <w:rPr/>
      </w:pPr>
      <w:r>
        <w:rPr>
          <w:rFonts w:ascii="Times New Roman;serif" w:hAnsi="Times New Roman;serif"/>
          <w:b w:val="false"/>
          <w:color w:val="000000"/>
          <w:sz w:val="20"/>
        </w:rPr>
        <w:t xml:space="preserve">Information regarding legal proceedings is included under </w:t>
      </w:r>
      <w:hyperlink w:anchor="i39beeefaa0da48ab94f72b8bf9b05a36_91">
        <w:r>
          <w:rPr>
            <w:rStyle w:val="InternetLink"/>
          </w:rPr>
          <w:t>Note 1</w:t>
        </w:r>
      </w:hyperlink>
      <w:hyperlink w:anchor="i39beeefaa0da48ab94f72b8bf9b05a36_91">
        <w:r>
          <w:rPr>
            <w:rStyle w:val="InternetLink"/>
          </w:rPr>
          <w:t>6</w:t>
        </w:r>
      </w:hyperlink>
      <w:hyperlink w:anchor="i39beeefaa0da48ab94f72b8bf9b05a36_91">
        <w:r>
          <w:rPr>
            <w:rStyle w:val="InternetLink"/>
          </w:rPr>
          <w:t xml:space="preserve"> – Commitments and Contingencies</w:t>
        </w:r>
      </w:hyperlink>
      <w:r>
        <w:rPr>
          <w:color w:val="000000"/>
        </w:rPr>
        <w:t xml:space="preserve"> </w:t>
      </w:r>
      <w:r>
        <w:rPr>
          <w:rFonts w:ascii="Times New Roman;serif" w:hAnsi="Times New Roman;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disclosed under "Item 1A – Risk Factors" in our Annual Report on Form 10-K for the year ended December 31, 2024, the risk factors which may materially affect our business, financial conditions or results of operations. Except as set forth below, there have been no material changes from the risk factors previously disclosed.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new Administration's actions, such as tariffs and other changes in international trade policies, could adversely and unexpectedly impact our business.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Beginning in January 2025, the new Administration began to increase tariff rates on numerous products from a range of nations. The duration and extent of the tariffs and reciprocal tariffs, including the availability of certain exemption on some products, continue to evolve. Changes in international trade policies, including higher tariffs on imported goods and materials, may increase the procurement costs of certain IT hardware we use, both internally or on our contracts, or sell to our customers. These actions could have a negative effect on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Unregistered Sales of Securities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 Use of Proceeds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w:t>
      </w:r>
    </w:p>
    <w:tbl>
      <w:tblPr>
        <w:tblW w:w="10205" w:type="dxa"/>
        <w:jc w:val="left"/>
        <w:tblInd w:w="0" w:type="dxa"/>
        <w:tblLayout w:type="fixed"/>
        <w:tblCellMar>
          <w:top w:w="28" w:type="dxa"/>
          <w:left w:w="28" w:type="dxa"/>
          <w:bottom w:w="28" w:type="dxa"/>
          <w:right w:w="28" w:type="dxa"/>
        </w:tblCellMar>
      </w:tblPr>
      <w:tblGrid>
        <w:gridCol w:w="370"/>
        <w:gridCol w:w="324"/>
        <w:gridCol w:w="331"/>
        <w:gridCol w:w="121"/>
        <w:gridCol w:w="121"/>
        <w:gridCol w:w="121"/>
        <w:gridCol w:w="676"/>
        <w:gridCol w:w="444"/>
        <w:gridCol w:w="446"/>
        <w:gridCol w:w="121"/>
        <w:gridCol w:w="121"/>
        <w:gridCol w:w="121"/>
        <w:gridCol w:w="300"/>
        <w:gridCol w:w="713"/>
        <w:gridCol w:w="166"/>
        <w:gridCol w:w="121"/>
        <w:gridCol w:w="121"/>
        <w:gridCol w:w="121"/>
        <w:gridCol w:w="952"/>
        <w:gridCol w:w="764"/>
        <w:gridCol w:w="767"/>
        <w:gridCol w:w="121"/>
        <w:gridCol w:w="121"/>
        <w:gridCol w:w="121"/>
        <w:gridCol w:w="371"/>
        <w:gridCol w:w="1822"/>
        <w:gridCol w:w="307"/>
      </w:tblGrid>
      <w:tr>
        <w:trPr/>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Common Stock Purchase Activity During the Three Months Ended June 30, 2025</w:t>
            </w:r>
          </w:p>
        </w:tc>
      </w:tr>
      <w:tr>
        <w:trPr/>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Total Number of Shares Purchased </w:t>
            </w:r>
            <w:r>
              <w:rPr>
                <w:rFonts w:ascii="Times New Roman;serif" w:hAnsi="Times New Roman;serif"/>
                <w:b w:val="false"/>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Average Price Paid per Share </w:t>
            </w:r>
            <w:r>
              <w:rPr>
                <w:rFonts w:ascii="Times New Roman;serif" w:hAnsi="Times New Roman;serif"/>
                <w:b w:val="false"/>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Total Number of Shares Purchased as Part of Publicly Announced Repurchase Plans </w:t>
            </w:r>
            <w:r>
              <w:rPr>
                <w:rFonts w:ascii="Times New Roman;serif" w:hAnsi="Times New Roman;serif"/>
                <w:b w:val="false"/>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Maximum Dollar Value of Shares that May Yet Be Purchased Under the Plans </w:t>
            </w:r>
            <w:r>
              <w:rPr>
                <w:rFonts w:ascii="Times New Roman;serif" w:hAnsi="Times New Roman;serif"/>
                <w:b w:val="false"/>
                <w:color w:val="000000"/>
                <w:sz w:val="12"/>
              </w:rPr>
              <w:t>(1)</w:t>
            </w:r>
          </w:p>
        </w:tc>
      </w:tr>
      <w:tr>
        <w:trPr/>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2025 - April 30, 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38,715,569 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2025 - May 31, 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761,338 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761,338 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36,731,490 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2025 - June 30, 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726,889 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726,889 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34,713,664 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1,488,227 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1,488,227 </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On May 24, 2022, the Board of Directors authorized a Share Repurchase Program, pursuant to which the Company can repurchase up to $50.0 million of issued and outstanding common stock. The repurchase program has no expiration date and may be modified, suspended, or terminated at any time. For the second quarter of 2025, the Company repurchased 1,488,227 shares of common stock under the program for an aggregate price of $4.0 million on the open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During the three months ended June 30, 2025,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654"/>
        <w:gridCol w:w="2654"/>
        <w:gridCol w:w="3785"/>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tls-20250630xexhibit311q225.htm">
              <w:r>
                <w:rPr>
                  <w:rStyle w:val="InternetLink"/>
                  <w:rFonts w:ascii="Times New Roman;serif" w:hAnsi="Times New Roman;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tls-20250630xexhibit311q225.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50630xexhibit312q225.htm">
              <w:r>
                <w:rPr>
                  <w:rStyle w:val="InternetLink"/>
                  <w:rFonts w:ascii="Times New Roman;serif" w:hAnsi="Times New Roman;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50630xexhibit312q225.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50630xexhibit32q225.htm">
              <w:r>
                <w:rPr>
                  <w:rStyle w:val="InternetLink"/>
                  <w:rFonts w:ascii="Times New Roman;serif" w:hAnsi="Times New Roman;serif"/>
                  <w:b w:val="false"/>
                  <w:color w:val="0000FF"/>
                  <w:sz w:val="18"/>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50630xexhibit32q225.htm">
              <w:r>
                <w:rPr>
                  <w:rStyle w:val="InternetLink"/>
                  <w:rFonts w:ascii="Times New Roman;serif" w:hAnsi="Times New Roman;serif"/>
                  <w:b w:val="false"/>
                  <w:color w:val="0000FF"/>
                  <w:sz w:val="18"/>
                  <w:u w:val="single"/>
                </w:rPr>
                <w:t>Certification pursuant to 18 U.S.C. Section 1350, as Adopted pursuant to Section 906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iXBRL tags are embedded within the Inline XBRL document contained in Exhibit 101</w:t>
            </w:r>
          </w:p>
        </w:tc>
      </w:tr>
    </w:tbl>
    <w:tbl>
      <w:tblPr>
        <w:tblW w:w="1871" w:type="dxa"/>
        <w:jc w:val="left"/>
        <w:tblInd w:w="0" w:type="dxa"/>
        <w:tblLayout w:type="fixed"/>
        <w:tblCellMar>
          <w:top w:w="28" w:type="dxa"/>
          <w:left w:w="28" w:type="dxa"/>
          <w:bottom w:w="28" w:type="dxa"/>
          <w:right w:w="28" w:type="dxa"/>
        </w:tblCellMar>
      </w:tblPr>
      <w:tblGrid>
        <w:gridCol w:w="124"/>
        <w:gridCol w:w="109"/>
        <w:gridCol w:w="109"/>
        <w:gridCol w:w="447"/>
        <w:gridCol w:w="447"/>
        <w:gridCol w:w="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9beeefaa0da48ab94f72b8bf9b05a36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736"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438"/>
        <w:gridCol w:w="438"/>
        <w:gridCol w:w="624"/>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DJ Terreri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DJ Terreri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John B. Wood,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2" w:type="dxa"/>
        <w:jc w:val="lef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Mark Bendza,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2" w:type="dxa"/>
        <w:jc w:val="left"/>
        <w:tblInd w:w="0" w:type="dxa"/>
        <w:tblLayout w:type="fixed"/>
        <w:tblCellMar>
          <w:top w:w="28" w:type="dxa"/>
          <w:left w:w="28" w:type="dxa"/>
          <w:bottom w:w="28" w:type="dxa"/>
          <w:right w:w="28" w:type="dxa"/>
        </w:tblCellMar>
      </w:tblPr>
      <w:tblGrid>
        <w:gridCol w:w="124"/>
        <w:gridCol w:w="109"/>
        <w:gridCol w:w="109"/>
        <w:gridCol w:w="1261"/>
        <w:gridCol w:w="1261"/>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lineRule="auto" w:line="288" w:before="12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PURSUANT TO 18 U.S.C. SECTION 1350, </w:t>
        <w:br/>
        <w:t>AS ADOPTED PURSUANT TO SECTION 906 OF THE SARBANES-OXLEY ACT OF 2002</w:t>
      </w:r>
    </w:p>
    <w:p>
      <w:pPr>
        <w:pStyle w:val="TextBody"/>
        <w:bidi w:val="0"/>
        <w:spacing w:lineRule="auto" w:line="288" w:before="120" w:after="180"/>
        <w:jc w:val="left"/>
        <w:rPr/>
      </w:pPr>
      <w:r>
        <w:rPr>
          <w:rFonts w:ascii="Times New Roman;serif" w:hAnsi="Times New Roman;serif"/>
          <w:b w:val="false"/>
          <w:color w:val="000000"/>
          <w:sz w:val="20"/>
          <w:shd w:fill="FFFFFF" w:val="clear"/>
        </w:rPr>
        <w:t xml:space="preserve">In connection with the Quarterly Report of Telos Corporation (the "Company") on Form 10-Q for the period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(1)The Report fully complies with the requirements of section 13(a) or 15(d) of the Securities Exchange Act of 1934, as amended; and</w:t>
      </w:r>
    </w:p>
    <w:p>
      <w:pPr>
        <w:pStyle w:val="TextBody"/>
        <w:bidi w:val="0"/>
        <w:spacing w:lineRule="auto" w:line="288" w:before="120" w:after="180"/>
        <w:jc w:val="left"/>
        <w:rPr/>
      </w:pPr>
      <w:r>
        <w:rPr>
          <w:rFonts w:ascii="Times New Roman;serif" w:hAnsi="Times New Roman;serif"/>
          <w:b w:val="false"/>
          <w:color w:val="000000"/>
          <w:sz w:val="20"/>
          <w:shd w:fill="FFFFFF" w:val="clear"/>
        </w:rPr>
        <w:t xml:space="preserve">(2)The information </w:t>
      </w:r>
      <w:r>
        <w:rPr>
          <w:rFonts w:ascii="Times New Roman;serif" w:hAnsi="Times New Roman;serif"/>
          <w:b w:val="false"/>
          <w:color w:val="000000"/>
          <w:sz w:val="20"/>
        </w:rPr>
        <w:t>contained</w:t>
      </w:r>
      <w:r>
        <w:rPr>
          <w:color w:val="000000"/>
          <w:shd w:fill="FFFFFF" w:val="clear"/>
        </w:rPr>
        <w:t xml:space="preserve"> </w:t>
      </w:r>
      <w:r>
        <w:rPr>
          <w:rFonts w:ascii="Times New Roman;serif" w:hAnsi="Times New Roman;serif"/>
          <w:b w:val="false"/>
          <w:color w:val="000000"/>
          <w:sz w:val="20"/>
          <w:shd w:fill="FFFFFF" w:val="clear"/>
        </w:rPr>
        <w:t>in the Report fairly presents, in all material respects, the financial condition and results of operations of the Company.</w:t>
      </w:r>
    </w:p>
    <w:tbl>
      <w:tblPr>
        <w:tblW w:w="4782" w:type="dxa"/>
        <w:jc w:val="righ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13603</Words>
  <Characters>74569</Characters>
  <CharactersWithSpaces>86793</CharactersWithSpaces>
  <Paragraphs>2288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