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4"/>
          <w:szCs w:val="24"/>
          <w:color w:val="auto"/>
        </w:rPr>
      </w:pP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8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4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001-08443</w:t>
      </w:r>
    </w:p>
    <w:p>
      <w:pPr>
        <w:spacing w:after="0" w:line="16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TELOS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55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6"/>
              </w:rPr>
              <w:t>Maryland</w:t>
            </w:r>
          </w:p>
        </w:tc>
        <w:tc>
          <w:tcPr>
            <w:tcW w:w="380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52-0880974</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110"/>
              <w:spacing w:after="0"/>
              <w:rPr>
                <w:sz w:val="20"/>
                <w:szCs w:val="20"/>
                <w:color w:val="auto"/>
              </w:rPr>
            </w:pPr>
            <w:r>
              <w:rPr>
                <w:rFonts w:ascii="Arial" w:cs="Arial" w:eastAsia="Arial" w:hAnsi="Arial"/>
                <w:sz w:val="18"/>
                <w:szCs w:val="18"/>
                <w:color w:val="auto"/>
                <w:w w:val="93"/>
              </w:rPr>
              <w:t>(I.R.S. Employer Identification No.)</w:t>
            </w:r>
          </w:p>
        </w:tc>
      </w:tr>
      <w:tr>
        <w:trPr>
          <w:trHeight w:val="283"/>
        </w:trPr>
        <w:tc>
          <w:tcPr>
            <w:tcW w:w="55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80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20147-2358</w:t>
            </w:r>
          </w:p>
        </w:tc>
      </w:tr>
      <w:tr>
        <w:trPr>
          <w:trHeight w:val="230"/>
        </w:trPr>
        <w:tc>
          <w:tcPr>
            <w:tcW w:w="550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233" w:right="419" w:bottom="1440" w:gutter="0" w:footer="0" w:header="0"/>
        </w:sectPr>
      </w:pPr>
    </w:p>
    <w:p>
      <w:pPr>
        <w:spacing w:after="0" w:line="144"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40" w:space="720"/>
            <w:col w:w="1620" w:space="720"/>
            <w:col w:w="3760"/>
          </w:cols>
          <w:pgMar w:left="320" w:top="233" w:right="419" w:bottom="1440" w:gutter="0" w:footer="0" w:header="0"/>
          <w:type w:val="continuous"/>
        </w:sectPr>
      </w:pPr>
    </w:p>
    <w:p>
      <w:pPr>
        <w:spacing w:after="0" w:line="24"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08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08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0" w:type="dxa"/>
            <w:vAlign w:val="bottom"/>
          </w:tcPr>
          <w:p>
            <w:pPr>
              <w:ind w:left="208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3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9, 2021, the registrant had outstanding 66,755,230 shares of common1 stock</w:t>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140" w:lineRule="exact"/>
        <w:rPr>
          <w:sz w:val="20"/>
          <w:szCs w:val="20"/>
          <w:color w:val="auto"/>
        </w:rPr>
      </w:pPr>
    </w:p>
    <w:p>
      <w:pPr>
        <w:jc w:val="right"/>
        <w:ind w:right="420"/>
        <w:spacing w:after="0"/>
        <w:rPr>
          <w:sz w:val="20"/>
          <w:szCs w:val="20"/>
          <w:color w:val="auto"/>
        </w:rPr>
      </w:pPr>
      <w:r>
        <w:rPr>
          <w:rFonts w:ascii="Arial" w:cs="Arial" w:eastAsia="Arial" w:hAnsi="Arial"/>
          <w:sz w:val="14"/>
          <w:szCs w:val="14"/>
          <w:b w:val="1"/>
          <w:bCs w:val="1"/>
          <w:color w:val="auto"/>
        </w:rPr>
        <w:t>Page</w:t>
      </w:r>
    </w:p>
    <w:p>
      <w:pPr>
        <w:sectPr>
          <w:pgSz w:w="11900" w:h="16838" w:orient="portrait"/>
          <w:cols w:equalWidth="0" w:num="1">
            <w:col w:w="11220"/>
          </w:cols>
          <w:pgMar w:left="320" w:top="125" w:right="359" w:bottom="1440" w:gutter="0" w:footer="0" w:header="0"/>
        </w:sectPr>
      </w:pPr>
    </w:p>
    <w:p>
      <w:pPr>
        <w:spacing w:after="0" w:line="36"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FF"/>
        </w:rPr>
      </w:pPr>
      <w:hyperlink w:anchor="page3">
        <w:r>
          <w:rPr>
            <w:rFonts w:ascii="Arial" w:cs="Arial" w:eastAsia="Arial" w:hAnsi="Arial"/>
            <w:sz w:val="18"/>
            <w:szCs w:val="18"/>
            <w:color w:val="auto"/>
          </w:rPr>
          <w:t>Item 1.</w:t>
        </w:r>
      </w:hyperlink>
      <w:r>
        <w:rPr>
          <w:rFonts w:ascii="Arial" w:cs="Arial" w:eastAsia="Arial" w:hAnsi="Arial"/>
          <w:sz w:val="18"/>
          <w:szCs w:val="18"/>
          <w:color w:val="auto"/>
        </w:rPr>
        <w:tab/>
      </w:r>
      <w:hyperlink w:anchor="page3">
        <w:r>
          <w:rPr>
            <w:rFonts w:ascii="Arial" w:cs="Arial" w:eastAsia="Arial" w:hAnsi="Arial"/>
            <w:sz w:val="16"/>
            <w:szCs w:val="16"/>
            <w:u w:val="single" w:color="auto"/>
            <w:color w:val="0000FF"/>
          </w:rPr>
          <w:t xml:space="preserve">Financial Statements </w:t>
        </w:r>
      </w:hyperlink>
      <w:r>
        <w:rPr>
          <w:rFonts w:ascii="Arial" w:cs="Arial" w:eastAsia="Arial" w:hAnsi="Arial"/>
          <w:sz w:val="16"/>
          <w:szCs w:val="16"/>
          <w:color w:val="000000"/>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26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Statements of Operations for the Three and Six Months Ended June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4" w:lineRule="exact"/>
        <w:rPr>
          <w:sz w:val="20"/>
          <w:szCs w:val="20"/>
          <w:color w:val="auto"/>
        </w:rPr>
      </w:pPr>
    </w:p>
    <w:p>
      <w:pPr>
        <w:ind w:left="1260" w:right="180"/>
        <w:spacing w:after="0" w:line="234" w:lineRule="auto"/>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Comprehensive (Loss) Income</w:t>
        </w:r>
        <w:r>
          <w:rPr>
            <w:rFonts w:ascii="Arial" w:cs="Arial" w:eastAsia="Arial" w:hAnsi="Arial"/>
            <w:sz w:val="18"/>
            <w:szCs w:val="18"/>
            <w:color w:val="0000FF"/>
          </w:rPr>
          <w:t xml:space="preserve"> for the Three and Six Months Ended June 30,</w:t>
        </w:r>
      </w:hyperlink>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2021 and 2020</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June 30, 2021 and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2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 for the Six Months Ended June 30, 2021 and 2020</w:t>
        </w:r>
      </w:hyperlink>
    </w:p>
    <w:p>
      <w:pPr>
        <w:spacing w:after="0" w:line="23" w:lineRule="exact"/>
        <w:rPr>
          <w:sz w:val="20"/>
          <w:szCs w:val="20"/>
          <w:color w:val="auto"/>
        </w:rPr>
      </w:pPr>
    </w:p>
    <w:p>
      <w:pPr>
        <w:ind w:left="1260"/>
        <w:spacing w:after="0" w:line="234"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Stockholders’ Equity (Deficit) for the Three and Six Months Ended</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June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12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p>
      <w:pPr>
        <w:spacing w:after="0" w:line="23"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FF"/>
        </w:rPr>
      </w:pPr>
      <w:hyperlink w:anchor="page24">
        <w:r>
          <w:rPr>
            <w:rFonts w:ascii="Arial" w:cs="Arial" w:eastAsia="Arial" w:hAnsi="Arial"/>
            <w:sz w:val="18"/>
            <w:szCs w:val="18"/>
            <w:color w:val="auto"/>
          </w:rPr>
          <w:t>Item 2.</w:t>
        </w:r>
      </w:hyperlink>
      <w:r>
        <w:rPr>
          <w:rFonts w:ascii="Arial" w:cs="Arial" w:eastAsia="Arial" w:hAnsi="Arial"/>
          <w:sz w:val="18"/>
          <w:szCs w:val="18"/>
          <w:color w:val="auto"/>
        </w:rPr>
        <w:tab/>
      </w:r>
      <w:hyperlink w:anchor="page24">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FF"/>
        </w:rPr>
      </w:pPr>
      <w:hyperlink w:anchor="page33">
        <w:r>
          <w:rPr>
            <w:rFonts w:ascii="Arial" w:cs="Arial" w:eastAsia="Arial" w:hAnsi="Arial"/>
            <w:sz w:val="18"/>
            <w:szCs w:val="18"/>
            <w:color w:val="auto"/>
          </w:rPr>
          <w:t>Item 3.</w:t>
        </w:r>
      </w:hyperlink>
      <w:r>
        <w:rPr>
          <w:rFonts w:ascii="Arial" w:cs="Arial" w:eastAsia="Arial" w:hAnsi="Arial"/>
          <w:sz w:val="18"/>
          <w:szCs w:val="18"/>
          <w:color w:val="auto"/>
        </w:rPr>
        <w:tab/>
      </w:r>
      <w:hyperlink w:anchor="page33">
        <w:r>
          <w:rPr>
            <w:rFonts w:ascii="Arial" w:cs="Arial" w:eastAsia="Arial" w:hAnsi="Arial"/>
            <w:sz w:val="16"/>
            <w:szCs w:val="16"/>
            <w:u w:val="single" w:color="auto"/>
            <w:color w:val="0000FF"/>
          </w:rPr>
          <w:t>Quantitative and Qualitative Disclosures about Market Risk</w:t>
        </w:r>
      </w:hyperlink>
    </w:p>
    <w:p>
      <w:pPr>
        <w:spacing w:after="0" w:line="23" w:lineRule="exact"/>
        <w:rPr>
          <w:sz w:val="20"/>
          <w:szCs w:val="20"/>
          <w:color w:val="auto"/>
        </w:rPr>
      </w:pPr>
    </w:p>
    <w:p>
      <w:pPr>
        <w:ind w:left="20"/>
        <w:spacing w:after="0"/>
        <w:tabs>
          <w:tab w:leader="none" w:pos="1240" w:val="left"/>
        </w:tabs>
        <w:rPr>
          <w:rFonts w:ascii="Arial" w:cs="Arial" w:eastAsia="Arial" w:hAnsi="Arial"/>
          <w:sz w:val="15"/>
          <w:szCs w:val="15"/>
          <w:u w:val="single" w:color="auto"/>
          <w:color w:val="0000FF"/>
        </w:rPr>
      </w:pPr>
      <w:hyperlink w:anchor="page34">
        <w:r>
          <w:rPr>
            <w:rFonts w:ascii="Arial" w:cs="Arial" w:eastAsia="Arial" w:hAnsi="Arial"/>
            <w:sz w:val="18"/>
            <w:szCs w:val="18"/>
            <w:color w:val="auto"/>
          </w:rPr>
          <w:t>Item 4.</w:t>
        </w:r>
      </w:hyperlink>
      <w:r>
        <w:rPr>
          <w:rFonts w:ascii="Arial" w:cs="Arial" w:eastAsia="Arial" w:hAnsi="Arial"/>
          <w:sz w:val="18"/>
          <w:szCs w:val="18"/>
          <w:color w:val="auto"/>
        </w:rPr>
        <w:tab/>
      </w:r>
      <w:hyperlink w:anchor="page34">
        <w:r>
          <w:rPr>
            <w:rFonts w:ascii="Arial" w:cs="Arial" w:eastAsia="Arial" w:hAnsi="Arial"/>
            <w:sz w:val="15"/>
            <w:szCs w:val="15"/>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2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 - OTHER INFORMATION</w:t>
        </w:r>
      </w:hyperlink>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p>
      <w:pPr>
        <w:spacing w:after="0" w:line="104" w:lineRule="exact"/>
        <w:rPr>
          <w:sz w:val="20"/>
          <w:szCs w:val="20"/>
          <w:color w:val="auto"/>
        </w:rPr>
      </w:pPr>
    </w:p>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p>
      <w:pPr>
        <w:spacing w:after="0" w:line="117" w:lineRule="exact"/>
        <w:rPr>
          <w:sz w:val="20"/>
          <w:szCs w:val="20"/>
          <w:color w:val="auto"/>
        </w:rPr>
      </w:pPr>
    </w:p>
    <w:p>
      <w:pPr>
        <w:ind w:left="40"/>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p>
      <w:pPr>
        <w:spacing w:after="0" w:line="23" w:lineRule="exact"/>
        <w:rPr>
          <w:sz w:val="20"/>
          <w:szCs w:val="20"/>
          <w:color w:val="auto"/>
        </w:rPr>
      </w:pPr>
    </w:p>
    <w:p>
      <w:pPr>
        <w:ind w:left="40"/>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p>
      <w:pPr>
        <w:spacing w:after="0" w:line="103" w:lineRule="exact"/>
        <w:rPr>
          <w:sz w:val="20"/>
          <w:szCs w:val="20"/>
          <w:color w:val="auto"/>
        </w:rPr>
      </w:pPr>
    </w:p>
    <w:p>
      <w:pPr>
        <w:ind w:left="40"/>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p>
      <w:pPr>
        <w:spacing w:after="0" w:line="117" w:lineRule="exact"/>
        <w:rPr>
          <w:sz w:val="20"/>
          <w:szCs w:val="20"/>
          <w:color w:val="auto"/>
        </w:rPr>
      </w:pPr>
    </w:p>
    <w:p>
      <w:pPr>
        <w:ind w:left="40"/>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p>
      <w:pPr>
        <w:spacing w:after="0" w:line="23" w:lineRule="exact"/>
        <w:rPr>
          <w:sz w:val="20"/>
          <w:szCs w:val="20"/>
          <w:color w:val="auto"/>
        </w:rPr>
      </w:pPr>
    </w:p>
    <w:p>
      <w:pPr>
        <w:spacing w:after="0"/>
        <w:rPr>
          <w:rFonts w:ascii="Arial" w:cs="Arial" w:eastAsia="Arial" w:hAnsi="Arial"/>
          <w:sz w:val="16"/>
          <w:szCs w:val="16"/>
          <w:color w:val="auto"/>
        </w:rPr>
      </w:pPr>
      <w:hyperlink w:anchor="page24">
        <w:r>
          <w:rPr>
            <w:rFonts w:ascii="Arial" w:cs="Arial" w:eastAsia="Arial" w:hAnsi="Arial"/>
            <w:sz w:val="16"/>
            <w:szCs w:val="16"/>
            <w:color w:val="auto"/>
          </w:rPr>
          <w:t>25</w:t>
        </w:r>
      </w:hyperlink>
    </w:p>
    <w:p>
      <w:pPr>
        <w:spacing w:after="0" w:line="46" w:lineRule="exact"/>
        <w:rPr>
          <w:sz w:val="20"/>
          <w:szCs w:val="20"/>
          <w:color w:val="auto"/>
        </w:rPr>
      </w:pPr>
    </w:p>
    <w:p>
      <w:pPr>
        <w:spacing w:after="0"/>
        <w:rPr>
          <w:rFonts w:ascii="Arial" w:cs="Arial" w:eastAsia="Arial" w:hAnsi="Arial"/>
          <w:sz w:val="16"/>
          <w:szCs w:val="16"/>
          <w:color w:val="auto"/>
        </w:rPr>
      </w:pPr>
      <w:hyperlink w:anchor="page33">
        <w:r>
          <w:rPr>
            <w:rFonts w:ascii="Arial" w:cs="Arial" w:eastAsia="Arial" w:hAnsi="Arial"/>
            <w:sz w:val="16"/>
            <w:szCs w:val="16"/>
            <w:color w:val="auto"/>
          </w:rPr>
          <w:t>33</w:t>
        </w:r>
      </w:hyperlink>
    </w:p>
    <w:p>
      <w:pPr>
        <w:spacing w:after="0" w:line="46" w:lineRule="exact"/>
        <w:rPr>
          <w:sz w:val="20"/>
          <w:szCs w:val="20"/>
          <w:color w:val="auto"/>
        </w:rPr>
      </w:pPr>
    </w:p>
    <w:p>
      <w:pPr>
        <w:spacing w:after="0"/>
        <w:rPr>
          <w:rFonts w:ascii="Arial" w:cs="Arial" w:eastAsia="Arial" w:hAnsi="Arial"/>
          <w:sz w:val="16"/>
          <w:szCs w:val="16"/>
          <w:color w:val="auto"/>
        </w:rPr>
      </w:pPr>
      <w:hyperlink w:anchor="page34">
        <w:r>
          <w:rPr>
            <w:rFonts w:ascii="Arial" w:cs="Arial" w:eastAsia="Arial" w:hAnsi="Arial"/>
            <w:sz w:val="16"/>
            <w:szCs w:val="16"/>
            <w:color w:val="auto"/>
          </w:rPr>
          <w:t>34</w:t>
        </w:r>
      </w:hyperlink>
    </w:p>
    <w:p>
      <w:pPr>
        <w:spacing w:after="0" w:line="257" w:lineRule="exact"/>
        <w:rPr>
          <w:sz w:val="20"/>
          <w:szCs w:val="20"/>
          <w:color w:val="auto"/>
        </w:rPr>
      </w:pPr>
    </w:p>
    <w:p>
      <w:pPr>
        <w:sectPr>
          <w:pgSz w:w="11900" w:h="16838" w:orient="portrait"/>
          <w:cols w:equalWidth="0" w:num="2">
            <w:col w:w="9840" w:space="720"/>
            <w:col w:w="66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6880" w:type="dxa"/>
            <w:vAlign w:val="bottom"/>
            <w:gridSpan w:val="9"/>
          </w:tcPr>
          <w:p>
            <w:pPr>
              <w:ind w:left="60"/>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3140" w:type="dxa"/>
            <w:vAlign w:val="bottom"/>
          </w:tcPr>
          <w:p>
            <w:pPr>
              <w:jc w:val="right"/>
              <w:ind w:right="390"/>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6880" w:type="dxa"/>
            <w:vAlign w:val="bottom"/>
            <w:gridSpan w:val="9"/>
            <w:shd w:val="clear" w:color="auto" w:fill="CCEEFF"/>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314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6880" w:type="dxa"/>
            <w:vAlign w:val="bottom"/>
            <w:gridSpan w:val="9"/>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3140" w:type="dxa"/>
            <w:vAlign w:val="bottom"/>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6880" w:type="dxa"/>
            <w:vAlign w:val="bottom"/>
            <w:gridSpan w:val="9"/>
            <w:shd w:val="clear" w:color="auto" w:fill="CCEEFF"/>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314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6880" w:type="dxa"/>
            <w:vAlign w:val="bottom"/>
            <w:gridSpan w:val="9"/>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3140" w:type="dxa"/>
            <w:vAlign w:val="bottom"/>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6880" w:type="dxa"/>
            <w:vAlign w:val="bottom"/>
            <w:gridSpan w:val="9"/>
            <w:shd w:val="clear" w:color="auto" w:fill="CCEEFF"/>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314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6.</w:t>
              </w:r>
            </w:hyperlink>
          </w:p>
        </w:tc>
        <w:tc>
          <w:tcPr>
            <w:tcW w:w="6880" w:type="dxa"/>
            <w:vAlign w:val="bottom"/>
            <w:gridSpan w:val="9"/>
          </w:tcPr>
          <w:p>
            <w:pPr>
              <w:ind w:left="6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3140" w:type="dxa"/>
            <w:vAlign w:val="bottom"/>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line="189"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SIGNATURES</w:t>
              </w:r>
            </w:hyperlink>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314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00" w:type="dxa"/>
            <w:vAlign w:val="bottom"/>
          </w:tcPr>
          <w:p>
            <w:pPr>
              <w:spacing w:after="0"/>
              <w:rPr>
                <w:sz w:val="24"/>
                <w:szCs w:val="24"/>
                <w:color w:val="auto"/>
              </w:rPr>
            </w:pPr>
          </w:p>
        </w:tc>
        <w:tc>
          <w:tcPr>
            <w:tcW w:w="226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9"/>
              </w:rPr>
              <w:t>TELOS CORPORATION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gridSpan w:val="9"/>
          </w:tcPr>
          <w:p>
            <w:pPr>
              <w:jc w:val="center"/>
              <w:ind w:left="26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88"/>
              </w:rPr>
              <w:t>(amounts in thousands, except per share data)</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7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80,044</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 Services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sales - Products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57,774</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4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Telos Corporation</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0"/>
              </w:rPr>
              <w:t>Net (loss) income per share attributable to Telos Corporation, basic</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Telos Corporation,</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48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Weighted-average shares of common stock outstanding, basic</w:t>
            </w: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66,616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38,583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65,621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38,328</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Weighted-average shares of common stock outstanding, diluted</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Less: Comprehensive income attributable to non-controlling</w:t>
            </w:r>
          </w:p>
        </w:tc>
        <w:tc>
          <w:tcPr>
            <w:tcW w:w="2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Comprehensive (loss) income attributable to Telos Corporation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8"/>
        </w:trPr>
        <w:tc>
          <w:tcPr>
            <w:tcW w:w="804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Accounts receivable, net of reserve of $122 and $308, respectively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 of obsolescence reserve of $865 and $851, respectively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178,403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144,114</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Property and equipment, including capitalized software development costs, net of accumulated depreciation</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24,725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22,397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amortization of $38,867 and $36,891, respectively</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21,036</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obligations – short-term</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Operating lease obligations – short-term</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38,946</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Finance lease obligations – long-term</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56,713</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Common stock, $0.001 par value, 250,000,000 shares authorized, 66,755,230 shares and 64,625,071</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as of June 30, 2021 and December 31, 2020, respectively</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341,928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23"/>
        </w:trPr>
        <w:tc>
          <w:tcPr>
            <w:tcW w:w="804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220,094</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183,817</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Adjustments to reconcile net (loss) income to cash (used in) provided by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1000"/>
              <w:spacing w:after="0"/>
              <w:rPr>
                <w:sz w:val="20"/>
                <w:szCs w:val="20"/>
                <w:color w:val="auto"/>
              </w:rPr>
            </w:pPr>
            <w:r>
              <w:rPr>
                <w:rFonts w:ascii="Arial" w:cs="Arial" w:eastAsia="Arial" w:hAnsi="Arial"/>
                <w:sz w:val="18"/>
                <w:szCs w:val="18"/>
                <w:color w:val="auto"/>
              </w:rPr>
              <w:t>Dividends from preferred stock recorded as interest expense</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9"/>
        </w:trPr>
        <w:tc>
          <w:tcPr>
            <w:tcW w:w="8040" w:type="dxa"/>
            <w:vAlign w:val="bottom"/>
          </w:tcPr>
          <w:p>
            <w:pPr>
              <w:ind w:left="100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Deferred income tax provision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040" w:type="dxa"/>
            <w:vAlign w:val="bottom"/>
          </w:tcPr>
          <w:p>
            <w:pPr>
              <w:ind w:left="100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noncash items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Changes in other operating assets and liabilities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(used in)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7"/>
        </w:trPr>
        <w:tc>
          <w:tcPr>
            <w:tcW w:w="8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issuance of common stock, net of issuance costs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Repurchase of outstanding warrants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Payments under finance lease obligations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Amendment fee paid to lender</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Distributions to Telos ID Class B member - non-controlling interest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7"/>
        </w:trPr>
        <w:tc>
          <w:tcPr>
            <w:tcW w:w="8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80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800"/>
              <w:spacing w:after="0"/>
              <w:rPr>
                <w:sz w:val="20"/>
                <w:szCs w:val="20"/>
                <w:color w:val="auto"/>
              </w:rPr>
            </w:pPr>
            <w:r>
              <w:rPr>
                <w:rFonts w:ascii="Arial" w:cs="Arial" w:eastAsia="Arial" w:hAnsi="Arial"/>
                <w:sz w:val="18"/>
                <w:szCs w:val="18"/>
                <w:color w:val="auto"/>
              </w:rPr>
              <w:t>Dividends from preferred stock recorded as interest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Non-Controlling</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8" w:lineRule="exact"/>
              <w:rPr>
                <w:sz w:val="20"/>
                <w:szCs w:val="20"/>
                <w:color w:val="auto"/>
              </w:rPr>
            </w:pPr>
            <w:r>
              <w:rPr>
                <w:rFonts w:ascii="Arial" w:cs="Arial" w:eastAsia="Arial" w:hAnsi="Arial"/>
                <w:sz w:val="18"/>
                <w:szCs w:val="18"/>
                <w:b w:val="1"/>
                <w:bCs w:val="1"/>
                <w:color w:val="auto"/>
                <w:w w:val="98"/>
              </w:rPr>
              <w:t>For the Three Months Ended June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125,964</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Foreign currency translation gain</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Repurchase of outstanding warrants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(177,350)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164,700</w:t>
            </w: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line="182" w:lineRule="exact"/>
              <w:rPr>
                <w:sz w:val="20"/>
                <w:szCs w:val="20"/>
                <w:color w:val="auto"/>
              </w:rPr>
            </w:pPr>
            <w:r>
              <w:rPr>
                <w:rFonts w:ascii="Arial" w:cs="Arial" w:eastAsia="Arial" w:hAnsi="Arial"/>
                <w:sz w:val="18"/>
                <w:szCs w:val="18"/>
                <w:b w:val="1"/>
                <w:bCs w:val="1"/>
                <w:color w:val="auto"/>
                <w:w w:val="98"/>
              </w:rPr>
              <w:t>For the Three Months Ended June 30,</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1"/>
              </w:rPr>
              <w:t>For the Six Months Ended June 30, 2021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(33,507)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Repurchase of outstanding warrants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(177,350)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164,700</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1"/>
              </w:rPr>
              <w:t>For the Six Months Ended June 30, 2020</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also have a 100% ownership interest in Telos Identity Management Solutions, LLC (“Telos ID”), Teloworks, Inc. (“Teloworks”) and Telos APAC Pte. Ltd. (“Telos APAC”).</w:t>
      </w:r>
    </w:p>
    <w:p>
      <w:pPr>
        <w:spacing w:after="0" w:line="15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condensed consolidated financial statements and notes to the condensed consolidated financial statements give retroactive effect to the reverse stock split for all periods presented.</w:t>
      </w:r>
    </w:p>
    <w:p>
      <w:pPr>
        <w:spacing w:after="0" w:line="12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December 2019, an outbreak of COVID-19 was reported in Wuhan, China. On March 11, 2020, the World Health Organization declared COVID-19 a global pandemic and on March 13, 2020, President Donald J. Trump declared the virus a national emergency. This highly contagious disease has spread to most of the countries in the world and throughout the United States, creating a serious impact on customers, workforces, and suppliers, disrupting economies and financial markets, and leading to a world-wide economic downturn. COVID-19, together with subsequently reported variants of this strain, have caused a disruption of the normal operations of many businesses, including the temporary closure or scale-back of business operations and/or the imposition of either quarantine or remote work or meeting requirements for employees, either by government order or on a voluntary basis. The pandemic may adversely affect our customers’ ability to perform their missions and is in many cases disrupting their operations.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 imposed limitations and using various technologies to perform their functions. We could see delays or changes in customer demand, particularly if government funding priorities change. Additionally, the disruption and volatility in the global and domestic capital markets may increase the cost of capital and limit our ability to access capital. Both the health and economic aspects of COVID-19 are highly fluid and the future course of each is uncertain.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November 19, 2020, we completed our initial public offering ("IPO")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 We intend to use the remaining net proceeds for general corporate purposes. We also may use a portion of the net proceeds to acquire complementary businesses, products, services, or technologies. The amounts and timing of our actual use of the net proceeds will vary depending on numerous factors.</w:t>
      </w:r>
    </w:p>
    <w:p>
      <w:pPr>
        <w:spacing w:after="0" w:line="208"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On April 6, 2021, we completed our follow-on offering of 9.1 million shares of our common stock at a price of $33.00 per share, including 7.0 million shares of common stock held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for the warrants to purchase 900,970 shares of our common stock owned by certain affiliates of Enlightenment Capital Solutions ("EnCap"). We intend to use the remaining net proceeds for general corporate purposes, including working capital, sales and marketing activities, research and development, general and administrative matters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Reporting</w:t>
      </w:r>
    </w:p>
    <w:p>
      <w:pPr>
        <w:spacing w:after="0" w:line="225" w:lineRule="exact"/>
        <w:rPr>
          <w:sz w:val="20"/>
          <w:szCs w:val="20"/>
          <w:color w:val="auto"/>
        </w:rPr>
      </w:pPr>
    </w:p>
    <w:p>
      <w:pPr>
        <w:ind w:right="260" w:firstLine="324"/>
        <w:spacing w:after="0" w:line="246" w:lineRule="auto"/>
        <w:rPr>
          <w:sz w:val="20"/>
          <w:szCs w:val="20"/>
          <w:color w:val="auto"/>
        </w:rPr>
      </w:pPr>
      <w:r>
        <w:rPr>
          <w:rFonts w:ascii="Arial" w:cs="Arial" w:eastAsia="Arial" w:hAnsi="Arial"/>
          <w:sz w:val="18"/>
          <w:szCs w:val="18"/>
          <w:color w:val="auto"/>
        </w:rPr>
        <w:t>The accompanying condensed consolidated financial statements include the accounts of Telos and its wholly-owned subsidiaries. All intercompany transactions have been eliminated in consolidation.</w:t>
      </w:r>
    </w:p>
    <w:p>
      <w:pPr>
        <w:spacing w:after="0" w:line="14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condensed consolidated financial statements for the three and six months ended June 30, 2021 and 2020 have been prepared in accordance with accounting principles generally accepted in the United States of America (“GAAP”) and pursuant to rules and regulations of the Securities and Exchange Commission (“SEC”). The presented interim results are not necessarily indicative of fiscal year performance for a variety of reasons including, but not limited to, the impact of seasonal and short-term variations. We have continued to follow the accounting policies (including the critical accounting policies) set forth in the consolidated financial statements included in our 2020 Annual Report on Form 10-K filed with the SEC. These condensed consolidated financial statements should be read in conjunction with the consolidated financial statements and notes thereto included in our Annual Report on Form 10-K for the fiscal year ended December 31, 2020.</w:t>
      </w:r>
    </w:p>
    <w:p>
      <w:pPr>
        <w:spacing w:after="0" w:line="150"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In preparing these condensed consolidated financial statements, we have evaluated subsequent events through the date that these condensed consolidated financial statements were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or decision making group, in deciding how to allocate resources and assess performance. We currently operate in one operating and reportable business segment for financial reporting purposes. Our Chief Executive Officer is the CODM. The CODM only evaluates profitability based on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December 2019, the Financial Accounting Standard Board (“FASB”) issued Accounting Standards Update ("ASU”) No. 2019-12, “Simplifying the Accounting for Income Taxes (Topic 740)”, which simplifies the accounting for income taxes by removing certain exceptions to the general principles in Topic 740. The ASU also clarifies and amends existing guidance to improve consistent application. This standard is effective for reporting periods beginning after December 15, 2020, which made this standard effective for us on January 1, 2021. The adoption of this ASU did not have a material impact on our condensed consolidated financial position, results of operations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account for revenue in accordance with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to each performance obligation based on our best estimate of standalone selling price.</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majority of our revenue is recognized over time, as control is transferred continuously to our customers who receive and consume benefits as we perform, and is classified as services revenue. All of our business groups earn services revenue under a variety of contract types, including time and materials, firm-fixed price, firm fixed price level of effort, and cost plus fixed fee contract types, which may include variable consideration as discussed further below.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Federal Acquisition Regulation (the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that is recognized at a point in time is for the sale of software licenses in our Information Assurance / Xacta® (previously referred to as Cyber</w:t>
      </w:r>
    </w:p>
    <w:p>
      <w:pPr>
        <w:spacing w:after="0" w:line="46" w:lineRule="exact"/>
        <w:rPr>
          <w:sz w:val="20"/>
          <w:szCs w:val="20"/>
          <w:color w:val="auto"/>
        </w:rPr>
      </w:pPr>
    </w:p>
    <w:p>
      <w:pPr>
        <w:ind w:right="100" w:firstLine="8"/>
        <w:spacing w:after="0" w:line="268"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Cloud Solutions) and Secure Communications (previously referred to as Secure Communications Cyber and Enterprise Solutions) business groups and for the sale of resold products in Telos ID (previously referred to as Telos ID Enterprise Solutions) and Secure Networks (previously referred to as Secure Mobility and Network Management/Defense Enterprise Solutions), and is classified as product revenue.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using our best estimate of standalone selling price.</w:t>
      </w:r>
    </w:p>
    <w:p>
      <w:pPr>
        <w:spacing w:after="0" w:line="143"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4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51"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17"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Contract assets are amounts that are invoiced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condensed consolidated balance sheets.</w:t>
      </w:r>
    </w:p>
    <w:p>
      <w:pPr>
        <w:spacing w:after="0" w:line="10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Billed receivables are amounts billed and due from our customers and are reported within accounts receivable, net of reserve on the condensed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2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w:t>
      </w:r>
    </w:p>
    <w:p>
      <w:pPr>
        <w:spacing w:after="0" w:line="13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have one reportable segment. We treat sales to U.S. customers as sales within the U.S. regardless of where the services are performed. Substantially all of our revenues are from U.S. customers as revenue derived from international customers is not currently meaningful. The following tables disclose revenue (in thousands) by customer type and contract type for the three and six months ended June 30, 2021 and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50,047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46,877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82,968</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&amp; Local, and Commercial</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52,559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48,610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Firm fixed-price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Time-and-materials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plus fixed fee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29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8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41,935</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94,398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73,596</w:t>
            </w:r>
          </w:p>
        </w:tc>
      </w:tr>
      <w:tr>
        <w:trPr>
          <w:trHeight w:val="229"/>
        </w:trPr>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-633730</wp:posOffset>
            </wp:positionV>
            <wp:extent cx="70548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-334010</wp:posOffset>
            </wp:positionV>
            <wp:extent cx="70548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00"/>
          </w:cols>
          <w:pgMar w:left="320" w:top="12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66"/>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The following table discloses accounts receivable and contract assets (in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2020</w:t>
            </w:r>
          </w:p>
        </w:tc>
      </w:tr>
      <w:tr>
        <w:trPr>
          <w:trHeight w:val="223"/>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Billed 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19,161</w:t>
            </w: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Receivables –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39,412</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30,913</w:t>
            </w:r>
          </w:p>
        </w:tc>
      </w:tr>
      <w:tr>
        <w:trPr>
          <w:trHeight w:val="20"/>
        </w:trPr>
        <w:tc>
          <w:tcPr>
            <w:tcW w:w="12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As of June 30, 2021 and December 31, 2020, we had $152.7 million and $127.7 million of remaining performance obligations, respectively, which we also refer to as funded backlog. We expect to recognize approximately 68.9% of our remaining performance obligations as revenue in 2021, an additional 26.6% in 2022, and the balance thereafter. Revenue recognized for the three and six months ended June 30, 2021 that was included in the contract liabilities balance at the beginning of each reporting period was $1.2 million and $3.2 million, respectively. Revenue recognized for the three and six months ended June 30, 2020 that was included in the contract liabilities balance at the beginning of each reporting period was $1.1 million and</w:t>
      </w:r>
    </w:p>
    <w:p>
      <w:pPr>
        <w:spacing w:after="0" w:line="2" w:lineRule="exact"/>
        <w:rPr>
          <w:sz w:val="20"/>
          <w:szCs w:val="20"/>
          <w:color w:val="auto"/>
        </w:rPr>
      </w:pPr>
    </w:p>
    <w:p>
      <w:pPr>
        <w:ind w:right="1220"/>
        <w:spacing w:after="0" w:line="453" w:lineRule="auto"/>
        <w:rPr>
          <w:sz w:val="20"/>
          <w:szCs w:val="20"/>
          <w:color w:val="auto"/>
        </w:rPr>
      </w:pPr>
      <w:r>
        <w:rPr>
          <w:rFonts w:ascii="Arial" w:cs="Arial" w:eastAsia="Arial" w:hAnsi="Arial"/>
          <w:sz w:val="18"/>
          <w:szCs w:val="18"/>
          <w:color w:val="auto"/>
        </w:rPr>
        <w:t xml:space="preserve">$3.5 million, respectively. Contract liabilities were $5.9 million and $5.7 million as of June 30, 2021 and December 31, 2020, respectively. </w:t>
      </w:r>
      <w:r>
        <w:rPr>
          <w:rFonts w:ascii="Arial" w:cs="Arial" w:eastAsia="Arial" w:hAnsi="Arial"/>
          <w:sz w:val="18"/>
          <w:szCs w:val="18"/>
          <w:b w:val="1"/>
          <w:bCs w:val="1"/>
          <w:color w:val="auto"/>
        </w:rPr>
        <w:t>Accounts Receivable</w:t>
      </w:r>
    </w:p>
    <w:p>
      <w:pPr>
        <w:spacing w:after="0" w:line="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Accounts receivable are stated at the invoiced amount, less an allowance for doubtful accounts. Collectability of accounts receivable is regularly reviewed based upon management’s knowledge of the specific circumstances related to overdue balances. The allowance for doubtful accounts is adjusted based on such evaluation. Accounts receivable balances are written off against the allowance when management deems the balances uncollectible.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Inventories are stated at the lower of cost or net realizable value, where cost is determined using the weighted average method. Substantially all inventories consist of purchased off-the-shelf hardware and software, and component computer parts used in connection with system integration services that we perform. An allowance for obsolete, slow-moving or nonsaleable inventory is provided for all other inventories. This allowance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 Gross inventory was $2.6 million and $4.2 million as of June 30, 2021 and December 31, 2020, respectively. As of June 30, 2021, it is management’s judgment that we have fully provided for any potential inventory obsolescence, which was $0.9 million as of June 30, 2021 and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policy on accounting for development costs of software to be sold is in accordance with ASC Topic 985-20, “Software – Costs of Software to be Sold, Leased, or Marketed” and ASC Topic 350-40 “Internal Use Software” in so far as our Xacta products being available in various deployment modalities including on premises licenses and cloud-based Software as a Service (“SaaS”). Under both standards, software development costs are expensed as incurred until technological feasibility is reached, at which time additional costs are capitalized until the product is available for general release to customers or is ready for its intended use, as appropriate. Technological feasibility is established when all planning, designing, coding and testing activities have been completed, and all risks have been identified. Software development costs are capitalized and amortized over the estimated product life of 2 years on a straight-line basis. As of June 30, 2021 and December 31, 2020, we capitalized $16.0 million and $12.3 million of software development costs, respectively, which are included as a part of property and equipment. Amortization expense was $0.5 million and $0.9 million for the three and six months ended June 30, 2021, respectively, and $0.4 million and $0.9 million for the three and six months ended June 30, 2020, respectively. Accumulated amortization was $5.7 million and $4.8 million as of June 30, 2021 and December 31, 2020, respectively. The Company analyzes the net realizable value of capitalized software development costs on at least an annual basis and has determined that there is no indication of impairment of the capitalized software development costs as forecasted future sales are adequate to support the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 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w:t>
      </w:r>
    </w:p>
    <w:p>
      <w:pPr>
        <w:spacing w:after="0" w:line="12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condensed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provision for income taxes in interim periods is computed by applying the estimated annual effective tax rate against earnings before income tax expense for the period. In addition, non-recurring or discrete items are recorded during the period in which they occur.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evaluate the impairment of goodwill in accordance with ASC 350, “Intangibles - Goodwill and Other,” which requires goodwill and indefinite-lived intangible assets to be assessed on at least an annual basis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the result of an acquisition, we record any excess purchase price over the net tangible and identifiable intangible assets acquired as goodwill. An allocation of the purchase price to tangible and intangible net assets acquired is based upon our valuation of the acquired assets. Goodwill is not amortized, but is subject to annual impairment tests. We complete our goodwill impairment test as of December 31st each year. Additionally, we make evaluations between annual tests if events occur or circumstances change that would more likely than not reduce the fair value of a reporting unit below its carrying amount.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is amortized and deducted over a 15-year period for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Under our 2016 Omnibus Long-Term Incentive Plan, as amended (the “2016 LTIP”), we have the ability to award restricted stock units with time-based vesting (“Service-Based RSUs”), and restricted stock units with performance-based vesting (“Performance-Based RSUs”) to senior executives, directors, employees and other eligible service providers. Under the 2016 LTIP, our Board of Directors or, by designation of authority, the Compensation Committee of our Board of Directors has the discretion to establish the terms, conditions and criteria of the various awards, including the weighing and vesting schedule of Service-Based RSU and the performance conditions applicable to the Performance-Based RSUs, including the achievement of certain financial performance criteria or price targets for our common stock. Upon vesting, Service-Based RSUs and Performance-Based RSUs will be settled in the Company’s common stock.</w:t>
      </w:r>
    </w:p>
    <w:p>
      <w:pPr>
        <w:spacing w:after="0" w:line="168" w:lineRule="exact"/>
        <w:rPr>
          <w:sz w:val="20"/>
          <w:szCs w:val="20"/>
          <w:color w:val="auto"/>
        </w:rPr>
      </w:pPr>
    </w:p>
    <w:p>
      <w:pPr>
        <w:ind w:left="340" w:right="18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Service-Based RSUs </w:t>
      </w:r>
      <w:r>
        <w:rPr>
          <w:rFonts w:ascii="Arial" w:cs="Arial" w:eastAsia="Arial" w:hAnsi="Arial"/>
          <w:sz w:val="18"/>
          <w:szCs w:val="18"/>
          <w:color w:val="auto"/>
        </w:rPr>
        <w:t>granted to eligible employees as an incentive generally vest in equal installments over two to three years from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Service-Based RSUs granted to senior executives in 2021 vest in three annual installments from the date of grant, with 30% vesting on the first and second anniversaries and 40% vesting on the third anniversary. The grant date fair value per share is equal to the closing stock price on the date of grant.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right="20" w:hanging="332"/>
        <w:spacing w:after="0" w:line="272"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Performance-Based RSUs </w:t>
      </w:r>
      <w:r>
        <w:rPr>
          <w:rFonts w:ascii="Arial" w:cs="Arial" w:eastAsia="Arial" w:hAnsi="Arial"/>
          <w:sz w:val="17"/>
          <w:szCs w:val="17"/>
          <w:color w:val="auto"/>
        </w:rPr>
        <w:t>may vest upon the achievement of a defined performance target or at the end of the defined performance period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whichever initially occurs. The grant date fair value per share of these Performance-Based RSUs is equal to the closing stock price on the date of the grant. Performance-Based RSUs may vest upon the achievement of certain price targets for the Company’s common stock anytime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15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recognize these share-based payment transactions when services from the employees are received and recognize a corresponding increase in additional paid-in capital in our condensed consolidated balance sheets.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Compensation expense for awards with performance conditions capable of being earned for satisfying the performance condition or as a result of completing a service requirement will be recognized ratably over the requisite service period for the entire award.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even if the market conditions is never achieved. We recognize forfeitures of share-based compensation awards as they occur. Share-based compensation expense is recognized as part of cost of sales and general and administrative expenses in our condensed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8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restricted common stock units and common stock warrants.</w:t>
      </w:r>
    </w:p>
    <w:p>
      <w:pPr>
        <w:spacing w:after="0" w:line="16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earnings (loss) per share because to do so would be anti-dilutive. Potentially dilutive securities are as follows (in common stock equivalent shares,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and restricted stock units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 exercisable at $1.665/sh.</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961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0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functional currency is the U.S. Dollar. For one of our wholly 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(deficit) as a component of 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included within stockholders’ equity (deficit)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2020</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actuarial gain on pension liability adjustment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Non-controlling Interests / Purchase of Telos ID</w:t>
      </w:r>
    </w:p>
    <w:p>
      <w:pPr>
        <w:spacing w:after="0" w:line="18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On April 11, 2007, Telos ID was formed as a limited liability company under the Delaware Limited Liability Company Act. We contributed substantially all of the assets of our Telos ID Enterprise business line and assigned our rights to perform under our U.S. Government contract with the Defense Manpower Data Center (“DMDC”) to Telos ID at their stated book values. The net book value of assets we contributed totaled $17,000. Until April 19, 2007, we owned 99.999% of the membership interests of Telos ID and Hoya ID Funds A, LLC ("Hoya") owned 0.001% of the membership interests of Telos ID. On April 20, 2007, we sold an additional 39.999% of the membership interests to Hoya in exchange for $6 million in cash consideration. As a result, we owned 60% of Telos ID, and therefore continued to account for the investment in Telos ID using the consolidation method.</w:t>
      </w:r>
    </w:p>
    <w:p>
      <w:pPr>
        <w:spacing w:after="0" w:line="1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December 24, 2014, Hoya acquired from the Company an additional ten percent (10%) membership interest in Telos ID in exchange for $5 million (the “2014 Transaction”). In connection with the 2014 Transaction, the Company and Hoya entered into the Second Amended and Restated Operating Agreement (the “Operating Agreement”) governing the business, allocation of profits and losses and management of Telos ID. Under the Operating Agreement, Telos ID was managed by a board of directors comprised of five (5) members (the “Telos ID Board”). The Company owned 50% of Telos ID, was entitled to receive 50% of the profits of Telos ID, and could appoint three (3) members of the Telos ID Board. Hoya owned 50% of Telos ID, was entitled to receive 50% of the profits of Telos ID, and could appoint two (2) members of the Telos ID Board.</w:t>
      </w:r>
    </w:p>
    <w:p>
      <w:pPr>
        <w:spacing w:after="0" w:line="151"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As a result of the 2014 Transaction, each of the members owned 50% of Telos ID, as mentioned above, and as such each was allocated 50% of the profits, which was $2.8 million and $3.6 million for the three and six months ended June 30, 2020, respectively. Hoya held the non-controlling interest.</w:t>
      </w:r>
    </w:p>
    <w:p>
      <w:pPr>
        <w:spacing w:after="0" w:line="8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October 5, 2020, we entered into a Membership Interest Purchase Agreement between the Company and Hoya to purchase all of the Class B Units of Telos ID owned by Hoya (the “Telos ID Purchase”). Upon the closing of the Telos ID Purchase, Telos ID became our wholly owned subsidiary. On November 23, 2020, the Telos ID Purchase was consummated with the Company transferring $30.0 million in cash and issuing 7,278,040 shares of our common stock at $20.39 per share (which totals approximately $148.4 million); the total consideration transferred to Hoya was $178.4 million. As part of the common stock issuance, the Company recognized an increase to additional paid-in capital (“APIC”) of $148.4 million. The Company further recognized a reduction to APIC of $173.9 million as part of the elimination of Hoya’s non-controlling interest in Telos ID. The net impact to APIC associated with the acquisition of the additional 50% interest in Telos ID was a reduction of $25.5 million.</w:t>
      </w:r>
    </w:p>
    <w:p>
      <w:pPr>
        <w:spacing w:after="0" w:line="1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Distributions were made to the members only when and to the extent determined by Telos ID’s Board of Directors, in accordance with the Operating Agreement. Hoya received a final distribution of $2.4 million in January 2021, which was accrued and presented in accounts payable and other accrued liabilities in the condensed consolidated balance sheets as of December 31, 2020. Hoya received a total distribution of $1.0 million during the three and six months ended June 30,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8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goodwill balance was $14.9 million as of June 30, 2021 and December 31, 2020. Goodwill is subject to annual impairment tests and if triggering events are present in the interim before the annual tests, we will assess impairment. For the three and six months ended June 30, 2021 and 2020, no impairment charges were taken.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202" w:lineRule="exact"/>
        <w:rPr>
          <w:sz w:val="20"/>
          <w:szCs w:val="20"/>
          <w:color w:val="auto"/>
        </w:rPr>
      </w:pPr>
    </w:p>
    <w:p>
      <w:pPr>
        <w:ind w:right="700" w:firstLine="324"/>
        <w:spacing w:after="0" w:line="26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financial instruments using a three-tiered approach. The statement requires fair value measurement to be classified and disclosed in one of the following categories: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and liabilities;</w:t>
      </w:r>
    </w:p>
    <w:p>
      <w:pPr>
        <w:spacing w:after="0" w:line="19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or</w:t>
      </w:r>
    </w:p>
    <w:p>
      <w:pPr>
        <w:spacing w:after="0" w:line="14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of June 30, 2021 and December 31, 2020, we did not have any financial instruments with significant Level 3 inputs and we did not have any financial instruments that are measured at fair value on a recurring basis.</w:t>
      </w:r>
    </w:p>
    <w:p>
      <w:pPr>
        <w:spacing w:after="0" w:line="13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Current Liabilities and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Accrued Liabilities</w:t>
      </w:r>
    </w:p>
    <w:p>
      <w:pPr>
        <w:spacing w:after="0" w:line="18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Accounts payable and other accrued liabilities consisted of trade accounts payable and accrued liabilities. As of June 30, 2021 and December 31, 2020, the trade accounts payable were $17.8 million and $14.7 million, respectively; while accrued liabilities were $3.2 million and $6.2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 As of June 30, 2021 and December 31, 2020, the contract liabilities primarily related to product support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Enlightenment Capital Credit Agreement</w:t>
      </w:r>
    </w:p>
    <w:p>
      <w:pPr>
        <w:spacing w:after="0" w:line="19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January 25, 2017, we entered into a Credit Agreement (the "Credit Agreement") with Enlightenment Capital Solutions Fund II, L.P., as agent (the "Agent") and the lenders party thereto (the "Lenders"), (together referenced as “EnCap”). The Credit Agreement provides for an $11 million senior term loan (the "Loan") with a maturity date of January 25, 2022, subject to acceleration in the event of customary events of default. All borrowings under the Credit Agreement accrue interest at the rate of 13.0% per annum (the "Accrual Rate").</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Credit Agreement, on January 25, 2017, the Company issued warrants (each, a "Warrant") to the Agent and certain of the Lenders representing in the aggregate the right to purchase in accordance with their terms 900,970 shares of the Class A Common Stock of the Company, no par value per share, which is equivalent to approximately 2.5% of the common equity interests of the Company on a fully diluted basis on the date of grant. The exercise price was $1.665 per share. The value of the warrants was determined to be de minimis and no value was allocated to them on a relative fair value basis in accounting for the debt instrument.</w:t>
      </w:r>
    </w:p>
    <w:p>
      <w:pPr>
        <w:spacing w:after="0" w:line="14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Credit Agreement also included an $825,000 exit fee, which was payable upon any repayment or prepayment of the loan. This amount had been included in the total principal due and treated as an unamortized discount on the debt, which would be amortized over the term of the loan, using the effective interest method at a rate of 15.0% at the time of the original loan. We incurred fees and transaction costs of approximately $374,000 related to the issuance of the Credit Agreement, which were amortized over the life of the Credit Agreement.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March 30, 2018, the Credit Agreement was amended (the “Third Amendment”) to add a minimum revenue covenant and a net working capital covenant were added. In consideration of these amendments, the interest rate on the loan was increased by 1% which will revert back to the original rate upon achievement of two consecutive quarters of a specified fixed charge coverage ratio as defined in the agreement. The increase in interest expense has been paid in cash. Contemporaneously with the Third Amendment, Mr. John B. Wood agreed to transfer 50,000 shares of the Company’s Class A Common Stock owned by him to EnCap.</w:t>
      </w:r>
    </w:p>
    <w:p>
      <w:pPr>
        <w:spacing w:after="0" w:line="16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On July 19, 2019, we entered into the Fourth Amendment to Credit Agreement and Waiver; First Amendment to Fee Letter (“Fourth Amendment”) to amend the Credit Agreement. As a result of the Fourth Amendment, several terms of the Credit Agreement were amended, including the following:</w:t>
      </w:r>
    </w:p>
    <w:p>
      <w:pPr>
        <w:spacing w:after="0" w:line="8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borrowed an additional $5 million from the Lenders, increasing the total amount of the principal to $16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of the Credit Agreement was amended from January 25, 2022 to January 15, 2021.</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prepayment price was amended as follows: (a) from January 26, 2019 through January 25, 2020, the prepayment price is 102% of the principal amount, (b) from January 26, 2020 through October 14, 2020, the prepayment price is 101% of the principal amount, and (c) from October 15, 2020 to the maturity date, the prepayment price will be at par. However, the prepayment price for the additional $5 million loan attributable to the Fourth Amendment will be at par.</w:t>
      </w:r>
    </w:p>
    <w:p>
      <w:pPr>
        <w:spacing w:after="0" w:line="1" w:lineRule="exact"/>
        <w:rPr>
          <w:rFonts w:ascii="Arial" w:cs="Arial" w:eastAsia="Arial" w:hAnsi="Arial"/>
          <w:sz w:val="18"/>
          <w:szCs w:val="18"/>
          <w:color w:val="auto"/>
        </w:rPr>
      </w:pPr>
    </w:p>
    <w:p>
      <w:pPr>
        <w:jc w:val="both"/>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covenants, as defined in the Credit Agreement, were amended and updated: Consolidated Leverage Ratio, Consolidated Senior Leverage Ratio, Consolidated Capital Expenditures, Minimum Fixed Charge Coverage Ratio, and Minimum Consolidated Net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actual or potential non-compliance with the applicable provisions of the Credit Agreement were waived.</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paid the Agent a fee of $110,000 in connection with the Fourth Amendment. We incurred immaterial third party transaction costs which were expensed during the current period.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exit fee was increased from $825,000 to $1,200,000.</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4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March 26, 2020, the Credit Agreement was amended (the “Fifth Amendment”) to modify the financial covenants for 2020 through the maturity of the Credit Agreement to establish that the covenants will remain at the December 31, 2020 levels and to update the previously agreed-upon definition of certain financial covenants, specifically the amount of Capital Expenditures to be included in the measurement of the covenants. The Fifth Amendment also provides for the right for the Company to elect to extend the maturity date of the Credit Agreement which is currently scheduled to mature on January 15, 2021. The Fifth Amendment provides for four quarterly maturity date extensions, which would increase the Exit Fee payable under the Credit Agreement by $250,000 for each quarterly maturity date extension elected, for a total of $1 million increase to the Exit Fee were all four of the maturity date extensions to be elected. The Company paid EnCap an amendment fee of $100,000 and out-of-pocket costs and expenses in consideration for the Fifth Amendment.</w:t>
      </w:r>
    </w:p>
    <w:p>
      <w:pPr>
        <w:spacing w:after="0" w:line="15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incurred interest expense in the amount of $0.7 million and $1.5 million for the three and six months ended June 30, 2020, respectively, under the Credit Agreement.</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November 24, 2020, upon the closing of the IPO, the Company paid a total of $17.4 million to satisfy its obligations under the Credit Agreement in full including an exit fee of $1.2 million, accrued interest of $138,000, and legal fees of $13,000.</w:t>
      </w:r>
    </w:p>
    <w:p>
      <w:pPr>
        <w:spacing w:after="0" w:line="14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April 19, 2021, the Company entered into multiple Redemption Agreements and Warrant Redemption and Cancellation Agreements (collectively the "Repurchase Agreement") with EnCap and certain related funds that held the warrants to purchase 900,970 shares of the Company's common stock in addition to 39,682 shares of the Company's common stock. Under the Repurchase Agreement, the Company agreed to repurchase the outstanding warrants for $26.9 million and common stock for $1.3 million; The average price of the warrants and common stock repurchased were $29.85 per share and $31.51 per share, respectively. Upon settlement, the repurchased warrants were retired. The Company reduced common stock for the $0.001 par value of the shares repurchased, with the excess purchase price over par value recorded as a reduction of additional paid-in-capital ("APIC"). As a result of the repurchases, the Company recognized these amounts as a reduction to APIC.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19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March 31, 2015, the Company entered into Subordinated Loan Agreements and Subordinated Promissory Notes (“Porter Notes”) with affiliated entities of Mr. John R. C. Porter (together referenced as “Porter”). At the time, Mr. Porter and Toxford Corporation, of which Mr. Porter controls as the co-trustee of the trust that is the sole stockholder of Toxford, owned 35.0% of our Class A Common Stock. Under the terms of the Porter Notes, Porter lent the Company $2.5 million on or about March 31, 2015. Telos also entered into Subordination and Intercreditor Agreements with Porter and a prior senior lender, in which the Porter Notes were fully subordinated to the financing provided by that senior lender, and payments under the Porter Notes were permitted only if certain conditions were met.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15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w:t>
      </w:r>
    </w:p>
    <w:p>
      <w:pPr>
        <w:spacing w:after="0" w:line="13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incurred interest expense in the amount of $88,000 and $175,000 for the three and six months ended June 30, 2020, respectively, on the Porter Notes. As of June 30, 2020, approximately $1.2 million of accrued interest was payable according to the stated interest rate of the Porter Notes.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 xml:space="preserve"> Exchangeable Redeemable Preferred Stock Conversion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Preferred Stock</w:t>
      </w:r>
    </w:p>
    <w:p>
      <w:pPr>
        <w:spacing w:after="0" w:line="19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 maximum of 6,000,000 shares of Exchangeable Redeemable Preferred Stock (the "Public Preferred Stock"), par value $.01 per share, has been authorized for issuance. We initially issued 2,858,723 shares of the Public Preferred Stock pursuant to the acquisition of the Company during fiscal year 1990. The Public Preferred Stock was recorded at fair value on the date of original issue, November 21, 1989, and we made periodic accretions under the interest method of the excess of the redemption value over the recorded value. We adjusted our estimate of accrued accretion in the amount of $1.5 million in the second quarter of 2006. The Public Preferred Stock was fully accreted as of December 2008. We declared stock dividends totaling 736,863 shares in 1990 and 1991. Since 1991, no other dividends, in stock or cash, had been declared. In November 1998, we retired 410,000 shares of the Public Preferred Stock.</w:t>
      </w:r>
    </w:p>
    <w:p>
      <w:pPr>
        <w:spacing w:after="0" w:line="15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paid dividends on the Public Preferred Stock when and if declared by the Board of Directors. The Public Preferred Stock accrued a semi-annual dividend at the annual rate of 12% ($1.20) per share, based on the liquidation preference of $10 per share, and was fully cumulative. Dividends in additional shares of the Public Preferred Stock for 1990 and 1991 were paid at the rate of 6% per share for each $.60 of such dividends not paid in cash. We accrued dividends on the Public Preferred Stock of $1.0 million and $1.9 million for the three and six months ended June 30, 2020, respectively, which was recorded as interest expense. Prior to the effective date of ASC 480 on July 1, 2003, such dividends were charged to stockholders’ accumulated deficit.</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the closing of the IPO, which constituted a qualified initial public offering for the purposes of the terms of the Public Preferred Stock, each issued and outstanding share of Public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 (III) 0.15. No fractional shares of common stock, however, were issued upon the ERPS Conversion but, in lieu thereof, the holder was entitled to receive an amount of cash equal to the fair market value of a share of common stock (valued at the initial offering price to the public) at the time of the ERPS Conversion multiplied by such fractional amount (rounded to the nearest cent). “ERPS Liquidation Value” means, per each share of Public Preferred Stock, $10 together with all accrued and unpaid dividends (whether or not earned or declared) thereon calculated as of the actual date of the ERPS Conversion without interest, which, was approximately $142.3 million as of November 19, 2020. All shares of common stock issued upon an ERPS Conversion were validly issued, fully paid and non-assessable.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November 23, 2020, holders of the Public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$0.2 million of costs directly attributable to this redemption were applied against the gain, resulting in a net gain of $14.0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8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income tax provision for interim periods is determined using an estimated annual effective tax rate adjusted for discrete items, if any, which are taken into account in the quarterly period in which they occur. We review and update our estimated annual effective tax rate each quarter. For the three months ended June 30, 2021 and 2020, we recorded an income tax provision of $13,000 and $2,000 respectively. For the six months ended June 30, 2021 and 2020, we recorded an income tax provision of $47,000 and income tax benefit of $144,000, respectively. For the three and six months ended June 30, 2021 and 2020, our estimated effective rate was primarily impacted by the overall valuation allowance position which reduced the net tax impact from taxable income or loss for all periods.</w:t>
      </w:r>
    </w:p>
    <w:p>
      <w:pPr>
        <w:spacing w:after="0" w:line="15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are required to establish a valuation allowance for deferred tax assets if, based on the weight of available evidence, it is more likely than not that some portion or all of the deferred tax assets will not be realized. Based on the available evidence, realization of deferred tax assets is dependent upon the generation of future taxable income. There has been no change in the established valuation allowance as of June 30, 2021. As of June 30, 2021 and December 31, 2020, we have recorded a net deferred tax liability of approximately $670,000 and $652,000, respectively.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provisions of ASC 740, we determined that there were approximately $869,000 and $763,000 of gross unrecognized tax benefits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December 31, 2020, respectively. Included in the balance of unrecognized tax benefits as of June 30, 2021 and December 31, 2020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$241,000 and $278,000, respectively, of tax benefits that, if recognized, would impact the effective tax rate. Also included in the balance of unrecognized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benefits as of June 30, 2021 and December 31, 2020 were $628,000 and $485,000, respectively, of tax benefits that, if recognized, would not impact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tax rate due to the Company’s valuation allowance. The Company had accrued interest and penalties related to the unrecognized tax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$233,000 and $241,000, which were recorded in other liabilities as of June 30, 2021 and December 31, 2020, respectively. We believe that the total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amounts of unrecognized tax benefits will not significantly increase or decrease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Contingencies and 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and Liquidity</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Upon the closing of the IPO, we issued 17.2 million shares of our common stock at a price of $17.00 per share, generating net proceeds of approximately $272.8 million. We used approximately $108.9 million of the net proceeds in connection with the ERPS Conversion (see Note 6 – Exchangeable Redeemable Preferred Stock Conversion), $30.0 million to fund our acquisition of the outstanding Class B Units of Telos ID (see Note 2 – Non-controlling Interests / Purchase of Telos ID), and $21.0 million to repay our outstanding senior term loan and subordinated debt (see Note 5 – Current Liabilities and Debt Obligations).</w:t>
      </w:r>
    </w:p>
    <w:p>
      <w:pPr>
        <w:spacing w:after="0" w:line="14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for the warrants to purchase 900,970 shares our common stock owned by affiliated funds of Enlightenment Capital Solutions (see Note 5 - Current Liabilities and Debt Obligations).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use the remaining net proceeds of the IPO and the follow-on offering for general corporate purposes. We also may use a portion of the net proceeds to acquire complementary businesses, products, services, or technologies. The amounts and timing of our actual use of the net proceeds will vary depending on numerous factors. Proceeds held by us is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was $139.7 million and $105.2 million as of June 30, 2021 and December 31, 2020, respectively.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Hamot et al. v. Telos Corporation</w:t>
      </w:r>
    </w:p>
    <w:p>
      <w:pPr>
        <w:spacing w:after="0" w:line="18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previously reported in Note 8 of the Form 10-Q for the quarter ended March 31, 2021 filed on May 17, 2021, beginning on August 2, 2007, Messrs. Seth W. Hamot (“Hamot”) and Andrew R. Siegel (“Siegel”), principals of Costa Brava Partnership III, L.P. (“Costa Brava”), were involved in litigation against the Company as Plaintiffs and Counter-defendants in the Circuit Court for Baltimore City, Maryland (the “Circuit Court”). Mr. Siegel was a Class D Director of the Company until the closing of the IPO on November 23, 2020, and Mr. Hamot was a Class D Director of the Company until his resignation on March 9, 2018. The Plaintiffs initially alleged that certain documents and records had not been provided to them promptly and were necessary to fulfill their duties as directors of the Company. Subsequently, Hamot and Siegel further alleged that the Company had failed to follow certain provisions concerning the noticing of Board committee meetings and the recording of Board meeting minutes and, additionally, that Mr. John Wood’s service as both CEO and Chairman of the Board was improper and impermissible under the Company’s Bylaws. On April 23, 2008, the Company filed a counterclaim against Hamot and Siegel for money damages and preliminary and injunctive relief based upon Hamot and Siegel’s interference with, and improper influence of, the Company’s independent auditors regarding, among other things, a specific accounting treatment. On June 27, 2008, the Circuit Court granted the Company’s motion for preliminary injunction and enjoined Hamot and Siegel from contacting the Company’s auditors until the completion of the Company’s Form 10-K for the preceding year, which injunction later expired by its own terms. As previously disclosed, trial on Hamot and Siegel’s claims and the Company’s counterclaims took place in July through September 2013, and the Court subsequently issued decisions on the various claims by way of memorandum opinions and orders dated September 11, 2017. Among other rulings, the Court found Hamot and Siegel liable for the intentional tort of tortious interference with the Company’s contractual relationship with one of its auditors and entered a monetary judgment in favor of the Company and against Hamot and Siegel for approximately $278,000. The Company’s subsequent appeal of the amount of damages awarded to it for Hamot and Siegel’s intentional interference was ultimately dismissed by way of the Mandate issued by the Court of Appeals of Maryland on October 11,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Hamot (and later, his Estate) and Siegel on multiple occasions during this litigation sought to be indemnified or to be awarded advancement of various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attorney’s fees and expenses incurred by them in this litigation. On October 20, 2020, Hamot’s Estate and Siegel (together the “Plaintiffs”) filed a Motion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Indemnification of Legal Fees and Expenses against the Company in the Circuit Court for Baltimore City and a Request for a Hearing and on January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28, 2021, Plaintiffs amended their motion by the filing of a Motion for Leave to File Amended Motion for Indemnification of Legal Fees and Expenses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Motion”). The Amended Motion demanded that the Company indemnify the Plaintiffs for legal fees and expenses incurred in the sum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$2,540,000 plus the costs incurred in obtaining indemnification. The Company opposed the motions, and a hearing on the Amended Motion was scheduled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May 18, 2021.</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May 5, 2021, the Company, Plaintiffs and Costa Brava entered into a settlement agreement, which included a mutual general release, fully and finally settling the indemnification claim in exchange for a $1.0 million payment on or before May 19, 2021. The $1.0 million was paid on May 12, 2021. This settlement concludes all open matters or disputes between the Company and Messrs. Hamot (or his estate) and Siegel, as well as the previously disposed of claims of Costa Brava.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185"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In addition, the Company may be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3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On July 30, 2021, the Company acquired the assets of Diamond Fortress Technologies ("DFT"), including all patents and digital intellectual property for an undisclosed amount of cash consideration. The acquisition adds several new patents to the Company’s library of biometric and digital identity intellectual property. Simultaneously with closing, the Company hired seven current DFT employees to maintain and expand the acquired technology. The addition of contactless biometrics technology will enable the Company to better serve the needs of organizations in existing and new markets. We are currently in the process of finalizing the accounting for this transaction and expect it to be complete by the end of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Emmett J. Wood, the brother of our Chairman and CEO, has been an employee of the Company since 1996. The amounts paid to this individual as compensation were $83,000 and $301,000 for the three and six months ended June 30, 2021, respectively, and $151,000 and $324,000 for the three and six months ended June 30, 2020, respectively. Additionally, Mr. Wood owned 682,502 shares of the Company’s common stock as of June 30, 2021 and December 31, 2020.</w:t>
      </w:r>
    </w:p>
    <w:p>
      <w:pPr>
        <w:spacing w:after="0" w:line="1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March 31, 2015, the Company entered into the Porter Notes. At that time, Mr. Porter and Toxford Corporation, of which Mr. Porter controls as the co-trustee of the trust that is the sole stockholder of Toxford, owned 35.0% of our Class A Common Stock. Under the terms of the Porter Notes, Porter lent the Company $2.5 million on or about March 31, 2015.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15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 We incurred interest expense in the amount of $88,000 and $175,000 for the three and six months ended June 30, 2020, respectively, on the Porter Notes. As of June 30, 2020, approximately $1.2 million of accrued interest was payable according to the stated interest rate of the Porter Notes.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February 8, 2021, we hired Ms. Donna Hill, as Director, Human Resources, reporting directly to Ms. Nakazawa, EVP of the Company. Ms. Hill is the sister of Mr. Edward Williams, COO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02"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We account for leases in accordance with ASC Topic 842, “Leases,” which requires lessees to recognize a right-of-use (“ROU”) asset and lease liability on the balance sheet and expands disclosures about leasing arrangements for both lessees and lessors, among other items, for most lease arrangements.</w:t>
      </w:r>
    </w:p>
    <w:p>
      <w:pPr>
        <w:spacing w:after="0" w:line="14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accordance with the adoption of ASC 842 on January 1, 2019, we recorded operating lease ROU assets, which represent our right to use an underlying asset for the lease term, and operating lease liabilities which represent our obligation to make lease payments. Generally, we enter into operating lease agreements for facilities. Finance lease assets are recorded within property and equipment, net of accumulated depreciation. The amount of operating lease liabilities due within 12 months are recorded in other current liabilities, with the remaining operating lease liabilities recorded as non-current liabilities in our condensed consolidated balance sheets based on their contractual due dates. Finance lease liabilities are classified according to contractual due dates.</w:t>
      </w:r>
    </w:p>
    <w:p>
      <w:pPr>
        <w:spacing w:after="0" w:line="152"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which was 5.75% for all operating leases. Our operating lease agreements may include options to extend the lease term or terminate it early. We have included options to extend in the operating lease ROU assets and liabilities when we are reasonably certain that we will exercise such options. The weighted average remaining lease terms and discount rates for our operating leases were approximately 2.1 years and 5.75% and for our finance leases were approximately 7.8 years and 5.04% at June 30, 2021. Operating lease expense is recognized as rent expense on a straight-line basis over the lease term. Some of our operating leases contain lease and non-lease components, which we account for as a single component. We evaluate ROU assets for impairment consistent with our property and equipment policy disclosure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6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966"/>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Future minimum lease commitments at June 30, 2021 were as follows (in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Finance Leases</w:t>
            </w:r>
          </w:p>
        </w:tc>
      </w:tr>
      <w:tr>
        <w:trPr>
          <w:trHeight w:val="223"/>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6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2,149</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6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After 2025</w:t>
            </w: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8,344</w:t>
            </w:r>
          </w:p>
        </w:tc>
      </w:tr>
      <w:tr>
        <w:trPr>
          <w:trHeight w:val="223"/>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r>
      <w:tr>
        <w:trPr>
          <w:trHeight w:val="223"/>
        </w:trPr>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portion</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r>
      <w:tr>
        <w:trPr>
          <w:trHeight w:val="248"/>
        </w:trPr>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of short-term portion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800" w:hanging="144"/>
        <w:spacing w:after="0"/>
        <w:tabs>
          <w:tab w:leader="none" w:pos="800" w:val="left"/>
        </w:tabs>
        <w:numPr>
          <w:ilvl w:val="0"/>
          <w:numId w:val="7"/>
        </w:numPr>
        <w:rPr>
          <w:rFonts w:ascii="Arial" w:cs="Arial" w:eastAsia="Arial" w:hAnsi="Arial"/>
          <w:sz w:val="9"/>
          <w:szCs w:val="9"/>
          <w:color w:val="auto"/>
        </w:rPr>
      </w:pPr>
      <w:r>
        <w:rPr>
          <w:rFonts w:ascii="Arial" w:cs="Arial" w:eastAsia="Arial" w:hAnsi="Arial"/>
          <w:sz w:val="14"/>
          <w:szCs w:val="14"/>
          <w:color w:val="auto"/>
        </w:rPr>
        <w:t>Leases that have terms of 12 months or less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040" w:type="dxa"/>
            <w:vAlign w:val="bottom"/>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operating activities - operating leases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Cash flows from operating activities - finance leases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 - finance leases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0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During October 2020, the Company amended the 2016 LTIP increasing the total number of shares available for issuance to 9,400,000 from 4,500,000 and extended the term to September 30, 2030. Our 2016 LTIP provides for the grant of stock options, stock appreciation rights, restricted stock, restricted stock units, unrestricted stock and dividend equivalent rights to our senior executives, directors, employees, and other service providers. Awards granted under the 2016 LTIP vest over the periods determined by the Board of Directors or the Compensation Committee of the Board of Directors, generally two to three years and stock options granted under the 2016 LTIP expire no more than ten years after the date of grant. Approximately 6.2 million shares of our common stock were reserved for future grants as of June 30, 2021 under the 2016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are the stock-based compensation expense incurred for the three and six months ended June 30, 2021 (in thousands). We recorded immaterial share-based compensation expense for the comparative periods ended June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sales - 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and administrative</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ind w:left="80"/>
              <w:spacing w:after="0"/>
              <w:rPr>
                <w:sz w:val="20"/>
                <w:szCs w:val="20"/>
                <w:color w:val="auto"/>
              </w:rPr>
            </w:pPr>
            <w:r>
              <w:rPr>
                <w:rFonts w:ascii="Arial" w:cs="Arial" w:eastAsia="Arial" w:hAnsi="Arial"/>
                <w:sz w:val="18"/>
                <w:szCs w:val="18"/>
                <w:b w:val="1"/>
                <w:bCs w:val="1"/>
                <w:color w:val="auto"/>
              </w:rPr>
              <w:t>Three Months Ended June</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9"/>
        </w:trPr>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30, 2021</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2"/>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29"/>
        </w:trPr>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28,585</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-779145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-479425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-187960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600"/>
          </w:cols>
          <w:pgMar w:left="320" w:top="125"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 (collectively “RSU”) Activity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2021, a number of RSUs were granted to our senior executives, directors and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RSU Awards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awards of Service-Based RSUs that vest upon the completion of a service requirement are presented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7"/>
                <w:szCs w:val="17"/>
                <w:color w:val="auto"/>
              </w:rPr>
            </w:pPr>
          </w:p>
        </w:tc>
        <w:tc>
          <w:tcPr>
            <w:tcW w:w="136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Average Grant</w:t>
            </w: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Date Fair</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6"/>
              </w:rPr>
              <w:t>Value</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360" w:type="dxa"/>
            <w:vAlign w:val="bottom"/>
          </w:tcPr>
          <w:p>
            <w:pPr>
              <w:jc w:val="right"/>
              <w:ind w:right="510"/>
              <w:spacing w:after="0" w:line="176" w:lineRule="exact"/>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Life (years)</w:t>
            </w: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7"/>
              </w:rPr>
              <w:t>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2,731,963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2,596,908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recognized an expense of $14.3 million and $22.0 million related to share-based compensation expense for Service-Based RSUs capable of being earned for completing a service requirement during the three and six months ended June 30, 2021, respectively. As of June 30, 2021, there was approximately $75.0 million of unrecognized stock-based compensation expense related to Service-Based RSUs, and this unrecognized expense is expected to be recognized over a weighted-average period of 1.7 years on a straight-line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 Awards</w:t>
      </w:r>
    </w:p>
    <w:p>
      <w:pPr>
        <w:spacing w:after="0" w:line="18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 summary of the awards of Performance-Based RSUs that vest upon the attainment of certain price targets of the Company’s common stock are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36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Average Grant</w:t>
            </w: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Date Fair</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6"/>
              </w:rPr>
              <w:t>Value</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Life (years)</w:t>
            </w: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438,403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87"/>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January 28, 2021 the Company granted certain senior executives awards of Performance-Based RSUs that could settle in 438,403 shares of our common stock. The awards will vest only if, during the three-year period from the date of grant, (a) the Company’s common stock, as listed on the Nasdaq Global Market, trades at or above $42.40 per share (the “Target Price”) for 20 of 30 consecutive trading days or (b) the weighted average of the per share price of the Company’s common stock over any 30 consecutive trading days is at least equal to the Target Price.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For these Performance-Based RSUs containing market conditions, the conditions are required to be considered when calculating the grant date fair value. In order to reflect the substantive characteristics of these awards, a Monte Carlo simulation valuation model was used to calculate the grant date fair value of such awards. Monte Carlo approaches are a class of computational algorithms that rely on repeated random sampling to compute their results. This approach allows the calculation of the value of such Performance-Based RSUs based on a large number of possible stock price path scenarios. Our key assumptions include a performance period of 2.92 years, expected volatility of 57.4%, and a risk-free rate of 0.18%. As the Company recently completed its IPO in November 2020, expected volatility was based on the average historical stock price volatility of comparable publicly-traded companies over the performance period. The risk-free rate is based on the U.S. treasury zero-coupon issues in effect at the time of grant over the performance period. Expense for these awards is recognized over the derived service period as determined through the Monte Carlo simulation model. The fair value at grant date and derived service periods calculated for these market condition Performance-Based RSUs were $30.84 and 0.38 years, respectively.</w:t>
      </w:r>
    </w:p>
    <w:p>
      <w:pPr>
        <w:spacing w:after="0" w:line="13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recognized an expense of $7.0 million and $13.0 million related to share-based compensation expense for these awards of Performance-Based RSUs during the three and six months ended June 30, 2021, respectively. As of June 30, 2021, all of the stock-based compensation expense related to these Performance-Based RSUs was recognized.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2020, as filed with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4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36"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security solutions span across the following domains:</w:t>
      </w:r>
    </w:p>
    <w:p>
      <w:pPr>
        <w:spacing w:after="0" w:line="185" w:lineRule="exact"/>
        <w:rPr>
          <w:sz w:val="20"/>
          <w:szCs w:val="20"/>
          <w:color w:val="auto"/>
        </w:rPr>
      </w:pPr>
    </w:p>
    <w:p>
      <w:pPr>
        <w:ind w:left="660" w:right="48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 We help our customers ensure the ongoing security, integrity, and compliance of their on-premises and related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reducing threats and vulnerabilities to foil cyber adversaries before they can attack. Our consultants assess our customers’ security environments and design, engineer, and operate the systems they need to strengthen their cybersecurity posture.</w:t>
      </w:r>
    </w:p>
    <w:p>
      <w:pPr>
        <w:spacing w:after="0" w:line="124" w:lineRule="exact"/>
        <w:rPr>
          <w:rFonts w:ascii="Arial" w:cs="Arial" w:eastAsia="Arial" w:hAnsi="Arial"/>
          <w:sz w:val="17"/>
          <w:szCs w:val="17"/>
          <w:color w:val="auto"/>
        </w:rPr>
      </w:pPr>
    </w:p>
    <w:p>
      <w:pPr>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Cloud Security </w:t>
      </w:r>
      <w:r>
        <w:rPr>
          <w:rFonts w:ascii="Arial" w:cs="Arial" w:eastAsia="Arial" w:hAnsi="Arial"/>
          <w:sz w:val="16"/>
          <w:szCs w:val="16"/>
          <w:color w:val="auto"/>
        </w:rPr>
        <w:t>– The cloud as an organizational resource is more than two decades old, yet the needs of cloud users are constantly changing. Telos</w:t>
      </w:r>
      <w:r>
        <w:rPr>
          <w:rFonts w:ascii="Arial" w:cs="Arial" w:eastAsia="Arial" w:hAnsi="Arial"/>
          <w:sz w:val="16"/>
          <w:szCs w:val="16"/>
          <w:i w:val="1"/>
          <w:iCs w:val="1"/>
          <w:color w:val="auto"/>
        </w:rPr>
        <w:t xml:space="preserve"> </w:t>
      </w:r>
      <w:r>
        <w:rPr>
          <w:rFonts w:ascii="Arial" w:cs="Arial" w:eastAsia="Arial" w:hAnsi="Arial"/>
          <w:sz w:val="16"/>
          <w:szCs w:val="16"/>
          <w:color w:val="auto"/>
        </w:rPr>
        <w:t>offers the specialized skills and experience needed to help our customers plan, engineer, and execute secure cloud migration strategies and then assure ongoing management and security in keeping with the leading standards for cloud-based systems and workloads.</w:t>
      </w:r>
    </w:p>
    <w:p>
      <w:pPr>
        <w:spacing w:after="0" w:line="121"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Enterprise Security </w:t>
      </w:r>
      <w:r>
        <w:rPr>
          <w:rFonts w:ascii="Arial" w:cs="Arial" w:eastAsia="Arial" w:hAnsi="Arial"/>
          <w:sz w:val="18"/>
          <w:szCs w:val="18"/>
          <w:color w:val="auto"/>
        </w:rPr>
        <w:t>– Securing the enterprise means protecting the essential and timeless elements common to every organization: its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its supply chain and inventories, its finances and facilities, and its information and communications. As ICT and operational technology (“OT”) have become part of the organizational make-up, we have offered solutions that ensure personnel can work securely and productively across and beyond the enterprise.</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 (previously referred to as Cyber &amp; 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194" w:lineRule="exact"/>
        <w:rPr>
          <w:sz w:val="20"/>
          <w:szCs w:val="20"/>
          <w:color w:val="auto"/>
        </w:rPr>
      </w:pPr>
    </w:p>
    <w:p>
      <w:pPr>
        <w:ind w:left="660" w:right="2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Assurance / Xacta: </w:t>
      </w:r>
      <w:r>
        <w:rPr>
          <w:rFonts w:ascii="Arial" w:cs="Arial" w:eastAsia="Arial" w:hAnsi="Arial"/>
          <w:sz w:val="18"/>
          <w:szCs w:val="18"/>
          <w:color w:val="auto"/>
        </w:rPr>
        <w:t>a premier platform for enterprise cyber risk management and security compliance automation,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Secure Communications:</w:t>
      </w:r>
    </w:p>
    <w:p>
      <w:pPr>
        <w:spacing w:after="0" w:line="27" w:lineRule="exact"/>
        <w:rPr>
          <w:rFonts w:ascii="Arial" w:cs="Arial" w:eastAsia="Arial" w:hAnsi="Arial"/>
          <w:sz w:val="18"/>
          <w:szCs w:val="18"/>
          <w:color w:val="auto"/>
        </w:rPr>
      </w:pPr>
    </w:p>
    <w:p>
      <w:pPr>
        <w:ind w:left="1300" w:right="260" w:hanging="320"/>
        <w:spacing w:after="0" w:line="292" w:lineRule="auto"/>
        <w:tabs>
          <w:tab w:leader="none" w:pos="1296"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Telos Ghost: </w:t>
      </w:r>
      <w:r>
        <w:rPr>
          <w:rFonts w:ascii="Arial" w:cs="Arial" w:eastAsia="Arial" w:hAnsi="Arial"/>
          <w:sz w:val="16"/>
          <w:szCs w:val="16"/>
          <w:color w:val="auto"/>
        </w:rPr>
        <w:t>a virtual obfuscation network-as-a-service with encryption and managed attribution capabilities to ensure the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17" w:lineRule="exact"/>
        <w:rPr>
          <w:rFonts w:ascii="Arial" w:cs="Arial" w:eastAsia="Arial" w:hAnsi="Arial"/>
          <w:sz w:val="16"/>
          <w:szCs w:val="16"/>
          <w:b w:val="1"/>
          <w:bCs w:val="1"/>
          <w:color w:val="auto"/>
        </w:rPr>
      </w:pPr>
    </w:p>
    <w:p>
      <w:pPr>
        <w:ind w:left="1300" w:right="20" w:hanging="320"/>
        <w:spacing w:after="0" w:line="281" w:lineRule="auto"/>
        <w:tabs>
          <w:tab w:leader="none" w:pos="1296"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Telos Automated Message Handling System (“AMHS”): </w:t>
      </w:r>
      <w:r>
        <w:rPr>
          <w:rFonts w:ascii="Arial" w:cs="Arial" w:eastAsia="Arial" w:hAnsi="Arial"/>
          <w:sz w:val="17"/>
          <w:szCs w:val="17"/>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DISA Organizational Messaging Service and its specialized communications protocols.</w:t>
      </w:r>
    </w:p>
    <w:p>
      <w:pPr>
        <w:spacing w:after="0" w:line="136" w:lineRule="exact"/>
        <w:rPr>
          <w:rFonts w:ascii="Arial" w:cs="Arial" w:eastAsia="Arial" w:hAnsi="Arial"/>
          <w:sz w:val="17"/>
          <w:szCs w:val="17"/>
          <w:b w:val="1"/>
          <w:bCs w:val="1"/>
          <w:color w:val="auto"/>
        </w:rPr>
      </w:pPr>
    </w:p>
    <w:p>
      <w:pPr>
        <w:ind w:left="660" w:right="140" w:hanging="328"/>
        <w:spacing w:after="0" w:line="23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Telos ID: </w:t>
      </w:r>
      <w:r>
        <w:rPr>
          <w:rFonts w:ascii="Arial" w:cs="Arial" w:eastAsia="Arial" w:hAnsi="Arial"/>
          <w:sz w:val="18"/>
          <w:szCs w:val="18"/>
          <w:color w:val="auto"/>
        </w:rPr>
        <w:t>offering Identity Trust and Digital Services through IDTrust360</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an enterprise-class digital identity risk platform for extending SaaS</w:t>
      </w:r>
      <w:r>
        <w:rPr>
          <w:rFonts w:ascii="Arial" w:cs="Arial" w:eastAsia="Arial" w:hAnsi="Arial"/>
          <w:sz w:val="18"/>
          <w:szCs w:val="18"/>
          <w:b w:val="1"/>
          <w:bCs w:val="1"/>
          <w:color w:val="auto"/>
        </w:rPr>
        <w:t xml:space="preserve"> </w:t>
      </w:r>
      <w:r>
        <w:rPr>
          <w:rFonts w:ascii="Arial" w:cs="Arial" w:eastAsia="Arial" w:hAnsi="Arial"/>
          <w:sz w:val="18"/>
          <w:szCs w:val="18"/>
          <w:color w:val="auto"/>
        </w:rPr>
        <w:t>and custom digital identity services that mitigate threats through the integration of advanced technologies that fuse biometrics, credentials, and other identity-centric data used to continuously monitor trust. We maintain government certifications and designations that distinguish Telos ID, including TSA PreCheck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enrollment provider, Designated Aviation Channeling provider, FBI-approved Channeler, and FINRA Electronic Fingerprint Submission provider. We are the only commercial entity in our industry designated as a Secure Flight Services provider for terrorist watchlist checks.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181" w:lineRule="exact"/>
        <w:rPr>
          <w:sz w:val="20"/>
          <w:szCs w:val="20"/>
          <w:color w:val="auto"/>
        </w:rPr>
      </w:pPr>
    </w:p>
    <w:p>
      <w:pPr>
        <w:ind w:left="660" w:right="140" w:hanging="328"/>
        <w:spacing w:after="0" w:line="26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Secure Mobility: </w:t>
      </w:r>
      <w:r>
        <w:rPr>
          <w:rFonts w:ascii="Arial" w:cs="Arial" w:eastAsia="Arial" w:hAnsi="Arial"/>
          <w:sz w:val="18"/>
          <w:szCs w:val="18"/>
          <w:color w:val="auto"/>
        </w:rPr>
        <w:t>solutions for business and government that enable remote work and minimize concern across and beyond the enterprise. Our</w:t>
      </w:r>
      <w:r>
        <w:rPr>
          <w:rFonts w:ascii="Arial" w:cs="Arial" w:eastAsia="Arial" w:hAnsi="Arial"/>
          <w:sz w:val="18"/>
          <w:szCs w:val="18"/>
          <w:b w:val="1"/>
          <w:bCs w:val="1"/>
          <w:color w:val="auto"/>
        </w:rPr>
        <w:t xml:space="preserve"> </w:t>
      </w:r>
      <w:r>
        <w:rPr>
          <w:rFonts w:ascii="Arial" w:cs="Arial" w:eastAsia="Arial" w:hAnsi="Arial"/>
          <w:sz w:val="18"/>
          <w:szCs w:val="18"/>
          <w:color w:val="auto"/>
        </w:rPr>
        <w:t>secure mobility team brings credentials to every engagement, supplying deep expertise and experience as well as highly desirable clearances and industry recognized certifications for network engineering, mobility, and security.</w:t>
      </w:r>
    </w:p>
    <w:p>
      <w:pPr>
        <w:spacing w:after="0" w:line="148" w:lineRule="exact"/>
        <w:rPr>
          <w:rFonts w:ascii="Arial" w:cs="Arial" w:eastAsia="Arial" w:hAnsi="Arial"/>
          <w:sz w:val="18"/>
          <w:szCs w:val="18"/>
          <w:b w:val="1"/>
          <w:bCs w:val="1"/>
          <w:color w:val="auto"/>
        </w:rPr>
      </w:pPr>
    </w:p>
    <w:p>
      <w:pPr>
        <w:ind w:left="660" w:right="60" w:hanging="328"/>
        <w:spacing w:after="0" w:line="26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Network Management and Defense: </w:t>
      </w:r>
      <w:r>
        <w:rPr>
          <w:rFonts w:ascii="Arial" w:cs="Arial" w:eastAsia="Arial" w:hAnsi="Arial"/>
          <w:sz w:val="18"/>
          <w:szCs w:val="18"/>
          <w:color w:val="auto"/>
        </w:rPr>
        <w:t>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 Our total budgeted revenue is the combination of recurring revenue and a forecast of new business.</w:t>
      </w:r>
    </w:p>
    <w:p>
      <w:pPr>
        <w:spacing w:after="0" w:line="16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(Unaudited)</w:t>
      </w:r>
    </w:p>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Telos Corporation and its subsidiaries including Ubiquity.com, Inc., Xacta Corporation, Telos Identity Management Solutions, LLC, Teloworks, Inc., and Telos APAC Pte. Ltd., all of whose issued and outstanding share capital is owned by Telos Corporation (collectively, the “Company” or “Telos” or “We”). All intercompany transactions have been eliminated in consolidation.</w:t>
      </w:r>
    </w:p>
    <w:p>
      <w:pPr>
        <w:spacing w:after="0" w:line="14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provide different solutions and are party to contracts of varying revenue types under the NETCENTS (Network-Centric Solutions) and NETCENTS-2 contracts to the U.S. Air Force. NETCENTS and NETCENTS-2 are IDIQ and GWAC, therefore any government customer may utilize the NETCENTS and NETCENTS-2 vehicles to meet its purchasing needs. Consequently, revenue earned on the underlying NETCENTS and NETCENTS-2 delivery orders varies from period to period according to the customer and solution mix for the products and services delivered during a particular period, unlike a standalone contract with one separately identified customer. The contracts themselves do not fund any orders and they state that the contracts are for an indefinite delivery and indefinite quantity. The majority of our task/delivery orders have periods of performance of less than 12 months, which contributes to the variances between interim and annual reporting periods. We have also been awarded other IDIQ/GWACs, including the Department of Homeland Security’s EAGLE II, GSA Alliant 2, and blanket purchase agreements under our GSA schedule.</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/Xacta® (previously referred to as Cyber &amp; 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U.S. Government appropriations have been and continue to be affected by larger U.S. Government budgetary issues and related legislation.</w:t>
      </w:r>
    </w:p>
    <w:p>
      <w:pPr>
        <w:spacing w:after="0" w:line="1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According to the Office of Management and Budget, since enactment of the Budget Control Act of 2011 (the “BCA”), which imposed statutory annual spending caps on federal discretionary spending for ten years, federal outlays devoted to all national defense programs (which includes Energy Department and other non-DoD defense programs) fell from 4.6 percent as a share of Gross Domestic Product (“GDP”) in FY 2011 to as low as 3.1 percent of GDP in each of FYs 2017-18, before rising slightly the past two years to a level of 3.5 percent in FY 2020. Moreover, OMB reports that total national defense program outlays (in current, non-adjusted dollars) shrank from $705.6 billion in FY 2011 to as low as $589.7 billion in FY 2015, and did not again exceed their FY 2011 level until FY 2020, when outlays were $724.6 billion, approximately 2.7 percent above their level a decade previously. (By comparison, inflation, as measured by the Consumer Price Index, rose by approximately 15 percent over the same period.)</w:t>
      </w:r>
    </w:p>
    <w:p>
      <w:pPr>
        <w:spacing w:after="0" w:line="13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fiscal years 2020 and 2021, the COVID-19 pandemic and associated economic dislocation in the United States has resulted in an overwhelming federal response, including enactment of multiple massive and comprehensive emergency appropriations and economic stimulus measures. These were in addition to annual appropriations legislation for FY 2021, which was not enacted into law until late December 2020, nearly three months after the beginning of the fiscal year, during which time the government once again operated under a series of Continuing Resolutions which strictly limited new spending initiatives. These enormous emergency spending packages, possibly coupled with new massive infrastructure and other economic recovery and stimulus proposals being actively considered by Congress, and their resulting increases in the budget deficit will necessarily factor into future federal budget planning and spending decisions, affecting to an unknown degree the government contracts that we hold and the federal procurements that we would otherwise compete for.</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President Biden’s budget request for FY 2022, submitted to Congress in late May, called for $715 billion in base spending for the Department of Defense (“DoD”) in FY 2022, which the Office of Management and Budget described as an $11.3 billion (1.6 percent) increase above the FY 2021 enacted level of $703.7 billion. This requested base defense budget for FY 2022 also now includes wartime spending, which in previous fiscal years was provided for in a separate account for Overseas Contingency Operations.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Congressional support for the President’s proposed level of defense spending is uncertain, as there are some in Congress who are advocating large cuts to the defense budget, while others are calling for greater increases in military spending. Additionally, Congress must take action shortly to raise or suspend the debt ceiling, and there are some in Congress who have said they want to block such action unless it is coupled with statutory requirements to limit future federal discretionary and/or entitlement spending. With the expiration of the BCA at the end of FY 2021, there are currently no statutory limits in place to guide federal discretionary spending negotiations and decisions, and action on the annual defense authorization and appropriations bills has been significantly delayed this year.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a result, and assuming Congress is able to reach agreement on such a measure and avoid a government shutdown, FY 2022 is expected to begin on October 1, 2021 with DoD and other federal departments and agencies again funded for an unknown period of time under a Continuing Resolution, which would restrict new spending initiatives.</w:t>
      </w:r>
    </w:p>
    <w:p>
      <w:pPr>
        <w:spacing w:after="0" w:line="15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Despite the pandemic’s resultant massive shift to teleworking by federal employees and contractors, the government has successfully maintained continuity of services as has Telos. More recently, as the government has proceeded to develop and implement its reopening process, officials have said they will seek to continue to maximize use of teleworking by federal employees. As such, with much of the business of government still being conducted by federal employees working remotely through use of information technology systems, we believe there will continue to be a need on the part of the government for the types of solutions and services provided by Telos.</w:t>
      </w:r>
    </w:p>
    <w:p>
      <w:pPr>
        <w:spacing w:after="0" w:line="14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Over the past year, continued and increasingly impactful ransomware and other cyberattacks against government entities at the federal, state and local levels, and against private sector organizations in the critical infrastructure and other sectors, have resulted in intensified efforts to better defend against such attacks.</w:t>
      </w:r>
    </w:p>
    <w:p>
      <w:pPr>
        <w:spacing w:after="0" w:line="1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President Biden’s May 12 Executive Order on “Improving the Nation’s Cybersecurity” acknowledged the severity and scope of the cybersecurity challenges facing the public and private sectors, the American people and our economy. It gave direction for federal departments and agencies to modernize government cybersecurity by: moving more rapidly to adopt secure cloud services; adopt multifactor authentication; push for increased use in government of such practices as zero trust architecture; and improve the security and integrity of the software supply chain, with a priority on addressing critical software. The executive order also called for improving communications with Cloud Service Providers through automation and standardization of messages at each stage of the Federal Risk and Authorization Management Program (FedRAMP) process, and for other changes in an effort to accelerate and improve the process.</w:t>
      </w:r>
    </w:p>
    <w:p>
      <w:pPr>
        <w:spacing w:after="0" w:line="16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Subsequently, federal agencies, including the Cybersecurity &amp; Infrastructure Security Agency (CISA) and the Transportation Security Administration (TSA), which have specific responsibilities for various aspects of government and private sector cybersecurity, have taken steps to enhance public sector and critical infrastructure cybersecurity. Finally, Congress is working on a massive infrastructure package which contains a number of provisions dealing with cybersecurity and would provide considerable funding for infrastructure-related cybersecurity. We believe many of these actions could ultimately result in increased need for solutions and services provided by Telos.</w:t>
      </w:r>
    </w:p>
    <w:p>
      <w:pPr>
        <w:spacing w:after="0" w:line="14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Finally, as a whole the COVID-19 pandemic has resulted in acceleration of digital transformation and cloud adoption within the government and beyond, which will likely increase demand for Telos solutions Xacta and Ghost.</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principal elements of the Company’s operating expenses as a percentage of sales for the three and six months ended June 30, 2021 and 2020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 June 30,</w:t>
            </w:r>
          </w:p>
        </w:tc>
        <w:tc>
          <w:tcPr>
            <w:tcW w:w="3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47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8"/>
        </w:trPr>
        <w:tc>
          <w:tcPr>
            <w:tcW w:w="4720" w:type="dxa"/>
            <w:vAlign w:val="bottom"/>
          </w:tcPr>
          <w:p>
            <w:pPr>
              <w:spacing w:after="0"/>
              <w:rPr>
                <w:sz w:val="19"/>
                <w:szCs w:val="19"/>
                <w:color w:val="auto"/>
              </w:rPr>
            </w:pPr>
          </w:p>
        </w:tc>
        <w:tc>
          <w:tcPr>
            <w:tcW w:w="22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1"/>
              </w:rPr>
              <w:t>(unaudited)</w:t>
            </w:r>
          </w:p>
        </w:tc>
        <w:tc>
          <w:tcPr>
            <w:tcW w:w="1020" w:type="dxa"/>
            <w:vAlign w:val="bottom"/>
          </w:tcPr>
          <w:p>
            <w:pPr>
              <w:spacing w:after="0"/>
              <w:rPr>
                <w:sz w:val="19"/>
                <w:szCs w:val="19"/>
                <w:color w:val="auto"/>
              </w:rPr>
            </w:pPr>
          </w:p>
        </w:tc>
      </w:tr>
      <w:tr>
        <w:trPr>
          <w:trHeight w:val="252"/>
        </w:trPr>
        <w:tc>
          <w:tcPr>
            <w:tcW w:w="4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66.0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22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5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2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1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w:t>
            </w: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Telos Corporation</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720" w:type="dxa"/>
            <w:vAlign w:val="bottom"/>
          </w:tcPr>
          <w:p>
            <w:pPr>
              <w:spacing w:after="0"/>
              <w:rPr>
                <w:sz w:val="24"/>
                <w:szCs w:val="24"/>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with Three Months Ended June 30, 2020</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Revenue increased by 8.1% to $52.6 million for the second quarter of 2021, from $48.6 million for the same period in 2020. Security Solutions revenue was $31.2 million and $34.2 million for the second quarter of 2021 and 2020, respectively. This decrease of approximately 8.8% was driven primarily by a decrease of $4.6 million in sales of offerings in Telos ID on the contract with the U.S. Census Bureau as the contract ramps down, offset by various increases in Information Assurance and Secure Communications offerings. Secure Networks revenue was $21.4 million and $14.4 million for the second quarter of 2021 and 2020, respectively. This increase of approximately 48.6% resulted from various contracts with the DoD, primarily in our Secure Mobility Solutions offerings. Due to the various solutions offerings within the business groups, sales may vary from period to period according to the solution mix and timing of deliverables for a particular period.</w:t>
      </w:r>
    </w:p>
    <w:p>
      <w:pPr>
        <w:spacing w:after="0" w:line="15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Cost of sales increased by 3.1% to $32.0 million for the second quarter of 2021, from $31.0 million for the same period in 2020 as a result of increases in revenue. Cost of sales for Security Solutions decreased to $15.7 million (inclusive of $0.7 million of stock-based compensation) for the second quarter of 2021 from $19.5 million for the same period in 2020 (which had no stock-based compensation), which translates as a decrease in the cost of sales as a percentage of revenue to 50.3% from 57.0%, due to a change in the mix and nature of the programs. Cost of sales for Secure Networks increased to $16.3 million (inclusive of $0.1 million of stock-based compensation) for the second quarter of 2021 from $11.5 million for the same period in 2020 (which had no stock-based compensation). While the cost of sales increased between periods, the sales mix improved, which translates to a decrease in the cost of sales as a percentage of revenue to 76.2% from 79.9%.</w:t>
      </w:r>
    </w:p>
    <w:p>
      <w:pPr>
        <w:spacing w:after="0" w:line="15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Gross profit increased by 17.0% to $20.6 million for the second quarter of 2021 from $17.6 million for the same period in 2020. Gross profit for Security Solutions increased to $15.5 million for the second quarter of 2021 from $14.7 million for the same period in 2020. Gross profit for Secure Networks increased to $5.1 million for the second quarter of 2021 from $2.9 million for the same period in 2020. Gross margin increased to 39.1% for the second quarter of 2021 from 36.2% for the same period in 2020, due to various changes in the mix of higher profit margin contracts in all business lines as discussed above. Gross margin for Security Solutions increased to 49.7% for the second quarter of 2021 from 43.0% for the same period in 2020. Gross margin for Secure Networks increased to 23.8% for the second quarter of 2021 from 20.1% for the same period in 2020.</w:t>
      </w:r>
    </w:p>
    <w:p>
      <w:pPr>
        <w:spacing w:after="0" w:line="13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Selling, general, and administrative (“SG&amp;A”) expense increased by 212.7% to $39.1 million for the second quarter of 2021, from $12.5 million for the same period in 2020, primarily attributable to increases in stock-based compensation of $20.5 million, labor costs of $4.1 million, outside services of $1.1 million, and trade shows costs of $0.5 million, offset by a decrease in bonus costs of $1.1 million.</w:t>
      </w:r>
    </w:p>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loss was $18.6 million for the second quarter of 2021, compared to $5.1 million operating income for the same period in 2020, primarily due to the stock-based compensation expense related to the RSUs granted in the first quarter of 2021.</w:t>
      </w:r>
    </w:p>
    <w:p>
      <w:pPr>
        <w:spacing w:after="0" w:line="14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Interest expense decreased by 90.4% to $0.2 million for the second quarter of 2021, from $2.0 million for the same period in 2020, primarily due to the repayment of the EnCap loan, subordinated debt, and redemption of public preferred stock upon the closing of our IPO in November 2020.</w:t>
      </w:r>
    </w:p>
    <w:p>
      <w:pPr>
        <w:spacing w:after="0" w:line="10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Income tax provision was $13,000 for the second quarter of 2021, compared to $2,000 for the same period in 2020, which is based on the estimated annual effective tax rate applied to the pretax loss incurred for the quarter plus discreet tax items, based on our expectation of pretax loss for the fiscal year.</w:t>
      </w:r>
    </w:p>
    <w:p>
      <w:pPr>
        <w:spacing w:after="0" w:line="8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Net loss attributable to Telos Corporation was $18.7 million for the second quarter of 2021, compared to $0.3 million of net income attributable to Telos Corporation for the same period in 2020, primarily due to the stock-based compensation recorded in the second quarter of 2021 as mentioned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with Six Months Ended June 30, 2020</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Revenue increased by 23.7% to $108.3 million for the six months ended June 30, 2021, from $87.6 million for the same period in 2020. Security Solutions revenue was $54.0 million and $61.5 million for the six months ended June 30, 2021 and 2020, respectively. This decrease of approximately 12.2% was driven primarily by a decrease of $9.5 million in sales of offerings in Telos ID on the contract with the U.S. Census Bureau as the contract ramps down, offset by various increases in Information Assurance and Secure Communications offerings. Secure Networks revenue was $54.3 million and $26.1 million for the six months ended June 30, 2021 and 2020, respectively. This increase of approximately 108.0% resulted from various contracts with the DoD, primarily in our Secure Mobility Solutions offerings. Due to the various solutions offerings within the business groups, sales may vary from period to period according to the solution mix and timing of deliverables for a particular period.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Cost of sales increased by 27.1% to $73.4 million for the six months ended June 30, 2021, from $57.8 million for the same period in 2020 as a result of increases in revenue. Cost of sales for Security Solutions decreased to $29.3 million (inclusive of $1.3 million of stock-based compensation) for the six months ended June 30, 2021 from $36.8 million for the same period in 2020 (which had no stock-based compensation), which translates as a decrease in the cost of sales as a percentage of revenue to 54.3% from 59.8%, due to a change in the mix and nature of the programs. Cost of sales for Secure Networks increased to $44.1 million (inclusive of $0.2 million of stock-based compensation) for the six months ended June 30, 2021 from $21.0 million for the same period in 2020 (which had no stock-based compensation), which translates as an increase in the cost of sales as a percentage of revenue to 81.2% from 80.5%.</w:t>
      </w:r>
    </w:p>
    <w:p>
      <w:pPr>
        <w:spacing w:after="0" w:line="16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Gross profit increased by 17.1% to $34.9 million for the six months ended June 30, 2021 from $29.8 million for the same period in 2020. Gross profit for Security Solutions was $24.7 million for the six months ended June 30, 2021 and for the same period 2020. Gross profit for Secure Networks increased to $10.2 million for the six months ended June 30, 2021 from $5.1 million for the six months ended June 30, 2020. Gross margin decreased to 32.2% for the second quarter of 2021 from 34.0% for the same period in 2020, due to stock-based compensation and various changes in the mix of contracts in all business lines as discussed above. Gross margin for Security Solutions increased to 45.7% for the second quarter of 2021 from 40.2% for the same period in 2020. Gross margin for Secure Networks decreased to 18.8% for the second quarter of 2021 from 19.5% for the same period in 2020.</w:t>
      </w:r>
    </w:p>
    <w:p>
      <w:pPr>
        <w:spacing w:after="0" w:line="12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SG&amp;A expense increased by 175.1% to $67.0 million for the six months ended June 30, 2021, from $24.3 million for the same period in 2020, primarily attributable to increases in stock-based compensation of $33.5 million, labor costs of $6.3 million, outside services of $2.0 million, insurance costs of $0.7 million, and trade shows costs of $0.7 million, offset by the capitalization of software development costs of $0.5 million and a decrease in bonus costs of $1.5 million.</w:t>
      </w:r>
    </w:p>
    <w:p>
      <w:pPr>
        <w:spacing w:after="0" w:line="14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Operating loss was $32.1 million for the six months ended June 30, 2021, compared to $5.5 million of operating income for the same period in 2020, primarily due to the stock-based compensation recorded as of the second quarter of 2021 as mentioned above.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of $1.0 million for the six months ended June 30, 2021 was as a result of the settlement of outstanding litigation.</w:t>
      </w:r>
    </w:p>
    <w:p>
      <w:pPr>
        <w:spacing w:after="0" w:line="18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Interest expense decreased by 90.3% to $0.4 million for the six months ended June 30, 2021, from $4.0 million for the same period in 2020, primarily due to the repayment of the EnCap loan, subordinated debt, and redemption of public preferred stock upon the closing of our IPO in November 2020.</w:t>
      </w:r>
    </w:p>
    <w:p>
      <w:pPr>
        <w:spacing w:after="0" w:line="8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Income tax provision was $47,000 for the six months ended June 30, 2021, compared to $144,000 income tax benefit for the same period in 2020, which is based on the estimated annual effective tax rate applied to the pretax loss incurred for the six months period plus discreet tax items, based on our expectation of pretax loss for the fiscal year.</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loss attributable to Telos Corporation was $33.5 million for the six months ended June 30, 2021, compared to $2.0 million for the same period in 2020, primarily attributable to the stock-based compensation recorded in 2021 as mentioned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9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Company's total assets as of June 30, 2021 were $220.1 million compared to $183.8 million as of December 31, 2020. The increase in total assets was primarily attributable to an increase in cash and cash equivalents provided by the follow-on offering and an increase in accounts receivables due to higher revenue generation during the three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Company's total liabilities as of June 30, 2021 were $55.4 million compared to $56.7 million as of December 31, 2020. The decrease in total liabilities was primarily attributable to payments made under our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June 30, 2021, the Company had a total equity of $164.7 million compared to $127.1 million as of December 31, 2020. The increase in equity is primarily driven by the follow-on offering that raised $64.3 million and stock-based compensation of $35.0 million; offset by the repurchase of the common stock and outstanding warrants held by the EnCap fund holders for $1.3 million and $26.9 million, respectively. The Company reported a net loss of $33.5 million for the six months ended June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to our results determined in accordance with GAAP, we believe the non-GAAP financial measures of Enterprise EBITDA, Adjusted EBITDA, Adjusted Net Income (Loss) and Adjusted EPS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6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EBITDA and Adjusted EBITDA</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Both Enterprise EBITDA and Adjusted EBITDA are supplemental measures of operating performance that are not made under GAAP and that does not represent, and should not be considered as, an alternative to net (loss) income as determined by GAAP. We define Enterprise EBITDA as net (loss) income attributable to Telos Corporation, adjusted for net income attributable to non-controlling interest, non-operating expense (income), interest expense, provision for (benefit from) income taxes, and depreciation and amortization. We define Adjusted EBITDA as Enterprise EBITDA, adjusted for transaction gains/losses/expenses related to our IPO and stock-based compensation expense.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Enterprise EBITDA and Adjusted EBITDA to net (loss) income attributable to Telos Corporation,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Telos Corporation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 EBITDA</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r>
      <w:tr>
        <w:trPr>
          <w:trHeight w:val="223"/>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(Loss) and Adjusted EPS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adjusted measures of Net Income (Loss) and Adjusted EPS, (defined as “Adjusted Net Income (Loss)” and “Adjusted EPS”, respectively) are supplemental measures of operating performance that are not made under GAAP and that does not represent, and should not be considered as, alternatives to net income (loss) as determined by GAAP. We define Adjusted Net Income (Loss) as net income (loss) attributable to Telos Corporation, adjusted for non-operating expense (income) and stock-based compensation expense. We define Adjusted EPS as Adjusted Net Income (Loss) divided by the weighted-average number of common shares outstanding for the period.</w:t>
      </w:r>
    </w:p>
    <w:p>
      <w:pPr>
        <w:spacing w:after="0" w:line="14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reconciliation of Adjusted Net Loss and Adjusted EPS to net (loss) income attributable to Telos Corporation, the most directly comparable GAAP measure,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June 30,</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r>
      <w:tr>
        <w:trPr>
          <w:trHeight w:val="169"/>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3"/>
              </w:rPr>
              <w:t>Adjusted Earnings</w:t>
            </w:r>
          </w:p>
        </w:tc>
      </w:tr>
      <w:tr>
        <w:trPr>
          <w:trHeight w:val="229"/>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 Share</w:t>
            </w:r>
          </w:p>
        </w:tc>
      </w:tr>
      <w:tr>
        <w:trPr>
          <w:trHeight w:val="223"/>
        </w:trPr>
        <w:tc>
          <w:tcPr>
            <w:tcW w:w="4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non-GAAP measure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of common stock outstanding</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r>
      <w:tr>
        <w:trPr>
          <w:trHeight w:val="169"/>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Adjusted Earnings</w:t>
            </w:r>
          </w:p>
        </w:tc>
      </w:tr>
      <w:tr>
        <w:trPr>
          <w:trHeight w:val="229"/>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Per Share</w:t>
            </w:r>
          </w:p>
        </w:tc>
      </w:tr>
      <w:tr>
        <w:trPr>
          <w:trHeight w:val="223"/>
        </w:trPr>
        <w:tc>
          <w:tcPr>
            <w:tcW w:w="4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3"/>
              </w:rPr>
              <w:t>(0.51)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1"/>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Arial" w:cs="Arial" w:eastAsia="Arial" w:hAnsi="Arial"/>
                <w:sz w:val="18"/>
                <w:szCs w:val="18"/>
                <w:color w:val="auto"/>
                <w:w w:val="91"/>
              </w:rPr>
              <w:t>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non-GAAP measure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1"/>
              </w:rPr>
              <w:t>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of common stock outstanding</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65,621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Each of Enterprise EBITDA, Adjusted EBITDA, Adjusted Net Income (Loss) and Adjusted EPS has limitations as an analytical tool, and you should not consider any of them in isolation, or as a substitute for analysis of our results as reported under GAAP. Among other limitations, each of Enterprise EBITDA, Adjusted EBITDA, Adjusted Net Income (Loss) and Adjusted EPS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Net Income (Loss) and Adjusted EPS differently than we do, which limits its usefulness as a comparative measure. Because of these limitations, neither Enterprise EBITDA, Adjusted EBITDA, Adjusted Net Income (Loss) nor Adjusted EPS should be considered as a replacement for net income (loss) or earnings per share, as determined by GAAP, or as a measure of our profitability. We compensate for these limitations by relying primarily on our GAAP results and using non-GAAP measures only for supplemental purposes.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Upon the closing of our IPO, we issued 17.2 million shares of our common stock at a price of $17.00 per share, generating net proceeds of approximately $272.8 million. We used approximately $108.9 million of the net proceeds in connection with the ERPS Conversion (see Note 6 – Exchangeable Redeemable Preferred Stock Conversion), $30.0 million to fund our acquisition of the outstanding Class B Units of Telos ID (see Note 2 – Non-controlling Interest / Purchase of Telos ID), $21.0 million to repay our outstanding senior term loan and subordinated debt (see Note 5 – Current Liabilities and Debt Obligations).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900,970 outstanding warrants for our common stock held by EnCap fund holders (see Note 5 - Current Liabilities and Debt Obligations).</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intend to use the remaining net proceeds from the IPO and the follow-on offering for general corporate purposes. We also may use a portion of the net proceeds to acquire complementary businesses, products, services, or technologies. The amounts and timing of our actual use of the net proceeds will vary depending on numerous factors. Proceeds held by us are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16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working capital was $139.7 million and $105.2 million as of June 30, 2021 and December 31, 2020, respectively. Although no assurances can be given, we expect that funds generated from operations are sufficient to maintain the liquidity we require to meet our operating, investing and financing needs for the next 12 months.</w:t>
      </w:r>
    </w:p>
    <w:p>
      <w:pPr>
        <w:spacing w:after="0" w:line="14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Cash used in operating activities was $5.8 million for the six months ended June 30, 2021, compared to cash provided by operating activities of $0.8 million for the same period in 2020. Cash provided by or used in operating activities is primarily driven by the Company’s operating income, the timing of receipt of customer payments, the timing of its payments to vendors and employees, and the timing of inventory turnover, adjusted for certain non-cash items that do not impact cash flows from operating activities.</w:t>
      </w:r>
    </w:p>
    <w:p>
      <w:pPr>
        <w:spacing w:after="0" w:line="146"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Cash used in investing activities was approximately $4.7 million and $3.5 million for the six months ended June 30, 2021 and 2020, respectively, primarily due to software development costs of $3.7 million and $3.2 million for the six months ended June 30, 2021 and 2020, respectively.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provided by financing activities was $35.5 million for the six months ended June 30, 2021 compared to cash used in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 million for the same period in 2020, primarily attributable to the proceeds from the follow-on offering that generated $64.3 million of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by $26.9 million used to repurchase the outstanding warrants and $1.3 million to repurchase the common stock held by EnCap fund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the Condensed Consolidated Financial Statements for a discussion of recently issued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three months ended June 30, 2021, there were no material changes to our critical accounting policies as reported in our Annual Report on Form 10-K for the year ended December 31, 2020 as filed with the SEC on March 25, 2021.</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of the effectiveness of our disclosure controls and procedures as of June 30, 2021 was performed under the supervision and with the participation of our management, including the Chief Executive Officer and Chief Financial Officer. Based on that evaluation, our Chief Executive Officer and Chief Financial Officer have concluded that our disclosure controls and procedures are effective to ensure that information required to be disclosed by the Company in its reports that it files or submits under the Exchange Act is recorded, processed, summarized and reported within the time periods specified in the Securities and Exchange Commission rules and forms, and that information required to be disclosed by the Company in the reports the Company files or submits under the Exchange Act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9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regarding legal proceedings may be found in Note 8 – Commitments, Contingencies and Subsequent Events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were no material changes in the period ended June 30, 2021 in our risk factors as disclosed in our Annual Report on Form 10-K for the year ended December 31, 2020.</w:t>
      </w:r>
    </w:p>
    <w:p>
      <w:pPr>
        <w:spacing w:after="0" w:line="1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ind w:left="1300" w:right="7500" w:hanging="644"/>
        <w:spacing w:after="0" w:line="532" w:lineRule="auto"/>
        <w:tabs>
          <w:tab w:leader="none" w:pos="129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Unregistered Sales of Securities </w:t>
      </w:r>
      <w:r>
        <w:rPr>
          <w:rFonts w:ascii="Arial" w:cs="Arial" w:eastAsia="Arial" w:hAnsi="Arial"/>
          <w:sz w:val="18"/>
          <w:szCs w:val="18"/>
          <w:color w:val="auto"/>
        </w:rPr>
        <w:t>None.</w:t>
      </w:r>
    </w:p>
    <w:p>
      <w:pPr>
        <w:ind w:left="1300" w:right="8720" w:hanging="644"/>
        <w:spacing w:after="0" w:line="598" w:lineRule="auto"/>
        <w:tabs>
          <w:tab w:leader="none" w:pos="129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256"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common share repurchases during the three months ended June 30, 2021:</w:t>
      </w: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84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number of</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Average price paid per</w:t>
            </w:r>
          </w:p>
        </w:tc>
      </w:tr>
      <w:tr>
        <w:trPr>
          <w:trHeight w:val="230"/>
        </w:trPr>
        <w:tc>
          <w:tcPr>
            <w:tcW w:w="5100" w:type="dxa"/>
            <w:vAlign w:val="bottom"/>
          </w:tcPr>
          <w:p>
            <w:pPr>
              <w:spacing w:after="0"/>
              <w:rPr>
                <w:sz w:val="19"/>
                <w:szCs w:val="19"/>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purchased</w:t>
            </w:r>
          </w:p>
        </w:tc>
        <w:tc>
          <w:tcPr>
            <w:tcW w:w="660" w:type="dxa"/>
            <w:vAlign w:val="bottom"/>
          </w:tcPr>
          <w:p>
            <w:pPr>
              <w:spacing w:after="0"/>
              <w:rPr>
                <w:sz w:val="19"/>
                <w:szCs w:val="19"/>
                <w:color w:val="auto"/>
              </w:rPr>
            </w:pPr>
          </w:p>
        </w:tc>
        <w:tc>
          <w:tcPr>
            <w:tcW w:w="1520" w:type="dxa"/>
            <w:vAlign w:val="bottom"/>
          </w:tcPr>
          <w:p>
            <w:pPr>
              <w:jc w:val="right"/>
              <w:ind w:right="790"/>
              <w:spacing w:after="0"/>
              <w:rPr>
                <w:sz w:val="20"/>
                <w:szCs w:val="20"/>
                <w:color w:val="auto"/>
              </w:rPr>
            </w:pPr>
            <w:r>
              <w:rPr>
                <w:rFonts w:ascii="Arial" w:cs="Arial" w:eastAsia="Arial" w:hAnsi="Arial"/>
                <w:sz w:val="18"/>
                <w:szCs w:val="18"/>
                <w:b w:val="1"/>
                <w:bCs w:val="1"/>
                <w:color w:val="auto"/>
              </w:rPr>
              <w:t>share</w:t>
            </w:r>
          </w:p>
        </w:tc>
      </w:tr>
      <w:tr>
        <w:trPr>
          <w:trHeight w:val="223"/>
        </w:trPr>
        <w:tc>
          <w:tcPr>
            <w:tcW w:w="5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April 19, 2021</w:t>
            </w:r>
            <w:r>
              <w:rPr>
                <w:rFonts w:ascii="Arial" w:cs="Arial" w:eastAsia="Arial" w:hAnsi="Arial"/>
                <w:sz w:val="9"/>
                <w:szCs w:val="9"/>
                <w:color w:val="auto"/>
              </w:rPr>
              <w:t>(1)</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39,682</w:t>
            </w: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r>
      <w:tr>
        <w:trPr>
          <w:trHeight w:val="223"/>
        </w:trPr>
        <w:tc>
          <w:tcPr>
            <w:tcW w:w="5100" w:type="dxa"/>
            <w:vAlign w:val="bottom"/>
          </w:tcPr>
          <w:p>
            <w:pPr>
              <w:ind w:left="68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39,682</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r>
      <w:tr>
        <w:trPr>
          <w:trHeight w:val="20"/>
        </w:trPr>
        <w:tc>
          <w:tcPr>
            <w:tcW w:w="5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300" w:right="320" w:firstLine="4"/>
        <w:spacing w:after="0" w:line="273" w:lineRule="auto"/>
        <w:tabs>
          <w:tab w:leader="none" w:pos="15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April 19, 2021, the Company repurchased 39,682 shares of common stock for an aggregate purchase price of $1.3 million from EnCap in a privately negotiated transaction.</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98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132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Number</w:t>
            </w:r>
          </w:p>
        </w:tc>
        <w:tc>
          <w:tcPr>
            <w:tcW w:w="98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vMerge w:val="restart"/>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10.</w:t>
              </w:r>
            </w:hyperlink>
            <w:r>
              <w:rPr>
                <w:rFonts w:ascii="Arial" w:cs="Arial" w:eastAsia="Arial" w:hAnsi="Arial"/>
                <w:sz w:val="18"/>
                <w:szCs w:val="18"/>
                <w:u w:val="single" w:color="auto"/>
                <w:color w:val="0000FF"/>
              </w:rPr>
              <w:t>1*+</w:t>
            </w:r>
          </w:p>
        </w:tc>
        <w:tc>
          <w:tcPr>
            <w:tcW w:w="68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 xml:space="preserve">Executive Employment Agreement between Mark Bendza and the Company, dated as of July 19, 2021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w:t>
            </w:r>
          </w:p>
        </w:tc>
        <w:tc>
          <w:tcPr>
            <w:tcW w:w="0" w:type="dxa"/>
            <w:vAlign w:val="bottom"/>
          </w:tcPr>
          <w:p>
            <w:pPr>
              <w:spacing w:after="0"/>
              <w:rPr>
                <w:sz w:val="1"/>
                <w:szCs w:val="1"/>
                <w:color w:val="auto"/>
              </w:rPr>
            </w:pPr>
          </w:p>
        </w:tc>
      </w:tr>
      <w:tr>
        <w:trPr>
          <w:trHeight w:val="156"/>
        </w:trPr>
        <w:tc>
          <w:tcPr>
            <w:tcW w:w="6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74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auto"/>
              </w:rPr>
              <w:t>Exhibit 10.1 filed with the Company's Current Report on Form 8-K on July 19, 2021)</w:t>
            </w: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31.</w:t>
              </w:r>
              <w:r>
                <w:rPr>
                  <w:rFonts w:ascii="Arial" w:cs="Arial" w:eastAsia="Arial" w:hAnsi="Arial"/>
                  <w:sz w:val="18"/>
                  <w:szCs w:val="18"/>
                  <w:u w:val="single" w:color="auto"/>
                  <w:color w:val="0000FF"/>
                  <w:w w:val="87"/>
                </w:rPr>
                <w:t>1+</w:t>
              </w:r>
            </w:hyperlink>
          </w:p>
        </w:tc>
        <w:tc>
          <w:tcPr>
            <w:tcW w:w="1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Chief Executive Officer pursuant to Section 302 of the Sarbanes-Oxley Act of 2002</w:t>
              </w:r>
            </w:hyperlink>
          </w:p>
        </w:tc>
        <w:tc>
          <w:tcPr>
            <w:tcW w:w="26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gridSpan w:val="2"/>
          </w:tcPr>
          <w:p>
            <w:pPr>
              <w:spacing w:after="0"/>
              <w:rPr>
                <w:rFonts w:ascii="Arial" w:cs="Arial" w:eastAsia="Arial" w:hAnsi="Arial"/>
                <w:sz w:val="18"/>
                <w:szCs w:val="18"/>
                <w:color w:val="0000FF"/>
                <w:w w:val="87"/>
              </w:rPr>
            </w:pPr>
            <w:hyperlink w:anchor="page52">
              <w:r>
                <w:rPr>
                  <w:rFonts w:ascii="Arial" w:cs="Arial" w:eastAsia="Arial" w:hAnsi="Arial"/>
                  <w:sz w:val="18"/>
                  <w:szCs w:val="18"/>
                  <w:color w:val="0000FF"/>
                  <w:w w:val="87"/>
                </w:rPr>
                <w:t>31.</w:t>
              </w:r>
              <w:r>
                <w:rPr>
                  <w:rFonts w:ascii="Arial" w:cs="Arial" w:eastAsia="Arial" w:hAnsi="Arial"/>
                  <w:sz w:val="18"/>
                  <w:szCs w:val="18"/>
                  <w:u w:val="single" w:color="auto"/>
                  <w:color w:val="0000FF"/>
                  <w:w w:val="87"/>
                </w:rPr>
                <w:t>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4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8"/>
                <w:szCs w:val="18"/>
                <w:color w:val="0000FF"/>
                <w:w w:val="85"/>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8720" w:type="dxa"/>
            <w:vAlign w:val="bottom"/>
            <w:gridSpan w:val="5"/>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5"/>
          </w:tcPr>
          <w:p>
            <w:pPr>
              <w:spacing w:after="0" w:line="196" w:lineRule="exact"/>
              <w:rPr>
                <w:sz w:val="20"/>
                <w:szCs w:val="20"/>
                <w:color w:val="auto"/>
              </w:rPr>
            </w:pPr>
            <w:r>
              <w:rPr>
                <w:rFonts w:ascii="Arial" w:cs="Arial" w:eastAsia="Arial" w:hAnsi="Arial"/>
                <w:sz w:val="18"/>
                <w:szCs w:val="18"/>
                <w:color w:val="auto"/>
              </w:rPr>
              <w:t>101.INS**</w:t>
            </w:r>
          </w:p>
        </w:tc>
        <w:tc>
          <w:tcPr>
            <w:tcW w:w="9800" w:type="dxa"/>
            <w:vAlign w:val="bottom"/>
            <w:gridSpan w:val="6"/>
          </w:tcPr>
          <w:p>
            <w:pPr>
              <w:spacing w:after="0" w:line="19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32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29"/>
        </w:trPr>
        <w:tc>
          <w:tcPr>
            <w:tcW w:w="132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29"/>
        </w:trPr>
        <w:tc>
          <w:tcPr>
            <w:tcW w:w="132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30"/>
        </w:trPr>
        <w:tc>
          <w:tcPr>
            <w:tcW w:w="132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9"/>
        </w:trPr>
        <w:tc>
          <w:tcPr>
            <w:tcW w:w="132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520" w:type="dxa"/>
            <w:vAlign w:val="bottom"/>
            <w:gridSpan w:val="3"/>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5680" w:firstLine="8"/>
        <w:spacing w:after="0" w:line="258"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 + filed herewith</w:t>
      </w:r>
    </w:p>
    <w:p>
      <w:pPr>
        <w:spacing w:after="0" w:line="1" w:lineRule="exact"/>
        <w:rPr>
          <w:rFonts w:ascii="Arial" w:cs="Arial" w:eastAsia="Arial" w:hAnsi="Arial"/>
          <w:sz w:val="18"/>
          <w:szCs w:val="18"/>
          <w:color w:val="auto"/>
        </w:rPr>
      </w:pPr>
    </w:p>
    <w:p>
      <w:pPr>
        <w:ind w:right="620"/>
        <w:spacing w:after="0" w:line="260" w:lineRule="auto"/>
        <w:rPr>
          <w:rFonts w:ascii="Arial" w:cs="Arial" w:eastAsia="Arial" w:hAnsi="Arial"/>
          <w:sz w:val="18"/>
          <w:szCs w:val="18"/>
          <w:color w:val="auto"/>
        </w:rPr>
      </w:pPr>
      <w:r>
        <w:rPr>
          <w:rFonts w:ascii="Arial" w:cs="Arial" w:eastAsia="Arial" w:hAnsi="Arial"/>
          <w:sz w:val="18"/>
          <w:szCs w:val="18"/>
          <w:color w:val="auto"/>
        </w:rPr>
        <w:t>** 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6" w:name="page37"/>
    <w:bookmarkEnd w:id="3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6"/>
          <w:szCs w:val="16"/>
          <w:color w:val="auto"/>
        </w:rPr>
        <w:t>TELOS CORPORATION</w:t>
      </w:r>
    </w:p>
    <w:p>
      <w:pPr>
        <w:spacing w:after="0" w:line="200" w:lineRule="exact"/>
        <w:rPr>
          <w:sz w:val="20"/>
          <w:szCs w:val="20"/>
          <w:color w:val="auto"/>
        </w:rPr>
      </w:pP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34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John B. Wood</w:t>
      </w:r>
    </w:p>
    <w:p>
      <w:pPr>
        <w:ind w:left="50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2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34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Mark Bendza</w:t>
      </w:r>
    </w:p>
    <w:p>
      <w:pPr>
        <w:ind w:left="502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00"/>
          </w:cols>
          <w:pgMar w:left="320" w:top="125" w:right="97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AGREEMENT</w:t>
      </w:r>
      <w:r>
        <w:rPr>
          <w:rFonts w:ascii="Arial" w:cs="Arial" w:eastAsia="Arial" w:hAnsi="Arial"/>
          <w:sz w:val="22"/>
          <w:szCs w:val="22"/>
          <w:color w:val="auto"/>
        </w:rPr>
        <w:t xml:space="preserve"> (“Agreement”) is made and entered into as of this 19th day of July, 2021 by and between Telos Corporation, a Maryland corporation, for itself and its subsidiary companies, divisions, affiliates and operating entities (the “Company”) and </w:t>
      </w:r>
      <w:r>
        <w:rPr>
          <w:rFonts w:ascii="Arial" w:cs="Arial" w:eastAsia="Arial" w:hAnsi="Arial"/>
          <w:sz w:val="22"/>
          <w:szCs w:val="22"/>
          <w:b w:val="1"/>
          <w:bCs w:val="1"/>
          <w:color w:val="auto"/>
        </w:rPr>
        <w:t>Mark Bendza</w:t>
      </w:r>
      <w:r>
        <w:rPr>
          <w:rFonts w:ascii="Arial" w:cs="Arial" w:eastAsia="Arial" w:hAnsi="Arial"/>
          <w:sz w:val="22"/>
          <w:szCs w:val="22"/>
          <w:color w:val="auto"/>
        </w:rPr>
        <w:t xml:space="preserve"> (the “Executive”).</w:t>
      </w:r>
    </w:p>
    <w:p>
      <w:pPr>
        <w:spacing w:after="0" w:line="201"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WHEREAS, the Company and the Executive desire to enter into this Agreement pertaining to the employment of the Executive by the Company.</w:t>
      </w:r>
    </w:p>
    <w:p>
      <w:pPr>
        <w:spacing w:after="0" w:line="19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9"/>
          <w:szCs w:val="19"/>
          <w:color w:val="auto"/>
        </w:rPr>
        <w:t>NOW, THEREFORE, in consideration of the mutual covenants and agreements set forth below and other good and valuable consideration, the receipt of which is hereby acknowledged, the Executive and the Company hereby agree as follows:</w:t>
      </w:r>
    </w:p>
    <w:p>
      <w:pPr>
        <w:spacing w:after="0" w:line="132" w:lineRule="exact"/>
        <w:rPr>
          <w:sz w:val="20"/>
          <w:szCs w:val="20"/>
          <w:color w:val="auto"/>
        </w:rPr>
      </w:pPr>
    </w:p>
    <w:p>
      <w:pPr>
        <w:ind w:left="1300" w:hanging="725"/>
        <w:spacing w:after="0"/>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u w:val="single" w:color="auto"/>
          <w:color w:val="auto"/>
        </w:rPr>
        <w:t>Performance of Services</w:t>
      </w:r>
      <w:r>
        <w:rPr>
          <w:rFonts w:ascii="Arial" w:cs="Arial" w:eastAsia="Arial" w:hAnsi="Arial"/>
          <w:sz w:val="21"/>
          <w:szCs w:val="21"/>
          <w:color w:val="auto"/>
        </w:rPr>
        <w:t>. The Executive’s employment with the Company shall be subject to the following:</w:t>
      </w:r>
    </w:p>
    <w:p>
      <w:pPr>
        <w:spacing w:after="0" w:line="231" w:lineRule="exact"/>
        <w:rPr>
          <w:rFonts w:ascii="Arial" w:cs="Arial" w:eastAsia="Arial" w:hAnsi="Arial"/>
          <w:sz w:val="21"/>
          <w:szCs w:val="21"/>
          <w:color w:val="auto"/>
        </w:rPr>
      </w:pPr>
    </w:p>
    <w:p>
      <w:pPr>
        <w:ind w:left="660" w:hanging="652"/>
        <w:spacing w:after="0" w:line="239" w:lineRule="auto"/>
        <w:tabs>
          <w:tab w:leader="none" w:pos="657"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Subject to the terms of this Agreement, the Company hereby agrees to employ the Executive as its Chief Financial Officer, during the Agreement Term (as defined below).</w:t>
      </w:r>
    </w:p>
    <w:p>
      <w:pPr>
        <w:spacing w:after="0" w:line="198" w:lineRule="exact"/>
        <w:rPr>
          <w:rFonts w:ascii="Arial" w:cs="Arial" w:eastAsia="Arial" w:hAnsi="Arial"/>
          <w:sz w:val="22"/>
          <w:szCs w:val="22"/>
          <w:color w:val="auto"/>
        </w:rPr>
      </w:pPr>
    </w:p>
    <w:p>
      <w:pPr>
        <w:ind w:left="660" w:hanging="652"/>
        <w:spacing w:after="0" w:line="239"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22"/>
          <w:szCs w:val="22"/>
          <w:color w:val="auto"/>
        </w:rPr>
        <w:t>During the Agreement Term, the Executive shall devote full time (paid time off and other authorized leave excepted) and best efforts, energies and talents to serving the Company as an employee.</w:t>
      </w:r>
    </w:p>
    <w:p>
      <w:pPr>
        <w:spacing w:after="0" w:line="198" w:lineRule="exact"/>
        <w:rPr>
          <w:rFonts w:ascii="Arial" w:cs="Arial" w:eastAsia="Arial" w:hAnsi="Arial"/>
          <w:sz w:val="22"/>
          <w:szCs w:val="22"/>
          <w:color w:val="auto"/>
        </w:rPr>
      </w:pPr>
    </w:p>
    <w:p>
      <w:pPr>
        <w:jc w:val="both"/>
        <w:ind w:left="660" w:hanging="652"/>
        <w:spacing w:after="0" w:line="272" w:lineRule="auto"/>
        <w:tabs>
          <w:tab w:leader="none" w:pos="657"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Executive agrees to perform his duties faithfully, efficiently and with integrity subject to the direction of the Company. The Executive will have such authority, power, responsibilities and duties as are inherent in such position and necessary to carry out such responsibilities and the duties required hereunder, as well as any additional duties and authority granted to him by the Company’s Chief Executive Officer and/or Board of Directors (the “Board of Directors”).</w:t>
      </w:r>
    </w:p>
    <w:p>
      <w:pPr>
        <w:spacing w:after="0" w:line="170" w:lineRule="exact"/>
        <w:rPr>
          <w:rFonts w:ascii="Arial" w:cs="Arial" w:eastAsia="Arial" w:hAnsi="Arial"/>
          <w:sz w:val="19"/>
          <w:szCs w:val="19"/>
          <w:color w:val="auto"/>
        </w:rPr>
      </w:pPr>
    </w:p>
    <w:p>
      <w:pPr>
        <w:jc w:val="both"/>
        <w:ind w:left="660" w:hanging="652"/>
        <w:spacing w:after="0" w:line="224"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Notwithstanding the foregoing, during the Agreement Term, the Executive may devote reasonable time to activities other than those required under this Agreement, including activities involving professional, charitable, educational, religious and similar types of organizations, speaking engagements, membership on the boards of directors of other profit or not-for-profit organizations, and similar activities, to the extent that such other activities do not, in the judgment of the Company, inhibit or prohibit the performance of the Executive’s duties under this Agreement or conflict in any material way with the Company’s business.</w:t>
      </w:r>
    </w:p>
    <w:p>
      <w:pPr>
        <w:spacing w:after="0" w:line="203" w:lineRule="exact"/>
        <w:rPr>
          <w:rFonts w:ascii="Arial" w:cs="Arial" w:eastAsia="Arial" w:hAnsi="Arial"/>
          <w:sz w:val="22"/>
          <w:szCs w:val="22"/>
          <w:color w:val="auto"/>
        </w:rPr>
      </w:pPr>
    </w:p>
    <w:p>
      <w:pPr>
        <w:ind w:left="660" w:hanging="652"/>
        <w:spacing w:after="0" w:line="239" w:lineRule="auto"/>
        <w:tabs>
          <w:tab w:leader="none" w:pos="657"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Executive shall not be required to perform services under this Agreement during any period in which Executive is determined to be Disabled (as defined below).</w:t>
      </w:r>
    </w:p>
    <w:p>
      <w:pPr>
        <w:spacing w:after="0" w:line="198" w:lineRule="exact"/>
        <w:rPr>
          <w:rFonts w:ascii="Arial" w:cs="Arial" w:eastAsia="Arial" w:hAnsi="Arial"/>
          <w:sz w:val="22"/>
          <w:szCs w:val="22"/>
          <w:color w:val="auto"/>
        </w:rPr>
      </w:pPr>
    </w:p>
    <w:p>
      <w:pPr>
        <w:ind w:left="660" w:hanging="652"/>
        <w:spacing w:after="0" w:line="313"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“Agreement Term” shall be the period beginning on July 19, 2021 for a one year period, and thereafter automatically renewing for consecutive one year periods unless terminated in accordance with the provisions hereof.</w:t>
      </w:r>
    </w:p>
    <w:p>
      <w:pPr>
        <w:sectPr>
          <w:pgSz w:w="11900" w:h="16838" w:orient="portrait"/>
          <w:cols w:equalWidth="0" w:num="1">
            <w:col w:w="11240"/>
          </w:cols>
          <w:pgMar w:left="320" w:top="126" w:right="339" w:bottom="1440" w:gutter="0" w:footer="0" w:header="0"/>
        </w:sectPr>
      </w:pPr>
    </w:p>
    <w:bookmarkStart w:id="38" w:name="page39"/>
    <w:bookmarkEnd w:id="38"/>
    <w:p>
      <w:pPr>
        <w:ind w:firstLine="656"/>
        <w:spacing w:after="0" w:line="239" w:lineRule="auto"/>
        <w:tabs>
          <w:tab w:leader="none" w:pos="1296"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While the Executive is employed by the Company pursuant to this Agreement, the Company shall compensate him for his services as follows:</w:t>
      </w:r>
    </w:p>
    <w:p>
      <w:pPr>
        <w:spacing w:after="0" w:line="198" w:lineRule="exact"/>
        <w:rPr>
          <w:rFonts w:ascii="Arial" w:cs="Arial" w:eastAsia="Arial" w:hAnsi="Arial"/>
          <w:sz w:val="22"/>
          <w:szCs w:val="22"/>
          <w:color w:val="auto"/>
        </w:rPr>
      </w:pPr>
    </w:p>
    <w:p>
      <w:pPr>
        <w:jc w:val="both"/>
        <w:ind w:left="660" w:hanging="652"/>
        <w:spacing w:after="0" w:line="231" w:lineRule="auto"/>
        <w:tabs>
          <w:tab w:leader="none" w:pos="65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Executive shall receive an annual base salary of Four Hundred Ten Thousand Dollars ($410,000), effective as of the commencement of employment (the “Salary”), plus any salary increases authorized during the Agreement Term, if any, payable in accordance with the Company’s payroll cycle.</w:t>
      </w:r>
    </w:p>
    <w:p>
      <w:pPr>
        <w:spacing w:after="0" w:line="201" w:lineRule="exact"/>
        <w:rPr>
          <w:rFonts w:ascii="Arial" w:cs="Arial" w:eastAsia="Arial" w:hAnsi="Arial"/>
          <w:sz w:val="22"/>
          <w:szCs w:val="22"/>
          <w:color w:val="auto"/>
        </w:rPr>
      </w:pPr>
    </w:p>
    <w:p>
      <w:pPr>
        <w:jc w:val="both"/>
        <w:ind w:left="660" w:hanging="652"/>
        <w:spacing w:after="0" w:line="224"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The Executive shall have the opportunity to participate in the Company’s annual incentive (or bonus) plan or plans, under the terms and conditions as defined by the Company and in those plans as they may exist from time to time. Any bonus for the Executive shall be subject to the then-existing requirements of the Company governing internal recommendation and approval of such a bonus. Any such annual bonus shall be paid to the Executive as soon as practicable following achievement of the requirements for the bonus, in accordance with the terms of the annual incentive plan or plans.</w:t>
      </w:r>
    </w:p>
    <w:p>
      <w:pPr>
        <w:spacing w:after="0" w:line="203" w:lineRule="exact"/>
        <w:rPr>
          <w:rFonts w:ascii="Arial" w:cs="Arial" w:eastAsia="Arial" w:hAnsi="Arial"/>
          <w:sz w:val="22"/>
          <w:szCs w:val="22"/>
          <w:color w:val="auto"/>
        </w:rPr>
      </w:pPr>
    </w:p>
    <w:p>
      <w:pPr>
        <w:jc w:val="both"/>
        <w:ind w:left="660" w:hanging="652"/>
        <w:spacing w:after="0" w:line="228" w:lineRule="auto"/>
        <w:tabs>
          <w:tab w:leader="none" w:pos="65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The Executive shall be eligible to receive equity awards under the Company’s long-term equity incentive plans under the terms and conditions as defined by the Company and in those plans as they may exist from time to time, and in an amount determined by the Management Development and Compensation Committee, subject to any approval required by the Board of Directors.</w:t>
      </w:r>
    </w:p>
    <w:p>
      <w:pPr>
        <w:spacing w:after="0" w:line="199" w:lineRule="exact"/>
        <w:rPr>
          <w:rFonts w:ascii="Arial" w:cs="Arial" w:eastAsia="Arial" w:hAnsi="Arial"/>
          <w:sz w:val="22"/>
          <w:szCs w:val="22"/>
          <w:color w:val="auto"/>
        </w:rPr>
      </w:pPr>
    </w:p>
    <w:p>
      <w:pPr>
        <w:jc w:val="both"/>
        <w:ind w:left="660" w:hanging="652"/>
        <w:spacing w:after="0" w:line="226"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While the Agreement is in effect, the Company will reimburse the Executive for all reasonable and necessary expenses incurred by the Executive in connection with the performance of his duties for the Company. Such reimbursement is subject to the submission to the Company by the Executive of appropriate documentation and/or vouchers, and will be made in accordance with the customary procedures of the Company for expense reimbursement, as may from time to time be established.</w:t>
      </w:r>
    </w:p>
    <w:p>
      <w:pPr>
        <w:spacing w:after="0" w:line="199" w:lineRule="exact"/>
        <w:rPr>
          <w:rFonts w:ascii="Arial" w:cs="Arial" w:eastAsia="Arial" w:hAnsi="Arial"/>
          <w:sz w:val="22"/>
          <w:szCs w:val="22"/>
          <w:color w:val="auto"/>
        </w:rPr>
      </w:pPr>
    </w:p>
    <w:p>
      <w:pPr>
        <w:jc w:val="both"/>
        <w:ind w:left="660" w:hanging="652"/>
        <w:spacing w:after="0" w:line="228" w:lineRule="auto"/>
        <w:tabs>
          <w:tab w:leader="none" w:pos="65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The Executive shall be eligible to participate in any and all plans maintained by the Company to provide benefits for its salaried senior executives, and, including, without limitation, any vacation plan, pension, profit sharing or other retirement plan, any life, accident, disability, medical, hospital or similar group insurance program and any other benefit plan, subject to the normal terms and conditions of such plans.</w:t>
      </w:r>
    </w:p>
    <w:p>
      <w:pPr>
        <w:spacing w:after="0" w:line="199" w:lineRule="exact"/>
        <w:rPr>
          <w:rFonts w:ascii="Arial" w:cs="Arial" w:eastAsia="Arial" w:hAnsi="Arial"/>
          <w:sz w:val="22"/>
          <w:szCs w:val="22"/>
          <w:color w:val="auto"/>
        </w:rPr>
      </w:pPr>
    </w:p>
    <w:p>
      <w:pPr>
        <w:ind w:left="660" w:hanging="652"/>
        <w:spacing w:after="0" w:line="260"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All payments made to the Executive pursuant to this Agreement are subject to clawback by the Company to the extent required by applicable law or the policies of the Company as in effect from time to time.</w:t>
      </w:r>
    </w:p>
    <w:p>
      <w:pPr>
        <w:spacing w:after="0" w:line="178" w:lineRule="exact"/>
        <w:rPr>
          <w:rFonts w:ascii="Arial" w:cs="Arial" w:eastAsia="Arial" w:hAnsi="Arial"/>
          <w:sz w:val="21"/>
          <w:szCs w:val="21"/>
          <w:color w:val="auto"/>
        </w:rPr>
      </w:pPr>
    </w:p>
    <w:p>
      <w:pPr>
        <w:ind w:firstLine="656"/>
        <w:spacing w:after="0" w:line="239" w:lineRule="auto"/>
        <w:tabs>
          <w:tab w:leader="none" w:pos="1296"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Executive’s employment with the Company pursuant to this Agreement may terminate under the following circumstances (hereinafter referred to as a “Termination”).</w:t>
      </w:r>
    </w:p>
    <w:p>
      <w:pPr>
        <w:spacing w:after="0" w:line="198" w:lineRule="exact"/>
        <w:rPr>
          <w:sz w:val="20"/>
          <w:szCs w:val="20"/>
          <w:color w:val="auto"/>
        </w:rPr>
      </w:pPr>
    </w:p>
    <w:p>
      <w:pPr>
        <w:spacing w:after="0"/>
        <w:tabs>
          <w:tab w:leader="none" w:pos="640" w:val="left"/>
          <w:tab w:leader="none" w:pos="8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his death (referred</w:t>
      </w:r>
      <w:r>
        <w:rPr>
          <w:sz w:val="20"/>
          <w:szCs w:val="20"/>
          <w:color w:val="auto"/>
        </w:rPr>
        <w:tab/>
      </w:r>
      <w:r>
        <w:rPr>
          <w:rFonts w:ascii="Arial" w:cs="Arial" w:eastAsia="Arial" w:hAnsi="Arial"/>
          <w:sz w:val="19"/>
          <w:szCs w:val="19"/>
          <w:color w:val="auto"/>
        </w:rPr>
        <w:t>to hereafter as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39" w:name="page40"/>
    <w:bookmarkEnd w:id="39"/>
    <w:p>
      <w:pPr>
        <w:jc w:val="both"/>
        <w:ind w:left="660" w:hanging="652"/>
        <w:spacing w:after="0" w:line="262" w:lineRule="auto"/>
        <w:tabs>
          <w:tab w:leader="none" w:pos="65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the Executive becomes Disabled, the Company may terminate Executive’s employment. For purposes of this Agreement, the Executive shall be deemed to be “Disabled” if (i) eligible for disability benefits under the Company’s long-term disability plan, or (ii) has a physical or mental disability which renders Executive incapable, after reasonable accommodation, of performing substantially all of Executive’s duties hereunder for a period of 180 days (which need not be consecutive) in any 12-month period. In the event of a dispute as to whether the Executive is Disabled, the Company may, at its expense, refer Executive to a licensed practicing physician of the Company’s choice and the Executive agrees to submit to such tests and examination as such physician shall deem customary and appropriate.</w:t>
      </w:r>
    </w:p>
    <w:p>
      <w:pPr>
        <w:spacing w:after="0" w:line="179" w:lineRule="exact"/>
        <w:rPr>
          <w:rFonts w:ascii="Arial" w:cs="Arial" w:eastAsia="Arial" w:hAnsi="Arial"/>
          <w:sz w:val="19"/>
          <w:szCs w:val="19"/>
          <w:color w:val="auto"/>
        </w:rPr>
      </w:pPr>
    </w:p>
    <w:p>
      <w:pPr>
        <w:jc w:val="both"/>
        <w:ind w:left="660" w:hanging="652"/>
        <w:spacing w:after="0" w:line="235" w:lineRule="auto"/>
        <w:tabs>
          <w:tab w:leader="none" w:pos="657"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The Company may terminate the Executive’s employment hereunder immediately and at any time for Cause by written notice to the Executive detailing the basis for the Cause Termination. For purposes of this Agreement, “Cause” means (i) gross negligence or willful and continued failure by the Executive to substantially perform his duties as an employee of the Company (other than any such failure resulting from incapacity due to physical or mental illness); (ii) Executive’s dishonesty, fraudulent misrepresentation, willful misconduct, malfeasance, violation of fiduciary duty relating to the business of the Company; or (iii) conviction of a felony.</w:t>
      </w:r>
    </w:p>
    <w:p>
      <w:pPr>
        <w:spacing w:after="0" w:line="201" w:lineRule="exact"/>
        <w:rPr>
          <w:rFonts w:ascii="Arial" w:cs="Arial" w:eastAsia="Arial" w:hAnsi="Arial"/>
          <w:sz w:val="21"/>
          <w:szCs w:val="21"/>
          <w:color w:val="auto"/>
        </w:rPr>
      </w:pPr>
    </w:p>
    <w:p>
      <w:pPr>
        <w:ind w:left="660" w:hanging="652"/>
        <w:spacing w:after="0" w:line="239"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The Company may terminate the Executive’s employment hereunder immediately and at any time without Cause (referred to hereafter as “Without Cause”) by written notice to the Executive.</w:t>
      </w:r>
    </w:p>
    <w:p>
      <w:pPr>
        <w:spacing w:after="0" w:line="198" w:lineRule="exact"/>
        <w:rPr>
          <w:rFonts w:ascii="Arial" w:cs="Arial" w:eastAsia="Arial" w:hAnsi="Arial"/>
          <w:sz w:val="22"/>
          <w:szCs w:val="22"/>
          <w:color w:val="auto"/>
        </w:rPr>
      </w:pPr>
    </w:p>
    <w:p>
      <w:pPr>
        <w:ind w:left="660" w:hanging="652"/>
        <w:spacing w:after="0" w:line="239" w:lineRule="auto"/>
        <w:tabs>
          <w:tab w:leader="none" w:pos="65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 The Executive may terminate his employment hereunder at any time for any reason by giving the Company prior written notice not less than thirty (30) days prior to such Termination.</w:t>
      </w:r>
    </w:p>
    <w:p>
      <w:pPr>
        <w:spacing w:after="0" w:line="198" w:lineRule="exact"/>
        <w:rPr>
          <w:rFonts w:ascii="Arial" w:cs="Arial" w:eastAsia="Arial" w:hAnsi="Arial"/>
          <w:sz w:val="22"/>
          <w:szCs w:val="22"/>
          <w:color w:val="auto"/>
        </w:rPr>
      </w:pPr>
    </w:p>
    <w:p>
      <w:pPr>
        <w:ind w:left="660" w:hanging="652"/>
        <w:spacing w:after="0"/>
        <w:tabs>
          <w:tab w:leader="none" w:pos="66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Mutual Agreement</w:t>
      </w:r>
      <w:r>
        <w:rPr>
          <w:rFonts w:ascii="Arial" w:cs="Arial" w:eastAsia="Arial" w:hAnsi="Arial"/>
          <w:sz w:val="21"/>
          <w:szCs w:val="21"/>
          <w:color w:val="auto"/>
        </w:rPr>
        <w:t>. This Agreement may be terminated at any time by mutual written agreement of the parties.</w:t>
      </w:r>
    </w:p>
    <w:p>
      <w:pPr>
        <w:spacing w:after="0" w:line="231" w:lineRule="exact"/>
        <w:rPr>
          <w:rFonts w:ascii="Arial" w:cs="Arial" w:eastAsia="Arial" w:hAnsi="Arial"/>
          <w:sz w:val="21"/>
          <w:szCs w:val="21"/>
          <w:color w:val="auto"/>
        </w:rPr>
      </w:pPr>
    </w:p>
    <w:p>
      <w:pPr>
        <w:jc w:val="both"/>
        <w:ind w:left="660" w:hanging="652"/>
        <w:spacing w:after="0" w:line="231"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Termination within Twelve (12) Months of Change in Control</w:t>
      </w:r>
      <w:r>
        <w:rPr>
          <w:rFonts w:ascii="Arial" w:cs="Arial" w:eastAsia="Arial" w:hAnsi="Arial"/>
          <w:sz w:val="22"/>
          <w:szCs w:val="22"/>
          <w:color w:val="auto"/>
        </w:rPr>
        <w:t>. Termination because of a Change in Control (as defined in paragraph 4(d) below) occurs when the Executive’s employment is terminated by the Company or its successor Without Cause within twelve (12) months after a Change in Control.</w:t>
      </w:r>
    </w:p>
    <w:p>
      <w:pPr>
        <w:spacing w:after="0" w:line="201" w:lineRule="exact"/>
        <w:rPr>
          <w:rFonts w:ascii="Arial" w:cs="Arial" w:eastAsia="Arial" w:hAnsi="Arial"/>
          <w:sz w:val="22"/>
          <w:szCs w:val="22"/>
          <w:color w:val="auto"/>
        </w:rPr>
      </w:pPr>
    </w:p>
    <w:p>
      <w:pPr>
        <w:jc w:val="both"/>
        <w:ind w:left="660" w:hanging="652"/>
        <w:spacing w:after="0" w:line="231"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means the last day that the Executive is employed by the Company under the terms of this Agreement, provided that Executive’s employment is terminated in accordance with one of the foregoing provisions.</w:t>
      </w:r>
    </w:p>
    <w:p>
      <w:pPr>
        <w:spacing w:after="0" w:line="201" w:lineRule="exact"/>
        <w:rPr>
          <w:rFonts w:ascii="Arial" w:cs="Arial" w:eastAsia="Arial" w:hAnsi="Arial"/>
          <w:sz w:val="22"/>
          <w:szCs w:val="22"/>
          <w:color w:val="auto"/>
        </w:rPr>
      </w:pPr>
    </w:p>
    <w:p>
      <w:pPr>
        <w:ind w:firstLine="656"/>
        <w:spacing w:after="0" w:line="239" w:lineRule="auto"/>
        <w:tabs>
          <w:tab w:leader="none" w:pos="1296"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Rights Upon Termination</w:t>
      </w:r>
      <w:r>
        <w:rPr>
          <w:rFonts w:ascii="Arial" w:cs="Arial" w:eastAsia="Arial" w:hAnsi="Arial"/>
          <w:sz w:val="22"/>
          <w:szCs w:val="22"/>
          <w:color w:val="auto"/>
        </w:rPr>
        <w:t>. The Executive’s right to payments and benefits under this Agreement for periods after Termination shall be determined in accordance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40" w:name="page41"/>
    <w:bookmarkEnd w:id="40"/>
    <w:p>
      <w:pPr>
        <w:jc w:val="both"/>
        <w:ind w:left="660" w:hanging="652"/>
        <w:spacing w:after="0" w:line="272" w:lineRule="auto"/>
        <w:tabs>
          <w:tab w:leader="none" w:pos="657"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the Executive’s Termination occurs for Cause, if the Executive terminates the Agreement in accordance with paragraph 3(e) above, if the Executive’s Termination occurs by mutual agreement, or if the Executive’s Termination by the Company Without Cause (as defined below) occurs on or before the date that is six (6) months from the date of the beginning of the Agreement Term as referenced in paragraph 1(f), the Company shall pay to the Executive:</w:t>
      </w:r>
    </w:p>
    <w:p>
      <w:pPr>
        <w:spacing w:after="0" w:line="170" w:lineRule="exact"/>
        <w:rPr>
          <w:rFonts w:ascii="Arial" w:cs="Arial" w:eastAsia="Arial" w:hAnsi="Arial"/>
          <w:sz w:val="19"/>
          <w:szCs w:val="19"/>
          <w:color w:val="auto"/>
        </w:rPr>
      </w:pPr>
    </w:p>
    <w:p>
      <w:pPr>
        <w:ind w:left="1300" w:hanging="644"/>
        <w:spacing w:after="0" w:line="239" w:lineRule="auto"/>
        <w:tabs>
          <w:tab w:leader="none" w:pos="1288"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lump-sum payment equivalent to the remaining unpaid portion of the Executive’s Salary for the period ending on the Date of Termination.</w:t>
      </w:r>
    </w:p>
    <w:p>
      <w:pPr>
        <w:spacing w:after="0" w:line="198" w:lineRule="exact"/>
        <w:rPr>
          <w:rFonts w:ascii="Arial" w:cs="Arial" w:eastAsia="Arial" w:hAnsi="Arial"/>
          <w:sz w:val="22"/>
          <w:szCs w:val="22"/>
          <w:color w:val="auto"/>
        </w:rPr>
      </w:pPr>
    </w:p>
    <w:p>
      <w:pPr>
        <w:ind w:left="1300" w:hanging="644"/>
        <w:spacing w:after="0"/>
        <w:tabs>
          <w:tab w:leader="none" w:pos="13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lump-sum payment for all accrued and unused vacation days.</w:t>
      </w:r>
    </w:p>
    <w:p>
      <w:pPr>
        <w:spacing w:after="0" w:line="219" w:lineRule="exact"/>
        <w:rPr>
          <w:rFonts w:ascii="Arial" w:cs="Arial" w:eastAsia="Arial" w:hAnsi="Arial"/>
          <w:sz w:val="22"/>
          <w:szCs w:val="22"/>
          <w:color w:val="auto"/>
        </w:rPr>
      </w:pPr>
    </w:p>
    <w:p>
      <w:pPr>
        <w:jc w:val="both"/>
        <w:ind w:left="1300" w:hanging="644"/>
        <w:spacing w:after="0" w:line="264"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Any other payments or benefits to be provided to the Executive by the Company pursuant to any employee benefit plans or arrangements adopted by the Company, to the extent such payments and benefits are earned and vested as of the Date of Termination, or are required by law to be offered for periods following the Executive’s Date of Termination. In addition, any bonus which has been earned by Executive and approved by the appropriate corporate authorities but which remains unpaid as of the date of Executive’s Termination, shall be paid to Executive at such time and in such manner as if Executive had continued to be employed by the Company.</w:t>
      </w:r>
    </w:p>
    <w:p>
      <w:pPr>
        <w:spacing w:after="0" w:line="177" w:lineRule="exact"/>
        <w:rPr>
          <w:rFonts w:ascii="Arial" w:cs="Arial" w:eastAsia="Arial" w:hAnsi="Arial"/>
          <w:sz w:val="19"/>
          <w:szCs w:val="19"/>
          <w:color w:val="auto"/>
        </w:rPr>
      </w:pPr>
    </w:p>
    <w:p>
      <w:pPr>
        <w:jc w:val="both"/>
        <w:ind w:left="660" w:hanging="652"/>
        <w:spacing w:after="0" w:line="258" w:lineRule="auto"/>
        <w:tabs>
          <w:tab w:leader="none" w:pos="655"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subsequent to the date that is six (6) months from the date of the beginning of the Agreement Term as referenced in paragraph 1(f), the Company terminates the Executive’s employment Without Cause as referenced in paragraph 3(d) above, or Termination occurs due to Disability in accordance with paragraph 3(b) above, the Company shall pay or provide to the Executive the following: The amounts payable under paragraph 4(a), and in addition, the Executive shall be entitled to monthly payments over a 12-month period of an amount equal to the monthly salary which the Executive was being paid as of the Date of Termination. Such payments will commence as of the month following the date that the Executive incurs a separation from service, as such term is defined in the context of Section 409A of the Code (as defined below). Such payments will continue over the 12-month period in accordance with the Company’s normal payroll cycle. In the event that the Executive dies prior to the completion of the 12-month payment cycle, any amounts remaining unpaid as of the date of Executive’s death will be paid to Executive’s estate in lump sum.</w:t>
      </w:r>
    </w:p>
    <w:p>
      <w:pPr>
        <w:spacing w:after="0" w:line="189" w:lineRule="exact"/>
        <w:rPr>
          <w:rFonts w:ascii="Arial" w:cs="Arial" w:eastAsia="Arial" w:hAnsi="Arial"/>
          <w:sz w:val="19"/>
          <w:szCs w:val="19"/>
          <w:color w:val="auto"/>
        </w:rPr>
      </w:pPr>
    </w:p>
    <w:p>
      <w:pPr>
        <w:jc w:val="both"/>
        <w:ind w:left="660" w:hanging="652"/>
        <w:spacing w:after="0" w:line="226" w:lineRule="auto"/>
        <w:tabs>
          <w:tab w:leader="none" w:pos="657"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subsequent to the date that is six (6) months from the date of the beginning of the Agreement Term as referenced in paragraph 1(f), the Executive’s employment is terminated due to Death in accordance with paragraph 3(a), the Executive’s estate shall be entitled to the amounts payable under paragraph 4(a), and in addition, the Executive’s estate shall be entitled to a lump-sum payment of an amount equal to the amount of monthly salary which the Executive was being paid as of the Date of Termination times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41" w:name="page42"/>
    <w:bookmarkEnd w:id="41"/>
    <w:p>
      <w:pPr>
        <w:jc w:val="both"/>
        <w:ind w:left="660" w:hanging="652"/>
        <w:spacing w:after="0" w:line="252" w:lineRule="auto"/>
        <w:tabs>
          <w:tab w:leader="none" w:pos="655" w:val="left"/>
        </w:tabs>
        <w:numPr>
          <w:ilvl w:val="0"/>
          <w:numId w:val="20"/>
        </w:numPr>
        <w:rPr>
          <w:rFonts w:ascii="Arial" w:cs="Arial" w:eastAsia="Arial" w:hAnsi="Arial"/>
          <w:sz w:val="19"/>
          <w:szCs w:val="19"/>
          <w:color w:val="auto"/>
        </w:rPr>
      </w:pPr>
      <w:r>
        <w:rPr>
          <w:rFonts w:ascii="Arial" w:cs="Arial" w:eastAsia="Arial" w:hAnsi="Arial"/>
          <w:sz w:val="19"/>
          <w:szCs w:val="19"/>
          <w:color w:val="auto"/>
        </w:rPr>
        <w:t>Upon Termination of the Executive’s employment within 12 months after a Change in Control in accordance with paragraph 3(g) (regardless of whether six (6) months has elapsed since the beginning of the Agreement Term as referenced in paragraph 1(f)), Executive shall be entitled to the amounts payable under paragraph 4(a), and in addition, the Executive shall be entitled to a lump-sum payment of amounts equal to the following: (i) the amount of monthly salary which the Executive was being paid as of the Date of Termination times 12 months; plus (ii) one (1) times the Average Bonus Amount (as defined below). For purposes of this Agreement, “Average Bonus Amount” shall equal (x) if, at the time of the Date of Termination, the Executive has been employed by the Company for two calendar years or more, the average amount of the bonus to be earned for the then-current year (i.e., the year in which the Change in Control occurs) and the bonuses received for the two immediately prior years; (y) if, at the time of the Date of Termination, the Executive has been employed by the Company for more than one calendar year but less than two calendar years, the average amount of the bonus to be earned for the then-current year and the bonus received for the prior year; and (z) if, at the time of the Date of Termination, the Executive has been employed by the Company for less than one calendar year, the amount of the bonus to be earned for the then-current year. For purposes of calculating the Average Bonus Amount, the amount of the bonus for the then-current year shall equal the amount earned or scheduled to be earned by the Executive as if the bonus targets set in the bonus plan have been met. The Average Bonus Amount, which is payable in lump sum, shall be paid contemporaneously with the Date of Termination. “Change in Control” means an occasion upon which (i) any one person, or more than one person acting as a group (as defined in Treasury Regulation Section 1.409A-3(i)(5)(v)(B)), other than a member of the Board of Directors or fiduciary holding securities under an employee benefit plan of the Company or a corporation controlled by the Company, acquires (either directly and/or through becoming the “beneficial owner” (as defined in Rule 13d-3 under the Securities Exchange Act)), directly or indirectly, securities of the Company representing 50% or more of the combined voting power of the Company’s then outstanding securities (or has acquired securities representing 50% or more of the combined voting power of the Company’s then outstanding securities during the 12-month period ending on the date of the most recent acquisition of Company securities by such person); or (ii) during any period of twelve (12) consecutive months , a majority of the members of the Board of Directors is replaced by directors whose appointment or election is not endorsed by a majority of the members of the Board of Directors before the date of the appointment or election; or (iii) any one person, or more than one person acting as a group (as defined in Treasury Regulation Section 1.409A-3(i)(5)(v)(B)) acquires (or has acquired during the 12-month period ending on the date of the most recent acquisition by such person or persons) all, or substantially all, of the Company’s assets. Each Change in Control event described in this paragraph is intended to constitute a change in ownership or effective control of the Company or in the ownership of a substantial portion of the Company’s assets within the meaning of Section 409A(a)</w:t>
      </w:r>
    </w:p>
    <w:p>
      <w:pPr>
        <w:spacing w:after="0" w:line="20" w:lineRule="exact"/>
        <w:rPr>
          <w:rFonts w:ascii="Arial" w:cs="Arial" w:eastAsia="Arial" w:hAnsi="Arial"/>
          <w:sz w:val="19"/>
          <w:szCs w:val="19"/>
          <w:color w:val="auto"/>
        </w:rPr>
      </w:pPr>
    </w:p>
    <w:p>
      <w:pPr>
        <w:jc w:val="both"/>
        <w:ind w:left="660"/>
        <w:spacing w:after="0" w:line="266" w:lineRule="auto"/>
        <w:rPr>
          <w:rFonts w:ascii="Arial" w:cs="Arial" w:eastAsia="Arial" w:hAnsi="Arial"/>
          <w:sz w:val="19"/>
          <w:szCs w:val="19"/>
          <w:color w:val="auto"/>
        </w:rPr>
      </w:pPr>
      <w:r>
        <w:rPr>
          <w:rFonts w:ascii="Arial" w:cs="Arial" w:eastAsia="Arial" w:hAnsi="Arial"/>
          <w:sz w:val="19"/>
          <w:szCs w:val="19"/>
          <w:color w:val="auto"/>
        </w:rPr>
        <w:t>(2)(A)(v) of the Internal Revenue Code of 1986, as amended (“Code”), and the IRS guidance issued thereunder and this Agreement shall be interpreted accordingly. For the sake of clarity, and notwithstanding anything to the contrary set forth in this Agreement, the Executive shall not be entitled to any payments under paragraphs 4(b) or 4(c) upon Termination if the Executive receives the payments under this paragraph 4(d)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42" w:name="page43"/>
    <w:bookmarkEnd w:id="42"/>
    <w:p>
      <w:pPr>
        <w:jc w:val="both"/>
        <w:ind w:left="660" w:hanging="652"/>
        <w:spacing w:after="0" w:line="231" w:lineRule="auto"/>
        <w:tabs>
          <w:tab w:leader="none" w:pos="657"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event that the Executive’s employment is terminated for any reason discussed in paragraphs 4(b), 4(c) or 4(d), in addition to the amounts payable under paragraphs 4(b), 4(c) or 4(d) as applicable, the Executive or the Executive’s estate shall be entitled to the following:</w:t>
      </w:r>
    </w:p>
    <w:p>
      <w:pPr>
        <w:spacing w:after="0" w:line="201" w:lineRule="exact"/>
        <w:rPr>
          <w:rFonts w:ascii="Arial" w:cs="Arial" w:eastAsia="Arial" w:hAnsi="Arial"/>
          <w:sz w:val="22"/>
          <w:szCs w:val="22"/>
          <w:color w:val="auto"/>
        </w:rPr>
      </w:pPr>
    </w:p>
    <w:p>
      <w:pPr>
        <w:jc w:val="both"/>
        <w:ind w:left="1300" w:hanging="644"/>
        <w:spacing w:after="0" w:line="223" w:lineRule="auto"/>
        <w:tabs>
          <w:tab w:leader="none" w:pos="1288" w:val="left"/>
        </w:tabs>
        <w:numPr>
          <w:ilvl w:val="1"/>
          <w:numId w:val="21"/>
        </w:numPr>
        <w:rPr>
          <w:rFonts w:ascii="Arial" w:cs="Arial" w:eastAsia="Arial" w:hAnsi="Arial"/>
          <w:sz w:val="22"/>
          <w:szCs w:val="22"/>
          <w:color w:val="auto"/>
        </w:rPr>
      </w:pPr>
      <w:r>
        <w:rPr>
          <w:rFonts w:ascii="Arial" w:cs="Arial" w:eastAsia="Arial" w:hAnsi="Arial"/>
          <w:sz w:val="22"/>
          <w:szCs w:val="22"/>
          <w:color w:val="auto"/>
        </w:rPr>
        <w:t>Executive’s equity and equity-based awards will continue to be subject to the terms of the applicable grant notice and award agreement, which may provide for immediate vesting of the unvested portion of the award under certain circumstances. In addition, if the Company terminates the Executive’s employment due to Death as referenced in paragraph 3(a) above, Disability as referenced in paragraph 3(b) above, or Without Cause as referenced in paragraph 3(d) above subsequent to the date that is six (6) months after the beginning of the Agreement Term as referenced in paragraph 1(f), all equity and equity-based awards, including but not limited to, Restricted Shares and/or Restricted Share Units, that have not yet vested shall vest immediately on the Date of Termination.</w:t>
      </w:r>
    </w:p>
    <w:p>
      <w:pPr>
        <w:spacing w:after="0" w:line="198" w:lineRule="exact"/>
        <w:rPr>
          <w:rFonts w:ascii="Arial" w:cs="Arial" w:eastAsia="Arial" w:hAnsi="Arial"/>
          <w:sz w:val="22"/>
          <w:szCs w:val="22"/>
          <w:color w:val="auto"/>
        </w:rPr>
      </w:pPr>
    </w:p>
    <w:p>
      <w:pPr>
        <w:jc w:val="both"/>
        <w:ind w:left="1300" w:hanging="644"/>
        <w:spacing w:after="0" w:line="262" w:lineRule="auto"/>
        <w:tabs>
          <w:tab w:leader="none" w:pos="1294" w:val="left"/>
        </w:tabs>
        <w:numPr>
          <w:ilvl w:val="1"/>
          <w:numId w:val="21"/>
        </w:numPr>
        <w:rPr>
          <w:rFonts w:ascii="Arial" w:cs="Arial" w:eastAsia="Arial" w:hAnsi="Arial"/>
          <w:sz w:val="19"/>
          <w:szCs w:val="19"/>
          <w:color w:val="auto"/>
        </w:rPr>
      </w:pPr>
      <w:r>
        <w:rPr>
          <w:rFonts w:ascii="Arial" w:cs="Arial" w:eastAsia="Arial" w:hAnsi="Arial"/>
          <w:sz w:val="19"/>
          <w:szCs w:val="19"/>
          <w:color w:val="auto"/>
        </w:rPr>
        <w:t>Cash payments equal to twelve (12) months of premium payments for medical and dental coverage. The amount of the monthly payments shall be equal to the amount of the “applicable premium” as determined pursuant to the terms of the Consolidated Omnibus Budget Reconciliation Act of 1985, as amended (“COBRA”) (without regard to whether or not the Executive elects COBRA continuation coverage) based on the Executive’s choices under the Company’s plan as of the Date of Termination and further based upon the current premiums as of the Date of Termination, less the amount that the Executive was contributing for coverage. The Company benefits package in which the Executive participated will cease as of the Date of Termination.</w:t>
      </w:r>
    </w:p>
    <w:p>
      <w:pPr>
        <w:spacing w:after="0" w:line="179" w:lineRule="exact"/>
        <w:rPr>
          <w:rFonts w:ascii="Arial" w:cs="Arial" w:eastAsia="Arial" w:hAnsi="Arial"/>
          <w:sz w:val="19"/>
          <w:szCs w:val="19"/>
          <w:color w:val="auto"/>
        </w:rPr>
      </w:pPr>
    </w:p>
    <w:p>
      <w:pPr>
        <w:jc w:val="both"/>
        <w:ind w:left="1300" w:hanging="644"/>
        <w:spacing w:after="0" w:line="267" w:lineRule="auto"/>
        <w:tabs>
          <w:tab w:leader="none" w:pos="13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Cash payments equal to twelve (12) months of benefit premiums based upon the premium rate at the Date of Termination under the terms of the Company’s Group Life Policy which allows the option to convert to an individual policy for basic life and accidental death and dismemberment (AD&amp;D) coverage. However, the cash payments shall be no more than the amount of the premiums that the Company was paying as if the Executive was still employed. This paragraph shall not apply if the Executive’s employment is terminated per paragraph 4(c).</w:t>
      </w:r>
    </w:p>
    <w:p>
      <w:pPr>
        <w:spacing w:after="0" w:line="175" w:lineRule="exact"/>
        <w:rPr>
          <w:rFonts w:ascii="Arial" w:cs="Arial" w:eastAsia="Arial" w:hAnsi="Arial"/>
          <w:sz w:val="19"/>
          <w:szCs w:val="19"/>
          <w:color w:val="auto"/>
        </w:rPr>
      </w:pPr>
    </w:p>
    <w:p>
      <w:pPr>
        <w:jc w:val="both"/>
        <w:ind w:left="1300" w:hanging="644"/>
        <w:spacing w:after="0" w:line="228" w:lineRule="auto"/>
        <w:tabs>
          <w:tab w:leader="none" w:pos="1288" w:val="left"/>
        </w:tabs>
        <w:numPr>
          <w:ilvl w:val="1"/>
          <w:numId w:val="21"/>
        </w:numPr>
        <w:rPr>
          <w:rFonts w:ascii="Arial" w:cs="Arial" w:eastAsia="Arial" w:hAnsi="Arial"/>
          <w:sz w:val="22"/>
          <w:szCs w:val="22"/>
          <w:color w:val="auto"/>
        </w:rPr>
      </w:pPr>
      <w:r>
        <w:rPr>
          <w:rFonts w:ascii="Arial" w:cs="Arial" w:eastAsia="Arial" w:hAnsi="Arial"/>
          <w:sz w:val="22"/>
          <w:szCs w:val="22"/>
          <w:color w:val="auto"/>
        </w:rPr>
        <w:t>Cash payments equal to the employer matching contribution, as if the Executive was still a plan participant that would otherwise have been contributed on Executive's behalf to the Code Section 401(k) program maintained by the Company with respect to the 12-month period commencing on the Date of Termination under the following assumptions:</w:t>
      </w:r>
    </w:p>
    <w:p>
      <w:pPr>
        <w:spacing w:after="0" w:line="199" w:lineRule="exact"/>
        <w:rPr>
          <w:rFonts w:ascii="Arial" w:cs="Arial" w:eastAsia="Arial" w:hAnsi="Arial"/>
          <w:sz w:val="22"/>
          <w:szCs w:val="22"/>
          <w:color w:val="auto"/>
        </w:rPr>
      </w:pPr>
    </w:p>
    <w:p>
      <w:pPr>
        <w:jc w:val="both"/>
        <w:ind w:left="1960" w:hanging="656"/>
        <w:spacing w:after="0" w:line="231" w:lineRule="auto"/>
        <w:tabs>
          <w:tab w:leader="none" w:pos="1957" w:val="left"/>
        </w:tabs>
        <w:numPr>
          <w:ilvl w:val="2"/>
          <w:numId w:val="21"/>
        </w:numPr>
        <w:rPr>
          <w:rFonts w:ascii="Arial" w:cs="Arial" w:eastAsia="Arial" w:hAnsi="Arial"/>
          <w:sz w:val="22"/>
          <w:szCs w:val="22"/>
          <w:color w:val="auto"/>
        </w:rPr>
      </w:pPr>
      <w:r>
        <w:rPr>
          <w:rFonts w:ascii="Arial" w:cs="Arial" w:eastAsia="Arial" w:hAnsi="Arial"/>
          <w:sz w:val="22"/>
          <w:szCs w:val="22"/>
          <w:color w:val="auto"/>
        </w:rPr>
        <w:t>Executive would have made a voluntary salary reduction contribution to the Code Section 401(k) program with respect to the 12-month period based upon the salary reduction election in effect on behalf of the Executive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43" w:name="page44"/>
    <w:bookmarkEnd w:id="43"/>
    <w:p>
      <w:pPr>
        <w:jc w:val="both"/>
        <w:ind w:left="1304" w:hanging="656"/>
        <w:spacing w:after="0" w:line="235" w:lineRule="auto"/>
        <w:tabs>
          <w:tab w:leader="none" w:pos="1299"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 additional "constructive matching" payments will be made under this provision with respect to a calendar year once the combination of the actual matching contributions made on behalf of Executive to the Code Section 401(k) program for such calendar year plus the "constructive matching" payments made to Executive pursuant to this provision for such calendar equal the maximum amount of matching contributions that could have been allocated to Executive's account under the terms of the Code Section 401(k) program with respect to such calendar year.</w:t>
      </w:r>
    </w:p>
    <w:p>
      <w:pPr>
        <w:spacing w:after="0" w:line="201" w:lineRule="exact"/>
        <w:rPr>
          <w:rFonts w:ascii="Arial" w:cs="Arial" w:eastAsia="Arial" w:hAnsi="Arial"/>
          <w:sz w:val="21"/>
          <w:szCs w:val="21"/>
          <w:color w:val="auto"/>
        </w:rPr>
      </w:pPr>
    </w:p>
    <w:p>
      <w:pPr>
        <w:jc w:val="both"/>
        <w:ind w:left="1304" w:hanging="656"/>
        <w:spacing w:after="0" w:line="231" w:lineRule="auto"/>
        <w:tabs>
          <w:tab w:leader="none" w:pos="1301" w:val="left"/>
        </w:tabs>
        <w:numPr>
          <w:ilvl w:val="1"/>
          <w:numId w:val="22"/>
        </w:numPr>
        <w:rPr>
          <w:rFonts w:ascii="Arial" w:cs="Arial" w:eastAsia="Arial" w:hAnsi="Arial"/>
          <w:sz w:val="22"/>
          <w:szCs w:val="22"/>
          <w:color w:val="auto"/>
        </w:rPr>
      </w:pPr>
      <w:r>
        <w:rPr>
          <w:rFonts w:ascii="Arial" w:cs="Arial" w:eastAsia="Arial" w:hAnsi="Arial"/>
          <w:sz w:val="22"/>
          <w:szCs w:val="22"/>
          <w:color w:val="auto"/>
        </w:rPr>
        <w:t>Except as otherwise contemplated by paragraph 4(e)(vi) below, the "constructive matching" payments will be made at such times as the Company remits the actual matching contributions to the Code Section 401(k) program.</w:t>
      </w:r>
    </w:p>
    <w:p>
      <w:pPr>
        <w:spacing w:after="0" w:line="201" w:lineRule="exact"/>
        <w:rPr>
          <w:rFonts w:ascii="Arial" w:cs="Arial" w:eastAsia="Arial" w:hAnsi="Arial"/>
          <w:sz w:val="22"/>
          <w:szCs w:val="22"/>
          <w:color w:val="auto"/>
        </w:rPr>
      </w:pPr>
    </w:p>
    <w:p>
      <w:pPr>
        <w:jc w:val="both"/>
        <w:ind w:left="644" w:hanging="644"/>
        <w:spacing w:after="0" w:line="267" w:lineRule="auto"/>
        <w:tabs>
          <w:tab w:leader="none" w:pos="639"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the Executive’s employment is terminated per paragraph 4(b), all payments under paragraph this 4(e) shall be made on a periodic basis on the same schedule as such benefits otherwise would have been payable as if the Executive was still employed at the Company. If the Executive’s employment is terminated per paragraph 4(c) or paragraph 4(d), all payments under this paragraph 4(e) shall be paid in a lump-sum payment at the same time the lump sum payment is paid in accordance with paragraph 4(c) or paragraph 4(d).</w:t>
      </w:r>
    </w:p>
    <w:p>
      <w:pPr>
        <w:spacing w:after="0" w:line="175" w:lineRule="exact"/>
        <w:rPr>
          <w:rFonts w:ascii="Arial" w:cs="Arial" w:eastAsia="Arial" w:hAnsi="Arial"/>
          <w:sz w:val="19"/>
          <w:szCs w:val="19"/>
          <w:color w:val="auto"/>
        </w:rPr>
      </w:pPr>
    </w:p>
    <w:p>
      <w:pPr>
        <w:jc w:val="both"/>
        <w:ind w:left="644" w:hanging="644"/>
        <w:spacing w:after="0" w:line="237" w:lineRule="auto"/>
        <w:tabs>
          <w:tab w:leader="none" w:pos="632" w:val="left"/>
        </w:tabs>
        <w:numPr>
          <w:ilvl w:val="0"/>
          <w:numId w:val="23"/>
        </w:numPr>
        <w:rPr>
          <w:rFonts w:ascii="Arial" w:cs="Arial" w:eastAsia="Arial" w:hAnsi="Arial"/>
          <w:sz w:val="21"/>
          <w:szCs w:val="21"/>
          <w:color w:val="auto"/>
        </w:rPr>
      </w:pPr>
      <w:r>
        <w:rPr>
          <w:rFonts w:ascii="Arial" w:cs="Arial" w:eastAsia="Arial" w:hAnsi="Arial"/>
          <w:sz w:val="21"/>
          <w:szCs w:val="21"/>
          <w:color w:val="auto"/>
        </w:rPr>
        <w:t>If the Executive was receiving other benefits as of the Date of Termination that are not listed above, and to the extent such payments or benefits are earned and vested or are required by law to be offered to the Executive for the 12-month period following the Date of Termination, then the cash equivalent or arrangements for continuing coverage will be determined at that time. However, the cash payments shall be no more than the amount that the Company was paying as if the Executive was still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14" w:right="339" w:bottom="1440" w:gutter="0" w:footer="0" w:header="0"/>
        </w:sectPr>
      </w:pPr>
    </w:p>
    <w:bookmarkStart w:id="44" w:name="page45"/>
    <w:bookmarkEnd w:id="44"/>
    <w:p>
      <w:pPr>
        <w:jc w:val="both"/>
        <w:ind w:left="1300" w:hanging="644"/>
        <w:spacing w:after="0" w:line="232" w:lineRule="auto"/>
        <w:tabs>
          <w:tab w:leader="none" w:pos="1294" w:val="left"/>
        </w:tabs>
        <w:numPr>
          <w:ilvl w:val="1"/>
          <w:numId w:val="24"/>
        </w:numPr>
        <w:rPr>
          <w:rFonts w:ascii="Arial" w:cs="Arial" w:eastAsia="Arial" w:hAnsi="Arial"/>
          <w:sz w:val="21"/>
          <w:szCs w:val="21"/>
          <w:color w:val="auto"/>
        </w:rPr>
      </w:pPr>
      <w:r>
        <w:rPr>
          <w:rFonts w:ascii="Arial" w:cs="Arial" w:eastAsia="Arial" w:hAnsi="Arial"/>
          <w:sz w:val="21"/>
          <w:szCs w:val="21"/>
          <w:color w:val="auto"/>
        </w:rPr>
        <w:t>If any of the benefits listed above are no longer available to the Executive as of the Date of Termination, then there will be no such payments made to continue the benefits after the Date of Termination or its cash equivalent. The undertakings of the Company in connection with paragraphs b(i), b(ii) and b(iii), above, are contingent upon Executive’s compliance with the non-compete, confidentiality, and non-solicitation provisions of paragraphs 5, 6 and 7. Should the Company determine that the Executive has committed an infraction of any component of paragraph 5, paragraph 6 or paragraph 7, the Company shall notify the Executive of its determination and provide the Executive with 10 business days to cure the infraction or present convincing evidence that no infraction has occurred. Should the infraction not be subject to cure, or should Executive otherwise fail to cure such infraction within 5 business days of such notice, then the Company may discontinue the payment referenced in paragraph b(i) and the continuation of benefits referenced in paragraph b(iii) and any otherwise unexercised stock option will be forfeited.</w:t>
      </w:r>
    </w:p>
    <w:p>
      <w:pPr>
        <w:spacing w:after="0" w:line="199" w:lineRule="exact"/>
        <w:rPr>
          <w:rFonts w:ascii="Arial" w:cs="Arial" w:eastAsia="Arial" w:hAnsi="Arial"/>
          <w:sz w:val="21"/>
          <w:szCs w:val="21"/>
          <w:color w:val="auto"/>
        </w:rPr>
      </w:pPr>
    </w:p>
    <w:p>
      <w:pPr>
        <w:jc w:val="both"/>
        <w:ind w:left="660" w:hanging="652"/>
        <w:spacing w:after="0" w:line="258"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To the extent required by Section 409A of the Code, if the Executive separates from service with the Company for any reason other than death and the Executive constitutes a “specified employee” as defined in Section 409A(2)(B)(i) of the Code at the time of separation from service, then payment to the Executive of any amounts pursuant to paragraph b(i) and payment of any cash amounts pursuant to paragraph b(iii) shall not commence until a date that is six months following the date of the Executive’s separation from service with the Company. Upon the date which is six months following the date of Executive’s separation from service, all previously accrued monthly amounts shall be payable in a lump sum and future amounts will continue to be paid pursuant to the remaining term of the 12-month payment cycle. The above-referenced six month delay in payment shall only apply to the extent required by Section 409A of the Code, such that such delay shall not apply to payments made in connection with an involuntary termination of employment provided such payments fall within the dollar threshold described in Treas. Reg. § 1.409A-1(b)(9)(iii).</w:t>
      </w:r>
    </w:p>
    <w:p>
      <w:pPr>
        <w:spacing w:after="0" w:line="189" w:lineRule="exact"/>
        <w:rPr>
          <w:rFonts w:ascii="Arial" w:cs="Arial" w:eastAsia="Arial" w:hAnsi="Arial"/>
          <w:sz w:val="19"/>
          <w:szCs w:val="19"/>
          <w:color w:val="auto"/>
        </w:rPr>
      </w:pPr>
    </w:p>
    <w:p>
      <w:pPr>
        <w:jc w:val="both"/>
        <w:ind w:left="660" w:hanging="652"/>
        <w:spacing w:after="0" w:line="258"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the Executive becomes entitled to any amount in the nature of compensation payable by the Company (including benefits under this Agreement) that is contingent on a change in ownership, effective control, or substantial ownership of a substantial portion of the Company’s assets within the meaning of Section 280G of the Code, and that is subject to the excise tax imposed by Section 4999 of the Code, then the Company shall reduce the compensation payable to the minimum amount necessary to avoid the excise tax, except as follows. No reduction applies if after accounting for the excise tax and all other income and employment taxes due on the compensation payable by the Company, the net amount that the Executive would retain would be greater than the amount the Executive would receive after reduction under this paragraph 4(g). Any reduction applies in the following order: first, cash payments; second, equity awards; and third, noncash benefits, in each case, in reverse chronological order. The extent to which any reduction is necessary is determined by the Company’s independent accountants.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45" w:name="page46"/>
    <w:bookmarkEnd w:id="45"/>
    <w:p>
      <w:pPr>
        <w:spacing w:after="0" w:line="218" w:lineRule="exact"/>
        <w:rPr>
          <w:sz w:val="20"/>
          <w:szCs w:val="20"/>
          <w:color w:val="auto"/>
        </w:rPr>
      </w:pPr>
    </w:p>
    <w:p>
      <w:pPr>
        <w:jc w:val="both"/>
        <w:ind w:firstLine="656"/>
        <w:spacing w:after="0" w:line="232" w:lineRule="auto"/>
        <w:tabs>
          <w:tab w:leader="none" w:pos="1296"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During the Agreement Term and for a period of 12 months subsequent to the Date of Termination, the Executive shall not, without the prior written consent of the Company, directly or indirectly, (i) own or acquire in any manner any interest (other than the ownership solely for investment purposes of not more than five percent of the shares of any corporation, the shares of which are publicly and regularly traded on a national securities exchange or in the over-the-counter market) in any person, firm, partnership, company, association or other entity that competes with the Company in the business of enterprise security solutions and services to customers in the United States government and industry (the “Business”), (ii) be employed by, or serve as an employee, agent, officer, director of, any person, firm, partnership, corporation or provider of services competitive with the Business of the Company, or (iii) provide financial, technical, marketing or other assistance or act as a representative, broker, director, officer, employee, advisor, consultant or agent of any person or entity that is competitive with the Business of the Company.</w:t>
      </w:r>
    </w:p>
    <w:p>
      <w:pPr>
        <w:spacing w:after="0" w:line="203" w:lineRule="exact"/>
        <w:rPr>
          <w:rFonts w:ascii="Arial" w:cs="Arial" w:eastAsia="Arial" w:hAnsi="Arial"/>
          <w:sz w:val="21"/>
          <w:szCs w:val="21"/>
          <w:color w:val="auto"/>
        </w:rPr>
      </w:pPr>
    </w:p>
    <w:p>
      <w:pPr>
        <w:jc w:val="both"/>
        <w:ind w:firstLine="656"/>
        <w:spacing w:after="0" w:line="255"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promises that he will receive, develop and hold Confidential Information (as defined below) in strict confidence and will not use or disclose Confidential Information, or make copies of any documents containing Confidential Information, except in furtherance of the Business of the Company, unless the Chief Executive Officer provides prior written consent. The Executive further agrees to use reasonable efforts to safeguard the Confidential Information and protect it from disclosure, misuse, loss or theft. The foregoing promises of confidentiality shall not apply if and to the extent that the Executive is ordered by a court or other governmental agency to disclose Confidential Information, provided the Executive has given the Company prompt written notice of the order or subpoena and provides all reasonable cooperation necessary to limit such disclosure and to protect the confidentiality of any Confidential Information so disclosed. “Confidential Information” means all nonpublic information (whether or not specifically labeled or identified as confidential), that has been or is disclosed to, developed or learned by the Executive as a result of employment with the Company and that relates to the business, finances, products, services, customers, research or development of the Company or third parties with whom the Company does business or from whom the Company receives information. The definition of Confidential Information includes, but is not limited to, the following: access codes, security devices and naming conventions used in software and hardware systems; databases of information; other proprietary software; proprietary specifications for hardware and software platforms, the identity and transactions with customers, clients and suppliers; marketing product and service plans, objectives and strategies; tactical objectives, approaches, and competitive advantages; internal financial information; specialized marketing programs related to products and services offered or under development by the Company (or any parent or affiliate of the Company); data and reports related to marketing programs; proprietary systems and operations manuals; proprietary training manuals; proprietary technical and scientific know-how, data and strategies; the Company’s information gathering processes and compilations of information; and information disclosed to the Company by its business partners, licensees, customers and clients in reliance on promises that its confidentiality will be preserved.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46" w:name="page47"/>
    <w:bookmarkEnd w:id="46"/>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33" w:lineRule="auto"/>
        <w:tabs>
          <w:tab w:leader="none" w:pos="1293"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Executive recognizes that the Company incurs significant expense in training employees to provide services in accordance with the Company’s Business and that the Company will disclose Confidential Information to each such employee. The Executive promises that, during the Agreement Term and for a period of 12 months after expiration of the Agreement Term, the Executive will not, without the prior written consent of the Company, knowingly hire, directly or indirectly, any person then employed by the Company, or knowingly solicit, directly or indirectly, such a person either to terminate or diminish employment with the Company, or to work for any other person or entity, whether or not a competitor, and the Executive shall not approach any such employee for any such purpose or authorize or knowingly cooperate with the taking of any such actions by any other individual or entity.</w:t>
      </w:r>
    </w:p>
    <w:p>
      <w:pPr>
        <w:spacing w:after="0" w:line="203" w:lineRule="exact"/>
        <w:rPr>
          <w:rFonts w:ascii="Arial" w:cs="Arial" w:eastAsia="Arial" w:hAnsi="Arial"/>
          <w:sz w:val="21"/>
          <w:szCs w:val="21"/>
          <w:color w:val="auto"/>
        </w:rPr>
      </w:pPr>
    </w:p>
    <w:p>
      <w:pPr>
        <w:jc w:val="both"/>
        <w:ind w:firstLine="656"/>
        <w:spacing w:after="0" w:line="262" w:lineRule="auto"/>
        <w:tabs>
          <w:tab w:leader="none" w:pos="1291"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Executive also acknowledges that the Company incurs significant expense in developing business partners, licensees, customers and clients. The Executive promises that, during the Agreement Term and for a period of 18 months after the Agreement Term ends, the Executive will not, without the prior written consent of the Company, knowingly directly or indirectly, solicit any customer, business partner, licensee or client of the Company to terminate or diminish its business relationship with the Company or to purchase any product or service that is or may be used as a substitute for any product or service of the Company, and the Executive shall not knowingly approach any such customer, supplier, lessor or lessee for such purpose or authorize or knowingly cooperate with the taking of any such actions by any other individual or entity.</w:t>
      </w:r>
    </w:p>
    <w:p>
      <w:pPr>
        <w:spacing w:after="0" w:line="180" w:lineRule="exact"/>
        <w:rPr>
          <w:sz w:val="20"/>
          <w:szCs w:val="20"/>
          <w:color w:val="auto"/>
        </w:rPr>
      </w:pPr>
    </w:p>
    <w:p>
      <w:pPr>
        <w:jc w:val="both"/>
        <w:ind w:firstLine="656"/>
        <w:spacing w:after="0" w:line="256"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Restrictions Reasonable</w:t>
      </w:r>
      <w:r>
        <w:rPr>
          <w:rFonts w:ascii="Arial" w:cs="Arial" w:eastAsia="Arial" w:hAnsi="Arial"/>
          <w:sz w:val="19"/>
          <w:szCs w:val="19"/>
          <w:color w:val="auto"/>
        </w:rPr>
        <w:t>. Executive agrees that the restrictions set forth in paragraphs 5 (Non-Competition), 6 (Confidentiality), and 7 (Non-Solicitation) are reasonable, proper and necessitated by the legitimate business interests of the Company, and do not constitute an unlawful or unreasonable restraint upon Executive’s ability to earn a living. Executive acknowledges that it may be impossible to assess the monetary damages occurred by Executive’s violation of paragraphs 6, 7 or 8 of this Agreement, that violations of those paragraphs will be material breaches of this Agreement and will cause irreparable injury to the Company. Accordingly, Executive agrees that Company will be entitled, in addition to all other rights and remedies which may be available, to an injunction enjoining and restraining Executive and any other involved party from committing a violation of this Agreement, and Executive consents to the issuance and entry of such injunction. In addition, Company will be entitled to such damages as it can demonstrate that it sustained by reason of the violation of this Agreement by the Executive and/or others. The parties agree that in the event of any litigation to enforce or interpret this Agreement, the prevailing party will be entitled to recover all costs, including reasonable attorney’s fees, from the non-prevailing party. In the event Company enforces this paragraph 8 through a Court Order, Executive agrees that the restriction on Executive following Termination of employment set forth in this Agreement shall remain in effect for a period of one year from the date of the final Court Order enforcing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47" w:name="page48"/>
    <w:bookmarkEnd w:id="47"/>
    <w:p>
      <w:pPr>
        <w:jc w:val="both"/>
        <w:ind w:firstLine="656"/>
        <w:spacing w:after="0" w:line="231" w:lineRule="auto"/>
        <w:tabs>
          <w:tab w:leader="none" w:pos="1296"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Return of Materials</w:t>
      </w:r>
      <w:r>
        <w:rPr>
          <w:rFonts w:ascii="Arial" w:cs="Arial" w:eastAsia="Arial" w:hAnsi="Arial"/>
          <w:sz w:val="21"/>
          <w:szCs w:val="21"/>
          <w:color w:val="auto"/>
        </w:rPr>
        <w:t xml:space="preserve">. Upon the Executive’s Date of Termination, or at any time upon the Company’s request, the Executive (or if deceased, the Executive’s personal representative) shall promptly deliver to the Company without retaining copies, all tangible things that are or contain Confidential Information. The Executive or such personal representative shall also promptly deliver to the Company all computer print-outs, books, software manuals and directions, floppy disks and other such media for storing software and information, work papers, files, customer lists, supplier lists, employee lists, telephone and/or address books, Rolodex or equivalent cards, memoranda, appointment books, calendars, employee manuals, sales aides, keys and other tangible things provided to the Executive by the Company, or authored in whole or in part by the Executive within the scope of his employment by the Company, even if they do not contain Confidential Information;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Executive shall not be required to deliver personal files and personal information unrelated to the Company’s business. At the time of such deliveries, the Executive shall disclose to the Company any passwords or other knowledge required to access and use any of the foregoing. The Executive acknowledges that he does not have, and will not acquire, any ownership rights in such materials and things.</w:t>
      </w:r>
    </w:p>
    <w:p>
      <w:pPr>
        <w:spacing w:after="0" w:line="207" w:lineRule="exact"/>
        <w:rPr>
          <w:rFonts w:ascii="Arial" w:cs="Arial" w:eastAsia="Arial" w:hAnsi="Arial"/>
          <w:sz w:val="21"/>
          <w:szCs w:val="21"/>
          <w:color w:val="auto"/>
        </w:rPr>
      </w:pPr>
    </w:p>
    <w:p>
      <w:pPr>
        <w:jc w:val="both"/>
        <w:ind w:right="20" w:firstLine="656"/>
        <w:spacing w:after="0" w:line="231" w:lineRule="auto"/>
        <w:tabs>
          <w:tab w:leader="none" w:pos="129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Nonalienation</w:t>
      </w:r>
      <w:r>
        <w:rPr>
          <w:rFonts w:ascii="Arial" w:cs="Arial" w:eastAsia="Arial" w:hAnsi="Arial"/>
          <w:sz w:val="22"/>
          <w:szCs w:val="22"/>
          <w:color w:val="auto"/>
        </w:rPr>
        <w:t>. The interests of the Executive under this Agreement are not subject in any manner to anticipation, alienation, sale, transfer, assignment, pledge, encumbrance, attachment, or garnishment by the Executive’s creditors or beneficiaries.</w:t>
      </w:r>
    </w:p>
    <w:p>
      <w:pPr>
        <w:spacing w:after="0" w:line="201" w:lineRule="exact"/>
        <w:rPr>
          <w:rFonts w:ascii="Arial" w:cs="Arial" w:eastAsia="Arial" w:hAnsi="Arial"/>
          <w:sz w:val="22"/>
          <w:szCs w:val="22"/>
          <w:color w:val="auto"/>
        </w:rPr>
      </w:pPr>
    </w:p>
    <w:p>
      <w:pPr>
        <w:jc w:val="both"/>
        <w:ind w:firstLine="656"/>
        <w:spacing w:after="0" w:line="231" w:lineRule="auto"/>
        <w:tabs>
          <w:tab w:leader="none" w:pos="128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the Company and its successors and assigns and upon any person acquiring, whether by merger, consolidation, purchase of assets or otherwise, all or substantially all of the Company’s assets and business.</w:t>
      </w:r>
    </w:p>
    <w:p>
      <w:pPr>
        <w:spacing w:after="0" w:line="201" w:lineRule="exact"/>
        <w:rPr>
          <w:rFonts w:ascii="Arial" w:cs="Arial" w:eastAsia="Arial" w:hAnsi="Arial"/>
          <w:sz w:val="22"/>
          <w:szCs w:val="22"/>
          <w:color w:val="auto"/>
        </w:rPr>
      </w:pPr>
    </w:p>
    <w:p>
      <w:pPr>
        <w:jc w:val="both"/>
        <w:ind w:firstLine="656"/>
        <w:spacing w:after="0" w:line="228" w:lineRule="auto"/>
        <w:tabs>
          <w:tab w:leader="none" w:pos="129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and all other communications provided for in this Agreement shall be in writing and shall be delivered personally or sent by registered or certified mail, return receipt requested, postage prepaid, or sent by facsimile or prepaid overnight courier to the parties at the addresses set forth below (or such other addresses as shall be specified by the parties by like notice):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To the Company:</w:t>
      </w:r>
    </w:p>
    <w:p>
      <w:pPr>
        <w:ind w:left="660"/>
        <w:spacing w:after="0" w:line="217" w:lineRule="auto"/>
        <w:rPr>
          <w:sz w:val="20"/>
          <w:szCs w:val="20"/>
          <w:color w:val="auto"/>
        </w:rPr>
      </w:pPr>
      <w:r>
        <w:rPr>
          <w:rFonts w:ascii="Arial" w:cs="Arial" w:eastAsia="Arial" w:hAnsi="Arial"/>
          <w:sz w:val="22"/>
          <w:szCs w:val="22"/>
          <w:color w:val="auto"/>
        </w:rPr>
        <w:t>Telos Corporation</w:t>
      </w:r>
    </w:p>
    <w:p>
      <w:pPr>
        <w:ind w:left="660"/>
        <w:spacing w:after="0" w:line="218" w:lineRule="auto"/>
        <w:rPr>
          <w:sz w:val="20"/>
          <w:szCs w:val="20"/>
          <w:color w:val="auto"/>
        </w:rPr>
      </w:pPr>
      <w:r>
        <w:rPr>
          <w:rFonts w:ascii="Arial" w:cs="Arial" w:eastAsia="Arial" w:hAnsi="Arial"/>
          <w:sz w:val="22"/>
          <w:szCs w:val="22"/>
          <w:color w:val="auto"/>
        </w:rPr>
        <w:t>19886 Ashburn Road</w:t>
      </w:r>
    </w:p>
    <w:p>
      <w:pPr>
        <w:ind w:left="660"/>
        <w:spacing w:after="0" w:line="218" w:lineRule="auto"/>
        <w:rPr>
          <w:sz w:val="20"/>
          <w:szCs w:val="20"/>
          <w:color w:val="auto"/>
        </w:rPr>
      </w:pPr>
      <w:r>
        <w:rPr>
          <w:rFonts w:ascii="Arial" w:cs="Arial" w:eastAsia="Arial" w:hAnsi="Arial"/>
          <w:sz w:val="22"/>
          <w:szCs w:val="22"/>
          <w:color w:val="auto"/>
        </w:rPr>
        <w:t>Ashburn, VA 20147</w:t>
      </w:r>
    </w:p>
    <w:p>
      <w:pPr>
        <w:ind w:left="660"/>
        <w:spacing w:after="0"/>
        <w:rPr>
          <w:sz w:val="20"/>
          <w:szCs w:val="20"/>
          <w:color w:val="auto"/>
        </w:rPr>
      </w:pPr>
      <w:r>
        <w:rPr>
          <w:rFonts w:ascii="Arial" w:cs="Arial" w:eastAsia="Arial" w:hAnsi="Arial"/>
          <w:sz w:val="22"/>
          <w:szCs w:val="22"/>
          <w:color w:val="auto"/>
        </w:rPr>
        <w:t>Attn.: General Counsel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To the Executive:</w:t>
      </w:r>
    </w:p>
    <w:p>
      <w:pPr>
        <w:ind w:left="660"/>
        <w:spacing w:after="0" w:line="217" w:lineRule="auto"/>
        <w:rPr>
          <w:sz w:val="20"/>
          <w:szCs w:val="20"/>
          <w:color w:val="auto"/>
        </w:rPr>
      </w:pPr>
      <w:r>
        <w:rPr>
          <w:rFonts w:ascii="Arial" w:cs="Arial" w:eastAsia="Arial" w:hAnsi="Arial"/>
          <w:sz w:val="22"/>
          <w:szCs w:val="22"/>
          <w:color w:val="auto"/>
        </w:rPr>
        <w:t>Mr. Mark Bendza</w:t>
      </w:r>
    </w:p>
    <w:p>
      <w:pPr>
        <w:ind w:left="660"/>
        <w:spacing w:after="0" w:line="218" w:lineRule="auto"/>
        <w:rPr>
          <w:sz w:val="20"/>
          <w:szCs w:val="20"/>
          <w:color w:val="auto"/>
        </w:rPr>
      </w:pPr>
      <w:r>
        <w:rPr>
          <w:rFonts w:ascii="Arial" w:cs="Arial" w:eastAsia="Arial" w:hAnsi="Arial"/>
          <w:sz w:val="22"/>
          <w:szCs w:val="22"/>
          <w:color w:val="auto"/>
        </w:rPr>
        <w:t>1904 Ballycor Drive</w:t>
      </w:r>
    </w:p>
    <w:p>
      <w:pPr>
        <w:ind w:left="660"/>
        <w:spacing w:after="0"/>
        <w:rPr>
          <w:sz w:val="20"/>
          <w:szCs w:val="20"/>
          <w:color w:val="auto"/>
        </w:rPr>
      </w:pPr>
      <w:r>
        <w:rPr>
          <w:rFonts w:ascii="Arial" w:cs="Arial" w:eastAsia="Arial" w:hAnsi="Arial"/>
          <w:sz w:val="22"/>
          <w:szCs w:val="22"/>
          <w:color w:val="auto"/>
        </w:rPr>
        <w:t>Vienna, VA 22182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48" w:name="page49"/>
    <w:bookmarkEnd w:id="48"/>
    <w:p>
      <w:pPr>
        <w:jc w:val="both"/>
        <w:ind w:firstLine="656"/>
        <w:spacing w:after="0" w:line="282"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will not affect the validity or enforceability of any other provision of this Agreement, and this Agreement will be construed as if such invalid or unenforceable provision were omitted (but only to the extent that such provision cannot be appropriately reformed or modified).</w:t>
      </w:r>
    </w:p>
    <w:p>
      <w:pPr>
        <w:spacing w:after="0" w:line="161"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Waiver of Breach</w:t>
      </w:r>
      <w:r>
        <w:rPr>
          <w:rFonts w:ascii="Arial" w:cs="Arial" w:eastAsia="Arial" w:hAnsi="Arial"/>
          <w:sz w:val="19"/>
          <w:szCs w:val="19"/>
          <w:color w:val="auto"/>
        </w:rPr>
        <w:t>. No waiver of either party hereto of a breach of any provision of this Agreement by the other party will operate or be construed as a waiver of any subsequent breach by such other party. The failure of either party to take any action by reason of such breach will not deprive such party of the right to take action at any time while such breach continues.</w:t>
      </w:r>
    </w:p>
    <w:p>
      <w:pPr>
        <w:spacing w:after="0" w:line="161" w:lineRule="exact"/>
        <w:rPr>
          <w:rFonts w:ascii="Arial" w:cs="Arial" w:eastAsia="Arial" w:hAnsi="Arial"/>
          <w:sz w:val="19"/>
          <w:szCs w:val="19"/>
          <w:color w:val="auto"/>
        </w:rPr>
      </w:pPr>
    </w:p>
    <w:p>
      <w:pPr>
        <w:jc w:val="both"/>
        <w:ind w:firstLine="656"/>
        <w:spacing w:after="0" w:line="231"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canceled only by mutual agreement of the parties in writing without the consent of any other person. So long as the Executive lives, no person, other than the Executive and the Company, shall have any rights under or interest in this Agreement or the subject matter hereof.</w:t>
      </w:r>
    </w:p>
    <w:p>
      <w:pPr>
        <w:spacing w:after="0" w:line="201"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Choice of Law and Forum Selection</w:t>
      </w:r>
      <w:r>
        <w:rPr>
          <w:rFonts w:ascii="Arial" w:cs="Arial" w:eastAsia="Arial" w:hAnsi="Arial"/>
          <w:sz w:val="22"/>
          <w:szCs w:val="22"/>
          <w:color w:val="auto"/>
        </w:rPr>
        <w:t>. This Agreement shall be governed by the laws of the Commonwealth of Virginia as to its validity, interpretation and enforcement. Should it be necessary for the Company to file suit, exclusive jurisdiction will lie in the courts of the Commonwealth of Virginia.</w:t>
      </w:r>
    </w:p>
    <w:p>
      <w:pPr>
        <w:spacing w:after="0" w:line="201" w:lineRule="exact"/>
        <w:rPr>
          <w:rFonts w:ascii="Arial" w:cs="Arial" w:eastAsia="Arial" w:hAnsi="Arial"/>
          <w:sz w:val="22"/>
          <w:szCs w:val="22"/>
          <w:color w:val="auto"/>
        </w:rPr>
      </w:pPr>
    </w:p>
    <w:p>
      <w:pPr>
        <w:ind w:right="20" w:firstLine="656"/>
        <w:spacing w:after="0" w:line="313"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Survival of Agreement</w:t>
      </w:r>
      <w:r>
        <w:rPr>
          <w:rFonts w:ascii="Arial" w:cs="Arial" w:eastAsia="Arial" w:hAnsi="Arial"/>
          <w:sz w:val="19"/>
          <w:szCs w:val="19"/>
          <w:color w:val="auto"/>
        </w:rPr>
        <w:t>. Except as otherwise expressly provided in this Agreement, the rights and obligations of the parties to this Agreement shall survive the Termination of the Executive’s employment with the Company.</w:t>
      </w:r>
    </w:p>
    <w:p>
      <w:pPr>
        <w:spacing w:after="0" w:line="132" w:lineRule="exact"/>
        <w:rPr>
          <w:rFonts w:ascii="Arial" w:cs="Arial" w:eastAsia="Arial" w:hAnsi="Arial"/>
          <w:sz w:val="19"/>
          <w:szCs w:val="19"/>
          <w:color w:val="auto"/>
        </w:rPr>
      </w:pPr>
    </w:p>
    <w:p>
      <w:pPr>
        <w:jc w:val="both"/>
        <w:ind w:firstLine="656"/>
        <w:spacing w:after="0" w:line="231"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concerning the subject matter hereof and supersedes all prior and contemporaneous agreements, if any, between the parties relating to the subject matter hereof.</w:t>
      </w:r>
    </w:p>
    <w:p>
      <w:pPr>
        <w:spacing w:after="0" w:line="201"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Acknowledgement by Executive</w:t>
      </w:r>
      <w:r>
        <w:rPr>
          <w:rFonts w:ascii="Arial" w:cs="Arial" w:eastAsia="Arial" w:hAnsi="Arial"/>
          <w:sz w:val="19"/>
          <w:szCs w:val="19"/>
          <w:color w:val="auto"/>
        </w:rPr>
        <w:t>. The Executive represents to the Company that he is knowledgeable and sophisticated as to business matters, including the subject matter of this Agreement, that he has read this Agreement and that he understands its terms. The Executive acknowledges that, prior to assenting to the terms of this Agreement, he has been given a reasonable time to review it, to consult with counsel of his choice, and to negotiate at arm’s-length with the Company as to the contents. The Executive and the Company agree that the language used in this Agreement is the language chosen by the parties to express their mutual intent, and that no rule of strict construction is to be applied against either party hereto.</w:t>
      </w:r>
    </w:p>
    <w:p>
      <w:pPr>
        <w:spacing w:after="0" w:line="177" w:lineRule="exact"/>
        <w:rPr>
          <w:rFonts w:ascii="Arial" w:cs="Arial" w:eastAsia="Arial" w:hAnsi="Arial"/>
          <w:sz w:val="19"/>
          <w:szCs w:val="19"/>
          <w:color w:val="auto"/>
        </w:rPr>
      </w:pPr>
    </w:p>
    <w:p>
      <w:pPr>
        <w:ind w:right="100" w:firstLine="656"/>
        <w:spacing w:after="0" w:line="231"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Regardless of intent, neither party is required to prevent, minimize, or offset any negative consequences to the other party because a payment or benefit due under this Agreement is subject to Section 409A. To the extent that any payment or benefit is subject to Section 409A, the following terms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49" w:name="page50"/>
    <w:bookmarkEnd w:id="49"/>
    <w:p>
      <w:pPr>
        <w:ind w:right="120" w:firstLine="656"/>
        <w:spacing w:after="0" w:line="239" w:lineRule="auto"/>
        <w:tabs>
          <w:tab w:leader="none" w:pos="1293"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parties hereby designate that any right to a series of installment payments be treated as the right to a series of separate payments.</w:t>
      </w:r>
    </w:p>
    <w:p>
      <w:pPr>
        <w:spacing w:after="0" w:line="198" w:lineRule="exact"/>
        <w:rPr>
          <w:rFonts w:ascii="Arial" w:cs="Arial" w:eastAsia="Arial" w:hAnsi="Arial"/>
          <w:sz w:val="22"/>
          <w:szCs w:val="22"/>
          <w:color w:val="auto"/>
        </w:rPr>
      </w:pPr>
    </w:p>
    <w:p>
      <w:pPr>
        <w:ind w:right="680" w:firstLine="656"/>
        <w:spacing w:after="0" w:line="239" w:lineRule="auto"/>
        <w:tabs>
          <w:tab w:leader="none" w:pos="1291"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payment under this agreement is conditioned on termination of employment, termination of employment (however referred to) means a “separation from service” (as defined under Section 409A).</w:t>
      </w:r>
    </w:p>
    <w:p>
      <w:pPr>
        <w:spacing w:after="0" w:line="198" w:lineRule="exact"/>
        <w:rPr>
          <w:rFonts w:ascii="Arial" w:cs="Arial" w:eastAsia="Arial" w:hAnsi="Arial"/>
          <w:sz w:val="22"/>
          <w:szCs w:val="22"/>
          <w:color w:val="auto"/>
        </w:rPr>
      </w:pPr>
    </w:p>
    <w:p>
      <w:pPr>
        <w:ind w:right="140" w:firstLine="656"/>
        <w:spacing w:after="0" w:line="244" w:lineRule="auto"/>
        <w:tabs>
          <w:tab w:leader="none" w:pos="1293"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payment or benefit due upon separation from service is payable after the Executive’s release of claims becomes irrevocable. If a new calendar year begins during the period when the Executive may sign a release of claims, payment will be made or begin in the new calendar year, regardless of when the release becomes irrevocable.</w:t>
      </w:r>
    </w:p>
    <w:p>
      <w:pPr>
        <w:spacing w:after="0" w:line="195" w:lineRule="exact"/>
        <w:rPr>
          <w:sz w:val="20"/>
          <w:szCs w:val="20"/>
          <w:color w:val="auto"/>
        </w:rPr>
      </w:pPr>
    </w:p>
    <w:p>
      <w:pPr>
        <w:ind w:firstLine="218"/>
        <w:spacing w:after="0" w:line="239" w:lineRule="auto"/>
        <w:rPr>
          <w:sz w:val="20"/>
          <w:szCs w:val="20"/>
          <w:color w:val="auto"/>
        </w:rPr>
      </w:pPr>
      <w:r>
        <w:rPr>
          <w:rFonts w:ascii="Arial" w:cs="Arial" w:eastAsia="Arial" w:hAnsi="Arial"/>
          <w:sz w:val="22"/>
          <w:szCs w:val="22"/>
          <w:color w:val="auto"/>
        </w:rPr>
        <w:t>IN WITNESS WHEREOF, the Executive has hereunto set his hand, and the Company has caused these presents to be executed in its name and on its behalf, as of the date above first written.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260" w:type="dxa"/>
            <w:vAlign w:val="bottom"/>
            <w:gridSpan w:val="2"/>
          </w:tcPr>
          <w:p>
            <w:pPr>
              <w:ind w:left="20"/>
              <w:spacing w:after="0"/>
              <w:rPr>
                <w:sz w:val="20"/>
                <w:szCs w:val="20"/>
                <w:color w:val="auto"/>
              </w:rPr>
            </w:pPr>
            <w:r>
              <w:rPr>
                <w:rFonts w:ascii="Arial" w:cs="Arial" w:eastAsia="Arial" w:hAnsi="Arial"/>
                <w:sz w:val="22"/>
                <w:szCs w:val="22"/>
                <w:color w:val="auto"/>
              </w:rPr>
              <w:t>EXECUTIVE</w:t>
            </w:r>
          </w:p>
        </w:tc>
        <w:tc>
          <w:tcPr>
            <w:tcW w:w="4340" w:type="dxa"/>
            <w:vAlign w:val="bottom"/>
          </w:tcPr>
          <w:p>
            <w:pPr>
              <w:ind w:left="20"/>
              <w:spacing w:after="0"/>
              <w:rPr>
                <w:sz w:val="20"/>
                <w:szCs w:val="20"/>
                <w:color w:val="auto"/>
              </w:rPr>
            </w:pPr>
            <w:r>
              <w:rPr>
                <w:rFonts w:ascii="Arial" w:cs="Arial" w:eastAsia="Arial" w:hAnsi="Arial"/>
                <w:sz w:val="22"/>
                <w:szCs w:val="22"/>
                <w:color w:val="auto"/>
              </w:rPr>
              <w:t>TELOS CORPORATION,</w:t>
            </w:r>
          </w:p>
        </w:tc>
      </w:tr>
      <w:tr>
        <w:trPr>
          <w:trHeight w:val="284"/>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22"/>
                <w:szCs w:val="22"/>
                <w:color w:val="auto"/>
              </w:rPr>
              <w:t>a Maryland corporation</w:t>
            </w:r>
          </w:p>
        </w:tc>
      </w:tr>
      <w:tr>
        <w:trPr>
          <w:trHeight w:val="28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Bendza</w:t>
            </w:r>
          </w:p>
        </w:tc>
        <w:tc>
          <w:tcPr>
            <w:tcW w:w="1520" w:type="dxa"/>
            <w:vAlign w:val="bottom"/>
          </w:tcPr>
          <w:p>
            <w:pPr>
              <w:spacing w:after="0"/>
              <w:rPr>
                <w:sz w:val="24"/>
                <w:szCs w:val="24"/>
                <w:color w:val="auto"/>
              </w:rPr>
            </w:pP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B. Wood</w:t>
            </w:r>
          </w:p>
        </w:tc>
      </w:tr>
      <w:tr>
        <w:trPr>
          <w:trHeight w:val="275"/>
        </w:trPr>
        <w:tc>
          <w:tcPr>
            <w:tcW w:w="6260" w:type="dxa"/>
            <w:vAlign w:val="bottom"/>
            <w:gridSpan w:val="2"/>
          </w:tcPr>
          <w:p>
            <w:pPr>
              <w:ind w:left="20"/>
              <w:spacing w:after="0"/>
              <w:rPr>
                <w:sz w:val="20"/>
                <w:szCs w:val="20"/>
                <w:color w:val="auto"/>
              </w:rPr>
            </w:pPr>
            <w:r>
              <w:rPr>
                <w:rFonts w:ascii="Arial" w:cs="Arial" w:eastAsia="Arial" w:hAnsi="Arial"/>
                <w:sz w:val="22"/>
                <w:szCs w:val="22"/>
                <w:color w:val="auto"/>
              </w:rPr>
              <w:t>Mark Bendza</w:t>
            </w:r>
          </w:p>
        </w:tc>
        <w:tc>
          <w:tcPr>
            <w:tcW w:w="4340" w:type="dxa"/>
            <w:vAlign w:val="bottom"/>
          </w:tcPr>
          <w:p>
            <w:pPr>
              <w:ind w:left="20"/>
              <w:spacing w:after="0"/>
              <w:rPr>
                <w:sz w:val="20"/>
                <w:szCs w:val="20"/>
                <w:color w:val="auto"/>
              </w:rPr>
            </w:pPr>
            <w:r>
              <w:rPr>
                <w:rFonts w:ascii="Arial" w:cs="Arial" w:eastAsia="Arial" w:hAnsi="Arial"/>
                <w:sz w:val="22"/>
                <w:szCs w:val="22"/>
                <w:color w:val="auto"/>
              </w:rPr>
              <w:t>John B. Wood</w:t>
            </w:r>
          </w:p>
        </w:tc>
      </w:tr>
      <w:tr>
        <w:trPr>
          <w:trHeight w:val="283"/>
        </w:trPr>
        <w:tc>
          <w:tcPr>
            <w:tcW w:w="6260" w:type="dxa"/>
            <w:vAlign w:val="bottom"/>
            <w:gridSpan w:val="2"/>
          </w:tcPr>
          <w:p>
            <w:pPr>
              <w:ind w:left="20"/>
              <w:spacing w:after="0"/>
              <w:rPr>
                <w:sz w:val="20"/>
                <w:szCs w:val="20"/>
                <w:color w:val="auto"/>
              </w:rPr>
            </w:pPr>
            <w:r>
              <w:rPr>
                <w:rFonts w:ascii="Arial" w:cs="Arial" w:eastAsia="Arial" w:hAnsi="Arial"/>
                <w:sz w:val="22"/>
                <w:szCs w:val="22"/>
                <w:color w:val="auto"/>
              </w:rPr>
              <w:t>Chief Financial Officer</w:t>
            </w:r>
          </w:p>
        </w:tc>
        <w:tc>
          <w:tcPr>
            <w:tcW w:w="4340" w:type="dxa"/>
            <w:vAlign w:val="bottom"/>
          </w:tcPr>
          <w:p>
            <w:pPr>
              <w:ind w:left="20"/>
              <w:spacing w:after="0"/>
              <w:rPr>
                <w:sz w:val="20"/>
                <w:szCs w:val="20"/>
                <w:color w:val="auto"/>
              </w:rPr>
            </w:pPr>
            <w:r>
              <w:rPr>
                <w:rFonts w:ascii="Arial" w:cs="Arial" w:eastAsia="Arial" w:hAnsi="Arial"/>
                <w:sz w:val="22"/>
                <w:szCs w:val="22"/>
                <w:color w:val="auto"/>
              </w:rPr>
              <w:t>Chairman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26" w:right="20" w:hanging="326"/>
        <w:spacing w:after="0" w:line="263" w:lineRule="auto"/>
        <w:tabs>
          <w:tab w:leader="none" w:pos="3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26" w:right="180" w:hanging="326"/>
        <w:spacing w:after="0" w:line="308" w:lineRule="auto"/>
        <w:tabs>
          <w:tab w:leader="none" w:pos="3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6" w:right="160" w:hanging="326"/>
        <w:spacing w:after="0" w:line="291" w:lineRule="auto"/>
        <w:tabs>
          <w:tab w:leader="none" w:pos="3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6" w:right="440" w:firstLine="399"/>
        <w:spacing w:after="0" w:line="263" w:lineRule="auto"/>
        <w:tabs>
          <w:tab w:leader="none" w:pos="8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6" w:right="140" w:firstLine="399"/>
        <w:spacing w:after="0" w:line="263" w:lineRule="auto"/>
        <w:tabs>
          <w:tab w:leader="none" w:pos="8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 w:right="260" w:firstLine="399"/>
        <w:spacing w:after="0" w:line="342" w:lineRule="auto"/>
        <w:tabs>
          <w:tab w:leader="none" w:pos="80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6" w:right="260" w:firstLine="399"/>
        <w:spacing w:after="0" w:line="263" w:lineRule="auto"/>
        <w:tabs>
          <w:tab w:leader="none" w:pos="8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26" w:right="120" w:hanging="326"/>
        <w:spacing w:after="0" w:line="277" w:lineRule="auto"/>
        <w:tabs>
          <w:tab w:leader="none" w:pos="3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29" w:lineRule="exact"/>
        <w:rPr>
          <w:rFonts w:ascii="Arial" w:cs="Arial" w:eastAsia="Arial" w:hAnsi="Arial"/>
          <w:sz w:val="18"/>
          <w:szCs w:val="18"/>
          <w:color w:val="auto"/>
        </w:rPr>
      </w:pPr>
    </w:p>
    <w:p>
      <w:pPr>
        <w:ind w:left="6" w:right="460" w:firstLine="399"/>
        <w:spacing w:after="0" w:line="308" w:lineRule="auto"/>
        <w:tabs>
          <w:tab w:leader="none" w:pos="80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 w:right="180" w:firstLine="399"/>
        <w:spacing w:after="0" w:line="277" w:lineRule="auto"/>
        <w:tabs>
          <w:tab w:leader="none" w:pos="8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Date: August 16, 2021</w:t>
      </w:r>
    </w:p>
    <w:p>
      <w:pPr>
        <w:spacing w:after="0" w:line="279"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14605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746"/>
          </w:cols>
          <w:pgMar w:left="814" w:top="106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60" w:right="20" w:hanging="326"/>
        <w:spacing w:after="0" w:line="263"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60" w:right="180" w:hanging="326"/>
        <w:spacing w:after="0" w:line="308" w:lineRule="auto"/>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60" w:right="160" w:hanging="326"/>
        <w:spacing w:after="0" w:line="291"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40" w:right="440" w:firstLine="399"/>
        <w:spacing w:after="0" w:line="263" w:lineRule="auto"/>
        <w:tabs>
          <w:tab w:leader="none" w:pos="8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40" w:right="140" w:firstLine="399"/>
        <w:spacing w:after="0" w:line="263" w:lineRule="auto"/>
        <w:tabs>
          <w:tab w:leader="none" w:pos="8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0" w:right="260" w:firstLine="399"/>
        <w:spacing w:after="0" w:line="342" w:lineRule="auto"/>
        <w:tabs>
          <w:tab w:leader="none" w:pos="84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40" w:right="260" w:firstLine="399"/>
        <w:spacing w:after="0" w:line="263" w:lineRule="auto"/>
        <w:tabs>
          <w:tab w:leader="none" w:pos="8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60" w:right="120" w:hanging="326"/>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29" w:lineRule="exact"/>
        <w:rPr>
          <w:rFonts w:ascii="Arial" w:cs="Arial" w:eastAsia="Arial" w:hAnsi="Arial"/>
          <w:sz w:val="18"/>
          <w:szCs w:val="18"/>
          <w:color w:val="auto"/>
        </w:rPr>
      </w:pPr>
    </w:p>
    <w:p>
      <w:pPr>
        <w:ind w:left="40" w:right="460" w:firstLine="399"/>
        <w:spacing w:after="0" w:line="308" w:lineRule="auto"/>
        <w:tabs>
          <w:tab w:leader="none" w:pos="841"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40" w:right="180" w:firstLine="399"/>
        <w:spacing w:after="0" w:line="277" w:lineRule="auto"/>
        <w:tabs>
          <w:tab w:leader="none" w:pos="8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August 16, 2021</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14605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 (Principal Financial and Accounting Officer)</w:t>
      </w:r>
    </w:p>
    <w:p>
      <w:pPr>
        <w:sectPr>
          <w:pgSz w:w="11900" w:h="16838" w:orient="portrait"/>
          <w:cols w:equalWidth="0" w:num="1">
            <w:col w:w="10780"/>
          </w:cols>
          <w:pgMar w:left="780" w:top="106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June 30, 2021, as filed with the Securities and Exchange Commission on the date hereof (the "Report"), we, John B. Wood and Mark Bendza, certify, pursuant to 18 U.S.C. § 1350, as adopted pursuant to § 906 of the Sarbanes-Oxley Act of 2002, that to our knowledge:</w:t>
      </w:r>
    </w:p>
    <w:p>
      <w:pPr>
        <w:spacing w:after="0" w:line="184"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380" w:right="140" w:hanging="6048"/>
        <w:spacing w:after="0" w:line="434" w:lineRule="auto"/>
        <w:tabs>
          <w:tab w:leader="none" w:pos="6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16, 2021</w:t>
      </w:r>
    </w:p>
    <w:p>
      <w:pPr>
        <w:spacing w:after="0" w:line="8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Date: August 16, 2021</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Mark Bendza</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 (Principal Financial and Accounting</w:t>
      </w:r>
    </w:p>
    <w:p>
      <w:pPr>
        <w:ind w:left="63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amp;"/>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Letter"/>
      <w:start w:val="1"/>
    </w:lvl>
    <w:lvl w:ilvl="1">
      <w:lvlJc w:val="left"/>
      <w:lvlText w:val="%2."/>
      <w:numFmt w:val="decimal"/>
      <w:start w:val="1"/>
    </w:lvl>
  </w:abstractNum>
  <w:abstractNum w:abstractNumId="14">
    <w:nsid w:val="79838CB2"/>
    <w:multiLevelType w:val="hybridMultilevel"/>
    <w:lvl w:ilvl="0">
      <w:lvlJc w:val="left"/>
      <w:lvlText w:val="(%1)"/>
      <w:numFmt w:val="lowerLetter"/>
      <w:start w:val="1"/>
    </w:lvl>
    <w:lvl w:ilvl="1">
      <w:lvlJc w:val="left"/>
      <w:lvlText w:val="%2"/>
      <w:numFmt w:val="decimal"/>
      <w:start w:val="1"/>
    </w:lvl>
  </w:abstractNum>
  <w:abstractNum w:abstractNumId="15">
    <w:nsid w:val="4353D0CD"/>
    <w:multiLevelType w:val="hybridMultilevel"/>
    <w:lvl w:ilvl="0">
      <w:lvlJc w:val="left"/>
      <w:lvlText w:val="%1"/>
      <w:numFmt w:val="lowerLetter"/>
      <w:start w:val="1"/>
    </w:lvl>
    <w:lvl w:ilvl="1">
      <w:lvlJc w:val="left"/>
      <w:lvlText w:val="%2."/>
      <w:numFmt w:val="decimal"/>
      <w:start w:val="2"/>
    </w:lvl>
  </w:abstractNum>
  <w:abstractNum w:abstractNumId="16">
    <w:nsid w:val="B03E0C6"/>
    <w:multiLevelType w:val="hybridMultilevel"/>
    <w:lvl w:ilvl="0">
      <w:lvlJc w:val="left"/>
      <w:lvlText w:val="(%1)"/>
      <w:numFmt w:val="lowerLetter"/>
      <w:start w:val="1"/>
    </w:lvl>
    <w:lvl w:ilvl="1">
      <w:lvlJc w:val="left"/>
      <w:lvlText w:val="%2."/>
      <w:numFmt w:val="decimal"/>
      <w:start w:val="3"/>
    </w:lvl>
  </w:abstractNum>
  <w:abstractNum w:abstractNumId="17">
    <w:nsid w:val="189A769B"/>
    <w:multiLevelType w:val="hybridMultilevel"/>
    <w:lvl w:ilvl="0">
      <w:lvlJc w:val="left"/>
      <w:lvlText w:val="(%1)"/>
      <w:numFmt w:val="lowerLetter"/>
      <w:start w:val="2"/>
    </w:lvl>
    <w:lvl w:ilvl="1">
      <w:lvlJc w:val="left"/>
      <w:lvlText w:val="%2."/>
      <w:numFmt w:val="decimal"/>
      <w:start w:val="4"/>
    </w:lvl>
  </w:abstractNum>
  <w:abstractNum w:abstractNumId="18">
    <w:nsid w:val="54E49EB4"/>
    <w:multiLevelType w:val="hybridMultilevel"/>
    <w:lvl w:ilvl="0">
      <w:lvlJc w:val="left"/>
      <w:lvlText w:val="(%1)"/>
      <w:numFmt w:val="lowerLetter"/>
      <w:start w:val="1"/>
    </w:lvl>
    <w:lvl w:ilvl="1">
      <w:lvlJc w:val="left"/>
      <w:lvlText w:val="(%2)"/>
      <w:numFmt w:val="lowerRoman"/>
      <w:start w:val="1"/>
    </w:lvl>
  </w:abstractNum>
  <w:abstractNum w:abstractNumId="19">
    <w:nsid w:val="71F32454"/>
    <w:multiLevelType w:val="hybridMultilevel"/>
    <w:lvl w:ilvl="0">
      <w:lvlJc w:val="left"/>
      <w:lvlText w:val="(%1)"/>
      <w:numFmt w:val="lowerLetter"/>
      <w:start w:val="4"/>
    </w:lvl>
  </w:abstractNum>
  <w:abstractNum w:abstractNumId="20">
    <w:nsid w:val="2CA8861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21">
    <w:nsid w:val="836C40E"/>
    <w:multiLevelType w:val="hybridMultilevel"/>
    <w:lvl w:ilvl="0">
      <w:lvlJc w:val="left"/>
      <w:lvlText w:val="%1"/>
      <w:numFmt w:val="lowerRoman"/>
      <w:start w:val="1"/>
    </w:lvl>
    <w:lvl w:ilvl="1">
      <w:lvlJc w:val="left"/>
      <w:lvlText w:val="(%2)"/>
      <w:numFmt w:val="lowerLetter"/>
      <w:start w:val="2"/>
    </w:lvl>
  </w:abstractNum>
  <w:abstractNum w:abstractNumId="22">
    <w:nsid w:val="2901D82"/>
    <w:multiLevelType w:val="hybridMultilevel"/>
    <w:lvl w:ilvl="0">
      <w:lvlJc w:val="left"/>
      <w:lvlText w:val="(%1)"/>
      <w:numFmt w:val="lowerRoman"/>
      <w:start w:val="5"/>
    </w:lvl>
    <w:lvl w:ilvl="1">
      <w:lvlJc w:val="left"/>
      <w:lvlText w:val="%2"/>
      <w:numFmt w:val="lowerLetter"/>
      <w:start w:val="1"/>
    </w:lvl>
  </w:abstractNum>
  <w:abstractNum w:abstractNumId="23">
    <w:nsid w:val="3A95F874"/>
    <w:multiLevelType w:val="hybridMultilevel"/>
    <w:lvl w:ilvl="0">
      <w:lvlJc w:val="left"/>
      <w:lvlText w:val="%1"/>
      <w:numFmt w:val="lowerLetter"/>
      <w:start w:val="1"/>
    </w:lvl>
    <w:lvl w:ilvl="1">
      <w:lvlJc w:val="left"/>
      <w:lvlText w:val="(%2)"/>
      <w:numFmt w:val="lowerRoman"/>
      <w:start w:val="7"/>
    </w:lvl>
  </w:abstractNum>
  <w:abstractNum w:abstractNumId="24">
    <w:nsid w:val="8138641"/>
    <w:multiLevelType w:val="hybridMultilevel"/>
    <w:lvl w:ilvl="0">
      <w:lvlJc w:val="left"/>
      <w:lvlText w:val="(%1)"/>
      <w:numFmt w:val="lowerLetter"/>
      <w:start w:val="6"/>
    </w:lvl>
    <w:lvl w:ilvl="1">
      <w:lvlJc w:val="left"/>
      <w:lvlText w:val="%2"/>
      <w:numFmt w:val="lowerRoman"/>
      <w:start w:val="1"/>
    </w:lvl>
  </w:abstractNum>
  <w:abstractNum w:abstractNumId="25">
    <w:nsid w:val="1E7FF521"/>
    <w:multiLevelType w:val="hybridMultilevel"/>
    <w:lvl w:ilvl="0">
      <w:lvlJc w:val="left"/>
      <w:lvlText w:val="%1."/>
      <w:numFmt w:val="decimal"/>
      <w:start w:val="5"/>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8"/>
    </w:lvl>
  </w:abstractNum>
  <w:abstractNum w:abstractNumId="29">
    <w:nsid w:val="22221A70"/>
    <w:multiLevelType w:val="hybridMultilevel"/>
    <w:lvl w:ilvl="0">
      <w:lvlJc w:val="left"/>
      <w:lvlText w:val="%1."/>
      <w:numFmt w:val="decimal"/>
      <w:start w:val="9"/>
    </w:lvl>
  </w:abstractNum>
  <w:abstractNum w:abstractNumId="30">
    <w:nsid w:val="4516DDE9"/>
    <w:multiLevelType w:val="hybridMultilevel"/>
    <w:lvl w:ilvl="0">
      <w:lvlJc w:val="left"/>
      <w:lvlText w:val="%1."/>
      <w:numFmt w:val="decimal"/>
      <w:start w:val="1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2021-08-16T15:19:51Z</dcterms:created>
  <dcterms:modified xsi:type="dcterms:W3CDTF">2021-08-16T15:19:51Z</dcterms:modified>
</cp:coreProperties>
</file>