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w:t>
      </w:r>
    </w:p>
    <w:p>
      <w:pPr>
        <w:spacing w:after="0" w:line="20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323"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22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56" w:lineRule="exact"/>
        <w:rPr>
          <w:sz w:val="24"/>
          <w:szCs w:val="24"/>
          <w:color w:val="auto"/>
        </w:rPr>
      </w:pPr>
    </w:p>
    <w:p>
      <w:pPr>
        <w:ind w:left="4300" w:right="4120" w:hanging="4292"/>
        <w:spacing w:after="0" w:line="535" w:lineRule="auto"/>
        <w:tabs>
          <w:tab w:leader="none" w:pos="223"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Commission file number: 001-08443</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TELOS CORPORATION</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ind w:left="2440"/>
        <w:spacing w:after="0"/>
        <w:tabs>
          <w:tab w:leader="none" w:pos="8160" w:val="left"/>
        </w:tabs>
        <w:rPr>
          <w:sz w:val="20"/>
          <w:szCs w:val="20"/>
          <w:color w:val="auto"/>
        </w:rPr>
      </w:pPr>
      <w:r>
        <w:rPr>
          <w:rFonts w:ascii="Arial" w:cs="Arial" w:eastAsia="Arial" w:hAnsi="Arial"/>
          <w:sz w:val="18"/>
          <w:szCs w:val="18"/>
          <w:b w:val="1"/>
          <w:bCs w:val="1"/>
          <w:color w:val="auto"/>
        </w:rPr>
        <w:t>Maryland</w:t>
      </w:r>
      <w:r>
        <w:rPr>
          <w:sz w:val="20"/>
          <w:szCs w:val="20"/>
          <w:color w:val="auto"/>
        </w:rPr>
        <w:tab/>
      </w:r>
      <w:r>
        <w:rPr>
          <w:rFonts w:ascii="Arial" w:cs="Arial" w:eastAsia="Arial" w:hAnsi="Arial"/>
          <w:sz w:val="18"/>
          <w:szCs w:val="18"/>
          <w:b w:val="1"/>
          <w:bCs w:val="1"/>
          <w:color w:val="auto"/>
        </w:rPr>
        <w:t>52-0880974</w:t>
      </w:r>
    </w:p>
    <w:p>
      <w:pPr>
        <w:spacing w:after="0" w:line="27" w:lineRule="exact"/>
        <w:rPr>
          <w:sz w:val="24"/>
          <w:szCs w:val="24"/>
          <w:color w:val="auto"/>
        </w:rPr>
      </w:pPr>
    </w:p>
    <w:p>
      <w:pPr>
        <w:ind w:left="680"/>
        <w:spacing w:after="0"/>
        <w:tabs>
          <w:tab w:leader="none" w:pos="728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7"/>
          <w:szCs w:val="17"/>
          <w:color w:val="auto"/>
        </w:rPr>
        <w:t>(I.R.S. Employer Identification No.)</w:t>
      </w:r>
    </w:p>
    <w:p>
      <w:pPr>
        <w:spacing w:after="0" w:line="234" w:lineRule="exact"/>
        <w:rPr>
          <w:sz w:val="24"/>
          <w:szCs w:val="24"/>
          <w:color w:val="auto"/>
        </w:rPr>
      </w:pPr>
    </w:p>
    <w:p>
      <w:pPr>
        <w:ind w:left="1260"/>
        <w:spacing w:after="0"/>
        <w:tabs>
          <w:tab w:leader="none" w:pos="8140" w:val="left"/>
        </w:tabs>
        <w:rPr>
          <w:sz w:val="20"/>
          <w:szCs w:val="20"/>
          <w:color w:val="auto"/>
        </w:rPr>
      </w:pPr>
      <w:r>
        <w:rPr>
          <w:rFonts w:ascii="Arial" w:cs="Arial" w:eastAsia="Arial" w:hAnsi="Arial"/>
          <w:sz w:val="18"/>
          <w:szCs w:val="18"/>
          <w:b w:val="1"/>
          <w:bCs w:val="1"/>
          <w:color w:val="auto"/>
        </w:rPr>
        <w:t>19886 Ashburn Road, Ashburn, Virginia</w:t>
      </w:r>
      <w:r>
        <w:rPr>
          <w:sz w:val="20"/>
          <w:szCs w:val="20"/>
          <w:color w:val="auto"/>
        </w:rPr>
        <w:tab/>
      </w:r>
      <w:r>
        <w:rPr>
          <w:rFonts w:ascii="Arial" w:cs="Arial" w:eastAsia="Arial" w:hAnsi="Arial"/>
          <w:sz w:val="16"/>
          <w:szCs w:val="16"/>
          <w:b w:val="1"/>
          <w:bCs w:val="1"/>
          <w:color w:val="auto"/>
        </w:rPr>
        <w:t>20147-2358</w:t>
      </w:r>
    </w:p>
    <w:p>
      <w:pPr>
        <w:spacing w:after="0" w:line="27" w:lineRule="exact"/>
        <w:rPr>
          <w:sz w:val="24"/>
          <w:szCs w:val="24"/>
          <w:color w:val="auto"/>
        </w:rPr>
      </w:pPr>
    </w:p>
    <w:p>
      <w:pPr>
        <w:ind w:left="1380"/>
        <w:spacing w:after="0"/>
        <w:tabs>
          <w:tab w:leader="none" w:pos="81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(703) 724-3800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p>
      <w:pPr>
        <w:ind w:left="1200"/>
        <w:spacing w:after="0"/>
        <w:tabs>
          <w:tab w:leader="none" w:pos="4840" w:val="left"/>
          <w:tab w:leader="none" w:pos="752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w:t>
      </w:r>
      <w:r>
        <w:rPr>
          <w:sz w:val="20"/>
          <w:szCs w:val="20"/>
          <w:color w:val="auto"/>
        </w:rPr>
        <w:tab/>
      </w:r>
      <w:r>
        <w:rPr>
          <w:rFonts w:ascii="Arial" w:cs="Arial" w:eastAsia="Arial" w:hAnsi="Arial"/>
          <w:sz w:val="16"/>
          <w:szCs w:val="16"/>
          <w:color w:val="auto"/>
        </w:rPr>
        <w:t>Name of each exchange on which registered</w:t>
      </w:r>
    </w:p>
    <w:p>
      <w:pPr>
        <w:spacing w:after="0" w:line="9" w:lineRule="exact"/>
        <w:rPr>
          <w:sz w:val="24"/>
          <w:szCs w:val="24"/>
          <w:color w:val="auto"/>
        </w:rPr>
      </w:pPr>
    </w:p>
    <w:p>
      <w:pPr>
        <w:ind w:left="300"/>
        <w:spacing w:after="0"/>
        <w:tabs>
          <w:tab w:leader="none" w:pos="5260" w:val="left"/>
          <w:tab w:leader="none" w:pos="7980" w:val="left"/>
        </w:tabs>
        <w:rPr>
          <w:sz w:val="20"/>
          <w:szCs w:val="20"/>
          <w:color w:val="auto"/>
        </w:rPr>
      </w:pPr>
      <w:r>
        <w:rPr>
          <w:rFonts w:ascii="Arial" w:cs="Arial" w:eastAsia="Arial" w:hAnsi="Arial"/>
          <w:sz w:val="18"/>
          <w:szCs w:val="18"/>
          <w:color w:val="auto"/>
        </w:rPr>
        <w:t>Common stock, $0.001 par value per share</w:t>
      </w:r>
      <w:r>
        <w:rPr>
          <w:sz w:val="20"/>
          <w:szCs w:val="20"/>
          <w:color w:val="auto"/>
        </w:rPr>
        <w:tab/>
      </w:r>
      <w:r>
        <w:rPr>
          <w:rFonts w:ascii="Arial" w:cs="Arial" w:eastAsia="Arial" w:hAnsi="Arial"/>
          <w:sz w:val="18"/>
          <w:szCs w:val="18"/>
          <w:color w:val="auto"/>
        </w:rPr>
        <w:t>TLS</w:t>
      </w:r>
      <w:r>
        <w:rPr>
          <w:sz w:val="20"/>
          <w:szCs w:val="20"/>
          <w:color w:val="auto"/>
        </w:rPr>
        <w:tab/>
      </w:r>
      <w:r>
        <w:rPr>
          <w:rFonts w:ascii="Arial" w:cs="Arial" w:eastAsia="Arial" w:hAnsi="Arial"/>
          <w:sz w:val="16"/>
          <w:szCs w:val="16"/>
          <w:color w:val="auto"/>
        </w:rPr>
        <w:t>The Nasdaq Stock Market LLC</w:t>
      </w:r>
    </w:p>
    <w:p>
      <w:pPr>
        <w:spacing w:after="0" w:line="200" w:lineRule="exact"/>
        <w:rPr>
          <w:sz w:val="24"/>
          <w:szCs w:val="24"/>
          <w:color w:val="auto"/>
        </w:rPr>
      </w:pPr>
    </w:p>
    <w:p>
      <w:pPr>
        <w:spacing w:after="0" w:line="321" w:lineRule="exact"/>
        <w:rPr>
          <w:sz w:val="24"/>
          <w:szCs w:val="24"/>
          <w:color w:val="auto"/>
        </w:rPr>
      </w:pPr>
    </w:p>
    <w:p>
      <w:pPr>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84" w:lineRule="exact"/>
        <w:rPr>
          <w:sz w:val="24"/>
          <w:szCs w:val="24"/>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84"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spacing w:after="0"/>
              <w:rPr>
                <w:sz w:val="20"/>
                <w:szCs w:val="20"/>
                <w:color w:val="auto"/>
              </w:rPr>
            </w:pPr>
            <w:r>
              <w:rPr>
                <w:rFonts w:ascii="Arial" w:cs="Arial" w:eastAsia="Arial" w:hAnsi="Arial"/>
                <w:sz w:val="18"/>
                <w:szCs w:val="18"/>
                <w:color w:val="auto"/>
                <w:w w:val="95"/>
              </w:rPr>
              <w:t>Large accelerated filer</w:t>
            </w:r>
          </w:p>
        </w:tc>
        <w:tc>
          <w:tcPr>
            <w:tcW w:w="280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5340" w:type="dxa"/>
            <w:vAlign w:val="bottom"/>
          </w:tcPr>
          <w:p>
            <w:pPr>
              <w:ind w:left="2580"/>
              <w:spacing w:after="0"/>
              <w:rPr>
                <w:sz w:val="20"/>
                <w:szCs w:val="20"/>
                <w:color w:val="auto"/>
              </w:rPr>
            </w:pPr>
            <w:r>
              <w:rPr>
                <w:rFonts w:ascii="Arial" w:cs="Arial" w:eastAsia="Arial" w:hAnsi="Arial"/>
                <w:sz w:val="18"/>
                <w:szCs w:val="18"/>
                <w:color w:val="auto"/>
              </w:rPr>
              <w:t>Accelerated filer</w:t>
            </w:r>
          </w:p>
        </w:tc>
        <w:tc>
          <w:tcPr>
            <w:tcW w:w="960" w:type="dxa"/>
            <w:vAlign w:val="bottom"/>
          </w:tcPr>
          <w:p>
            <w:pPr>
              <w:ind w:left="8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00" w:type="dxa"/>
            <w:vAlign w:val="bottom"/>
          </w:tcPr>
          <w:p>
            <w:pPr>
              <w:ind w:left="8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5340" w:type="dxa"/>
            <w:vAlign w:val="bottom"/>
          </w:tcPr>
          <w:p>
            <w:pPr>
              <w:ind w:left="2580"/>
              <w:spacing w:after="0"/>
              <w:rPr>
                <w:sz w:val="20"/>
                <w:szCs w:val="20"/>
                <w:color w:val="auto"/>
              </w:rPr>
            </w:pPr>
            <w:r>
              <w:rPr>
                <w:rFonts w:ascii="Arial" w:cs="Arial" w:eastAsia="Arial" w:hAnsi="Arial"/>
                <w:sz w:val="18"/>
                <w:szCs w:val="18"/>
                <w:color w:val="auto"/>
              </w:rPr>
              <w:t>Smaller reporting company</w:t>
            </w:r>
          </w:p>
        </w:tc>
        <w:tc>
          <w:tcPr>
            <w:tcW w:w="960" w:type="dxa"/>
            <w:vAlign w:val="bottom"/>
          </w:tcPr>
          <w:p>
            <w:pPr>
              <w:ind w:left="800"/>
              <w:spacing w:after="0" w:line="216"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1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340" w:type="dxa"/>
            <w:vAlign w:val="bottom"/>
          </w:tcPr>
          <w:p>
            <w:pPr>
              <w:ind w:left="2580"/>
              <w:spacing w:after="0"/>
              <w:rPr>
                <w:sz w:val="20"/>
                <w:szCs w:val="20"/>
                <w:color w:val="auto"/>
              </w:rPr>
            </w:pPr>
            <w:r>
              <w:rPr>
                <w:rFonts w:ascii="Arial" w:cs="Arial" w:eastAsia="Arial" w:hAnsi="Arial"/>
                <w:sz w:val="18"/>
                <w:szCs w:val="18"/>
                <w:color w:val="auto"/>
              </w:rPr>
              <w:t>Emerging growth company</w:t>
            </w:r>
          </w:p>
        </w:tc>
        <w:tc>
          <w:tcPr>
            <w:tcW w:w="960" w:type="dxa"/>
            <w:vAlign w:val="bottom"/>
          </w:tcPr>
          <w:p>
            <w:pPr>
              <w:ind w:left="80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77" w:lineRule="exact"/>
        <w:rPr>
          <w:sz w:val="24"/>
          <w:szCs w:val="24"/>
          <w:color w:val="auto"/>
        </w:rPr>
      </w:pPr>
    </w:p>
    <w:p>
      <w:pPr>
        <w:spacing w:after="0" w:line="242" w:lineRule="exact"/>
        <w:tabs>
          <w:tab w:leader="none" w:pos="8340" w:val="left"/>
          <w:tab w:leader="none" w:pos="90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Arial Unicode MS" w:cs="Arial Unicode MS" w:eastAsia="Arial Unicode MS" w:hAnsi="Arial Unicode MS"/>
          <w:sz w:val="18"/>
          <w:szCs w:val="18"/>
          <w:color w:val="auto"/>
        </w:rPr>
        <w:t>☐</w:t>
      </w:r>
      <w:r>
        <w:rPr>
          <w:sz w:val="20"/>
          <w:szCs w:val="20"/>
          <w:color w:val="auto"/>
        </w:rPr>
        <w:tab/>
      </w:r>
      <w:r>
        <w:rPr>
          <w:rFonts w:ascii="Arial" w:cs="Arial" w:eastAsia="Arial" w:hAnsi="Arial"/>
          <w:sz w:val="17"/>
          <w:szCs w:val="17"/>
          <w:color w:val="auto"/>
        </w:rPr>
        <w:t xml:space="preserve">No </w:t>
      </w:r>
      <w:r>
        <w:rPr>
          <w:rFonts w:ascii="Arial Unicode MS" w:cs="Arial Unicode MS" w:eastAsia="Arial Unicode MS" w:hAnsi="Arial Unicode MS"/>
          <w:sz w:val="17"/>
          <w:szCs w:val="17"/>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As of May 10, 2021, the registrant had outstanding 66,735,389 shares of common stock</w:t>
      </w:r>
      <w:r>
        <w:rPr>
          <w:rFonts w:ascii="Arial" w:cs="Arial" w:eastAsia="Arial" w:hAnsi="Arial"/>
          <w:sz w:val="21"/>
          <w:szCs w:val="21"/>
          <w:color w:val="auto"/>
        </w:rPr>
        <w:t>.</w:t>
      </w:r>
    </w:p>
    <w:p>
      <w:pPr>
        <w:sectPr>
          <w:pgSz w:w="11900" w:h="16838" w:orient="portrait"/>
          <w:cols w:equalWidth="0" w:num="1">
            <w:col w:w="11080"/>
          </w:cols>
          <w:pgMar w:left="320" w:top="206" w:right="499" w:bottom="1440" w:gutter="0" w:footer="0" w:header="0"/>
        </w:sectPr>
      </w:pP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206" w:right="499" w:bottom="1440" w:gutter="0" w:footer="0" w:header="0"/>
          <w:type w:val="continuous"/>
        </w:sectPr>
      </w:pPr>
    </w:p>
    <w:bookmarkStart w:id="1" w:name="page2"/>
    <w:bookmarkEnd w:id="1"/>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TELOS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PART I - FINANCIAL INFORMATION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ind w:left="340"/>
              <w:spacing w:after="0"/>
              <w:rPr>
                <w:sz w:val="20"/>
                <w:szCs w:val="20"/>
                <w:color w:val="auto"/>
              </w:rPr>
            </w:pPr>
            <w:r>
              <w:rPr>
                <w:rFonts w:ascii="Arial" w:cs="Arial" w:eastAsia="Arial" w:hAnsi="Arial"/>
                <w:sz w:val="14"/>
                <w:szCs w:val="14"/>
                <w:b w:val="1"/>
                <w:bCs w:val="1"/>
                <w:color w:val="auto"/>
              </w:rPr>
              <w:t>Page</w:t>
            </w:r>
          </w:p>
        </w:tc>
      </w:tr>
      <w:tr>
        <w:trPr>
          <w:trHeight w:val="26"/>
        </w:trPr>
        <w:tc>
          <w:tcPr>
            <w:tcW w:w="1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9"/>
        </w:trPr>
        <w:tc>
          <w:tcPr>
            <w:tcW w:w="110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Item 1.</w:t>
            </w:r>
          </w:p>
        </w:tc>
        <w:tc>
          <w:tcPr>
            <w:tcW w:w="9160" w:type="dxa"/>
            <w:vAlign w:val="bottom"/>
            <w:gridSpan w:val="20"/>
            <w:shd w:val="clear" w:color="auto" w:fill="CCEEFF"/>
          </w:tcPr>
          <w:p>
            <w:pPr>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80" w:type="dxa"/>
            <w:vAlign w:val="bottom"/>
            <w:shd w:val="clear" w:color="auto" w:fill="CCEEFF"/>
          </w:tcPr>
          <w:p>
            <w:pPr>
              <w:spacing w:after="0"/>
              <w:rPr>
                <w:sz w:val="14"/>
                <w:szCs w:val="14"/>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tcPr>
          <w:p>
            <w:pPr>
              <w:spacing w:after="0"/>
              <w:rPr>
                <w:sz w:val="15"/>
                <w:szCs w:val="15"/>
                <w:color w:val="auto"/>
              </w:rPr>
            </w:pPr>
          </w:p>
        </w:tc>
        <w:tc>
          <w:tcPr>
            <w:tcW w:w="9160" w:type="dxa"/>
            <w:vAlign w:val="bottom"/>
            <w:gridSpan w:val="20"/>
          </w:tcPr>
          <w:p>
            <w:pPr>
              <w:spacing w:after="0" w:line="176" w:lineRule="exact"/>
              <w:rPr>
                <w:rFonts w:ascii="Arial" w:cs="Arial" w:eastAsia="Arial" w:hAnsi="Arial"/>
                <w:sz w:val="18"/>
                <w:szCs w:val="18"/>
                <w:color w:val="0000EE"/>
                <w:w w:val="96"/>
              </w:rPr>
            </w:pPr>
            <w:hyperlink w:anchor="page3">
              <w:r>
                <w:rPr>
                  <w:rFonts w:ascii="Arial" w:cs="Arial" w:eastAsia="Arial" w:hAnsi="Arial"/>
                  <w:sz w:val="18"/>
                  <w:szCs w:val="18"/>
                  <w:color w:val="0000EE"/>
                  <w:w w:val="96"/>
                </w:rPr>
                <w:t>Condensed Consolidated Statements of Operations for the Three Months Ended March 31, 2021 and 2020 (unaudited)</w:t>
              </w:r>
            </w:hyperlink>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
        </w:trPr>
        <w:tc>
          <w:tcPr>
            <w:tcW w:w="1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1100" w:type="dxa"/>
            <w:vAlign w:val="bottom"/>
            <w:shd w:val="clear" w:color="auto" w:fill="CCEEFF"/>
          </w:tcPr>
          <w:p>
            <w:pPr>
              <w:spacing w:after="0"/>
              <w:rPr>
                <w:sz w:val="15"/>
                <w:szCs w:val="15"/>
                <w:color w:val="auto"/>
              </w:rPr>
            </w:pPr>
          </w:p>
        </w:tc>
        <w:tc>
          <w:tcPr>
            <w:tcW w:w="9160" w:type="dxa"/>
            <w:vAlign w:val="bottom"/>
            <w:gridSpan w:val="20"/>
            <w:shd w:val="clear" w:color="auto" w:fill="CCEEFF"/>
          </w:tcPr>
          <w:p>
            <w:pPr>
              <w:spacing w:after="0" w:line="17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Condensed Consolidated Statements of Comprehensive Loss for the Three Months Ended March 31, 2021 and 2020</w:t>
              </w:r>
            </w:hyperlink>
          </w:p>
        </w:tc>
        <w:tc>
          <w:tcPr>
            <w:tcW w:w="980" w:type="dxa"/>
            <w:vAlign w:val="bottom"/>
            <w:shd w:val="clear" w:color="auto" w:fill="CCEEFF"/>
          </w:tcPr>
          <w:p>
            <w:pPr>
              <w:spacing w:after="0"/>
              <w:rPr>
                <w:sz w:val="15"/>
                <w:szCs w:val="15"/>
                <w:color w:val="auto"/>
              </w:rPr>
            </w:pPr>
          </w:p>
        </w:tc>
      </w:tr>
      <w:tr>
        <w:trPr>
          <w:trHeight w:val="217"/>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w:t>
              </w:r>
            </w:hyperlink>
          </w:p>
        </w:tc>
        <w:tc>
          <w:tcPr>
            <w:tcW w:w="7520" w:type="dxa"/>
            <w:vAlign w:val="bottom"/>
            <w:tcBorders>
              <w:top w:val="single" w:sz="8" w:color="0000EE"/>
              <w:bottom w:val="single" w:sz="8" w:color="CCEEFF"/>
            </w:tcBorders>
            <w:gridSpan w:val="14"/>
            <w:shd w:val="clear" w:color="auto" w:fill="CCEEFF"/>
          </w:tcPr>
          <w:p>
            <w:pPr>
              <w:spacing w:after="0"/>
              <w:rPr>
                <w:sz w:val="18"/>
                <w:szCs w:val="18"/>
                <w:color w:val="auto"/>
              </w:rPr>
            </w:pPr>
          </w:p>
        </w:tc>
        <w:tc>
          <w:tcPr>
            <w:tcW w:w="80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w:t>
            </w:r>
          </w:p>
        </w:tc>
      </w:tr>
      <w:tr>
        <w:trPr>
          <w:trHeight w:val="176"/>
        </w:trPr>
        <w:tc>
          <w:tcPr>
            <w:tcW w:w="1100" w:type="dxa"/>
            <w:vAlign w:val="bottom"/>
          </w:tcPr>
          <w:p>
            <w:pPr>
              <w:spacing w:after="0"/>
              <w:rPr>
                <w:sz w:val="15"/>
                <w:szCs w:val="15"/>
                <w:color w:val="auto"/>
              </w:rPr>
            </w:pPr>
          </w:p>
        </w:tc>
        <w:tc>
          <w:tcPr>
            <w:tcW w:w="9160" w:type="dxa"/>
            <w:vAlign w:val="bottom"/>
            <w:gridSpan w:val="20"/>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March 31, 2021 (unaudited) and December 31, 2020</w:t>
              </w:r>
            </w:hyperlink>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92"/>
              </w:rPr>
              <w:t>5-6</w:t>
            </w:r>
          </w:p>
        </w:tc>
      </w:tr>
      <w:tr>
        <w:trPr>
          <w:trHeight w:val="20"/>
        </w:trPr>
        <w:tc>
          <w:tcPr>
            <w:tcW w:w="1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1100" w:type="dxa"/>
            <w:vAlign w:val="bottom"/>
            <w:tcBorders>
              <w:bottom w:val="single" w:sz="8" w:color="CCEEFF"/>
            </w:tcBorders>
            <w:shd w:val="clear" w:color="auto" w:fill="CCEEFF"/>
          </w:tcPr>
          <w:p>
            <w:pPr>
              <w:spacing w:after="0"/>
              <w:rPr>
                <w:sz w:val="15"/>
                <w:szCs w:val="15"/>
                <w:color w:val="auto"/>
              </w:rPr>
            </w:pPr>
          </w:p>
        </w:tc>
        <w:tc>
          <w:tcPr>
            <w:tcW w:w="830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Three-Months Periods Ended March 31, 2021 and 2020</w:t>
              </w:r>
            </w:hyperlink>
          </w:p>
        </w:tc>
        <w:tc>
          <w:tcPr>
            <w:tcW w:w="860" w:type="dxa"/>
            <w:vAlign w:val="bottom"/>
            <w:tcBorders>
              <w:bottom w:val="single" w:sz="8" w:color="CCEEFF"/>
            </w:tcBorders>
            <w:gridSpan w:val="4"/>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216"/>
        </w:trPr>
        <w:tc>
          <w:tcPr>
            <w:tcW w:w="1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w:t>
              </w:r>
            </w:hyperlink>
          </w:p>
        </w:tc>
        <w:tc>
          <w:tcPr>
            <w:tcW w:w="8320" w:type="dxa"/>
            <w:vAlign w:val="bottom"/>
            <w:tcBorders>
              <w:bottom w:val="single" w:sz="8" w:color="CCEEFF"/>
            </w:tcBorders>
            <w:gridSpan w:val="17"/>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7</w:t>
            </w:r>
          </w:p>
        </w:tc>
      </w:tr>
      <w:tr>
        <w:trPr>
          <w:trHeight w:val="176"/>
        </w:trPr>
        <w:tc>
          <w:tcPr>
            <w:tcW w:w="1100" w:type="dxa"/>
            <w:vAlign w:val="bottom"/>
          </w:tcPr>
          <w:p>
            <w:pPr>
              <w:spacing w:after="0"/>
              <w:rPr>
                <w:sz w:val="15"/>
                <w:szCs w:val="15"/>
                <w:color w:val="auto"/>
              </w:rPr>
            </w:pPr>
          </w:p>
        </w:tc>
        <w:tc>
          <w:tcPr>
            <w:tcW w:w="8780" w:type="dxa"/>
            <w:vAlign w:val="bottom"/>
            <w:tcBorders>
              <w:bottom w:val="single" w:sz="8" w:color="0000EE"/>
            </w:tcBorders>
            <w:gridSpan w:val="19"/>
          </w:tcPr>
          <w:p>
            <w:pPr>
              <w:spacing w:after="0" w:line="17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Condensed Consolidated Statements of Changes in Stockholders’ Equity (Deficit) for the Three Months Ended March 31,</w:t>
              </w:r>
            </w:hyperlink>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6"/>
        </w:trPr>
        <w:tc>
          <w:tcPr>
            <w:tcW w:w="1100" w:type="dxa"/>
            <w:vAlign w:val="bottom"/>
          </w:tcPr>
          <w:p>
            <w:pPr>
              <w:spacing w:after="0"/>
              <w:rPr>
                <w:sz w:val="17"/>
                <w:szCs w:val="17"/>
                <w:color w:val="auto"/>
              </w:rPr>
            </w:pPr>
          </w:p>
        </w:tc>
        <w:tc>
          <w:tcPr>
            <w:tcW w:w="916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2021 and 2020 (unaudited)</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8</w:t>
            </w:r>
          </w:p>
        </w:tc>
      </w:tr>
      <w:tr>
        <w:trPr>
          <w:trHeight w:val="21"/>
        </w:trPr>
        <w:tc>
          <w:tcPr>
            <w:tcW w:w="1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1100" w:type="dxa"/>
            <w:vAlign w:val="bottom"/>
            <w:shd w:val="clear" w:color="auto" w:fill="CCEEFF"/>
          </w:tcPr>
          <w:p>
            <w:pPr>
              <w:spacing w:after="0"/>
              <w:rPr>
                <w:sz w:val="15"/>
                <w:szCs w:val="15"/>
                <w:color w:val="auto"/>
              </w:rPr>
            </w:pPr>
          </w:p>
        </w:tc>
        <w:tc>
          <w:tcPr>
            <w:tcW w:w="9160" w:type="dxa"/>
            <w:vAlign w:val="bottom"/>
            <w:gridSpan w:val="20"/>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9-28</w:t>
            </w: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160" w:type="dxa"/>
            <w:vAlign w:val="bottom"/>
            <w:gridSpan w:val="20"/>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91"/>
              </w:rPr>
              <w:t>29-37</w:t>
            </w:r>
          </w:p>
        </w:tc>
      </w:tr>
      <w:tr>
        <w:trPr>
          <w:trHeight w:val="20"/>
        </w:trPr>
        <w:tc>
          <w:tcPr>
            <w:tcW w:w="1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60" w:type="dxa"/>
            <w:vAlign w:val="bottom"/>
            <w:gridSpan w:val="20"/>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176"/>
        </w:trPr>
        <w:tc>
          <w:tcPr>
            <w:tcW w:w="11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4860" w:type="dxa"/>
            <w:vAlign w:val="bottom"/>
            <w:tcBorders>
              <w:top w:val="single" w:sz="8" w:color="CCEEFF"/>
            </w:tcBorders>
            <w:gridSpan w:val="9"/>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
        </w:trPr>
        <w:tc>
          <w:tcPr>
            <w:tcW w:w="1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80" w:type="dxa"/>
            <w:vAlign w:val="bottom"/>
            <w:gridSpan w:val="10"/>
            <w:shd w:val="clear" w:color="auto" w:fill="CCEEFF"/>
          </w:tcPr>
          <w:p>
            <w:pPr>
              <w:ind w:left="860"/>
              <w:spacing w:after="0"/>
              <w:rPr>
                <w:sz w:val="20"/>
                <w:szCs w:val="20"/>
                <w:color w:val="auto"/>
              </w:rPr>
            </w:pPr>
            <w:r>
              <w:rPr>
                <w:rFonts w:ascii="Arial" w:cs="Arial" w:eastAsia="Arial" w:hAnsi="Arial"/>
                <w:sz w:val="18"/>
                <w:szCs w:val="18"/>
                <w:b w:val="1"/>
                <w:bCs w:val="1"/>
                <w:color w:val="auto"/>
              </w:rPr>
              <w:t>PART II - OTHER INFORMATION</w:t>
            </w:r>
          </w:p>
        </w:tc>
        <w:tc>
          <w:tcPr>
            <w:tcW w:w="980" w:type="dxa"/>
            <w:vAlign w:val="bottom"/>
            <w:shd w:val="clear" w:color="auto" w:fill="CCEEFF"/>
          </w:tcPr>
          <w:p>
            <w:pPr>
              <w:spacing w:after="0"/>
              <w:rPr>
                <w:sz w:val="18"/>
                <w:szCs w:val="18"/>
                <w:color w:val="auto"/>
              </w:rPr>
            </w:pPr>
          </w:p>
        </w:tc>
      </w:tr>
      <w:tr>
        <w:trPr>
          <w:trHeight w:val="175"/>
        </w:trPr>
        <w:tc>
          <w:tcPr>
            <w:tcW w:w="110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160" w:type="dxa"/>
            <w:vAlign w:val="bottom"/>
            <w:gridSpan w:val="20"/>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
        </w:trPr>
        <w:tc>
          <w:tcPr>
            <w:tcW w:w="1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1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60" w:type="dxa"/>
            <w:vAlign w:val="bottom"/>
            <w:gridSpan w:val="20"/>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160" w:type="dxa"/>
            <w:vAlign w:val="bottom"/>
            <w:gridSpan w:val="20"/>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0"/>
        </w:trPr>
        <w:tc>
          <w:tcPr>
            <w:tcW w:w="1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60" w:type="dxa"/>
            <w:vAlign w:val="bottom"/>
            <w:gridSpan w:val="20"/>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176"/>
        </w:trPr>
        <w:tc>
          <w:tcPr>
            <w:tcW w:w="11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228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6880" w:type="dxa"/>
            <w:vAlign w:val="bottom"/>
            <w:tcBorders>
              <w:top w:val="single" w:sz="8" w:color="CCEEFF"/>
            </w:tcBorders>
            <w:gridSpan w:val="10"/>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
        </w:trPr>
        <w:tc>
          <w:tcPr>
            <w:tcW w:w="1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1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Other Information</w:t>
              </w:r>
            </w:hyperlink>
          </w:p>
        </w:tc>
        <w:tc>
          <w:tcPr>
            <w:tcW w:w="7840" w:type="dxa"/>
            <w:vAlign w:val="bottom"/>
            <w:tcBorders>
              <w:bottom w:val="single" w:sz="8" w:color="CCEEFF"/>
            </w:tcBorders>
            <w:gridSpan w:val="15"/>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175"/>
        </w:trPr>
        <w:tc>
          <w:tcPr>
            <w:tcW w:w="110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9160" w:type="dxa"/>
            <w:vAlign w:val="bottom"/>
            <w:gridSpan w:val="20"/>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0"/>
        </w:trPr>
        <w:tc>
          <w:tcPr>
            <w:tcW w:w="1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1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SIGNATURES</w:t>
              </w:r>
            </w:hyperlink>
          </w:p>
        </w:tc>
        <w:tc>
          <w:tcPr>
            <w:tcW w:w="9140" w:type="dxa"/>
            <w:vAlign w:val="bottom"/>
            <w:tcBorders>
              <w:bottom w:val="single" w:sz="8" w:color="CCEEFF"/>
            </w:tcBorders>
            <w:gridSpan w:val="19"/>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839"/>
        </w:trPr>
        <w:tc>
          <w:tcPr>
            <w:tcW w:w="1100" w:type="dxa"/>
            <w:vAlign w:val="bottom"/>
          </w:tcPr>
          <w:p>
            <w:pPr>
              <w:spacing w:after="0"/>
              <w:rPr>
                <w:sz w:val="24"/>
                <w:szCs w:val="24"/>
                <w:color w:val="auto"/>
              </w:rPr>
            </w:pPr>
          </w:p>
        </w:tc>
        <w:tc>
          <w:tcPr>
            <w:tcW w:w="4860" w:type="dxa"/>
            <w:vAlign w:val="bottom"/>
            <w:gridSpan w:val="13"/>
          </w:tcPr>
          <w:p>
            <w:pPr>
              <w:ind w:left="4480"/>
              <w:spacing w:after="0"/>
              <w:rPr>
                <w:sz w:val="20"/>
                <w:szCs w:val="20"/>
                <w:color w:val="auto"/>
              </w:rPr>
            </w:pPr>
            <w:r>
              <w:rPr>
                <w:rFonts w:ascii="Arial" w:cs="Arial" w:eastAsia="Arial" w:hAnsi="Arial"/>
                <w:sz w:val="14"/>
                <w:szCs w:val="14"/>
                <w:color w:val="auto"/>
              </w:rPr>
              <w:t>2</w:t>
            </w: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6"/>
        </w:trPr>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rFonts w:ascii="Arial" w:cs="Arial" w:eastAsia="Arial" w:hAnsi="Arial"/>
                <w:sz w:val="18"/>
                <w:szCs w:val="18"/>
                <w:i w:val="1"/>
                <w:iCs w:val="1"/>
                <w:color w:val="auto"/>
              </w:rPr>
            </w:pPr>
            <w:hyperlink w:anchor="page1">
              <w:r>
                <w:rPr>
                  <w:rFonts w:ascii="Arial" w:cs="Arial" w:eastAsia="Arial" w:hAnsi="Arial"/>
                  <w:sz w:val="18"/>
                  <w:szCs w:val="18"/>
                  <w:i w:val="1"/>
                  <w:iCs w:val="1"/>
                  <w:color w:val="auto"/>
                </w:rPr>
                <w:t>Table of Contents</w:t>
              </w:r>
            </w:hyperlink>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tcBorders>
              <w:top w:val="single" w:sz="8" w:color="auto"/>
            </w:tcBorders>
          </w:tcPr>
          <w:p>
            <w:pPr>
              <w:spacing w:after="0"/>
              <w:rPr>
                <w:sz w:val="24"/>
                <w:szCs w:val="24"/>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280" w:type="dxa"/>
            <w:vAlign w:val="bottom"/>
          </w:tcPr>
          <w:p>
            <w:pPr>
              <w:spacing w:after="0"/>
              <w:rPr>
                <w:sz w:val="24"/>
                <w:szCs w:val="24"/>
                <w:color w:val="auto"/>
              </w:rPr>
            </w:pPr>
          </w:p>
        </w:tc>
        <w:tc>
          <w:tcPr>
            <w:tcW w:w="7400" w:type="dxa"/>
            <w:vAlign w:val="bottom"/>
          </w:tcPr>
          <w:p>
            <w:pPr>
              <w:ind w:left="2420"/>
              <w:spacing w:after="0"/>
              <w:rPr>
                <w:sz w:val="20"/>
                <w:szCs w:val="20"/>
                <w:color w:val="auto"/>
              </w:rPr>
            </w:pPr>
            <w:r>
              <w:rPr>
                <w:rFonts w:ascii="Arial" w:cs="Arial" w:eastAsia="Arial" w:hAnsi="Arial"/>
                <w:sz w:val="18"/>
                <w:szCs w:val="18"/>
                <w:b w:val="1"/>
                <w:bCs w:val="1"/>
                <w:color w:val="auto"/>
              </w:rPr>
              <w:t>TELOS CORPORATION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2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88"/>
              </w:rPr>
              <w:t>(amounts in thousands)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3"/>
              </w:rPr>
              <w:t>Three Months Ended March</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34,558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Products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55,757</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sales - Services (including $737 stock-based compensation expense)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Cost of sales - Products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CCEEFF"/>
            </w:tcBorders>
            <w:shd w:val="clear" w:color="auto" w:fill="CCEEFF"/>
          </w:tcPr>
          <w:p>
            <w:pPr>
              <w:spacing w:after="0"/>
              <w:rPr>
                <w:sz w:val="18"/>
                <w:szCs w:val="18"/>
                <w:color w:val="auto"/>
              </w:rPr>
            </w:pPr>
          </w:p>
        </w:tc>
        <w:tc>
          <w:tcPr>
            <w:tcW w:w="7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41,400</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Sales and marketing (including $1,547 stock-based compensation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 (including $461 stock-based compensation expense)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16"/>
        </w:trPr>
        <w:tc>
          <w:tcPr>
            <w:tcW w:w="8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General and administrative (including $10,925 stock-based compensation expense)</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19,964</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27,851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(13,494)</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(expense) income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(14,744)</w:t>
            </w:r>
          </w:p>
        </w:tc>
        <w:tc>
          <w:tcPr>
            <w:tcW w:w="220" w:type="dxa"/>
            <w:vAlign w:val="bottom"/>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 (Note 7)</w:t>
            </w:r>
          </w:p>
        </w:tc>
        <w:tc>
          <w:tcPr>
            <w:tcW w:w="1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(14,778)</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gridSpan w:val="2"/>
          </w:tcPr>
          <w:p>
            <w:pPr>
              <w:spacing w:after="0"/>
              <w:rPr>
                <w:sz w:val="20"/>
                <w:szCs w:val="20"/>
                <w:color w:val="auto"/>
              </w:rPr>
            </w:pPr>
            <w:r>
              <w:rPr>
                <w:rFonts w:ascii="Arial" w:cs="Arial" w:eastAsia="Arial" w:hAnsi="Arial"/>
                <w:sz w:val="18"/>
                <w:szCs w:val="18"/>
                <w:color w:val="auto"/>
              </w:rPr>
              <w:t>Less: Net income attributable to non-controlling interest (Note 2)</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49"/>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attributable to Telos Corporation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(14,778)</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680" w:type="dxa"/>
            <w:vAlign w:val="bottom"/>
            <w:gridSpan w:val="2"/>
          </w:tcPr>
          <w:p>
            <w:pPr>
              <w:spacing w:after="0" w:line="196" w:lineRule="exact"/>
              <w:rPr>
                <w:sz w:val="20"/>
                <w:szCs w:val="20"/>
                <w:color w:val="auto"/>
              </w:rPr>
            </w:pPr>
            <w:r>
              <w:rPr>
                <w:rFonts w:ascii="Arial" w:cs="Arial" w:eastAsia="Arial" w:hAnsi="Arial"/>
                <w:sz w:val="18"/>
                <w:szCs w:val="18"/>
                <w:color w:val="auto"/>
              </w:rPr>
              <w:t>Net loss per share attributale to Telos Corporation, 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rPr>
              <w:t>(0.23)</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attributale to Telos Corporation,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(0.23)</w:t>
            </w:r>
          </w:p>
        </w:tc>
        <w:tc>
          <w:tcPr>
            <w:tcW w:w="22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680" w:type="dxa"/>
            <w:vAlign w:val="bottom"/>
            <w:gridSpan w:val="2"/>
          </w:tcPr>
          <w:p>
            <w:pPr>
              <w:spacing w:after="0" w:line="196" w:lineRule="exact"/>
              <w:rPr>
                <w:sz w:val="20"/>
                <w:szCs w:val="20"/>
                <w:color w:val="auto"/>
              </w:rPr>
            </w:pPr>
            <w:r>
              <w:rPr>
                <w:rFonts w:ascii="Arial" w:cs="Arial" w:eastAsia="Arial" w:hAnsi="Arial"/>
                <w:sz w:val="18"/>
                <w:szCs w:val="18"/>
                <w:color w:val="auto"/>
              </w:rPr>
              <w:t>Weighted-average shares of common stock outstanding, basic</w:t>
            </w: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64,625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38,073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Weighted-average shares of common stock outstanding, diluted</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64,625</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38,073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TELOS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34"/>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(784)</w:t>
            </w: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attributable to Telos Corporation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rFonts w:ascii="Arial" w:cs="Arial" w:eastAsia="Arial" w:hAnsi="Arial"/>
                <w:sz w:val="18"/>
                <w:szCs w:val="18"/>
                <w:i w:val="1"/>
                <w:iCs w:val="1"/>
                <w:color w:val="auto"/>
              </w:rPr>
            </w:pPr>
            <w:hyperlink w:anchor="page1">
              <w:r>
                <w:rPr>
                  <w:rFonts w:ascii="Arial" w:cs="Arial" w:eastAsia="Arial" w:hAnsi="Arial"/>
                  <w:sz w:val="18"/>
                  <w:szCs w:val="18"/>
                  <w:i w:val="1"/>
                  <w:iCs w:val="1"/>
                  <w:color w:val="auto"/>
                </w:rPr>
                <w:t>Table of Contents</w:t>
              </w:r>
            </w:hyperlink>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0"/>
        </w:trPr>
        <w:tc>
          <w:tcPr>
            <w:tcW w:w="1280" w:type="dxa"/>
            <w:vAlign w:val="bottom"/>
            <w:tcBorders>
              <w:top w:val="single" w:sz="8" w:color="auto"/>
            </w:tcBorders>
          </w:tcPr>
          <w:p>
            <w:pPr>
              <w:spacing w:after="0"/>
              <w:rPr>
                <w:sz w:val="24"/>
                <w:szCs w:val="24"/>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TELOS CORPORATION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88"/>
              </w:rPr>
              <w:t>(amounts in thousands)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7400" w:type="dxa"/>
            <w:vAlign w:val="bottom"/>
            <w:vMerge w:val="restart"/>
          </w:tcPr>
          <w:p>
            <w:pPr>
              <w:ind w:left="266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7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93,761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106,045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 of reserve of $313 and $308, respectively (Note 1)</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52,563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30,913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Inventories, net of obsolescence reserve of $852 and $851, respectively (Note 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3,985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program expenses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153,166</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8"/>
              </w:rPr>
              <w:t>Property and equipment, including capitalized software development costs, net of accumulated depreciation of</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$37,948 and $36,891, respectively</w:t>
            </w:r>
          </w:p>
        </w:tc>
        <w:tc>
          <w:tcPr>
            <w:tcW w:w="10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23,863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22,397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 (Note 10)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Goodwill (Note 3)</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14,916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194,240</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183,817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rFonts w:ascii="Arial" w:cs="Arial" w:eastAsia="Arial" w:hAnsi="Arial"/>
                <w:sz w:val="18"/>
                <w:szCs w:val="18"/>
                <w:i w:val="1"/>
                <w:iCs w:val="1"/>
                <w:color w:val="auto"/>
              </w:rPr>
            </w:pPr>
            <w:hyperlink w:anchor="page1">
              <w:r>
                <w:rPr>
                  <w:rFonts w:ascii="Arial" w:cs="Arial" w:eastAsia="Arial" w:hAnsi="Arial"/>
                  <w:sz w:val="18"/>
                  <w:szCs w:val="18"/>
                  <w:i w:val="1"/>
                  <w:iCs w:val="1"/>
                  <w:color w:val="auto"/>
                </w:rPr>
                <w:t>Table of Contents</w:t>
              </w:r>
            </w:hyperlink>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7"/>
        </w:trPr>
        <w:tc>
          <w:tcPr>
            <w:tcW w:w="1280" w:type="dxa"/>
            <w:vAlign w:val="bottom"/>
            <w:tcBorders>
              <w:top w:val="single" w:sz="8" w:color="auto"/>
            </w:tcBorders>
          </w:tcPr>
          <w:p>
            <w:pPr>
              <w:spacing w:after="0"/>
              <w:rPr>
                <w:sz w:val="24"/>
                <w:szCs w:val="24"/>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TELOS CORPORATION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88"/>
              </w:rPr>
              <w:t>(amounts in thousands)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7400" w:type="dxa"/>
            <w:vAlign w:val="bottom"/>
            <w:vMerge w:val="restart"/>
          </w:tcPr>
          <w:p>
            <w:pPr>
              <w:ind w:left="1020"/>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Pr>
          <w:p>
            <w:pPr>
              <w:spacing w:after="0"/>
              <w:rPr>
                <w:sz w:val="19"/>
                <w:szCs w:val="19"/>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7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and other accrued liabilities (Note 5)</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31,765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20,899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7,261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Contract liabilities (Notes 1 and 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Finance lease obligations – short-term (Note 10)</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obligations – short-term (Note 10)</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3,188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50,993</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obligations – long-term (Note 10)</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13,951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Operating lease liabilities – long-term (Note 10)</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788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(Note 7)</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Other liabilities (Note 7)</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68,276</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74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284,470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270,800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(158,621)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(143,843)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tcPr>
          <w:p>
            <w:pPr>
              <w:ind w:left="4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125,964</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127,104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194,240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183,817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rFonts w:ascii="Arial" w:cs="Arial" w:eastAsia="Arial" w:hAnsi="Arial"/>
                <w:sz w:val="18"/>
                <w:szCs w:val="18"/>
                <w:i w:val="1"/>
                <w:iCs w:val="1"/>
                <w:color w:val="auto"/>
              </w:rPr>
            </w:pPr>
            <w:hyperlink w:anchor="page1">
              <w:r>
                <w:rPr>
                  <w:rFonts w:ascii="Arial" w:cs="Arial" w:eastAsia="Arial" w:hAnsi="Arial"/>
                  <w:sz w:val="18"/>
                  <w:szCs w:val="18"/>
                  <w:i w:val="1"/>
                  <w:iCs w:val="1"/>
                  <w:color w:val="auto"/>
                </w:rPr>
                <w:t>Table of Contents</w:t>
              </w:r>
            </w:hyperlink>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7"/>
        </w:trPr>
        <w:tc>
          <w:tcPr>
            <w:tcW w:w="1280" w:type="dxa"/>
            <w:vAlign w:val="bottom"/>
            <w:tcBorders>
              <w:top w:val="single" w:sz="8" w:color="auto"/>
            </w:tcBorders>
          </w:tcPr>
          <w:p>
            <w:pPr>
              <w:spacing w:after="0"/>
              <w:rPr>
                <w:sz w:val="24"/>
                <w:szCs w:val="24"/>
                <w:color w:val="auto"/>
              </w:rPr>
            </w:pPr>
          </w:p>
        </w:tc>
        <w:tc>
          <w:tcPr>
            <w:tcW w:w="7400" w:type="dxa"/>
            <w:vAlign w:val="bottom"/>
          </w:tcPr>
          <w:p>
            <w:pPr>
              <w:jc w:val="center"/>
              <w:ind w:left="1170"/>
              <w:spacing w:after="0"/>
              <w:rPr>
                <w:sz w:val="20"/>
                <w:szCs w:val="20"/>
                <w:color w:val="auto"/>
              </w:rPr>
            </w:pPr>
            <w:r>
              <w:rPr>
                <w:rFonts w:ascii="Arial" w:cs="Arial" w:eastAsia="Arial" w:hAnsi="Arial"/>
                <w:sz w:val="18"/>
                <w:szCs w:val="18"/>
                <w:b w:val="1"/>
                <w:bCs w:val="1"/>
                <w:color w:val="auto"/>
                <w:w w:val="99"/>
              </w:rPr>
              <w:t>TELOS CORPORATION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88"/>
              </w:rPr>
              <w:t>(amounts in thousands)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3"/>
              </w:rPr>
              <w:t>Three Months Ended March</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Adjustments to reconcile net loss to cash (used in) provided by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980"/>
              <w:spacing w:after="0"/>
              <w:rPr>
                <w:sz w:val="20"/>
                <w:szCs w:val="20"/>
                <w:color w:val="auto"/>
              </w:rPr>
            </w:pPr>
            <w:r>
              <w:rPr>
                <w:rFonts w:ascii="Arial" w:cs="Arial" w:eastAsia="Arial" w:hAnsi="Arial"/>
                <w:sz w:val="18"/>
                <w:szCs w:val="18"/>
                <w:color w:val="auto"/>
              </w:rPr>
              <w:t>Dividends from preferred stock recorded as interest expense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98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Deferred income tax provision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980"/>
              <w:spacing w:after="0"/>
              <w:rPr>
                <w:sz w:val="20"/>
                <w:szCs w:val="20"/>
                <w:color w:val="auto"/>
              </w:rPr>
            </w:pPr>
            <w:r>
              <w:rPr>
                <w:rFonts w:ascii="Arial" w:cs="Arial" w:eastAsia="Arial" w:hAnsi="Arial"/>
                <w:sz w:val="18"/>
                <w:szCs w:val="18"/>
                <w:color w:val="auto"/>
              </w:rPr>
              <w:t>Other noncash items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Changes in other operating assets and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7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Cash (used in) provided by operating activities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(9,318)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Capitalized software development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used in investing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Payments under finance lease obligations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Amendment fee paid to lender</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7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Cash used in financing activities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(12,284)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6,751</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74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6,383</w:t>
            </w: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tcPr>
          <w:p>
            <w:pPr>
              <w:spacing w:after="0"/>
              <w:rPr>
                <w:sz w:val="17"/>
                <w:szCs w:val="17"/>
                <w:color w:val="auto"/>
              </w:rPr>
            </w:pPr>
          </w:p>
        </w:tc>
        <w:tc>
          <w:tcPr>
            <w:tcW w:w="74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540"/>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7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TELOS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Additional Paid-</w:t>
            </w: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2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Accumulated</w:t>
            </w:r>
          </w:p>
        </w:tc>
        <w:tc>
          <w:tcPr>
            <w:tcW w:w="13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Non-Controlling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Common Stock</w:t>
            </w:r>
          </w:p>
        </w:tc>
        <w:tc>
          <w:tcPr>
            <w:tcW w:w="2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6"/>
              </w:rPr>
              <w:t>in</w:t>
            </w:r>
          </w:p>
        </w:tc>
        <w:tc>
          <w:tcPr>
            <w:tcW w:w="100" w:type="dxa"/>
            <w:vAlign w:val="bottom"/>
          </w:tcPr>
          <w:p>
            <w:pPr>
              <w:spacing w:after="0"/>
              <w:rPr>
                <w:sz w:val="12"/>
                <w:szCs w:val="12"/>
                <w:color w:val="auto"/>
              </w:rPr>
            </w:pPr>
          </w:p>
        </w:tc>
        <w:tc>
          <w:tcPr>
            <w:tcW w:w="12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Equity (Deficit)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 March 31, 2021</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270,800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(143,843)</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127,104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(14,778)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(14,778)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13,670</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13,670</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40" w:type="dxa"/>
            <w:vAlign w:val="bottom"/>
            <w:tcBorders>
              <w:top w:val="single" w:sz="8" w:color="auto"/>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284,470</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(158,621)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125,964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For the Three Months Ended March 31, 2020</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(145,530)</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(136,622)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(loss) income</w:t>
            </w:r>
          </w:p>
        </w:tc>
        <w:tc>
          <w:tcPr>
            <w:tcW w:w="5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(2,244)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rPr>
              <w:t>Ending balance</w:t>
            </w: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4,310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(147,774)</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(138,083)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jc w:val="center"/>
        <w:ind w:left="980" w:right="2260"/>
        <w:spacing w:after="0" w:line="266" w:lineRule="auto"/>
        <w:rPr>
          <w:sz w:val="20"/>
          <w:szCs w:val="20"/>
          <w:color w:val="auto"/>
        </w:rPr>
      </w:pPr>
      <w:r>
        <w:rPr>
          <w:rFonts w:ascii="Arial" w:cs="Arial" w:eastAsia="Arial" w:hAnsi="Arial"/>
          <w:sz w:val="18"/>
          <w:szCs w:val="18"/>
          <w:b w:val="1"/>
          <w:bCs w:val="1"/>
          <w:color w:val="auto"/>
        </w:rPr>
        <w:t>TELOS CORPORATION AND SUBSIDIARIES 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r>
        <w:rPr>
          <w:rFonts w:ascii="Arial" w:cs="Arial" w:eastAsia="Arial" w:hAnsi="Arial"/>
          <w:sz w:val="18"/>
          <w:szCs w:val="18"/>
          <w:color w:val="auto"/>
        </w:rPr>
        <w:t>.</w:t>
      </w:r>
      <w:r>
        <w:rPr>
          <w:rFonts w:ascii="Arial" w:cs="Arial" w:eastAsia="Arial" w:hAnsi="Arial"/>
          <w:sz w:val="18"/>
          <w:szCs w:val="18"/>
          <w:b w:val="1"/>
          <w:bCs w:val="1"/>
          <w:color w:val="auto"/>
        </w:rPr>
        <w:t xml:space="preserve"> General and Basis of Presentation</w:t>
      </w:r>
    </w:p>
    <w:p>
      <w:pPr>
        <w:spacing w:after="0" w:line="2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Telos Corporation, together with its subsidiaries, (the “Company” or “Telos” or “We”), is an information technology solutions and services company addressing the needs of U.S. Government and commercial customers worldwide. We own all of the issued and outstanding share capital of Xacta Corporation, a subsidiary that develops, markets and sells government-validated secure enterprise solutions to government and commercial customers. We also own all of the issued and outstanding share capital of Ubiquity.com, Inc., a holding company for Xacta Corporation. We also have a 100% ownership interest in Telos Identity Management Solutions, LLC (“Telos ID”), Teloworks, Inc. (“Teloworks”) and Telos APAC Pte. Ltd. (“Telos APAC”).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 of Common Stock</w:t>
      </w:r>
    </w:p>
    <w:p>
      <w:pPr>
        <w:spacing w:after="0" w:line="2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November 19, 2020, we completed our initial public offering of shares of our common stock. We issued 17.2 million shares of our common stock at a price of $17.00 per share, generating net proceeds of approximately $272.8 million. We used approximately $108.9 million of the net proceeds in connection with the conversion of our outstanding shares of Exchangeable Redeemable Preferred Stock into the right to receive cash and shares of our common stock, $30.0 million to fund our acquisition of the outstanding Class B Units of Telos ID, and $21.0 million to repay our outstanding senior term loan and subordinated debt. We intend to use the remaining net proceeds for general corporate purposes. We also may use a portion of the net proceeds to acquire complementary businesses, products, services, or technologies. The amounts and timing of our actual use of the net proceeds will vary depending on numerous factors.</w:t>
      </w:r>
    </w:p>
    <w:p>
      <w:pPr>
        <w:spacing w:after="0" w:line="219"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The accompanying condensed consolidated financial statements include the accounts of Telos and its subsidiaries, including Ubiquity.com, Inc., Xacta Corporation, Telos ID, Teloworks, and Telos APAC, all of whose issued and outstanding share capital is owned by the Company. Intercompany transactions have been eliminated in consolidation.</w:t>
      </w:r>
    </w:p>
    <w:p>
      <w:pPr>
        <w:spacing w:after="0" w:line="211"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accompanying condensed consolidated financial statements reflect all adjustments (which include normal recurring adjustments) and reclassifications necessary for their fair presentation in conformity with accounting principles generally accepted in the United States of America (“GAAP”) and pursuant to rules and regulations of the Securities and Exchange Commission (“SEC”). The presented interim results are not necessarily indicative of fiscal year performance for a variety of reasons including, but not limited to, the impact of seasonal and short-term variations. We have continued to follow the accounting policies (including the critical accounting policies) set forth in the consolidated financial statements included in our 2020 Annual Report on Form 10-K filed with the SEC. These condensed consolidated financial statements should be read in conjunction with the consolidated financial statements and notes thereto included in our Annual Report on Form 10-K for the fiscal year ended December 31, 2020.</w:t>
      </w:r>
    </w:p>
    <w:p>
      <w:pPr>
        <w:spacing w:after="0" w:line="193"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In December 2019, an outbreak of COVID-19 was reported in Wuhan, China. On March 11, 2020, the World Health Organization declared COVID-19 a global pandemic and on March 13, 2020, President Donald J. Trump declared the virus a national emergency. This highly contagious disease has spread to most of the countries in the world and throughout the United States, creating a serious impact on customers, workforces, and suppliers, disrupting economies and financial markets, and leading to a world-wide economic downturn. COVID-19, together with subsequently reported variants of this strain, have caused a disruption of the normal operations of many businesses, including the temporary closure or scale-back of business operations and/or the imposition of either quarantine or remote work or meeting requirements for employees, either by government order or on a voluntary basis. The pandemic may adversely affect our customers’ ability to perform their missions and is in many cases disrupting their operations. It may also impact the ability of our subcontractors, partners, and suppliers to operate and fulfill their contractual obligations, and result in an increase in their costs and cause delays in performance. These supply chain effects, and the direct effect of the virus and the disruption on our operations, may negatively impact both our ability to meet customer demand and our revenue and profit margins. Our employees, in some cases, are working remotely due either to safety concerns or to customer imposed limitations and using various technologies to perform their functions. We could see delays or changes in customer demand, particularly if government funding priorities change. Additionally, the disruption and volatility in the global and domestic capital markets may increase the cost of capital and limit our ability to access capital. Both the health and economic aspects of COVID-19 are highly fluid and the future course of each is uncertain.</w:t>
      </w:r>
    </w:p>
    <w:p>
      <w:pPr>
        <w:spacing w:after="0" w:line="21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 preparing these condensed consolidated financial statements, we have evaluated subsequent events through the date that these condensed consolidated financial statements were issued.</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9" w:name="page10"/>
    <w:bookmarkEnd w:id="9"/>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7"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evaluated regularly by the chief operating decision maker (“CODM”), or decision making group, in deciding how to allocate resources and assess performance. We currently operate in one operating and reportable business segment for financial reporting purposes. Our Chief Executive Officer is the CODM. The CODM only evaluates profitability based on consolidated results.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w:t>
      </w:r>
    </w:p>
    <w:p>
      <w:pPr>
        <w:spacing w:after="0" w:line="2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December 2019, the Financial Accounting Standard Board (“FASB”) issued Accounting Standards Update (‘ASU”) No. 2019-12, “Simplifying the Accounting for Income Taxes (Topic 740)”, which simplifies the accounting for income taxes. This standard is effective for reporting periods beginning after December 15, 2020, which made this standard effective for us on January 1, 2021. The adoption of this ASU did not have a material impact on our condensed consolidated financial position, results of operations and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180" w:firstLine="324"/>
        <w:spacing w:after="0" w:line="268" w:lineRule="auto"/>
        <w:rPr>
          <w:sz w:val="20"/>
          <w:szCs w:val="20"/>
          <w:color w:val="auto"/>
        </w:rPr>
      </w:pPr>
      <w:r>
        <w:rPr>
          <w:rFonts w:ascii="Arial" w:cs="Arial" w:eastAsia="Arial" w:hAnsi="Arial"/>
          <w:sz w:val="17"/>
          <w:szCs w:val="17"/>
          <w:color w:val="auto"/>
        </w:rPr>
        <w:t>We account for revenue in accordance with ASC Topic 606, “Revenue from Contracts with Customers.” The unit of account in ASC 606 is a performance obligation, which is a promise in a contract with a customer to transfer a good or service to the customer. ASC 606 prescribes a five-step model for recognizing revenue that includes identifying the contract with the customer, determining the performance obligation(s), determining the transaction price, allocating the transaction price to the performance obligation(s), and recognizing revenue as the performance obligations are satisfied. Timing of the satisfaction of performance obligations varies across our businesses due to our diverse product and service mix, customer base, and contractual terms. Significant judgment can be required in determining certain performance obligations, and these determinations could change the amount of revenue and profit recorded in a given period. Our contracts may have a single performance obligation or multiple performance obligations. When there are multiple performance obligations within a contract, we allocate the transaction price to each performance obligation based on our best estimate of standalone selling price.</w:t>
      </w:r>
    </w:p>
    <w:p>
      <w:pPr>
        <w:spacing w:after="0" w:line="208"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majority of our revenue is recognized over time, as control is transferred continuously to our customers who receive and consume benefits as we perform, and is classified as services revenue. All of our business groups earn services revenue under a variety of contract types, including time and materials, firm-fixed price, firm fixed price level of effort, and cost plus fixed fee contract types, which may include variable consideration as discussed further below. Revenue is recognized over time using costs incurred to date relative to total estimated costs at completion to measure progress toward satisfying our performance obligations. Incurred cost represents work performed, which corresponds with, and thereby best depicts, the transfer of control to the customer. Contract costs include labor, material, subcontractor costs and indirect expenses. This continuous transfer of control to the customer is supported by clauses in our contracts with U.S. Government customers whereby the customer may terminate a contract for convenience and then pay for costs incurred plus a profit, at which time the customer would take control of any work in process. For non-U.S. Government contracts where we perform as a subcontractor and our order includes similar Federal Acquisition Regulation (the FAR) provisions as the prime contractor’s order from the U.S. Government, continuous transfer of control is likewise supported by such provisions. For other non-U.S. Government customers, continuous transfer of control to such customers is also supported due to general terms in our contracts and rights to recover damages which would include, among other potential damages, the right to payment for our work performed to date plus a reasonable profit.</w:t>
      </w:r>
    </w:p>
    <w:p>
      <w:pPr>
        <w:spacing w:after="0" w:line="19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Due to the transfer of control over time, revenue is recognized based on progress towards completion of the performance obligation. The selection of the method to measure progress towards completion requires judgment and is based on the nature of the performance obligations. We generally use the cost-to-cost measure of progress on a proportional performance basis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are recorded proportionally as costs are incurred. Due to the nature of the work required to be performed on certain of our performance obligations, the estimation of total revenue and cost at completion is complex, subject to many variables and requires significant judgment. Contract estimates are based on various assumptions including labor and subcontractor costs, materials and other direct costs and the complexity of the work to be performed. A significant change in one or more of these estimates could affect the profitability of our contracts. We review and update our contract-related estimates regularly and recognize adjustments in estimated profit on contracts on a cumulative catch-up basis, which may result in an adjustment increasing or decreasing revenue to date on a contract in a particular period that the adjustment is identified. Revenue and profit in future periods of contract performance are recognized using the adjusted estimate.</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0" w:name="page11"/>
    <w:bookmarkEnd w:id="10"/>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Revenue that is recognized at a point in time is for the sale of software licenses in our Information Assurance / Xacta® (previously referred to as Cyber</w:t>
      </w:r>
    </w:p>
    <w:p>
      <w:pPr>
        <w:spacing w:after="0" w:line="46" w:lineRule="exact"/>
        <w:rPr>
          <w:sz w:val="20"/>
          <w:szCs w:val="20"/>
          <w:color w:val="auto"/>
        </w:rPr>
      </w:pPr>
    </w:p>
    <w:p>
      <w:pPr>
        <w:ind w:right="100" w:firstLine="8"/>
        <w:spacing w:after="0" w:line="268" w:lineRule="auto"/>
        <w:tabs>
          <w:tab w:leader="none" w:pos="185" w:val="left"/>
        </w:tabs>
        <w:numPr>
          <w:ilvl w:val="0"/>
          <w:numId w:val="3"/>
        </w:numPr>
        <w:rPr>
          <w:rFonts w:ascii="Arial" w:cs="Arial" w:eastAsia="Arial" w:hAnsi="Arial"/>
          <w:sz w:val="17"/>
          <w:szCs w:val="17"/>
          <w:color w:val="auto"/>
        </w:rPr>
      </w:pPr>
      <w:r>
        <w:rPr>
          <w:rFonts w:ascii="Arial" w:cs="Arial" w:eastAsia="Arial" w:hAnsi="Arial"/>
          <w:sz w:val="17"/>
          <w:szCs w:val="17"/>
          <w:color w:val="auto"/>
        </w:rPr>
        <w:t>Cloud Solutions) and Secure Communications (previously referred to as Secure Communications Cyber and Enterprise Solutions) business groups and for the sale of resold products in Telos ID (previously referred to as Telos ID Enterprise Solutions) and Secure Networks (previously referred to as Secure Mobility and Network Management/Defense Enterprise Solutions), and is classified as product revenue. Revenue on these contracts is recognized when the customer obtains control of the transferred product or service, which is generally upon delivery of the product to the customer for their use, due to us maintaining control of the product until that point. 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using our best estimate of standalone selling price.</w:t>
      </w:r>
    </w:p>
    <w:p>
      <w:pPr>
        <w:spacing w:after="0" w:line="210"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Contracts are routinely and often modified to account for changes in contract requirements, specifications, quantities, or price. Depending on the nature of the modification, we determine whether to account for the modification as an adjustment to the existing contract or as a new contract. Generally, modifications are not distinct from the existing contract due to the significant interrelatedness of the performance obligations and are therefore accounted for as an adjustment to the existing contract, and recognized as a cumulative adjustment to revenue (as either an increase or reduction of revenue) based on the modification’s effect on progress toward completion of a performance obligation.</w:t>
      </w:r>
    </w:p>
    <w:p>
      <w:pPr>
        <w:spacing w:after="0" w:line="20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contracts may include various types of variable consideration, such as claims (for instance, indirect rate or other equitable adjustments) or incentive fees. We include estimated amounts in the transaction price based on all of the information available to us, including historical information and future estimations, and to the extent it is probable that a significant reversal of cumulative revenue recognized will not occur when any uncertainty associated with the variable consideration is resolved.</w:t>
      </w:r>
    </w:p>
    <w:p>
      <w:pPr>
        <w:spacing w:after="0" w:line="214"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Historically, most of our contracts do not include award or incentive fees. For incentive fees, we would include such fees in the transaction price to the extent we could reasonably estimate the amount of the fee. With limited historical experience, we have not included any revenue related to incentive fees in our estimated transaction prices. We may include in our contract estimates additional revenue for submitted contract modifications or claims against the customer when we believe we have an enforceable right to the modification or claim, the amount can be estimated reliably and its realization is probable. We consider the contractual/legal basis for the claim (in particular FAR provisions), the facts and circumstances around any additional costs incurred, the reasonableness of those costs and the objective evidence available to support such claims.</w:t>
      </w:r>
    </w:p>
    <w:p>
      <w:pPr>
        <w:spacing w:after="0" w:line="191"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For our contracts that have an original duration of one year or less, we use the practical expedient applicable to such contracts and do not consider the time value of money. We capitalize sales commissions related to proprietary software and related services that are directly tied to sales. We do not elect the practical expedient to expense as incurred the incremental costs of obtaining a contract if the amortization period would have been one year or less. For the sales commissions that are capitalized, we amortize the asset over the expected customer life, which is based on recent and historical data.</w:t>
      </w:r>
    </w:p>
    <w:p>
      <w:pPr>
        <w:spacing w:after="0" w:line="184" w:lineRule="exact"/>
        <w:rPr>
          <w:sz w:val="20"/>
          <w:szCs w:val="20"/>
          <w:color w:val="auto"/>
        </w:rPr>
      </w:pPr>
    </w:p>
    <w:p>
      <w:pPr>
        <w:jc w:val="both"/>
        <w:ind w:right="360" w:firstLine="324"/>
        <w:spacing w:after="0" w:line="311" w:lineRule="auto"/>
        <w:rPr>
          <w:sz w:val="20"/>
          <w:szCs w:val="20"/>
          <w:color w:val="auto"/>
        </w:rPr>
      </w:pPr>
      <w:r>
        <w:rPr>
          <w:rFonts w:ascii="Arial" w:cs="Arial" w:eastAsia="Arial" w:hAnsi="Arial"/>
          <w:sz w:val="16"/>
          <w:szCs w:val="16"/>
          <w:color w:val="auto"/>
        </w:rPr>
        <w:t>Contract assets are amounts that are invoiced as work progresses in accordance with agreed-upon contractual terms, either at periodic intervals or upon achievement of contractual milestones. Generally, revenue recognition occurs before billing, resulting in contract assets. These contract assets are referred to as unbilled receivables and are reported within accounts receivable, net of reserve on our condensed consolidated balance sheets.</w:t>
      </w:r>
    </w:p>
    <w:p>
      <w:pPr>
        <w:spacing w:after="0" w:line="176"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Billed receivables are amounts billed and due from our customers and are reported within accounts receivable, net of reserve on the condensed consolidated balance sheets. The portion of the payments retained by the customer until final contract settlement is not considered a significant financing component due to the intent of the retainage being the customer’s protection with respect to full and final performance under the contract.</w:t>
      </w:r>
    </w:p>
    <w:p>
      <w:pPr>
        <w:spacing w:after="0" w:line="176"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Contract liabilities are payments received in advance and milestone payments from our customers on selected contracts that exceed revenue earned to date, resulting in contract liabilities. Contract liabilities typically are not considered a significant financing component because they are generally satisfied within one year and are used to meet working capital demands that can be higher in the early stages of a contract. Contract liabilities are reported on our condensed consolidated balance sheets on a net contract basis at the end of each reporting period.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We have one reportable segment. We treat sales to U.S. customers as sales within the U.S. regardless of where the services are performed. Substantially all of our revenues are from U.S. customers as revenue derived from international customers is de minimus. The following tables disclose revenue (in thousands) by customer type and contract type for the three months ended March 31, 2021 and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State &amp; Local, and Commercial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2,888</w:t>
            </w: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Firm fixed-price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Time-and-materials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1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plus fixed fee</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55,757</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38,980</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340"/>
              <w:spacing w:after="0"/>
              <w:rPr>
                <w:sz w:val="20"/>
                <w:szCs w:val="20"/>
                <w:color w:val="auto"/>
              </w:rPr>
            </w:pPr>
            <w:r>
              <w:rPr>
                <w:rFonts w:ascii="Arial" w:cs="Arial" w:eastAsia="Arial" w:hAnsi="Arial"/>
                <w:sz w:val="18"/>
                <w:szCs w:val="18"/>
                <w:color w:val="auto"/>
              </w:rPr>
              <w:t>The following table discloses accounts receivable and contract assets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Billed accounts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40,494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19,161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Receivables –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52,563</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30,913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As of March 31, 2021 and December 31, 2020, we had $126.8 million and $127.7 million of remaining performance obligations, respectively, which we also refer to as funded backlog. We expect to recognize approximately 84.2% of our remaining performance obligations as revenue in 2021, an additional 10.3% in 2022, and the balance thereafter. Revenue recognized for the three months ended March 31, 2021 and 2020 that was included in the contract liabilities balance at the beginning of each reporting period was $2.0 million and $2.4 million, respectively. Contract liabilities were $6.8 million and $5.7 million as of March 31, 2021 and December 31, 2020,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7"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Accounts receivable are stated at the invoiced amount, less an allowance for doubtful accounts. Collectability of accounts receivable is regularly reviewed based upon management’s knowledge of the specific circumstances related to overdue balances. The allowance for doubtful accounts is adjusted based on such evaluation. Accounts receivable balances are written off against the allowance when management deems the balances uncollectible.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7"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Inventories are stated at the lower of cost or net realizable value, where cost is determined using the weighted average method. Substantially all inventories consist of purchased off-the-shelf hardware and software, and component computer parts used in connection with system integration services that we perform. An allowance for obsolete, slow-moving or nonsalable inventory is provided for all other inventory. This allowance is based on our overall obsolescence experience and our assessment of future inventory requirements. This charge is taken primarily due to the age of the specific inventory and the significant additional costs that would be necessary to upgrade to current standards as well as the lack of forecasted sales for such inventory in the near future. Gross inventory was $2.7 million and $4.2 million as of March 31, 2021 and December 31, 2020, respectively. As of March 31, 2021, it is management’s judgment that we have fully provided for any potential inventory obsolescence, which was $0.9 million as of March 31, 2021 and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Our policy on accounting for development costs of software to be sold is in accordance with ASC Topic 985-20, “Software – Costs of Software to be Sold, Leased, or Marketed” and ASC Topic 350-40 “Internal Use Software” in so far as our Xacta products being available in various deployment modalities including on premises licenses and cloud-based Software as a Service (“SaaS”). Under both standards, software development costs are expensed as incurred until technological feasibility is reached, at which time additional costs are capitalized until the product is available for general release to customers or is ready for its intended use, as appropriate. Technological feasibility is established when all planning, designing, coding and testing activities have been completed, and all risks have been identified. Software development costs are capitalized and amortized over the estimated product life of 2 years on a straight-line basis. As of March 31, 2021 and December 31, 2020, we capitalized $14.4 million and $12.3 million of software development costs, respectively, which are included as a part of property and equipment. Amortization expense was $0.5 million for each of the three months ended March 31, 2021 and 2020. Accumulated amortization was $5.3 million and $4.8 million as of March 31, 2021 and December 31, 2020, respectively. The Company analyzes the net realizable value of capitalized software development costs on at least an annual basis and has determined that there is no indication of impairment of the capitalized software development costs as forecasted future sales are adequate to support amortization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80" w:firstLine="324"/>
        <w:spacing w:after="0" w:line="284" w:lineRule="auto"/>
        <w:rPr>
          <w:sz w:val="20"/>
          <w:szCs w:val="20"/>
          <w:color w:val="auto"/>
        </w:rPr>
      </w:pPr>
      <w:r>
        <w:rPr>
          <w:rFonts w:ascii="Arial" w:cs="Arial" w:eastAsia="Arial" w:hAnsi="Arial"/>
          <w:sz w:val="16"/>
          <w:szCs w:val="16"/>
          <w:color w:val="auto"/>
        </w:rPr>
        <w:t>We account for income taxes in accordance with ASC 740, “Income Taxes.” Under ASC 740, deferred tax assets and liabilities are recognized for the estimated future tax consequences of temporary differences and income tax credits. Deferred tax assets and liabilities are measured by applying enacted statutory tax rates that are applicable to the future years in which deferred tax assets or liabilities are expected to be settled or realized for differences between the financial statement carrying amounts and the tax bases of existing assets and liabilities. Any change in tax rates on deferred tax assets and liabilities is recognized in net income in the period in which the tax rate change is enacted. We record a valuation allowance that reduces deferred tax assets when it is "more likely than not" that deferred tax assets will not be realized. We are required to establish a valuation allowance for deferred tax assets if, based on the weight of available evidence, it is more likely than not that some portion or all of the deferred tax assets will not be realized. Based on available evidence, realization of deferred tax assets is dependent upon the generation of future taxable income. We considered projected future taxable income, tax planning strategies, and reversal of taxable temporary differences in making this assessment. As such, we have determined that a full valuation allowance is required as of March 31, 2021 and December 31, 2020. As a result of a full valuation allowance against our deferred tax assets, a deferred tax liability related to goodwill remains on our condensed consolidated balance sheets at March 31, 2021 and December 31, 2020. Due to the tax reform enacted on December 22, 2017, net operating losses generated in taxable years beginning after December 31, 2017 will have an indefinite carryforward period, which will be available to offset future taxable income created by the reversal of temporary taxable differences related to goodwill. As a result, we have adjusted the valuation allowance on our deferred tax assets and liabilities at March 31, 2021 and December 31, 2020.</w:t>
      </w:r>
    </w:p>
    <w:p>
      <w:pPr>
        <w:spacing w:after="0" w:line="20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follow the provisions of ASC 740 related to accounting for uncertainty in income taxes. The accounting estimates related to liabilities for uncertain tax positions require us to make judgments regarding the sustainability of each uncertain tax position based on its technical merits. If we determine it is more likely than not that a tax position will be sustained based on its technical merits, we record the impact of the position in our condensed consolidated financial statements at the largest amount that is greater than fifty percent likely of being realized upon ultimate settlement. These estimates are updated at each reporting date based on the facts, circumstances and information available. We are also required to assess at each reporting date whether it is reasonably possible that any significant increases or decreases to our unrecognized tax benefits will occur during the next 12 months.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provision for income taxes in interim periods is computed by applying the estimated annual effective tax rate against earnings before income tax expense for the period. In addition, non-recurring or discrete items are recorded during the period in which they occur.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evaluate the impairment of goodwill in accordance with ASC 350, “Intangibles - Goodwill and Other,” which requires goodwill and indefinite-lived intangible assets to be assessed on at least an annual basis for impairment using a fair value basis. Between annual evaluations, if events occur or circumstances change that would more likely than not reduce the fair value of the reporting unit below its carrying amount, then impairment must be evaluated. Such circumstances could include, but are not limited to: (1) a significant adverse change in legal factors or business climate, or (2) a loss of key contracts or customers.</w:t>
      </w:r>
    </w:p>
    <w:p>
      <w:pPr>
        <w:spacing w:after="0" w:line="218"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As the result of an acquisition, we record any excess purchase price over the net tangible and identifiable intangible assets acquired as goodwill. An allocation of the purchase price to tangible and intangible net assets acquired is based upon our valuation of the acquired assets. Goodwill is not amortized, but is subject to annual impairment tests. We complete our goodwill impairment tests as of December 31st each year. Additionally, we make evaluations between annual tests if events occur or circumstances change that would more likely than not reduce the fair value of a reporting unit below its carrying amount. The evaluation is based on the estimation of the fair values of our three reporting units, CO&amp;D (comprised of Information Assurance / Xacta and Secure Networks), Telos ID, and Secure Communications, of which goodwill is housed in the CO&amp;D reporting unit, in comparison to the reporting unit’s net asset carrying values. Our discounted cash flows required management’s judgment with respect to forecasted revenue streams and operating margins, capital expenditures and the selection and use of an appropriate discount rate. We utilized the weighted average cost of capital as derived by certain assumptions specific to our facts and circumstances as the discount rate. The net assets attributable to the reporting units are determined based upon the estimated assets and liabilities attributable to the reporting units in deriving its free cash flows. In addition, the estimate of the total fair value of our reporting units is compared to the market capitalization of the Company. The Company’s assessment resulted in a fair value that was greater than the Company’s carrying value, therefore no impairment of goodwill was recorded as of December 31, 2020. Subsequent reviews may result in future periodic impairments that could have a material adverse effect on the results of operations in the period recognized. Recent operating results have reduced the projection of future cash flow growth potential, which indicates that certain negative potential events, such as a material loss or losses on contracts, or failure to achieve projected growth could result in impairment in the future. We estimate fair value of our reporting unit and compare the valuation with the respective carrying value for the reporting unit to determine whether any goodwill impairment exists. If we determine through the impairment review process that goodwill is impaired, we will record an impairment charge in our condensed consolidated statements of operations. Goodwill is amortized and deducted over a 15-year period for tax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7" w:lineRule="exact"/>
        <w:rPr>
          <w:sz w:val="20"/>
          <w:szCs w:val="20"/>
          <w:color w:val="auto"/>
        </w:rPr>
      </w:pPr>
    </w:p>
    <w:p>
      <w:pPr>
        <w:ind w:right="320" w:firstLine="324"/>
        <w:spacing w:after="0" w:line="271" w:lineRule="auto"/>
        <w:rPr>
          <w:sz w:val="20"/>
          <w:szCs w:val="20"/>
          <w:color w:val="auto"/>
        </w:rPr>
      </w:pPr>
      <w:r>
        <w:rPr>
          <w:rFonts w:ascii="Arial" w:cs="Arial" w:eastAsia="Arial" w:hAnsi="Arial"/>
          <w:sz w:val="17"/>
          <w:szCs w:val="17"/>
          <w:color w:val="auto"/>
        </w:rPr>
        <w:t>Under our 2016 Omnibus Long-Term Incentive Plan (the “2016 LTIP”), we have the ability to award restricted stock units with time-based vesting (“Service-Based RSUs”), and restricted stock units with performance-based vesting (“Performance-Based RSUs”) to senior executives, directors and eligible employees. Under the 2016 LTIP, our Board of Directors or the Compensation Committee of our Board of Directors may establish the performance conditions applicable to the Performance-Based RSUs, including the achievement of certain price targets for our common stock. Upon vesting, Service-Based RSUs and Performance-Based RSUs will be settled in the Company’s common stock.</w:t>
      </w:r>
    </w:p>
    <w:p>
      <w:pPr>
        <w:spacing w:after="0" w:line="205" w:lineRule="exact"/>
        <w:rPr>
          <w:sz w:val="20"/>
          <w:szCs w:val="20"/>
          <w:color w:val="auto"/>
        </w:rPr>
      </w:pPr>
    </w:p>
    <w:p>
      <w:pPr>
        <w:ind w:left="340" w:right="18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Service-Based RSUs </w:t>
      </w:r>
      <w:r>
        <w:rPr>
          <w:rFonts w:ascii="Arial" w:cs="Arial" w:eastAsia="Arial" w:hAnsi="Arial"/>
          <w:sz w:val="18"/>
          <w:szCs w:val="18"/>
          <w:color w:val="auto"/>
        </w:rPr>
        <w:t>granted to senior executives generally vest in three annual installments from the date of grant, with 30% vesting on the first and</w:t>
      </w:r>
      <w:r>
        <w:rPr>
          <w:rFonts w:ascii="Arial" w:cs="Arial" w:eastAsia="Arial" w:hAnsi="Arial"/>
          <w:sz w:val="18"/>
          <w:szCs w:val="18"/>
          <w:i w:val="1"/>
          <w:iCs w:val="1"/>
          <w:color w:val="auto"/>
        </w:rPr>
        <w:t xml:space="preserve"> </w:t>
      </w:r>
      <w:r>
        <w:rPr>
          <w:rFonts w:ascii="Arial" w:cs="Arial" w:eastAsia="Arial" w:hAnsi="Arial"/>
          <w:sz w:val="18"/>
          <w:szCs w:val="18"/>
          <w:color w:val="auto"/>
        </w:rPr>
        <w:t>second anniversaries and 40% vesting on the third anniversary. Service-Based RSUs granted to eligible employees as an incentive generally vest in equal installments over two to three years from the date of grant. The grant date fair value per share is equal to the closing stock price on the date of grant.</w:t>
      </w:r>
    </w:p>
    <w:p>
      <w:pPr>
        <w:spacing w:after="0" w:line="213" w:lineRule="exact"/>
        <w:rPr>
          <w:rFonts w:ascii="Arial" w:cs="Arial" w:eastAsia="Arial" w:hAnsi="Arial"/>
          <w:sz w:val="18"/>
          <w:szCs w:val="18"/>
          <w:color w:val="auto"/>
        </w:rPr>
      </w:pPr>
    </w:p>
    <w:p>
      <w:pPr>
        <w:ind w:left="340" w:hanging="332"/>
        <w:spacing w:after="0" w:line="272"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Performance-Based RSUs </w:t>
      </w:r>
      <w:r>
        <w:rPr>
          <w:rFonts w:ascii="Arial" w:cs="Arial" w:eastAsia="Arial" w:hAnsi="Arial"/>
          <w:sz w:val="17"/>
          <w:szCs w:val="17"/>
          <w:color w:val="auto"/>
        </w:rPr>
        <w:t>may vest upon the achievement of a defined performance target or at the end of the defined performance period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grant, whichever initially occurs. The grant date fair value per share of these Performance-Based RSUs is equal to the closing stock price on the date of the grant. Performance-Based RSUs may vest upon the achievement of certain price targets for the Company’s common stock over anytime over a three-year period from the date of grant. In order to reflect the substantive characteristics of these market condition award, the Company employs a Monte Carlo simulation valuation model to calculate the grant date fair value and corresponding service period of the award. Monte Carlo approaches are a class of computational algorithms that rely on repeated random sampling to compute their results. This approach allows the calculation of the value of such awards based on a large number of possible stock price path scenarios.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recognize these share-based payment transactions when services from the employees are received and recognize a corresponding increase in additional paid-in capital in our condensed consolidated balance sheets. The measurement objective for these equity awards is the estimated fair value at the date of grant of the equity instruments that we are obligated to issue when employees have rendered the requisite service and satisfied any other conditions necessary to earn the right to benefit from the instruments. The compensation expense for an award is recognized ratably over the requisite service period for the entire award, which is the period during which an employee is required to provide service in exchange for an award. Compensation expense for awards with performance conditions is recognized over the requisite service period if it is probable that the performance condition will be satisfied. If such performance conditions are not or are no longer considered probable, no compensation expense for these awards is recognized, and any previously recognized expense is reversed. Compensation expense for awards with performance conditions capable of being earned for satisfying the performance condition or as a result of completing a service requirement will be recognized ratably over the requisite service period for the entire award. If the performance condition is achieved prior to the completion of the requisite service period, any unrecognized compensation expense will be recognized in the period the performance condition is achieved. Compensation expense for awards with market conditions is recognized over the derived service period, or sooner, if the market condition is achieved. Previously recognized expense for awards with market conditions will never be reversed even if the market conditions is never achieved. We recognize forfeitures of share-based compensation awards as they occur. Share-based compensation expense is recognized as part of cost of sales and general and administrative expenses in our condensed consolidated statements of operations.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27" w:lineRule="exact"/>
        <w:rPr>
          <w:sz w:val="20"/>
          <w:szCs w:val="20"/>
          <w:color w:val="auto"/>
        </w:rPr>
      </w:pPr>
    </w:p>
    <w:p>
      <w:pPr>
        <w:ind w:right="360" w:firstLine="324"/>
        <w:spacing w:after="0" w:line="295" w:lineRule="auto"/>
        <w:rPr>
          <w:sz w:val="20"/>
          <w:szCs w:val="20"/>
          <w:color w:val="auto"/>
        </w:rPr>
      </w:pPr>
      <w:r>
        <w:rPr>
          <w:rFonts w:ascii="Arial" w:cs="Arial" w:eastAsia="Arial" w:hAnsi="Arial"/>
          <w:sz w:val="16"/>
          <w:szCs w:val="16"/>
          <w:color w:val="auto"/>
        </w:rPr>
        <w:t>Basic net earnings (loss) per share is computed by dividing the net earnings (loss) by the weighted-average number of common shares outstanding for the period, without consideration for potentially dilutive securities. Diluted net earnings (loss) per share is computed by dividing the net earnings (loss) by the weighted-average number of shares of common stock and dilutive common stock equivalents outstanding for the period determined using the treasury-stock and if-converted methods. Dilutive common stock equivalents are comprised of unvested restricted common stock and warrants.</w:t>
      </w:r>
    </w:p>
    <w:p>
      <w:pPr>
        <w:spacing w:after="0" w:line="18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earnings (loss) per share because to do so would be anti-dilutive are as follows (in common stock equivalent shares,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 March</w:t>
            </w:r>
          </w:p>
        </w:tc>
      </w:tr>
      <w:tr>
        <w:trPr>
          <w:trHeight w:val="234"/>
        </w:trPr>
        <w:tc>
          <w:tcPr>
            <w:tcW w:w="8680" w:type="dxa"/>
            <w:vAlign w:val="bottom"/>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68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and restricted stock units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Common stock warrants, exercisable at $1.665/sh.</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901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r>
      <w:tr>
        <w:trPr>
          <w:trHeight w:val="249"/>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November 12, 2020, we amended our Articles of Amendment and Restatement to effect an approximate 0.794-for-1 reverse stock split with respect to our common stock. The par value and the authorized shares of the common stock were not adjusted as a result of the reverse stock split. The accompanying condensed consolidated financial statements and notes to the condensed consolidated financial statements give retroactive effect to the reverse stock split for all periods presented.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 (Loss)</w:t>
      </w:r>
    </w:p>
    <w:p>
      <w:pPr>
        <w:spacing w:after="0" w:line="27" w:lineRule="exact"/>
        <w:rPr>
          <w:sz w:val="20"/>
          <w:szCs w:val="20"/>
          <w:color w:val="auto"/>
        </w:rPr>
      </w:pPr>
    </w:p>
    <w:p>
      <w:pPr>
        <w:jc w:val="both"/>
        <w:ind w:right="100" w:firstLine="324"/>
        <w:spacing w:after="0" w:line="273" w:lineRule="auto"/>
        <w:rPr>
          <w:sz w:val="20"/>
          <w:szCs w:val="20"/>
          <w:color w:val="auto"/>
        </w:rPr>
      </w:pPr>
      <w:r>
        <w:rPr>
          <w:rFonts w:ascii="Arial" w:cs="Arial" w:eastAsia="Arial" w:hAnsi="Arial"/>
          <w:sz w:val="17"/>
          <w:szCs w:val="17"/>
          <w:color w:val="auto"/>
        </w:rPr>
        <w:t>Our functional currency is the U.S. Dollar. For one of our wholly owned subsidiaries, the functional currency is the local currency. For this subsidiary, the translation of its foreign currency into U.S. Dollars is performed for assets and liabilities using current foreign currency exchange rates in effect at the balance sheet date and for revenue and expense accounts using average foreign currency exchange rates during the period. Translation gains and losses are included in stockholders’ deficit as a component of accumulated other comprehensive income (loss).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income included within stockholders’ equity (deficit)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48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Cumulative foreign currency translation loss</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Cumulative actuarial gain on pension liability adjustment</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50"/>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3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819"/>
        </w:trPr>
        <w:tc>
          <w:tcPr>
            <w:tcW w:w="4840" w:type="dxa"/>
            <w:vAlign w:val="bottom"/>
          </w:tcPr>
          <w:p>
            <w:pPr>
              <w:spacing w:after="0"/>
              <w:rPr>
                <w:sz w:val="24"/>
                <w:szCs w:val="24"/>
                <w:color w:val="auto"/>
              </w:rPr>
            </w:pPr>
          </w:p>
        </w:tc>
        <w:tc>
          <w:tcPr>
            <w:tcW w:w="3840" w:type="dxa"/>
            <w:vAlign w:val="bottom"/>
          </w:tcPr>
          <w:p>
            <w:pPr>
              <w:jc w:val="right"/>
              <w:ind w:right="290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84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Purchase of Telos ID/Non-controlling Interests</w:t>
      </w:r>
    </w:p>
    <w:p>
      <w:pPr>
        <w:spacing w:after="0" w:line="2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On October 5, 2020, we entered into a Membership Interest Purchase Agreement between the Company and Hoya ID Fund A, LLC (“Hoya”) to purchase all of the Class B Units of Telos ID owned by Hoya (the “Telos ID Purchase”). Upon the closing of the Telos ID Purchase, Telos ID became our wholly owned subsidiary. On November 23, 2020, the Telos ID Purchase was consummated with the Company transferring $30.0 million in cash and issuing 7,278,040 shares of our common stock at $20.39 per share (which totals approximately $148.4 million); the total consideration transferred to Hoya was $178.4 million. As part of the common stock issuance, the Company recognized a credit to additional paid-in capital (“APIC”) of $148.4 million. The Company further recognized a debit to APIC of $173.9 million as part of the elimination of Hoya’s non-controlling interest in Telos ID. The net impact to APIC associated with the acquisition of the additional 50% interest in Telos ID was a debit of $25.5 million.</w:t>
      </w:r>
    </w:p>
    <w:p>
      <w:pPr>
        <w:spacing w:after="0" w:line="195"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On April 11, 2007, Telos ID was formed as a limited liability company under the Delaware Limited Liability Company Act. We contributed substantially all of the assets of our Telos ID Enterprise business line and assigned our rights to perform under our U.S. Government contract with the Defense Manpower Data Center (“DMDC”) to Telos ID at their stated book values. The net book value of assets we contributed totaled $17,000. Until April 19, 2007, we owned 99.999% of the membership interests of Telos ID and Hoya owned 0.001% of the membership interests of Telos ID. On April 20, 2007, we sold an additional 39.999% of the membership interests to Hoya in exchange for $6 million in cash consideration. As a result, we owned 60% of Telos ID, and therefore continued to account for the investment in Telos ID using the consolidation method.</w:t>
      </w:r>
    </w:p>
    <w:p>
      <w:pPr>
        <w:spacing w:after="0" w:line="191"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On December 24, 2014 (the “Closing Date”), Hoya acquired from the Company an additional ten percent (10%) membership interest in Telos ID in exchange for $5 million (the “2014 Transaction”). In connection with the 2014 Transaction, the Company and Hoya entered into the Second Amended and Restated Operating Agreement (the “Operating Agreement”) governing the business, allocation of profits and losses and management of Telos ID. Under the Operating Agreement, Telos ID was managed by a board of directors comprised of five (5) members (the “Telos ID Board”). The Company owned 50% of Telos ID, was entitled to receive 50% of the profits of Telos ID, and could appoint three (3) members of the Telos ID Board. Hoya owned 50% of Telos ID, was entitled to receive 50% of the profits of Telos ID, and could appoint two (2) members of the Telos ID Board.</w:t>
      </w:r>
    </w:p>
    <w:p>
      <w:pPr>
        <w:spacing w:after="0" w:line="19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As a result of the 2014 Transaction, each of the member owned 50% of Telos ID, as mentioned above, and as such each was allocated 50% of the profits, which was $784,000 for the three months ended March 31, 2020. Hoya was the non-controlling interest.</w:t>
      </w:r>
    </w:p>
    <w:p>
      <w:pPr>
        <w:spacing w:after="0" w:line="19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Distributions were made to the members only when and to the extent determined by Telos ID’s Board of Directors, in accordance with the Operating Agreement. Hoya received a final distribution of $2.4 million in January 2021, which was accrued and presented in accounts payable and other accrued liabilities in the condensed consolidated balance sheets as of December 31, 2020. No distribution was made during the three months ended March 31, 2020.</w:t>
      </w:r>
    </w:p>
    <w:p>
      <w:pPr>
        <w:spacing w:after="0" w:line="39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17" w:name="page18"/>
    <w:bookmarkEnd w:id="17"/>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r>
        <w:rPr>
          <w:rFonts w:ascii="Arial" w:cs="Arial" w:eastAsia="Arial" w:hAnsi="Arial"/>
          <w:sz w:val="18"/>
          <w:szCs w:val="18"/>
          <w:color w:val="auto"/>
        </w:rPr>
        <w:t>.</w:t>
      </w:r>
      <w:r>
        <w:rPr>
          <w:rFonts w:ascii="Arial" w:cs="Arial" w:eastAsia="Arial" w:hAnsi="Arial"/>
          <w:sz w:val="18"/>
          <w:szCs w:val="18"/>
          <w:b w:val="1"/>
          <w:bCs w:val="1"/>
          <w:color w:val="auto"/>
        </w:rPr>
        <w:t xml:space="preserve"> Goodwill</w:t>
      </w:r>
    </w:p>
    <w:p>
      <w:pPr>
        <w:spacing w:after="0" w:line="27" w:lineRule="exact"/>
        <w:rPr>
          <w:sz w:val="20"/>
          <w:szCs w:val="20"/>
          <w:color w:val="auto"/>
        </w:rPr>
      </w:pPr>
    </w:p>
    <w:p>
      <w:pPr>
        <w:jc w:val="both"/>
        <w:ind w:right="340" w:firstLine="324"/>
        <w:spacing w:after="0" w:line="255" w:lineRule="auto"/>
        <w:rPr>
          <w:sz w:val="20"/>
          <w:szCs w:val="20"/>
          <w:color w:val="auto"/>
        </w:rPr>
      </w:pPr>
      <w:r>
        <w:rPr>
          <w:rFonts w:ascii="Arial" w:cs="Arial" w:eastAsia="Arial" w:hAnsi="Arial"/>
          <w:sz w:val="18"/>
          <w:szCs w:val="18"/>
          <w:color w:val="auto"/>
        </w:rPr>
        <w:t>The goodwill balance was $14.9 million as of March 31, 2021 and December 31, 2020. Goodwill is subject to annual impairment tests and in the intereim if triggering events are present before the annual tests, we will assess impairment. For the three months ended March 31, 2021 and 2020, no impairment charges were taken.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r>
        <w:rPr>
          <w:rFonts w:ascii="Arial" w:cs="Arial" w:eastAsia="Arial" w:hAnsi="Arial"/>
          <w:sz w:val="18"/>
          <w:szCs w:val="18"/>
          <w:color w:val="auto"/>
        </w:rPr>
        <w:t>.</w:t>
      </w:r>
      <w:r>
        <w:rPr>
          <w:rFonts w:ascii="Arial" w:cs="Arial" w:eastAsia="Arial" w:hAnsi="Arial"/>
          <w:sz w:val="18"/>
          <w:szCs w:val="18"/>
          <w:b w:val="1"/>
          <w:bCs w:val="1"/>
          <w:color w:val="auto"/>
        </w:rPr>
        <w:t xml:space="preserve"> Fair Value Measurements</w:t>
      </w:r>
    </w:p>
    <w:p>
      <w:pPr>
        <w:spacing w:after="0" w:line="27" w:lineRule="exact"/>
        <w:rPr>
          <w:sz w:val="20"/>
          <w:szCs w:val="20"/>
          <w:color w:val="auto"/>
        </w:rPr>
      </w:pPr>
    </w:p>
    <w:p>
      <w:pPr>
        <w:ind w:right="580" w:firstLine="324"/>
        <w:spacing w:after="0" w:line="255"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expands disclosures about fair value measurements. The framework requires the valuation of financial instruments using a three-tiered approach. The statement requires fair value measurement to be classified and disclosed in one of the following categories: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Level 1: Unadjusted quoted prices in active markets that are accessible at the measurement date for identical, unrestricted assets and liabilities;</w:t>
      </w:r>
    </w:p>
    <w:p>
      <w:pPr>
        <w:spacing w:after="0" w:line="27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or</w:t>
      </w:r>
    </w:p>
    <w:p>
      <w:pPr>
        <w:spacing w:after="0" w:line="197"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9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of March 31, 2021 and December 31, 2020, we did not have any financial instruments with significant Level 3 inputs and we did not have any financial instruments that are measured at fair value on a recurring basis.</w:t>
      </w:r>
    </w:p>
    <w:p>
      <w:pPr>
        <w:spacing w:after="0" w:line="19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For certain of our non-derivative financial instruments, including receivables, accounts payable and other accrued liabilities, the carrying amount approximates fair value due to the short-term maturities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w:t>
      </w:r>
      <w:r>
        <w:rPr>
          <w:rFonts w:ascii="Arial" w:cs="Arial" w:eastAsia="Arial" w:hAnsi="Arial"/>
          <w:sz w:val="18"/>
          <w:szCs w:val="18"/>
          <w:color w:val="auto"/>
        </w:rPr>
        <w:t>.</w:t>
      </w:r>
      <w:r>
        <w:rPr>
          <w:rFonts w:ascii="Arial" w:cs="Arial" w:eastAsia="Arial" w:hAnsi="Arial"/>
          <w:sz w:val="18"/>
          <w:szCs w:val="18"/>
          <w:b w:val="1"/>
          <w:bCs w:val="1"/>
          <w:color w:val="auto"/>
        </w:rPr>
        <w:t xml:space="preserve"> Current Liabilities and Debt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Other Accrued Liabilities</w:t>
      </w:r>
    </w:p>
    <w:p>
      <w:pPr>
        <w:spacing w:after="0" w:line="23" w:lineRule="exact"/>
        <w:rPr>
          <w:sz w:val="20"/>
          <w:szCs w:val="20"/>
          <w:color w:val="auto"/>
        </w:rPr>
      </w:pPr>
    </w:p>
    <w:p>
      <w:pPr>
        <w:ind w:right="600" w:firstLine="324"/>
        <w:spacing w:after="0" w:line="260" w:lineRule="auto"/>
        <w:rPr>
          <w:sz w:val="20"/>
          <w:szCs w:val="20"/>
          <w:color w:val="auto"/>
        </w:rPr>
      </w:pPr>
      <w:r>
        <w:rPr>
          <w:rFonts w:ascii="Arial" w:cs="Arial" w:eastAsia="Arial" w:hAnsi="Arial"/>
          <w:sz w:val="18"/>
          <w:szCs w:val="18"/>
          <w:color w:val="auto"/>
        </w:rPr>
        <w:t>As of March 31, 2021 and December 31, 2020, the accounts payable and other accrued liabilities consisted of $9.8 million and $14.7 million, respectively, in trade accounts payable and $22.0 million and $6.2 million, respectively, in accrued liabilities.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Contract liabilities are payments received in advance and milestone payments from our customers on selected contracts that exceed revenue earned to date, resulting in contract liabilities. Contract liabilities typically are not considered a significant financing component because they are generally satisfied within one year and are used to meet working capital demands that can be higher in the early stages of a contract. Contract liabilities are reported on our condensed consolidated balance sheets on a net contract basis at the end of each reporting period. As of March 31, 2021 and December 31, 2020, the contract liabilities primarily related to product support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Enlightenment Capital Credit Agreement</w:t>
      </w:r>
    </w:p>
    <w:p>
      <w:pPr>
        <w:spacing w:after="0" w:line="23" w:lineRule="exact"/>
        <w:rPr>
          <w:sz w:val="20"/>
          <w:szCs w:val="20"/>
          <w:color w:val="auto"/>
        </w:rPr>
      </w:pPr>
    </w:p>
    <w:p>
      <w:pPr>
        <w:ind w:right="20" w:firstLine="324"/>
        <w:spacing w:after="0" w:line="277" w:lineRule="auto"/>
        <w:rPr>
          <w:sz w:val="20"/>
          <w:szCs w:val="20"/>
          <w:color w:val="auto"/>
        </w:rPr>
      </w:pPr>
      <w:r>
        <w:rPr>
          <w:rFonts w:ascii="Arial" w:cs="Arial" w:eastAsia="Arial" w:hAnsi="Arial"/>
          <w:sz w:val="17"/>
          <w:szCs w:val="17"/>
          <w:color w:val="auto"/>
        </w:rPr>
        <w:t>On January 25, 2017, we entered into a Credit Agreement (the "Credit Agreement") with Enlightenment Capital Solutions Fund II, L.P., as agent (the "Agent") and the lenders party thereto (the "Lenders"), (together referenced as “EnCap”). The Credit Agreement provides for an $11 million senior term loan (the "Loan") with a maturity date of January 25, 2022, subject to acceleration in the event of customary events of default.</w:t>
      </w: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18" w:name="page19"/>
    <w:bookmarkEnd w:id="18"/>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All borrowings under the Credit Agreement accrue interest at the rate of 13.0% per annum (the "Accrual Rate"). If, at the request of the Company, the Agent executes an intercreditor agreement with another senior lender under which the Agent and the Lenders subordinate their liens (an "Alternative Interest Rate Event"), the interest rate will increase to 14.5% per annum. After the occurrence and during the continuance of any event of default, the interest rate will increase 2.0%. The Company is obligated to pay accrued interest in cash on a monthly basis at a rate of not less than 10.0% per annum or, during the continuance of an Alternate Interest Rate Event, 11.5% per annum. The Company could elect to pay the remaining interest in cash, by payment-in-kind (by addition to the principal amount of the Loan) or by combination of cash and payment-in-kind. Upon thirty days prior written notice, the Company may prepay any portion or the entire amount of the Loan.</w:t>
      </w:r>
    </w:p>
    <w:p>
      <w:pPr>
        <w:spacing w:after="0" w:line="204"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The Credit Agreement contains representations, warranties, covenants, terms and conditions customary for transactions of this type. In connection with the Credit Agreement, the Agent has been granted, for the benefit of the Lenders, a security interest in and general lien upon various property of the Company, subject to certain permitted liens and any intercreditor agreement. The occurrence of an event of default under the Credit Agreement could result in the Loan and other obligations becoming immediately due and payable and allow the Lenders to exercise all rights and remedies available to them under the Credit Agreement or as a secured party under the UCC, in addition to all other rights and remedies available to them.</w:t>
      </w:r>
    </w:p>
    <w:p>
      <w:pPr>
        <w:spacing w:after="0" w:line="188"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In connection with the Credit Agreement, on January 25, 2017, the Company issued warrants (each, a "Warrant") to the Agent and certain of the Lenders representing in the aggregate the right to purchase in accordance with their terms 900,970 shares of the Class A Common Stock of the Company, no par value per share, which is equivalent to approximately 2.5% of the common equity interests of the Company on a fully diluted basis. The exercise price is $1.665 per share and each Warrant expires on January 25, 2027. The value of the warrants was determined to be de minimis and no value was allocated to them on a relative fair value basis in accounting for the debt instrument.</w:t>
      </w:r>
    </w:p>
    <w:p>
      <w:pPr>
        <w:spacing w:after="0" w:line="20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Credit Agreement also included an $825,000 exit fee, which was payable upon any repayment or prepayment of the loan. This amount had been included in the total principal due and treated as an unamortized discount on the debt, which would be amortized over the term of the loan, using the effective interest method at a rate of 15.0% at the time of the original loan. We incurred fees and transaction costs of approximately $374,000 related to the issuance of the Credit Agreement, which were amortized over the life of the Credit Agreement.</w:t>
      </w:r>
    </w:p>
    <w:p>
      <w:pPr>
        <w:spacing w:after="0" w:line="198" w:lineRule="exact"/>
        <w:rPr>
          <w:sz w:val="20"/>
          <w:szCs w:val="20"/>
          <w:color w:val="auto"/>
        </w:rPr>
      </w:pPr>
    </w:p>
    <w:p>
      <w:pPr>
        <w:ind w:right="180" w:firstLine="324"/>
        <w:spacing w:after="0" w:line="270" w:lineRule="auto"/>
        <w:rPr>
          <w:sz w:val="20"/>
          <w:szCs w:val="20"/>
          <w:color w:val="auto"/>
        </w:rPr>
      </w:pPr>
      <w:r>
        <w:rPr>
          <w:rFonts w:ascii="Arial" w:cs="Arial" w:eastAsia="Arial" w:hAnsi="Arial"/>
          <w:sz w:val="17"/>
          <w:szCs w:val="17"/>
          <w:color w:val="auto"/>
        </w:rPr>
        <w:t>On March 30, 2018, the Credit Agreement was amended (the “Third Amendment”) to waive any actual or potential non-compliance with covenants in 2017 and to reset the covenants for 2018 measurement periods to more accurately reflect the Company’s projected performance for the year. The measurement against the covenants for consolidated leverage ratio and consolidated fixed charge coverage ratio were agreed to not be measured as of December 31, 2017 and were reset for 2018 measurement periods. Additionally, a minimum revenue covenant and a net working capital covenant were added. In consideration of these amendments, the interest rate on the loan was increased by 1%, which will revert back to the original rate upon achievement of two consecutive quarters of a specified fixed charge coverage ratio as defined in the agreement. The Company may elect to pay the increase in interest expense in cash or by payment-in-kind (by addition to the principal amount of the Loan). The increase in interest expense has been paid in cash. Contemporaneously with the Third Amendment, Mr. John B. Wood agreed to transfer 50,000 shares of the Company’s Class A Common Stock owned by him to EnCap.</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9" w:name="page20"/>
    <w:bookmarkEnd w:id="19"/>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On July 19, 2019, we entered into the Fourth Amendment to Credit Agreement and Waiver; First Amendment to Fee Letter (“Fourth Amendment”) to amend the Credit Agreement. As a result of the Fourth Amendment, several terms of the Credit Agreement were amended, including the following:</w:t>
      </w:r>
    </w:p>
    <w:p>
      <w:pPr>
        <w:spacing w:after="0" w:line="15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borrowed an additional $5 million from the Lenders, increasing the total amount of the principal to $16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maturity date of the Credit Agreement was amended from January 25, 2022 to January 15, 2021.</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prepayment price was amended as follows: (a) from January 26, 2019 through January 25, 2020, the prepayment price is 102% of the principal amount, (b) from January 26, 2020 through October 14, 2020, the prepayment price is 101% of the principal amount, and (c) from October 15, 2020 to the maturity date, the prepayment price will be at par. However, the prepayment price for the additional $5 million loan attributable to the Fourth Amendment will be at par.</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financial covenants, as defined in the Credit Agreement, were amended and updated: Consolidated Leverage Ratio, Consolidated Senior Leverage Ratio, Consolidated Capital Expenditures, Minimum Fixed Charge Coverage Ratio, and Minimum Consolidated Net Working Capital.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actual or potential non-compliance with the applicable provisions of the Credit Agreement were waived.</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borrowing under the Credit Agreement continues to be collateralized by substantially all of the Company’s assets including inventory, equipment and accounts receivable.</w:t>
      </w:r>
    </w:p>
    <w:p>
      <w:pPr>
        <w:ind w:left="660" w:right="2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paid the Agent a fee of $110,000 in connection with the Fourth Amendment. We incurred immaterial third party transation costs which were expensed during the current period.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exit fee was increased from $825,000 to $1,200,000.</w:t>
      </w:r>
    </w:p>
    <w:p>
      <w:pPr>
        <w:spacing w:after="0" w:line="23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exit fee had been included in the total principal due and treated as an unamortized discount on the debt, which was amortized over the term of the loan using the effective interest method at a rate of 17.3% over the remaining term of the loan.</w:t>
      </w:r>
    </w:p>
    <w:p>
      <w:pPr>
        <w:spacing w:after="0" w:line="19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March 26, 2020, the Credit Agreement was amended (the “Fifth Amendment”) to modify the financial covenants for 2020 through the maturity of the Credit Agreement to establish that the covenants will remain at the December 31, 2020 levels and to update the previously agreed-upon definition of certain financial covenants, specifically the amount of Capital Expenditures to be included in the measurement of the covenants. The Fifth Amendment also provides for the right for the Company to elect to extend the maturity date of the Credit Agreement which is currently scheduled to mature on January 15, 2021. The Fifth Amendment provides for four quarterly maturity date extensions, which would increase the Exit Fee payable under the Credit Agreement by $250,000 for each quarterly maturity date extension elected, for a total of $1 million increase to the Exit Fee were all four of the maturity date extensions to be elected. The Company paid EnCap an amendment fee of $100,000 and out-of-pocket costs and expenses in consideration for the Fifth Amendment.</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incurred interest expense in the amount of $0.8 million for the three months ended March 31, 2020, under the Credit Agreement.</w:t>
      </w:r>
    </w:p>
    <w:p>
      <w:pPr>
        <w:spacing w:after="0" w:line="252" w:lineRule="exact"/>
        <w:rPr>
          <w:sz w:val="20"/>
          <w:szCs w:val="20"/>
          <w:color w:val="auto"/>
        </w:rPr>
      </w:pPr>
    </w:p>
    <w:p>
      <w:pPr>
        <w:ind w:right="580" w:firstLine="324"/>
        <w:spacing w:after="0" w:line="263" w:lineRule="auto"/>
        <w:rPr>
          <w:sz w:val="20"/>
          <w:szCs w:val="20"/>
          <w:color w:val="auto"/>
        </w:rPr>
      </w:pPr>
      <w:r>
        <w:rPr>
          <w:rFonts w:ascii="Arial" w:cs="Arial" w:eastAsia="Arial" w:hAnsi="Arial"/>
          <w:sz w:val="18"/>
          <w:szCs w:val="18"/>
          <w:color w:val="auto"/>
        </w:rPr>
        <w:t>On November 24, 2020, upon the closing of the IPO, the Company paid a total of $17.4 million which paid off the Credit Agreement in full including an exit fee of $1.2 million, accrued interest of $138,000, and legal fees of $13,000. On April 19, 2021, we repurchased all the shares and warrants from EnCap for approximately $28.1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Debt</w:t>
      </w:r>
    </w:p>
    <w:p>
      <w:pPr>
        <w:spacing w:after="0" w:line="23" w:lineRule="exact"/>
        <w:rPr>
          <w:sz w:val="20"/>
          <w:szCs w:val="20"/>
          <w:color w:val="auto"/>
        </w:rPr>
      </w:pPr>
    </w:p>
    <w:p>
      <w:pPr>
        <w:ind w:right="120" w:firstLine="324"/>
        <w:spacing w:after="0" w:line="268" w:lineRule="auto"/>
        <w:rPr>
          <w:sz w:val="20"/>
          <w:szCs w:val="20"/>
          <w:color w:val="auto"/>
        </w:rPr>
      </w:pPr>
      <w:r>
        <w:rPr>
          <w:rFonts w:ascii="Arial" w:cs="Arial" w:eastAsia="Arial" w:hAnsi="Arial"/>
          <w:sz w:val="17"/>
          <w:szCs w:val="17"/>
          <w:color w:val="auto"/>
        </w:rPr>
        <w:t>On March 31, 2015, the Company entered into Subordinated Loan Agreements and Subordinated Promissory Notes (“Porter Notes”) with affiliated entities of Mr. John R. C. Porter (together referenced as “Porter”). At the time, Mr. Porter and Toxford Corporation, of which Mr. Porter controls as the co-trustee of the trust that is the sole stockholder of Toxford, owned 35.0% of our Class A Common Stock. Under the terms of the Porter Notes, Porter lent the Company $2.5 million on or about March 31, 2015. Telos also entered into Subordination and Intercreditor Agreements with Porter and a prior senior lender, in which the Porter Notes were fully subordinated to the financing provided by that senior lender, and payments under the Porter Notes were permitted only if certain conditions were met. According to the original terms of the Porter Notes, the outstanding principal sum bore interest at the fixed rate of twelve percent (12%) per annum which would be payable in arrears in cash on the 20th day of each May, August, November and February, with the first interest payment date due on August 20, 2015. The Porter Notes did not call for amortization payments and were unsecured. The Porter Notes, in whole or in part, may be repaid at any time without premium or penalty. The unpaid principal, together with interest, was originally due and payable in full on July 1, 2017.</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0" w:name="page21"/>
    <w:bookmarkEnd w:id="20"/>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On April 18, 2017, we amended and restated the Porter Notes to reduce the interest rate from twelve percent (12%) to six percent (6%) per annum, to be accrued, and extended the maturity date from July 1, 2017 to July 25, 2022. Telos also entered into Intercreditor Agreements with Porter and EnCap, in which the Porter Notes were fully subordinated to the Credit Agreement and any subsequent senior lenders, and payments under the Porter Notes were permitted only if certain conditions were met. All other terms remained in full force and effect. We incurred interest expense in the amount of $80,000 for the three months ended March 31, 2020, on the Porter Notes. As of March 31, 2020, approximately $1.1 million of accrued interest was payable according to the stated interest rate of the Porter Notes.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November 23, 2020, upon the closing of the IPO, the Porter Notes were paid in full.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t>
      </w:r>
      <w:r>
        <w:rPr>
          <w:rFonts w:ascii="Arial" w:cs="Arial" w:eastAsia="Arial" w:hAnsi="Arial"/>
          <w:sz w:val="18"/>
          <w:szCs w:val="18"/>
          <w:color w:val="auto"/>
        </w:rPr>
        <w:t>.</w:t>
      </w:r>
      <w:r>
        <w:rPr>
          <w:rFonts w:ascii="Arial" w:cs="Arial" w:eastAsia="Arial" w:hAnsi="Arial"/>
          <w:sz w:val="18"/>
          <w:szCs w:val="18"/>
          <w:b w:val="1"/>
          <w:bCs w:val="1"/>
          <w:color w:val="auto"/>
        </w:rPr>
        <w:t xml:space="preserve"> Exchangeable Redeemable Preferred Stock Conversion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Preferred Stock</w:t>
      </w:r>
    </w:p>
    <w:p>
      <w:pPr>
        <w:spacing w:after="0" w:line="23"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Upon the closing of the IPO, which constituted a qualified initial public offering for the purposes of the terms of the Exchangeable Redeemable Preferred Stock (the “Public Preferred Stock”), each issued and outstanding share of Exchangeable Redeemable Preferred Stock automatically was converted (the “ERPS Conversion”) into the right to receive (i) an amount of cash equal to (I) the ERPS Liquidation Value; multiplied by (II) 0.90; multiplied by (III) 0.85 and (ii) that number of shares of common stock (valued at the initial offering price to the public) equal to (I) the ERPS Liquidation Value; multiplied by (II) 0.90; multiplied by (III) 0.15. No fractional shares of common stock, however, were issued upon the ERPS Conversion but, in lieu thereof, the holder was entitled to receive an amount of cash equal to the fair market value of a share of common stock (valued at the initial offering price to the public) at the time of the ERPS Conversion multiplied by such fractional amount (rounded to the nearest cent). “ERPS Liquidation Value” means, per each share of Public Preferred Stock, $10 together with all accrued and unpaid dividends (whether or not earned or declared) thereon calculated as of the actual date of the ERPS Conversion without interest, which, was approximately $142.3 million as of November 19, 2020. All shares of common stock issued upon an ERPS Conversion were validly issued, fully paid and non-assessable. On November 23, 2020, holders of the Public Preferred Stock received $108.9 million in cash and 1.1 million shares of our common stock at $17 per share for a total value of $19.2 million in connection with the ERPS Conversion. The difference in the redemption value of the ERPS and the carrying value has been accounted for as a gain on extinguishment of debt in accordance with ASC 470 and ASC 480. Approximately $220,000 of costs directly attributable to this redemption were applied against the gain, resulting in a net gain of $14.0 million.</w:t>
      </w:r>
    </w:p>
    <w:p>
      <w:pPr>
        <w:spacing w:after="0" w:line="208"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A maximum of 6,000,000 shares of the Public Preferred Stock, par value $.01 per share, has been authorized for issuance. We initially issued 2,858,723 shares of the Public Preferred Stock pursuant to the acquisition of the Company during fiscal year 1990. The Public Preferred Stock was recorded at fair value on the date of original issue, November 21, 1989, and we made periodic accretions under the interest method of the excess of the redemption value over the recorded value. We adjusted our estimate of accrued accretion in the amount of $1.5 million in the second quarter of 2006. The Public Preferred Stock was fully accreted as of December 2008. We declared stock dividends totaling 736,863 shares in 1990 and 1991. Since 1991, no other dividends, in stock or cash, had been declared. In November 1998, we retired 410,000 shares of the Public Preferred Stock. The total number of shares issued and outstanding at March 31, 2021 and December 31, 2020 was 3,185,586.</w:t>
      </w:r>
    </w:p>
    <w:p>
      <w:pPr>
        <w:spacing w:after="0" w:line="204" w:lineRule="exact"/>
        <w:rPr>
          <w:sz w:val="20"/>
          <w:szCs w:val="20"/>
          <w:color w:val="auto"/>
        </w:rPr>
      </w:pPr>
    </w:p>
    <w:p>
      <w:pPr>
        <w:ind w:right="240" w:firstLine="324"/>
        <w:spacing w:after="0" w:line="296" w:lineRule="auto"/>
        <w:rPr>
          <w:sz w:val="20"/>
          <w:szCs w:val="20"/>
          <w:color w:val="auto"/>
        </w:rPr>
      </w:pPr>
      <w:r>
        <w:rPr>
          <w:rFonts w:ascii="Arial" w:cs="Arial" w:eastAsia="Arial" w:hAnsi="Arial"/>
          <w:sz w:val="16"/>
          <w:szCs w:val="16"/>
          <w:color w:val="auto"/>
        </w:rPr>
        <w:t>We paid dividends on the Public Preferred Stock when and if declared by the Board of Directors. The Public Preferred Stock accrued a semi-annual dividend at the annual rate of 12% ($1.20) per share, based on the liquidation preference of $10 per share, and was fully cumulative. Dividends in additional shares of the Public Preferred Stock for 1990 and 1991 were paid at the rate of 6% per share for each $.60 of such dividends not paid in cash. We accrued dividends on the Public Preferred Stock of $1.0 million for the three months ended March 31, 2020, which was recorded as interest expense. Prior to the effective date of ASC 480 on July 1, 2003, such dividends were charged to stockholders’ accumulated deficit.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27"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income tax provision for interim periods is determined using an estimated annual effective tax rate adjusted for discrete items, if any, which are taken into account in the quarterly period in which they occur. We review and update our estimated annual effective tax rate each quarter. We recorded an approximately $34,000 income tax provision and $146,000 income tax benefit for the three months ended March 31, 2021 and 2020, respectively. For the three months ended March 31, 2021 and 2020, our estimated annual effective tax rate was primarily impacted by the overall valuation allowance position which reduced the net tax impact from taxable income or loss for both periods.</w:t>
      </w:r>
    </w:p>
    <w:p>
      <w:pPr>
        <w:spacing w:after="0" w:line="205"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In March 2020, the Coronavirus Aid, Relief, and Economic Security Act (“CARES Act”) was enacted. The CARES Act, among other things, includes certain changes to U.S. tax law that impact the Company, including deferment of employer social security payments, modifications to interest deduction limitation rules, a technical correction to tax depreciation methods for certain qualified improvement property, and alternative minimum tax credit refund.</w:t>
      </w:r>
    </w:p>
    <w:p>
      <w:pPr>
        <w:spacing w:after="0" w:line="176" w:lineRule="exact"/>
        <w:rPr>
          <w:sz w:val="20"/>
          <w:szCs w:val="20"/>
          <w:color w:val="auto"/>
        </w:rPr>
      </w:pPr>
    </w:p>
    <w:p>
      <w:pPr>
        <w:ind w:right="320" w:firstLine="324"/>
        <w:spacing w:after="0" w:line="293" w:lineRule="auto"/>
        <w:rPr>
          <w:sz w:val="20"/>
          <w:szCs w:val="20"/>
          <w:color w:val="auto"/>
        </w:rPr>
      </w:pPr>
      <w:r>
        <w:rPr>
          <w:rFonts w:ascii="Arial" w:cs="Arial" w:eastAsia="Arial" w:hAnsi="Arial"/>
          <w:sz w:val="16"/>
          <w:szCs w:val="16"/>
          <w:color w:val="auto"/>
        </w:rPr>
        <w:t>We are required to establish a valuation allowance for deferred tax assets if, based on the weight of available evidence, it is more likely than not that some portion or all of the deferred tax assets will not be realized. Based on available evidence, realization of deferred tax assets is dependent upon the generation of future taxable income. We considered projected future taxable income, tax planning strategies, and reversal of taxable temporary differences in making this assessment. As such, we have determined that a full valuation allowance is required as of March 31, 2021 and December 31, 2020. As a result of a full valuation allowance against our deferred tax assets and liabilities, a deferred tax liability related to goodwill of $661,000 and $652,000 remained on our condensed consolidated balance sheets at March 31, 2021 and December 31, 2020, respectively.</w:t>
      </w:r>
    </w:p>
    <w:p>
      <w:pPr>
        <w:spacing w:after="0" w:line="19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Under the provisions of ASC 740, we determined that there were approximately $835,000 and $763,000 of gross unrecognized tax benefits as of March 31, 2021 and December 31, 2020, respectively. Included in the balance of unrecognized tax benefits as of March 31, 2021 and December 31, 2020 were $278,000 of tax benefits that, if recognized, would impact the effective tax rate. Also included in the balance of unrecognized tax benefits as of March 31, 2021 and December 31, 2020 were $556,000 and $485,000, respectively, of tax benefits that, if recognized, would not impact the effective tax rate due to the Company’s valuation allowance. The Company had accrued interest and penalties related to the unrecognized tax benefits of $246,000 and $241,000, which were recorded in other liabilities as of March 31, 2021 and December 31, 2020, respectively. We believe that the total amounts of unrecognized tax benefits will not significantly increase or decrease within the next 12 months.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Condition and Liquidity</w:t>
      </w:r>
    </w:p>
    <w:p>
      <w:pPr>
        <w:spacing w:after="0" w:line="2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7"/>
          <w:szCs w:val="17"/>
          <w:color w:val="auto"/>
        </w:rPr>
        <w:t>Upon the closing of the IPO, we issued 17.2 million shares of our common stock at a price of $17.00 per share, generating net proceeds of approximately $272.8 million. We used approximately $108.9 million of the net proceeds in connection with the ERPS Conversion (see Note 6 – Exchangeable Redeemable Preferred Stock Conversion), $30.0 million to fund our acquisition of the outstanding Class B Units of Telos ID (see Note 2 – Purchase of Telos ID/Non-controlling Interests), $21.0 million to repay our outstanding senior term loan and subordinated debt (see Note 5 – Current Liabilities and Debt Obligations). We intend to use the remaining net proceeds for general corporate purposes. We also may use a portion of the net proceeds to acquire complementary businesses, products, services, or technologies. The amounts and timing of our actual use of the net proceeds will vary depending on numerous factors. Proceeds held by us is invested in short-term investments until needed for the uses described above. We currently anticipate that we will retain all available funds for use in the operation and expansion of our business, and we do not anticipate paying any cash dividends on our common stock in the foreseeable future.</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working capital was $102.2 million and $105.2 million as of March 31, 2021 and December 31, 2020,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Hamot et al. v. Telos Corporation</w:t>
      </w:r>
    </w:p>
    <w:p>
      <w:pPr>
        <w:spacing w:after="0" w:line="23" w:lineRule="exact"/>
        <w:rPr>
          <w:sz w:val="20"/>
          <w:szCs w:val="20"/>
          <w:color w:val="auto"/>
        </w:rPr>
      </w:pPr>
    </w:p>
    <w:p>
      <w:pPr>
        <w:ind w:firstLine="324"/>
        <w:spacing w:after="0" w:line="266" w:lineRule="auto"/>
        <w:rPr>
          <w:sz w:val="20"/>
          <w:szCs w:val="20"/>
          <w:color w:val="auto"/>
        </w:rPr>
      </w:pPr>
      <w:r>
        <w:rPr>
          <w:rFonts w:ascii="Arial" w:cs="Arial" w:eastAsia="Arial" w:hAnsi="Arial"/>
          <w:sz w:val="17"/>
          <w:szCs w:val="17"/>
          <w:color w:val="auto"/>
        </w:rPr>
        <w:t>As previously disclosed in Note 13 of the Consolidated Financial Statements contained in our Annual Report on Form 10-K for the year ended December 31, 2020, beginning on August 2, 2007, Messrs. Seth W. Hamot (“Hamot”) and Andrew R. Siegel (“Siegel”), principals of Costa Brava Partnership III, L.P. (“Costa Brava”), were involved in litigation against the Company as Plaintiffs and Counter-defendants in the Circuit Court for Baltimore City, Maryland (the “Circuit Court”). Mr. Siegel is a Class D Director of the Company and Mr. Hamot was a Class D Director of the Company until his resignation on March 9, 2018. The Plaintiffs initially alleged that certain documents and records had not been provided to them promptly and were necessary to fulfill their duties as directors of the Company. Subsequently, Hamot and Siegel further alleged that the Company had failed to follow certain provisions concerning the noticing of Board committee meetings and the recording of Board meeting minutes and, additionally, that Mr. John Wood’s service as both CEO and Chairman of the Board was improper and impermissible under the Company’s Bylaws. On April 23, 2008, the Company filed a counterclaim against Hamot and Siegel for money damages and preliminary and injunctive relief based upon Hamot and Siegel’s interference with, and improper influence of, the Company’s independent auditors regarding, among other things, a specific accounting treatment. On June 27, 2008, the Circuit Court granted the Company’s motion for preliminary injunction and enjoined Hamot and Siegel from contacting the Company’s auditors until the completion of the Company’s Form 10-K for the preceding year, which injunction later expired by its own terms. As previously disclosed, trial on Hamot and Siegel’s claims and the Company’s counterclaims took place in July through September 2013, and the Court subsequently issued decisions on the various claims by way of memorandum opinions and orders dated September 11, 2017. Among other rulings, the Court found Hamot and Siegel liable for the intentional tort of tortious interference with the Company’s contractual relationship with one of its auditors and entered a monetary judgment in favor of the Company and against Hamot and Siegel for approximately $278,000. The Company’s subsequent appeal of the amount of damages awarded to it for Hamot and Siegel’s intentional interference was ultimately dismissed by way of the Mandate issued by the Court of Appeals of Maryland on October 11, 2019.</w:t>
      </w:r>
    </w:p>
    <w:p>
      <w:pPr>
        <w:spacing w:after="0" w:line="217" w:lineRule="exact"/>
        <w:rPr>
          <w:sz w:val="20"/>
          <w:szCs w:val="20"/>
          <w:color w:val="auto"/>
        </w:rPr>
      </w:pPr>
    </w:p>
    <w:p>
      <w:pPr>
        <w:jc w:val="both"/>
        <w:ind w:right="180" w:firstLine="324"/>
        <w:spacing w:after="0" w:line="254" w:lineRule="auto"/>
        <w:rPr>
          <w:sz w:val="20"/>
          <w:szCs w:val="20"/>
          <w:color w:val="auto"/>
        </w:rPr>
      </w:pPr>
      <w:r>
        <w:rPr>
          <w:rFonts w:ascii="Arial" w:cs="Arial" w:eastAsia="Arial" w:hAnsi="Arial"/>
          <w:sz w:val="18"/>
          <w:szCs w:val="18"/>
          <w:color w:val="auto"/>
        </w:rPr>
        <w:t>Hamot (and later, his Estate) and Siegel on multiple occasions during this litigation have sought to be indemnified or to be awarded advancement of various attorney’s fees and expenses incurred by them in this litigation. On October 20, 2020, Hamot’s Estate and Siegel (together the “Plaintiffs”) filed a Motion for Indemnification of Legal Fees and Expenses against the Company in the Circuit Court for Baltimore City and a Request for a Hearing and on January 28, 2021, Plaintiffs amended their motion by the filing of a Motion for Leave to File Amended Motion for Indemnification of Legal Fees and Expenses (“Amended Motion”). The Amended Motion demanded that the Company indemnify the Plaintiffs for legal fees and expenses incurred in the sum of $2,540,000 plus the costs incurred in obtaining indemnification. The Company opposed the motions, and a hearing on the Amended Motion was scheduled for May 18, 2021.</w:t>
      </w:r>
    </w:p>
    <w:p>
      <w:pPr>
        <w:spacing w:after="0" w:line="222" w:lineRule="exact"/>
        <w:rPr>
          <w:sz w:val="20"/>
          <w:szCs w:val="20"/>
          <w:color w:val="auto"/>
        </w:rPr>
      </w:pPr>
    </w:p>
    <w:p>
      <w:pPr>
        <w:ind w:right="360" w:firstLine="324"/>
        <w:spacing w:after="0" w:line="279" w:lineRule="auto"/>
        <w:rPr>
          <w:sz w:val="20"/>
          <w:szCs w:val="20"/>
          <w:color w:val="auto"/>
        </w:rPr>
      </w:pPr>
      <w:r>
        <w:rPr>
          <w:rFonts w:ascii="Arial" w:cs="Arial" w:eastAsia="Arial" w:hAnsi="Arial"/>
          <w:sz w:val="17"/>
          <w:szCs w:val="17"/>
          <w:color w:val="auto"/>
        </w:rPr>
        <w:t>On May 5, 2021, the Company, Plaintiffs and Costa Brava entered into a settlement agreement, which included a mutual general release, fully and finally settling the indemnification claim in exchange for the payment of a specified amount on or before May 19, 2021. This settlement concludes all open matters or disputes between the Company and Messrs. Hamot (or his estate) and Siegel, as well as Costa Brava. We recorded an accrual of $1.0 million in other expense on our condensed consolidated statements of operations related to this settlement.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Litigation</w:t>
      </w:r>
    </w:p>
    <w:p>
      <w:pPr>
        <w:spacing w:after="0" w:line="2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In addition, the Company is a party to litigation arising in the ordinary course of business. In the opinion of management, while the results of such litigation cannot be predicted with any reasonable degree of certainty, the final outcome of such known matters will not, based upon all available information, have a material adverse effect on the Company's condensed consolidated financial position, results of operations or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April 6, 2021, we completed our follow-on offering of 9.1 million shares of our common stock at a price of $33.00 per share, including a secondary public offering of 7.0 million shares of common stock by certain existing stockholders of Telos. The offering generated approximately $64.5 million of net proceeds to Telos. We did not receive any proceeds from the shares of common stock sold by the selling stockholders. On April 19, 2021, we used approximately $28.1 million of the net proceeds to repurchase all the shares and warrants owned by EnCap.</w:t>
      </w: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24" w:name="page25"/>
    <w:bookmarkEnd w:id="24"/>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r>
        <w:rPr>
          <w:rFonts w:ascii="Arial" w:cs="Arial" w:eastAsia="Arial" w:hAnsi="Arial"/>
          <w:sz w:val="18"/>
          <w:szCs w:val="18"/>
          <w:color w:val="auto"/>
        </w:rPr>
        <w:t>.</w:t>
      </w:r>
      <w:r>
        <w:rPr>
          <w:rFonts w:ascii="Arial" w:cs="Arial" w:eastAsia="Arial" w:hAnsi="Arial"/>
          <w:sz w:val="18"/>
          <w:szCs w:val="18"/>
          <w:b w:val="1"/>
          <w:bCs w:val="1"/>
          <w:color w:val="auto"/>
        </w:rPr>
        <w:t xml:space="preserve"> Related Party Transactions</w:t>
      </w:r>
    </w:p>
    <w:p>
      <w:pPr>
        <w:spacing w:after="0" w:line="27" w:lineRule="exact"/>
        <w:rPr>
          <w:sz w:val="20"/>
          <w:szCs w:val="20"/>
          <w:color w:val="auto"/>
        </w:rPr>
      </w:pPr>
    </w:p>
    <w:p>
      <w:pPr>
        <w:ind w:right="340" w:firstLine="324"/>
        <w:spacing w:after="0" w:line="255" w:lineRule="auto"/>
        <w:rPr>
          <w:sz w:val="20"/>
          <w:szCs w:val="20"/>
          <w:color w:val="auto"/>
        </w:rPr>
      </w:pPr>
      <w:r>
        <w:rPr>
          <w:rFonts w:ascii="Arial" w:cs="Arial" w:eastAsia="Arial" w:hAnsi="Arial"/>
          <w:sz w:val="18"/>
          <w:szCs w:val="18"/>
          <w:color w:val="auto"/>
        </w:rPr>
        <w:t>Emmett J. Wood, the brother of our Chairman and CEO, has been an employee of the Company since 1996. The amounts paid to this individual as compensation were $218,000 and $173,000 for the three months ended March 31, 2021 and 2020, respectively. Additionally, Mr. Wood owned 682,502 shares of the Company’s common stock as of March 31, 2021 and December 31, 2020.</w:t>
      </w:r>
    </w:p>
    <w:p>
      <w:pPr>
        <w:spacing w:after="0" w:line="2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March 31, 2015, the Company entered into the Porter Notes. At that time, Mr. Porter and Toxford Corporation, of which Mr. Porter controls as the co-trustee of the trust that is the sole stockholder of Toxford, owned 35.0% of our Class A Common Stock. Under the terms of the Porter Notes, Porter lent the Company $2.5 million on or about March 31, 2015. According to the original terms of the Porter Notes, the outstanding principal sum bore interest at the fixed rate of twelve percent (12%) per annum which would be payable in arrears in cash on the 20th day of each May, August, November and February, with the first interest payment date due on August 20, 2015. The Porter Notes did not call for amortization payments and were unsecured. The Porter Notes, in whole or in part, may be repaid at any time without premium or penalty. The unpaid principal, together with interest, was originally due and payable in full on July 1, 2017.</w:t>
      </w:r>
    </w:p>
    <w:p>
      <w:pPr>
        <w:spacing w:after="0" w:line="22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On April 18, 2017, we amended and restated the Porter Notes to reduce the interest rate from twelve percent (12%) to six percent (6%) per annum, to be accrued, and extended the maturity date from July 1, 2017 to July 25, 2022. Telos also entered into Intercreditor Agreements with Porter and EnCap, in which the Porter Notes were fully subordinated to the Credit Agreement and any subsequent senior lenders, and payments under the Porter Notes were permitted only if certain conditions were met. All other terms remained in full force and effect. We incurred interest expense in the amount of $87,000 for the three months ended March 31, 2020, respectively, on the Porter Notes. As of March 31, 2020, approximately $1.1 million of accrued interest was payable according to the stated interest rate of the Porter Notes.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November 23, 2020, upon the closing of the IPO, the Porter Notes were paid in full.</w:t>
      </w:r>
    </w:p>
    <w:p>
      <w:pPr>
        <w:spacing w:after="0" w:line="25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February 8, 2021, we hired Ms. Donna Hill, as Director, Human Resources, reporting directly to Ms. Nakazawa, CFO of the Company. Ms. Hill is the sister of Mr. Edward Williams, COO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27" w:lineRule="exact"/>
        <w:rPr>
          <w:sz w:val="20"/>
          <w:szCs w:val="20"/>
          <w:color w:val="auto"/>
        </w:rPr>
      </w:pPr>
    </w:p>
    <w:p>
      <w:pPr>
        <w:ind w:right="560" w:firstLine="324"/>
        <w:spacing w:after="0" w:line="255" w:lineRule="auto"/>
        <w:rPr>
          <w:sz w:val="20"/>
          <w:szCs w:val="20"/>
          <w:color w:val="auto"/>
        </w:rPr>
      </w:pPr>
      <w:r>
        <w:rPr>
          <w:rFonts w:ascii="Arial" w:cs="Arial" w:eastAsia="Arial" w:hAnsi="Arial"/>
          <w:sz w:val="18"/>
          <w:szCs w:val="18"/>
          <w:color w:val="auto"/>
        </w:rPr>
        <w:t>We account for leases in accordance with ASC Topic 842, “Leases,” which requires lessees to recognize a right-of-use (“ROU”) asset and lease liability on the balance sheet and expands disclosures about leasing arrangements for both lessees and lessors, among other items, for most lease arrangements.</w:t>
      </w:r>
    </w:p>
    <w:p>
      <w:pPr>
        <w:spacing w:after="0" w:line="2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accordance with the adoption of ASC 842 on January 1, 2019, we recorded operating lease ROU assets, which represent our right to use an underlying asset for the lease term, and operating lease liabilities which represent our obligation to make lease payments. Generally, we enter into operating lease agreements for facilities. Finance lease assets are recorded within property and equipment, net of accumulated depreciation. The amount of operating lease liabilities due within 12 months are recorded in other current liabilities, with the remaining operating lease liabilities recorded as non-current liabilities in our condensed consolidated balance sheets based on their contractual due dates. Finance lease liabilities are classified according to contractual due dates.</w:t>
      </w:r>
    </w:p>
    <w:p>
      <w:pPr>
        <w:spacing w:after="0" w:line="125" w:lineRule="exact"/>
        <w:rPr>
          <w:sz w:val="20"/>
          <w:szCs w:val="20"/>
          <w:color w:val="auto"/>
        </w:rPr>
      </w:pPr>
    </w:p>
    <w:p>
      <w:pPr>
        <w:ind w:firstLine="324"/>
        <w:spacing w:after="0" w:line="218" w:lineRule="exact"/>
        <w:rPr>
          <w:sz w:val="20"/>
          <w:szCs w:val="20"/>
          <w:color w:val="auto"/>
        </w:rPr>
      </w:pPr>
      <w:r>
        <w:rPr>
          <w:rFonts w:ascii="Arial" w:cs="Arial" w:eastAsia="Arial" w:hAnsi="Arial"/>
          <w:sz w:val="17"/>
          <w:szCs w:val="17"/>
          <w:color w:val="auto"/>
        </w:rPr>
        <w:t>The operating lease ROU assets and liabilities are recognized as of the lease commencement date at the present value of the lease payments over the lease term. Most of our leases do not provide an implicit rate that can readily be determined. Therefore, we use a discount rate based on our incremental borrowing rate which was 5.75% for all operating leases. Our operating lease agreements may include options to extend the lease term or terminate it early. We have included options to extend in the operating lease ROU assets and liabilities when we are reasonably certain that we will exercise such options. The weighted average remaining lease terms and discount rates for our operating leases were approximately 2.3 years and 5.75% and for our finance leases were approximately 8.1 years and 5.04% at March 31, 2021. Operating lease expense is recognized as rent expense on a straight-line basis over the lease term. Some of our operating leases contain lease and non-lease components, which we account for as a single component. We evaluate ROU assets for impairment consistent with our property and equipment policy disclosure included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2020.</w:t>
      </w:r>
    </w:p>
    <w:p>
      <w:pPr>
        <w:spacing w:after="0" w:line="12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 of March 31, 2021, operating lease ROU assets were $1.3 million and operating lease liabilities were $1.4 million, of which $0.8 million were classified as noncurrent.</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rFonts w:ascii="Arial" w:cs="Arial" w:eastAsia="Arial" w:hAnsi="Arial"/>
                <w:sz w:val="18"/>
                <w:szCs w:val="18"/>
                <w:i w:val="1"/>
                <w:iCs w:val="1"/>
                <w:color w:val="auto"/>
                <w:w w:val="88"/>
              </w:rPr>
            </w:pPr>
            <w:hyperlink w:anchor="page1">
              <w:r>
                <w:rPr>
                  <w:rFonts w:ascii="Arial" w:cs="Arial" w:eastAsia="Arial" w:hAnsi="Arial"/>
                  <w:sz w:val="18"/>
                  <w:szCs w:val="18"/>
                  <w:i w:val="1"/>
                  <w:iCs w:val="1"/>
                  <w:color w:val="auto"/>
                  <w:w w:val="88"/>
                </w:rPr>
                <w:t>Table of Contents</w:t>
              </w:r>
            </w:hyperlink>
          </w:p>
        </w:tc>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Future minimum lease commitments at March 31, 2021 were as follows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Operating</w:t>
            </w: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Finance</w:t>
            </w:r>
          </w:p>
        </w:tc>
        <w:tc>
          <w:tcPr>
            <w:tcW w:w="0" w:type="dxa"/>
            <w:vAlign w:val="bottom"/>
          </w:tcPr>
          <w:p>
            <w:pPr>
              <w:spacing w:after="0"/>
              <w:rPr>
                <w:sz w:val="1"/>
                <w:szCs w:val="1"/>
                <w:color w:val="auto"/>
              </w:rPr>
            </w:pPr>
          </w:p>
        </w:tc>
      </w:tr>
      <w:tr>
        <w:trPr>
          <w:trHeight w:val="234"/>
        </w:trPr>
        <w:tc>
          <w:tcPr>
            <w:tcW w:w="86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Leases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Leases</w:t>
            </w: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 (excluding the three months ended March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0"/>
              <w:spacing w:after="0"/>
              <w:rPr>
                <w:sz w:val="20"/>
                <w:szCs w:val="20"/>
                <w:color w:val="auto"/>
              </w:rPr>
            </w:pPr>
            <w:r>
              <w:rPr>
                <w:rFonts w:ascii="Arial" w:cs="Arial" w:eastAsia="Arial" w:hAnsi="Arial"/>
                <w:sz w:val="18"/>
                <w:szCs w:val="18"/>
                <w:color w:val="auto"/>
              </w:rPr>
              <w:t>2022</w:t>
            </w: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6"/>
        </w:trPr>
        <w:tc>
          <w:tcPr>
            <w:tcW w:w="1280" w:type="dxa"/>
            <w:vAlign w:val="bottom"/>
          </w:tcPr>
          <w:p>
            <w:pPr>
              <w:ind w:left="20"/>
              <w:spacing w:after="0"/>
              <w:rPr>
                <w:sz w:val="20"/>
                <w:szCs w:val="20"/>
                <w:color w:val="auto"/>
              </w:rPr>
            </w:pPr>
            <w:r>
              <w:rPr>
                <w:rFonts w:ascii="Arial" w:cs="Arial" w:eastAsia="Arial" w:hAnsi="Arial"/>
                <w:sz w:val="18"/>
                <w:szCs w:val="18"/>
                <w:color w:val="auto"/>
              </w:rPr>
              <w:t>2024</w:t>
            </w: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After 2025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Less imputed interest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49"/>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The components of lease expense were as follows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3"/>
              </w:rPr>
              <w:t>Three Months Ended March</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left="930"/>
              <w:spacing w:after="0"/>
              <w:rPr>
                <w:sz w:val="20"/>
                <w:szCs w:val="20"/>
                <w:color w:val="auto"/>
              </w:rPr>
            </w:pPr>
            <w:r>
              <w:rPr>
                <w:rFonts w:ascii="Arial" w:cs="Arial" w:eastAsia="Arial" w:hAnsi="Arial"/>
                <w:sz w:val="18"/>
                <w:szCs w:val="18"/>
                <w:b w:val="1"/>
                <w:bCs w:val="1"/>
                <w:color w:val="auto"/>
                <w:w w:val="87"/>
              </w:rPr>
              <w:t>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Short-term lease cost (1)</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Amortization of right-of-use assets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86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Interest on lease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Total finance lease cost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9"/>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(1) Leases that have terms of 12 months or less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3"/>
              </w:rPr>
              <w:t>Three Months Ended March</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left="930"/>
              <w:spacing w:after="0"/>
              <w:rPr>
                <w:sz w:val="20"/>
                <w:szCs w:val="20"/>
                <w:color w:val="auto"/>
              </w:rPr>
            </w:pPr>
            <w:r>
              <w:rPr>
                <w:rFonts w:ascii="Arial" w:cs="Arial" w:eastAsia="Arial" w:hAnsi="Arial"/>
                <w:sz w:val="18"/>
                <w:szCs w:val="18"/>
                <w:b w:val="1"/>
                <w:bCs w:val="1"/>
                <w:color w:val="auto"/>
                <w:w w:val="87"/>
              </w:rPr>
              <w:t>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gridSpan w:val="2"/>
            <w:vMerge w:val="restart"/>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flows from operating activities - 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Cash flows from operating activities - finance leases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Cash flows from financing activities - finance leases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8680" w:type="dxa"/>
            <w:vAlign w:val="bottom"/>
            <w:gridSpan w:val="2"/>
          </w:tcPr>
          <w:p>
            <w:pPr>
              <w:ind w:left="320"/>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581"/>
        </w:trPr>
        <w:tc>
          <w:tcPr>
            <w:tcW w:w="8680" w:type="dxa"/>
            <w:vAlign w:val="bottom"/>
            <w:gridSpan w:val="2"/>
          </w:tcPr>
          <w:p>
            <w:pPr>
              <w:ind w:left="556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7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56"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During January 2021, the Company amended the 2016 LTIP increasing the total number of shares available for issuance to 9,400,000 from 4,500,000 and extended the term to September 30, 2030. Our 2016 LTIP provides for the grant of stock options, stock appreciation rights, restricted stock, restricted stock units, unrestricted stock and dividend equivalent rights to our senior executives, directors, employees, and other service providers. Awards granted under the 2016 LTIP vest over the periods determined by the Board of Directors or the Compensation Committee of the Board of Directors, generally two to three years years and stock options granted under the 2016 LTIP expire no more than ten years after the date of grant. Approximately 6.2 million shares of our common stock were reserved for future grants as of March 31, 2021 under the 2016 LTIP.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 Stock Awards and Restricted Stock Unit (collectively “RSU”) Activity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first quarter of 2021, a number of RSUs were granted to our senior executives, directors and employees.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Service-Based RSU Awards</w:t>
      </w:r>
    </w:p>
    <w:p>
      <w:pPr>
        <w:spacing w:after="0" w:line="23" w:lineRule="exact"/>
        <w:rPr>
          <w:sz w:val="20"/>
          <w:szCs w:val="20"/>
          <w:color w:val="auto"/>
        </w:rPr>
      </w:pPr>
    </w:p>
    <w:p>
      <w:pPr>
        <w:ind w:right="300" w:firstLine="324"/>
        <w:spacing w:after="0" w:line="260" w:lineRule="auto"/>
        <w:rPr>
          <w:sz w:val="20"/>
          <w:szCs w:val="20"/>
          <w:color w:val="auto"/>
        </w:rPr>
      </w:pPr>
      <w:r>
        <w:rPr>
          <w:rFonts w:ascii="Arial" w:cs="Arial" w:eastAsia="Arial" w:hAnsi="Arial"/>
          <w:sz w:val="18"/>
          <w:szCs w:val="18"/>
          <w:color w:val="auto"/>
        </w:rPr>
        <w:t>A summary of the awards of Service-Based RSUs that vest upon the completion of a service requirement are presented below (in thousands, except per share amounts and contractual life years):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Average Grant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Date Fair</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r>
      <w:tr>
        <w:trPr>
          <w:trHeight w:val="230"/>
        </w:trPr>
        <w:tc>
          <w:tcPr>
            <w:tcW w:w="598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(per share)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Life (years)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59,521</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2,674,863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36.56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(5,900)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36.63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 March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2,728,484</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35.76</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103,500</w:t>
            </w:r>
          </w:p>
        </w:tc>
      </w:tr>
    </w:tbl>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recognized an expense of $7.7 million related to share-based compensation expense for Service-Based RSUs capable of being earned for completing a service requirement during the three months ended March 31, 2021. For comparative period ended March 31, 2020, we recorded immaterial share-based compensation expense. As of March 31, 2021, there was approximately $89.9 million of unrecognized stock-based compensation expense related to Service-Based RSUs, and this unrecognized expense is expected to be recognized over a weighted-average period of 1.9 years on a straight-line basis.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 Awards</w:t>
      </w:r>
    </w:p>
    <w:p>
      <w:pPr>
        <w:spacing w:after="0" w:line="25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 summary of the awards of Performance-Based RSUs that vest upon the attainment of certain price targets of the Company’s common stock are presented below (in thousands, except per share amounts and contractual life years):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Average Grant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Date Fair</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Number 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r>
      <w:tr>
        <w:trPr>
          <w:trHeight w:val="230"/>
        </w:trPr>
        <w:tc>
          <w:tcPr>
            <w:tcW w:w="59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(per share)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Life (years)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438,403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30.84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 March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438,403</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30.84</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16,600</w:t>
            </w:r>
          </w:p>
        </w:tc>
      </w:tr>
    </w:tbl>
    <w:p>
      <w:pPr>
        <w:spacing w:after="0" w:line="229"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On January 28, 2021 the Company granted certain senior executives awards of Performance-Based RSUs that could settle in 438,403 shares of our common stock. The awards will vest only if, during the three-year period from the date of grant, (a) the Company’s common stock, as listed on the Nasdaq Global Market, trades at or above $42.40 per share (the “Target Price”) for 20 of 30 consecutive trading days or (b) the weighted average of the per share price of the Company’s common stock over any 30 consecutive trading days is at least equal to the Target Price.</w:t>
      </w:r>
    </w:p>
    <w:p>
      <w:pPr>
        <w:spacing w:after="0" w:line="184" w:lineRule="exact"/>
        <w:rPr>
          <w:sz w:val="20"/>
          <w:szCs w:val="20"/>
          <w:color w:val="auto"/>
        </w:rPr>
      </w:pPr>
    </w:p>
    <w:p>
      <w:pPr>
        <w:ind w:right="240" w:firstLine="324"/>
        <w:spacing w:after="0" w:line="269" w:lineRule="auto"/>
        <w:rPr>
          <w:sz w:val="20"/>
          <w:szCs w:val="20"/>
          <w:color w:val="auto"/>
        </w:rPr>
      </w:pPr>
      <w:r>
        <w:rPr>
          <w:rFonts w:ascii="Arial" w:cs="Arial" w:eastAsia="Arial" w:hAnsi="Arial"/>
          <w:sz w:val="17"/>
          <w:szCs w:val="17"/>
          <w:color w:val="auto"/>
        </w:rPr>
        <w:t>For these Performance-Based RSUs containing market conditions, the conditions are required to be considered when calculating the grant date fair value. In order to reflect the substantive characteristics of these awards, a Monte Carlo simulation valuation model was used to calculate the grant date fair value of such awards. Monte Carlo approaches are a class of computational algorithms that rely on repeated random sampling to compute their results. This approach allows the calculation of the value of such Performance-Based RSUs based on a large number of possible stock price path scenarios. Our key assumptions include a performance period of 2.92 years, expected volatility of 57.4%, and a risk-free rate of 0.18%. As the Company recently completed its IPO in November 2020, expected volatility was based on the average historical stock price volatility of comparable publicly-traded companies over the performance period. The risk-free rate is based on the U.S. treasury zero-coupon issues in effect at the time of grant over the performance period. Expense for these awards is recognized over the derived service period as determined through the Monte Carlo simulation model. The fair value at grant date and derived service periods calculated for these market condition Performance-Based RSUs were $30.84 and 0.38 years, respectively.</w:t>
      </w:r>
    </w:p>
    <w:p>
      <w:pPr>
        <w:spacing w:after="0" w:line="21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recognized an expense of $6.0 million related to share-based compensation expense for these awards of Performance-Based RSUs during the three months ended March 31, 2021. As of March 31, 2021, there was approximately $7.5 million of unrecognized stock-based compensation expense related to these Performance-Based RSUs, and this unrecognized expense is expected to be recognized over a weighted-average period of 2.4 months on a straight-line basis.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40" w:lineRule="exact"/>
        <w:rPr>
          <w:sz w:val="20"/>
          <w:szCs w:val="20"/>
          <w:color w:val="auto"/>
        </w:rPr>
      </w:pPr>
    </w:p>
    <w:p>
      <w:pPr>
        <w:ind w:firstLine="378"/>
        <w:spacing w:after="0" w:line="296" w:lineRule="auto"/>
        <w:rPr>
          <w:sz w:val="20"/>
          <w:szCs w:val="20"/>
          <w:color w:val="auto"/>
        </w:rPr>
      </w:pPr>
      <w:r>
        <w:rPr>
          <w:rFonts w:ascii="Arial" w:cs="Arial" w:eastAsia="Arial" w:hAnsi="Arial"/>
          <w:sz w:val="16"/>
          <w:szCs w:val="16"/>
          <w:color w:val="auto"/>
        </w:rPr>
        <w:t>This Quarterly Report on Form 10-Q contains forward-looking statements. For this purpose, any statements contained herein that are not statements of historical fact may be deemed to be forward-looking statements. Without limiting the foregoing, the words “believes,” “anticipates,” “plans,” “expects” and similar expressions are intended to identify forward-looking statements. There are a number of important factors that could cause the Company’s actual results to differ materially from those indicated by such forward-looking statements. These factors include, without limitation, those set forth in the risk factors section included in the Company’s Form 10-K for the year ended December 31, 2020, as filed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right="380" w:firstLine="324"/>
        <w:spacing w:after="0" w:line="253" w:lineRule="auto"/>
        <w:rPr>
          <w:sz w:val="20"/>
          <w:szCs w:val="20"/>
          <w:color w:val="auto"/>
        </w:rPr>
      </w:pPr>
      <w:r>
        <w:rPr>
          <w:rFonts w:ascii="Arial" w:cs="Arial" w:eastAsia="Arial" w:hAnsi="Arial"/>
          <w:sz w:val="18"/>
          <w:szCs w:val="18"/>
          <w:color w:val="auto"/>
        </w:rPr>
        <w:t>We offer technologically advanced, software-based security solutions that empower and protect the world’s most security-conscious organizations against rapidly evolving, sophisticated and pervasive threats. Our portfolio of security products, services and expertise empower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w:t>
      </w:r>
    </w:p>
    <w:p>
      <w:pPr>
        <w:spacing w:after="0" w:line="218"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Our mission is to protect our customers’ people, systems, and vital information assets with offerings for cybersecurity, cloud security, and enterprise security. In the current global environment, our mission is more critical than ever. The emergence of each new ICT introduces new vulnerabilities, as security is still too often overlooked in solution development. Networks and applications meant to enhance productivity and profitability often jeopardize an organization due to poor planning, misconfiguration, or an unknown gap in security. Ransomware, insider threats, cybercrime, and advanced persistent threats continue to menace public and private enterprises across all industries.</w:t>
      </w:r>
    </w:p>
    <w:p>
      <w:pPr>
        <w:spacing w:after="0" w:line="203"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Cybersecurity, cloud security, and enterprise security of the modern organization share much in common, yet also call for a diverse range of skills, capabilities, and experience in order to meet the requirements of security-conscious customers. Decades of experience in developing, orchestrating, and delivering solutions across these three domains gives us the vision and the confidence to provide solutions that empower and protect the enterprise at an integrated, holistic level. Our experience in addressing challenges in one area of an enterprise helps us meet requirements in others. We understand that a range of complementary capabilities may be needed to solve a single challenge, and we also recognize when a single solution might address multiple challenges.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security solutions span across the following domains:</w:t>
      </w:r>
    </w:p>
    <w:p>
      <w:pPr>
        <w:spacing w:after="0" w:line="252" w:lineRule="exact"/>
        <w:rPr>
          <w:sz w:val="20"/>
          <w:szCs w:val="20"/>
          <w:color w:val="auto"/>
        </w:rPr>
      </w:pPr>
    </w:p>
    <w:p>
      <w:pPr>
        <w:ind w:left="660" w:right="48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Cybersecurity </w:t>
      </w:r>
      <w:r>
        <w:rPr>
          <w:rFonts w:ascii="Arial" w:cs="Arial" w:eastAsia="Arial" w:hAnsi="Arial"/>
          <w:sz w:val="17"/>
          <w:szCs w:val="17"/>
          <w:color w:val="auto"/>
        </w:rPr>
        <w:t>– We help our customers ensure the ongoing security, integrity, and compliance of their on-premises and related cloud-based</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reducing threats and vulnerabilities to foil cyber adversaries before they can attack. Our consultants assess our customers’ security environments and design, engineer, and operate the systems they need to strengthen their cybersecurity posture.</w:t>
      </w:r>
    </w:p>
    <w:p>
      <w:pPr>
        <w:spacing w:after="0" w:line="192" w:lineRule="exact"/>
        <w:rPr>
          <w:rFonts w:ascii="Arial" w:cs="Arial" w:eastAsia="Arial" w:hAnsi="Arial"/>
          <w:sz w:val="17"/>
          <w:szCs w:val="17"/>
          <w:color w:val="auto"/>
        </w:rPr>
      </w:pPr>
    </w:p>
    <w:p>
      <w:pPr>
        <w:ind w:left="660" w:hanging="328"/>
        <w:spacing w:after="0" w:line="31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Cloud Security </w:t>
      </w:r>
      <w:r>
        <w:rPr>
          <w:rFonts w:ascii="Arial" w:cs="Arial" w:eastAsia="Arial" w:hAnsi="Arial"/>
          <w:sz w:val="16"/>
          <w:szCs w:val="16"/>
          <w:color w:val="auto"/>
        </w:rPr>
        <w:t>– The cloud as an organizational resource is more than two decades old, yet the needs of cloud users are constantly changing. Telos</w:t>
      </w:r>
      <w:r>
        <w:rPr>
          <w:rFonts w:ascii="Arial" w:cs="Arial" w:eastAsia="Arial" w:hAnsi="Arial"/>
          <w:sz w:val="16"/>
          <w:szCs w:val="16"/>
          <w:i w:val="1"/>
          <w:iCs w:val="1"/>
          <w:color w:val="auto"/>
        </w:rPr>
        <w:t xml:space="preserve"> </w:t>
      </w:r>
      <w:r>
        <w:rPr>
          <w:rFonts w:ascii="Arial" w:cs="Arial" w:eastAsia="Arial" w:hAnsi="Arial"/>
          <w:sz w:val="16"/>
          <w:szCs w:val="16"/>
          <w:color w:val="auto"/>
        </w:rPr>
        <w:t>offers the specialized skills and experience needed to help our customers plan, engineer, and execute secure cloud migration strategies and then assure ongoing management and security in keeping with the leading standards for cloud-based systems and workloads.</w:t>
      </w:r>
    </w:p>
    <w:p>
      <w:pPr>
        <w:spacing w:after="0" w:line="175" w:lineRule="exact"/>
        <w:rPr>
          <w:rFonts w:ascii="Arial" w:cs="Arial" w:eastAsia="Arial" w:hAnsi="Arial"/>
          <w:sz w:val="16"/>
          <w:szCs w:val="16"/>
          <w:color w:val="auto"/>
        </w:rPr>
      </w:pPr>
    </w:p>
    <w:p>
      <w:pPr>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Enterprise Security </w:t>
      </w:r>
      <w:r>
        <w:rPr>
          <w:rFonts w:ascii="Arial" w:cs="Arial" w:eastAsia="Arial" w:hAnsi="Arial"/>
          <w:sz w:val="18"/>
          <w:szCs w:val="18"/>
          <w:color w:val="auto"/>
        </w:rPr>
        <w:t>– Securing the enterprise means protecting the essential and timeless elements common to every organization: its people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its supply chain and inventories, its finances and facilities, and its information and communications. As ICT and operational technology (“OT”) have become part of the organizational make-up, we have offered solutions that ensure personnel can work securely and productively across and beyond the enterprise.</w:t>
      </w:r>
    </w:p>
    <w:p>
      <w:pPr>
        <w:spacing w:after="0" w:line="21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refer to our cyber and cloud applications as Security Solutions, which includes Information Assurance / Xacta® (previously referred to as Cyber &amp; Cloud Solutions), Secure Communications (previously referred to as Secure Communications Cyber and Enterprise Solutions), and Telos ID (previously referred to as Telos ID Enterprise Solutions). We refer to our offerings for enterprise security as Secure Networks (previously referred to as Secure Mobility and Network Management/Defense Enterprise Solutions).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Solutions</w:t>
      </w:r>
    </w:p>
    <w:p>
      <w:pPr>
        <w:spacing w:after="0" w:line="248" w:lineRule="exact"/>
        <w:rPr>
          <w:sz w:val="20"/>
          <w:szCs w:val="20"/>
          <w:color w:val="auto"/>
        </w:rPr>
      </w:pPr>
    </w:p>
    <w:p>
      <w:pPr>
        <w:ind w:left="660" w:right="22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Information Assurance / Xacta: </w:t>
      </w:r>
      <w:r>
        <w:rPr>
          <w:rFonts w:ascii="Arial" w:cs="Arial" w:eastAsia="Arial" w:hAnsi="Arial"/>
          <w:sz w:val="18"/>
          <w:szCs w:val="18"/>
          <w:color w:val="auto"/>
        </w:rPr>
        <w:t>a premier platform for enterprise cyber risk management and security compliance automation, delivering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awareness for systems in the cloud, on-premises, and in hybrid and multi-cloud environments. Xacta delivers automated cyber risk and compliance management solutions to large commercial and government enterprises. Across the U.S. federal government, Xacta is the de facto commercial cyber risk and compliance management solution.</w:t>
      </w:r>
    </w:p>
    <w:p>
      <w:pPr>
        <w:spacing w:after="0" w:line="20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Secure Communications:</w:t>
      </w:r>
    </w:p>
    <w:p>
      <w:pPr>
        <w:spacing w:after="0" w:line="27" w:lineRule="exact"/>
        <w:rPr>
          <w:sz w:val="20"/>
          <w:szCs w:val="20"/>
          <w:color w:val="auto"/>
        </w:rPr>
      </w:pPr>
    </w:p>
    <w:p>
      <w:pPr>
        <w:ind w:left="1300" w:right="240" w:hanging="320"/>
        <w:spacing w:after="0" w:line="29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Telos Ghost: </w:t>
      </w:r>
      <w:r>
        <w:rPr>
          <w:rFonts w:ascii="Arial" w:cs="Arial" w:eastAsia="Arial" w:hAnsi="Arial"/>
          <w:sz w:val="16"/>
          <w:szCs w:val="16"/>
          <w:color w:val="auto"/>
        </w:rPr>
        <w:t>a virtual obfuscation network-as-a-service with encryption and managed attribution capabilities to ensure the safety and</w:t>
      </w:r>
      <w:r>
        <w:rPr>
          <w:rFonts w:ascii="Arial" w:cs="Arial" w:eastAsia="Arial" w:hAnsi="Arial"/>
          <w:sz w:val="16"/>
          <w:szCs w:val="16"/>
          <w:b w:val="1"/>
          <w:bCs w:val="1"/>
          <w:color w:val="auto"/>
        </w:rPr>
        <w:t xml:space="preserve"> </w:t>
      </w:r>
      <w:r>
        <w:rPr>
          <w:rFonts w:ascii="Arial" w:cs="Arial" w:eastAsia="Arial" w:hAnsi="Arial"/>
          <w:sz w:val="16"/>
          <w:szCs w:val="16"/>
          <w:color w:val="auto"/>
        </w:rPr>
        <w:t>privacy of people, information, and resources on the network. Telos Ghost seeks to eliminate cyber-attack surfaces by obfuscating and encrypting data, masking user identity and location, and hiding network resources. It provides the additional layers of security and privacy needed for intelligence gathering, cyber threat protection, securing critical infrastructure, and protecting communications and applications when operations, property, and even lives can be jeopardized by a single error in security.</w:t>
      </w:r>
    </w:p>
    <w:p>
      <w:pPr>
        <w:spacing w:after="0" w:line="185" w:lineRule="exact"/>
        <w:rPr>
          <w:rFonts w:ascii="Arial" w:cs="Arial" w:eastAsia="Arial" w:hAnsi="Arial"/>
          <w:sz w:val="16"/>
          <w:szCs w:val="16"/>
          <w:color w:val="auto"/>
        </w:rPr>
      </w:pPr>
    </w:p>
    <w:p>
      <w:pPr>
        <w:ind w:left="1300" w:hanging="320"/>
        <w:spacing w:after="0" w:line="281" w:lineRule="auto"/>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Telos Automated Message Handling System (“AMHS”): </w:t>
      </w:r>
      <w:r>
        <w:rPr>
          <w:rFonts w:ascii="Arial" w:cs="Arial" w:eastAsia="Arial" w:hAnsi="Arial"/>
          <w:sz w:val="17"/>
          <w:szCs w:val="17"/>
          <w:color w:val="auto"/>
        </w:rPr>
        <w:t>web-based organizational message distribution and management for mission-critical communications; the recognized gold standard for organizational messaging in the U.S. government. Telos AMHS is used by military field operatives for critical communications on the battlefield and is the only web-based solution for assured messaging and directory services using the DISA Organizational Messaging Service and its specialized communications protocols.</w:t>
      </w:r>
    </w:p>
    <w:p>
      <w:pPr>
        <w:spacing w:after="0" w:line="185" w:lineRule="exact"/>
        <w:rPr>
          <w:rFonts w:ascii="Arial" w:cs="Arial" w:eastAsia="Arial" w:hAnsi="Arial"/>
          <w:sz w:val="17"/>
          <w:szCs w:val="17"/>
          <w:color w:val="auto"/>
        </w:rPr>
      </w:pPr>
    </w:p>
    <w:p>
      <w:pPr>
        <w:ind w:left="660" w:right="100" w:hanging="328"/>
        <w:spacing w:after="0" w:line="21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Telos ID: </w:t>
      </w:r>
      <w:r>
        <w:rPr>
          <w:rFonts w:ascii="Arial" w:cs="Arial" w:eastAsia="Arial" w:hAnsi="Arial"/>
          <w:sz w:val="18"/>
          <w:szCs w:val="18"/>
          <w:color w:val="auto"/>
        </w:rPr>
        <w:t>offering Identity Trust and Digital Services through IDTrust360</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an enterprise-class digital identity risk platform for extending SaaS</w:t>
      </w:r>
      <w:r>
        <w:rPr>
          <w:rFonts w:ascii="Arial" w:cs="Arial" w:eastAsia="Arial" w:hAnsi="Arial"/>
          <w:sz w:val="18"/>
          <w:szCs w:val="18"/>
          <w:b w:val="1"/>
          <w:bCs w:val="1"/>
          <w:color w:val="auto"/>
        </w:rPr>
        <w:t xml:space="preserve"> </w:t>
      </w:r>
      <w:r>
        <w:rPr>
          <w:rFonts w:ascii="Arial" w:cs="Arial" w:eastAsia="Arial" w:hAnsi="Arial"/>
          <w:sz w:val="18"/>
          <w:szCs w:val="18"/>
          <w:color w:val="auto"/>
        </w:rPr>
        <w:t>and custom digital identity services that mitigate threats through the integration of advanced technologies that fuse biometrics, credentials, and other identity-centric data used to continuously monitor trust. We maintain government certifications and designations that distinguish Telos ID, including TSA PreCheck</w:t>
      </w:r>
      <w:r>
        <w:rPr>
          <w:rFonts w:ascii="Arial" w:cs="Arial" w:eastAsia="Arial" w:hAnsi="Arial"/>
          <w:sz w:val="29"/>
          <w:szCs w:val="29"/>
          <w:color w:val="auto"/>
          <w:vertAlign w:val="superscript"/>
        </w:rPr>
        <w:t>®</w:t>
      </w:r>
      <w:r>
        <w:rPr>
          <w:rFonts w:ascii="Arial" w:cs="Arial" w:eastAsia="Arial" w:hAnsi="Arial"/>
          <w:sz w:val="18"/>
          <w:szCs w:val="18"/>
          <w:color w:val="auto"/>
        </w:rPr>
        <w:t xml:space="preserve"> enrollment provider, Designated Aviation Channeling provider, FBI-approved Channeler, and FINRA Electronic Fingerprint Submission provider. We are the only commercial entity in our industry designated as a Secure Flight Services provider for terrorist watchlist checks.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 Networks</w:t>
      </w:r>
    </w:p>
    <w:p>
      <w:pPr>
        <w:spacing w:after="0" w:line="248" w:lineRule="exact"/>
        <w:rPr>
          <w:sz w:val="20"/>
          <w:szCs w:val="20"/>
          <w:color w:val="auto"/>
        </w:rPr>
      </w:pPr>
    </w:p>
    <w:p>
      <w:pPr>
        <w:ind w:left="660" w:right="120" w:hanging="328"/>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Secure Mobility: </w:t>
      </w:r>
      <w:r>
        <w:rPr>
          <w:rFonts w:ascii="Arial" w:cs="Arial" w:eastAsia="Arial" w:hAnsi="Arial"/>
          <w:sz w:val="18"/>
          <w:szCs w:val="18"/>
          <w:color w:val="auto"/>
        </w:rPr>
        <w:t>solutions for business and government that enable remote work and minimize concern across and beyond the enterprise. Our</w:t>
      </w:r>
      <w:r>
        <w:rPr>
          <w:rFonts w:ascii="Arial" w:cs="Arial" w:eastAsia="Arial" w:hAnsi="Arial"/>
          <w:sz w:val="18"/>
          <w:szCs w:val="18"/>
          <w:b w:val="1"/>
          <w:bCs w:val="1"/>
          <w:color w:val="auto"/>
        </w:rPr>
        <w:t xml:space="preserve"> </w:t>
      </w:r>
      <w:r>
        <w:rPr>
          <w:rFonts w:ascii="Arial" w:cs="Arial" w:eastAsia="Arial" w:hAnsi="Arial"/>
          <w:sz w:val="18"/>
          <w:szCs w:val="18"/>
          <w:color w:val="auto"/>
        </w:rPr>
        <w:t>secure mobility team brings credentials to every engagement, supplying deep expertise and experience as well as highly desirable clearances and industry recognized certifications for network engineering, mobility, and security.</w:t>
      </w:r>
    </w:p>
    <w:p>
      <w:pPr>
        <w:spacing w:after="0" w:line="202" w:lineRule="exact"/>
        <w:rPr>
          <w:rFonts w:ascii="Arial" w:cs="Arial" w:eastAsia="Arial" w:hAnsi="Arial"/>
          <w:sz w:val="18"/>
          <w:szCs w:val="18"/>
          <w:color w:val="auto"/>
        </w:rPr>
      </w:pPr>
    </w:p>
    <w:p>
      <w:pPr>
        <w:ind w:left="660" w:right="40" w:hanging="328"/>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Network Management and Defense: </w:t>
      </w:r>
      <w:r>
        <w:rPr>
          <w:rFonts w:ascii="Arial" w:cs="Arial" w:eastAsia="Arial" w:hAnsi="Arial"/>
          <w:sz w:val="18"/>
          <w:szCs w:val="18"/>
          <w:color w:val="auto"/>
        </w:rPr>
        <w:t>services for operating, administrating, and defending complex enterprise networks and defensive cyber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Our diverse portfolio of capabilities addresses common and uncommon requirements in many industries and disciplines, ranging from the military and government agencies to Fortune 500 companies.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7"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We develop our annual budgeted revenue by estimating for the upcoming year our continuing business from existing customers and active contracts. We consider backlog, both funded and unfunded (as explained below), other expected annual renewals, and expansion planned by our current customers. In the context of our current customer portfolio, we view “recurring revenue” as revenue that occurs often and repeatedly. In each of the last three years, recurring revenue has exceeded 85% of our annual revenue. Our total budgeted revenue is the combination of recurring revenue and a forecast of new business.</w:t>
      </w:r>
    </w:p>
    <w:p>
      <w:pPr>
        <w:spacing w:after="0" w:line="191"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Total backlog, a component of recurring revenue, consists of the aggregate contract revenues remaining to be earned by us at a given time over the life of our contracts, whether funded or unfunded. Funded backlog consists of the aggregate contract revenues remaining to be earned at a given time, which, in the case of U.S. government contracts, means that they have been funded by the procuring agency. Unfunded backlog is the difference between total backlog and funded backlog and includes potential revenues that may be earned if customers exercise delivery orders and/or renewal options to continue these contracts. Based on historical experience, we generally assume option year renewals to be exercised. Most of our customers fund contracts on a basis of one year or less and, as a result, funded backlog is generally expected to be earned within one year from any point in time, whereas unfunded backlog is expected to be earned over a longer period.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(Unaudited)</w:t>
      </w:r>
    </w:p>
    <w:p>
      <w:pPr>
        <w:spacing w:after="0" w:line="2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accompanying condensed consolidated financial statements include the accounts of Telos Corporation and its subsidiaries including Ubiquity.com, Inc., Xacta Corporation, Telos Identity Management Solutions, LLC, Teloworks, Inc., and Telos APAC Pte. Ltd., all of whose issued and outstanding share capital is owned by Telos Corporation (collectively, the “Company” or “Telos” or “We”). All intercompany transactions have been eliminated in consolidation.</w:t>
      </w:r>
    </w:p>
    <w:p>
      <w:pPr>
        <w:spacing w:after="0" w:line="220" w:lineRule="exact"/>
        <w:rPr>
          <w:sz w:val="20"/>
          <w:szCs w:val="20"/>
          <w:color w:val="auto"/>
        </w:rPr>
      </w:pPr>
    </w:p>
    <w:p>
      <w:pPr>
        <w:ind w:right="240" w:firstLine="324"/>
        <w:spacing w:after="0" w:line="290" w:lineRule="auto"/>
        <w:rPr>
          <w:sz w:val="20"/>
          <w:szCs w:val="20"/>
          <w:color w:val="auto"/>
        </w:rPr>
      </w:pPr>
      <w:r>
        <w:rPr>
          <w:rFonts w:ascii="Arial" w:cs="Arial" w:eastAsia="Arial" w:hAnsi="Arial"/>
          <w:sz w:val="16"/>
          <w:szCs w:val="16"/>
          <w:color w:val="auto"/>
        </w:rPr>
        <w:t>We provide different solutions and are party to contracts of varying revenue types under the NETCENTS (Network-Centric Solutions) and NETCENTS-2 contracts to the U.S. Air Force. NETCENTS and NETCENTS-2 are IDIQ and GWAC, therefore any government customer may utilize the NETCENTS and NETCENTS-2 vehicles to meet its purchasing needs. Consequently, revenue earned on the underlying NETCENTS and NETCENTS-2 delivery orders varies from period to period according to the customer and solution mix for the products and services delivered during a particular period, unlike a standalone contract with one separately identified customer. The contracts themselves do not fund any orders and they state that the contracts are for an indefinite delivery and indefinite quantity. The majority of our task/delivery orders have periods of performance of less than 12 months, which contributes to the variances between interim and annual reporting periods. We have also been awarded other IDIQ/GWACs, including the Department of Homeland Security’s EAGLE II, GSA Alliant 2, and blanket purchase agreements under our GSA schedule.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refer to our cyber and cloud applications as Security Solutions, which includes Information Assurance /Xacta® (previously referred to as Cyber</w:t>
      </w:r>
    </w:p>
    <w:p>
      <w:pPr>
        <w:spacing w:after="0" w:line="46" w:lineRule="exact"/>
        <w:rPr>
          <w:sz w:val="20"/>
          <w:szCs w:val="20"/>
          <w:color w:val="auto"/>
        </w:rPr>
      </w:pPr>
    </w:p>
    <w:p>
      <w:pPr>
        <w:ind w:right="340" w:firstLine="8"/>
        <w:spacing w:after="0" w:line="255" w:lineRule="auto"/>
        <w:tabs>
          <w:tab w:leader="none" w:pos="1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Cloud Solutions), Secure Communications (previously referred to as Secure Communications Cyber and Enterprise Solutions), and Telos ID (previously referred to as Telos ID Enterprise Solutions). We refer to our offerings for enterprise security as Secure Networks (previously referred to as Secure Mobility and Network Management/Defense Enterprise Solutions).</w:t>
      </w:r>
    </w:p>
    <w:p>
      <w:pPr>
        <w:spacing w:after="0" w:line="21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U.S. Government appropriations have been and continue to be affected by larger U.S. Government budgetary issues and related legislation. In 2011, Congress enacted the Budget Control Act of 2011 (the “BCA”), which established specific limits on annual appropriations for fiscal years 2012-2021. These limits were subsequently amended several times. With the expiration of the BCA at the end of FY 2021, there are no statutory limits in place for FY 2022 to guide federal spending negotiations and decisions.</w:t>
      </w:r>
    </w:p>
    <w:p>
      <w:pPr>
        <w:spacing w:after="0" w:line="21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According to the non-partisan Congressional Budget Office (CBO), since enactment of the BCA, federal outlays devoted to defense programs fell from 4.5 percent as a share of Gross Domestic Product (GDP) to as low as 3.1 percent of GDP in each of FYs 2016-18, before rising slightly the past two years to a level of 3.4 percent in FY 2020. Moreover, CBO reports that, as a result of the spending caps imposed by the BCA, non-adjusted defense outlays subsequently shrank from $699.4 billion in FY 2011 to as low as $583.4 billion in FY 2016, and did not again exceed their FY 2011 level until FY 2020, when outlays were $713.8 billion, two percent above the FY 2011 level.</w:t>
      </w:r>
    </w:p>
    <w:p>
      <w:pPr>
        <w:spacing w:after="0" w:line="21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fiscal years 2020 and 2021, the COVID-19 pandemic and associated economic dislocation in the United States has resulted in an overwhelming federal response, including enactment of multiple massive and comprehensive emergency appropriations and economic stimulus measures. These were in addition to annual appropriations legislation for FY 2021, which was not enacted into law until late December 2020, nearly three months after the beginning of the fiscal year, during which time the government once again operated under a series of Continuing Resolutions which strictly limited new spending initiatives. These enormous emergency spending packages and their resulting increases in the budget deficit will necessarily factor into future federal budget planning and spending decisions, which will affect to an unknown degree the government contracts that we hold and the federal procurements that we would otherwise compete for.</w:t>
      </w:r>
    </w:p>
    <w:p>
      <w:pPr>
        <w:spacing w:after="0" w:line="22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While a detailed FY 2022 budget proposal has not been released, on April 9, 2021, the White House released an outline of President Biden’s discretionary budget request, with topline numbers to help Congress begin the annual appropriations process. The President’s budget proposes $715 billion in base spending for the Department of Defense (“DoD”) in FY 2022, which the Office of Management and Budget described as an $11.3 billion (1.6 percent) increase above the FY 2021 enacted level of $703.7 billion. However, this requested base defense budget also now includes wartime spending which was formerly provided in a separate account for Overseas Contingency Operations. Moreover, congressional support for the President’s proposed level of defense spending is uncertain, as there are some in Congress who are advocating large cuts to the defense budget, as well as others who are calling for much greater increases in military spending.</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Should Congress and the White House be unable to make sufficient progress on the FY 2022 budget and enact appropriations legislation prior to the beginning of the new fiscal year on October 1, 2021, the DoD and other federal departments and agencies will likely again be funded for an unknown period of time under a Continuing Resolution, which would restrict new spending initiatives.</w:t>
      </w:r>
    </w:p>
    <w:p>
      <w:pPr>
        <w:spacing w:after="0" w:line="211"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Despite the pandemic’s resultant massive shift to teleworking by federal employees and contractors, the government has successfully maintained continuity of services as has Telos. With much of the business of government continuing to be conducted remotely through use of information technology systems, now and in the future, we believe there will continue to be a need on the part of the government for the types of solutions and services provided by Telos.</w:t>
      </w:r>
    </w:p>
    <w:p>
      <w:pPr>
        <w:spacing w:after="0" w:line="21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principal elements of the Company’s operating expenses as a percentage of sales for the three months ended March 31, 2021 and 2020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32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10"/>
        </w:trPr>
        <w:tc>
          <w:tcPr>
            <w:tcW w:w="8020" w:type="dxa"/>
            <w:vAlign w:val="bottom"/>
          </w:tcPr>
          <w:p>
            <w:pPr>
              <w:spacing w:after="0"/>
              <w:rPr>
                <w:sz w:val="18"/>
                <w:szCs w:val="18"/>
                <w:color w:val="auto"/>
              </w:rPr>
            </w:pPr>
          </w:p>
        </w:tc>
        <w:tc>
          <w:tcPr>
            <w:tcW w:w="110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9"/>
              </w:rPr>
              <w:t>2020</w:t>
            </w:r>
          </w:p>
        </w:tc>
      </w:tr>
      <w:tr>
        <w:trPr>
          <w:trHeight w:val="228"/>
        </w:trPr>
        <w:tc>
          <w:tcPr>
            <w:tcW w:w="8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20" w:type="dxa"/>
            <w:vAlign w:val="bottom"/>
            <w:gridSpan w:val="3"/>
          </w:tcPr>
          <w:p>
            <w:pPr>
              <w:jc w:val="center"/>
              <w:ind w:right="1010"/>
              <w:spacing w:after="0"/>
              <w:rPr>
                <w:sz w:val="20"/>
                <w:szCs w:val="20"/>
                <w:color w:val="auto"/>
              </w:rPr>
            </w:pPr>
            <w:r>
              <w:rPr>
                <w:rFonts w:ascii="Arial" w:cs="Arial" w:eastAsia="Arial" w:hAnsi="Arial"/>
                <w:sz w:val="18"/>
                <w:szCs w:val="18"/>
                <w:b w:val="1"/>
                <w:bCs w:val="1"/>
                <w:color w:val="auto"/>
                <w:w w:val="91"/>
              </w:rPr>
              <w:t>(unaudited)</w:t>
            </w:r>
          </w:p>
        </w:tc>
      </w:tr>
      <w:tr>
        <w:trPr>
          <w:trHeight w:val="198"/>
        </w:trPr>
        <w:tc>
          <w:tcPr>
            <w:tcW w:w="8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100.0%</w:t>
            </w:r>
          </w:p>
        </w:tc>
        <w:tc>
          <w:tcPr>
            <w:tcW w:w="212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88"/>
              </w:rPr>
              <w:t>100.0%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Cost of sales</w:t>
            </w:r>
          </w:p>
        </w:tc>
        <w:tc>
          <w:tcPr>
            <w:tcW w:w="1100" w:type="dxa"/>
            <w:vAlign w:val="bottom"/>
          </w:tcPr>
          <w:p>
            <w:pPr>
              <w:jc w:val="center"/>
              <w:ind w:left="290"/>
              <w:spacing w:after="0"/>
              <w:rPr>
                <w:sz w:val="20"/>
                <w:szCs w:val="20"/>
                <w:color w:val="auto"/>
              </w:rPr>
            </w:pPr>
            <w:r>
              <w:rPr>
                <w:rFonts w:ascii="Arial" w:cs="Arial" w:eastAsia="Arial" w:hAnsi="Arial"/>
                <w:sz w:val="18"/>
                <w:szCs w:val="18"/>
                <w:color w:val="auto"/>
                <w:w w:val="91"/>
              </w:rPr>
              <w:t>74.3</w:t>
            </w:r>
          </w:p>
        </w:tc>
        <w:tc>
          <w:tcPr>
            <w:tcW w:w="2120" w:type="dxa"/>
            <w:vAlign w:val="bottom"/>
            <w:gridSpan w:val="3"/>
          </w:tcPr>
          <w:p>
            <w:pPr>
              <w:jc w:val="center"/>
              <w:ind w:left="570"/>
              <w:spacing w:after="0"/>
              <w:rPr>
                <w:sz w:val="20"/>
                <w:szCs w:val="20"/>
                <w:color w:val="auto"/>
              </w:rPr>
            </w:pPr>
            <w:r>
              <w:rPr>
                <w:rFonts w:ascii="Arial" w:cs="Arial" w:eastAsia="Arial" w:hAnsi="Arial"/>
                <w:sz w:val="18"/>
                <w:szCs w:val="18"/>
                <w:color w:val="auto"/>
                <w:w w:val="85"/>
              </w:rPr>
              <w:t>68.6</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49.9</w:t>
            </w:r>
          </w:p>
        </w:tc>
        <w:tc>
          <w:tcPr>
            <w:tcW w:w="212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85"/>
              </w:rPr>
              <w:t>30.4</w:t>
            </w: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Operating (loss) income</w:t>
            </w:r>
          </w:p>
        </w:tc>
        <w:tc>
          <w:tcPr>
            <w:tcW w:w="1100" w:type="dxa"/>
            <w:vAlign w:val="bottom"/>
            <w:tcBorders>
              <w:top w:val="single" w:sz="8" w:color="auto"/>
            </w:tcBorders>
          </w:tcPr>
          <w:p>
            <w:pPr>
              <w:jc w:val="center"/>
              <w:ind w:left="290"/>
              <w:spacing w:after="0"/>
              <w:rPr>
                <w:sz w:val="20"/>
                <w:szCs w:val="20"/>
                <w:color w:val="auto"/>
              </w:rPr>
            </w:pPr>
            <w:r>
              <w:rPr>
                <w:rFonts w:ascii="Arial" w:cs="Arial" w:eastAsia="Arial" w:hAnsi="Arial"/>
                <w:sz w:val="18"/>
                <w:szCs w:val="18"/>
                <w:color w:val="auto"/>
                <w:w w:val="93"/>
              </w:rPr>
              <w:t>(24.2)</w:t>
            </w:r>
          </w:p>
        </w:tc>
        <w:tc>
          <w:tcPr>
            <w:tcW w:w="4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1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(1.9)</w:t>
            </w:r>
          </w:p>
        </w:tc>
        <w:tc>
          <w:tcPr>
            <w:tcW w:w="212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9"/>
              </w:rPr>
              <w:t>----</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Interest expense</w:t>
            </w:r>
          </w:p>
        </w:tc>
        <w:tc>
          <w:tcPr>
            <w:tcW w:w="1100" w:type="dxa"/>
            <w:vAlign w:val="bottom"/>
          </w:tcPr>
          <w:p>
            <w:pPr>
              <w:jc w:val="center"/>
              <w:ind w:left="310"/>
              <w:spacing w:after="0"/>
              <w:rPr>
                <w:sz w:val="20"/>
                <w:szCs w:val="20"/>
                <w:color w:val="auto"/>
              </w:rPr>
            </w:pPr>
            <w:r>
              <w:rPr>
                <w:rFonts w:ascii="Arial" w:cs="Arial" w:eastAsia="Arial" w:hAnsi="Arial"/>
                <w:sz w:val="18"/>
                <w:szCs w:val="18"/>
                <w:color w:val="auto"/>
                <w:w w:val="91"/>
              </w:rPr>
              <w:t>(0.4)</w:t>
            </w:r>
          </w:p>
        </w:tc>
        <w:tc>
          <w:tcPr>
            <w:tcW w:w="212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(5.1)</w:t>
            </w:r>
          </w:p>
        </w:tc>
      </w:tr>
      <w:tr>
        <w:trPr>
          <w:trHeight w:val="209"/>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100" w:type="dxa"/>
            <w:vAlign w:val="bottom"/>
            <w:tcBorders>
              <w:top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93"/>
              </w:rPr>
              <w:t>(26.5)</w:t>
            </w: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(4.1)</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100" w:type="dxa"/>
            <w:vAlign w:val="bottom"/>
          </w:tcPr>
          <w:p>
            <w:pPr>
              <w:jc w:val="center"/>
              <w:ind w:left="290"/>
              <w:spacing w:after="0"/>
              <w:rPr>
                <w:sz w:val="20"/>
                <w:szCs w:val="20"/>
                <w:color w:val="auto"/>
              </w:rPr>
            </w:pPr>
            <w:r>
              <w:rPr>
                <w:rFonts w:ascii="Arial" w:cs="Arial" w:eastAsia="Arial" w:hAnsi="Arial"/>
                <w:sz w:val="18"/>
                <w:szCs w:val="18"/>
                <w:color w:val="auto"/>
                <w:w w:val="99"/>
              </w:rPr>
              <w:t>----</w:t>
            </w:r>
          </w:p>
        </w:tc>
        <w:tc>
          <w:tcPr>
            <w:tcW w:w="2120" w:type="dxa"/>
            <w:vAlign w:val="bottom"/>
            <w:gridSpan w:val="3"/>
          </w:tcPr>
          <w:p>
            <w:pPr>
              <w:jc w:val="center"/>
              <w:ind w:left="570"/>
              <w:spacing w:after="0"/>
              <w:rPr>
                <w:sz w:val="20"/>
                <w:szCs w:val="20"/>
                <w:color w:val="auto"/>
              </w:rPr>
            </w:pPr>
            <w:r>
              <w:rPr>
                <w:rFonts w:ascii="Arial" w:cs="Arial" w:eastAsia="Arial" w:hAnsi="Arial"/>
                <w:sz w:val="18"/>
                <w:szCs w:val="18"/>
                <w:color w:val="auto"/>
                <w:w w:val="87"/>
              </w:rPr>
              <w:t>0.4</w:t>
            </w:r>
          </w:p>
        </w:tc>
      </w:tr>
      <w:tr>
        <w:trPr>
          <w:trHeight w:val="210"/>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tcBorders>
              <w:top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93"/>
              </w:rPr>
              <w:t>(26.5)</w:t>
            </w: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(3.7)</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12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(2.0)</w:t>
            </w:r>
          </w:p>
        </w:tc>
      </w:tr>
      <w:tr>
        <w:trPr>
          <w:trHeight w:val="209"/>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Telos Corporation</w:t>
            </w:r>
          </w:p>
        </w:tc>
        <w:tc>
          <w:tcPr>
            <w:tcW w:w="1100" w:type="dxa"/>
            <w:vAlign w:val="bottom"/>
            <w:tcBorders>
              <w:top w:val="single" w:sz="8" w:color="auto"/>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91"/>
              </w:rPr>
              <w:t>(26.5)%</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(5.7)%</w:t>
            </w:r>
          </w:p>
        </w:tc>
      </w:tr>
      <w:tr>
        <w:trPr>
          <w:trHeight w:val="20"/>
        </w:trPr>
        <w:tc>
          <w:tcPr>
            <w:tcW w:w="8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Revenue increased by 43.0% to $55.8 million for the first quarter of 2021, from $39.0 million for the same period in 2020. Security Solutions revenue was $22.9 million and $27.3 million for the first quarter of 2021 and 2020, respectively. This decrease of approximately 16.1% was driven primarily by a decrease of $5.3 million in sales of offerings in Telos ID on the contract with the U.S. Census Bureau as the contract ramps down, offset by various increases in Information Assurance and Secure Communications offerings. Secure Networks revenue was $32.9 million and $11.7 million for the first quarter of 2021 and 2020, respectively. This increase of approximately 181.2% resulted from various contracts with the DoD, primarily in our Secure Mobility Solutions offerings. Due to the various solutions offerings within the business groups, sales may vary from period to period according to the solution mix and timing of deliverables for a particular period.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Cost of sales increased by 54.8% to $41.4 million for the first quarter of 2021, from $26.7 million for the same period in 2020 as a result of increases in revenue. Cost of sales for Security Solutions decreased to $13.6 million (inclusive of $660,000 of stock-based compensation) for the first quarter of 2021 from $17.2 million for the same period in 2020 (which had no stock-based compensation), which translates as a decrease in the cost of sales as a percentage of revenue to 59.4% from 63.0%, due to a change in the mix and nature of the programs. Cost of sales for Secure Networks increased to $27.8 million (inclusive of $77,000 of stock-based compensation) for the first quarter of 2021 from $9.5 million for the same period in 2020 (which had no stock-based compensation), which translates as an increase in the cost of sales as a percentage of revenue to 84.5% from 81.2%.</w:t>
      </w:r>
    </w:p>
    <w:p>
      <w:pPr>
        <w:spacing w:after="0" w:line="19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Gross profit increased by 17.3% to $14.4 million for the first quarter of 2021 from $12.3 million for the same period in 2020. Gross profit for Security Solutions decreased to $9.3 million for the first quarter of 2021 from $10.1 million for the same period in 2020. Gross profit for Secure Networks increased to $5.1 million for the first quarter of 2021 from $2.2 million for the same period in 2020. Gross margin decreased to 25.7% for the first quarter of 2021 from 31.4% for the same period in 2020, due to stock-based compensation and various changes in the mix of contracts in all business lines as discussed above. Gross margin for Security Solutions increased to 40.6% for the first quarter of 2021 from 37.0% for the same period in 2020. Gross margin for Secure Networks decreased to 15.5% for the first quarter of 2021 from 18.8% for the same period in 2020.</w:t>
      </w:r>
    </w:p>
    <w:p>
      <w:pPr>
        <w:spacing w:after="0" w:line="20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Selling, general, and administrative (“SG&amp;A”) expense increased by 135.2% to $27.9 million for the first quarter of 2021, from $11.8 million for the same period in 2020, primarily attributable to increases in stock-based compensation of $12.9 million, labor costs of $2.2 million, outside services of $0.8 million, insurance costs of $0.3 million, legal costs of $0.2 million, and trade shows costs of $0.2 million, offset by the capitalization of software development costs of $0.7 million.</w:t>
      </w:r>
    </w:p>
    <w:p>
      <w:pPr>
        <w:spacing w:after="0" w:line="214"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Operating loss was $13.5 million for the first quarter of 2021, compared to $0.4 million operating income for the same period in 2020, due primarily to the stock-based compensation related to the RSUs granted in the first quarter of 2021.</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of $1.1 million for the first quarter of 2021 was attributable to an accrual for a litigation settlement agreement.</w:t>
      </w:r>
    </w:p>
    <w:p>
      <w:pPr>
        <w:spacing w:after="0" w:line="252"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Interest expense decreased by 90.3% to $0.2 million for the first quarter of 2021, from $2.0 million for the same period in 2020, primarily due to the payoff of the EnCap senior term loan, subordinated debt, and redemption of public preferred stock upon the closing of our initial public offering (“IPO”) in November 2020.</w:t>
      </w:r>
    </w:p>
    <w:p>
      <w:pPr>
        <w:spacing w:after="0" w:line="21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Income tax provision was $34,000 for the first quarter of 2021, compared to $146,000 income tax benefit for the same period in 2020, which is based on the estimated annual effective tax rate applied to the pretax income incurred for the quarter plus discreet tax items, based on our expectation of pretax income for the fiscal year.</w:t>
      </w:r>
    </w:p>
    <w:p>
      <w:pPr>
        <w:spacing w:after="0" w:line="21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Net loss attributable to Telos Corporation was $14.8 million for the first quarter of 2021, compared to $2.2 million for the same period in 2020, primarily attributable to the stock-based compensation recorded in the first quarter of 2021 as mentioned above.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ind w:right="300" w:firstLine="324"/>
        <w:spacing w:after="0" w:line="268" w:lineRule="auto"/>
        <w:rPr>
          <w:sz w:val="20"/>
          <w:szCs w:val="20"/>
          <w:color w:val="auto"/>
        </w:rPr>
      </w:pPr>
      <w:r>
        <w:rPr>
          <w:rFonts w:ascii="Arial" w:cs="Arial" w:eastAsia="Arial" w:hAnsi="Arial"/>
          <w:sz w:val="17"/>
          <w:szCs w:val="17"/>
          <w:color w:val="auto"/>
        </w:rPr>
        <w:t>In addition to our results determined in accordance with GAAP, we believe the non-GAAP financial measures of Enterprise EBITDA, Adjusted EBITDA, Adjusted Net Income (Loss) and Adjusted EPS are useful in evaluating our operating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spacing w:after="0" w:line="210" w:lineRule="exact"/>
        <w:rPr>
          <w:sz w:val="20"/>
          <w:szCs w:val="20"/>
          <w:color w:val="auto"/>
        </w:rPr>
      </w:pPr>
    </w:p>
    <w:p>
      <w:pPr>
        <w:ind w:right="220" w:firstLine="324"/>
        <w:spacing w:after="0" w:line="273" w:lineRule="auto"/>
        <w:rPr>
          <w:sz w:val="20"/>
          <w:szCs w:val="20"/>
          <w:color w:val="auto"/>
        </w:rPr>
      </w:pPr>
      <w:r>
        <w:rPr>
          <w:rFonts w:ascii="Arial" w:cs="Arial" w:eastAsia="Arial" w:hAnsi="Arial"/>
          <w:sz w:val="17"/>
          <w:szCs w:val="17"/>
          <w:color w:val="auto"/>
        </w:rPr>
        <w:t>We use the following non-GAAP financial measures to understand and evaluate our core operating performance and trends, to prepare and approve our annual budget, to develop short-term and long-term operating plans, and to evaluate the performance of certain management personnel when determining incentive compensation. We believe these non-GAAP financial measures facilitate comparison of our operating performance on a consistent basis between periods by excluding certain items that may, or could, have a disproportionate positive or negative impact on our results of operations in any particular period. When viewed in combination with our results prepared in accordance with GAAP, these non-GAAP financial measures help provide a broader picture of factors and trends affecting our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EBITDA and Adjusted EBITDA</w:t>
      </w:r>
    </w:p>
    <w:p>
      <w:pPr>
        <w:spacing w:after="0" w:line="23"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Both Enterprise EBITDA and Adjusted EBITDA are supplemental measures of operating performance that are not made under GAAP and that does not represent, and should not be considered as, an alternative to net income (loss) as determined by GAAP. We define Enterprise EBITDA as net income (loss) attributable to Telos Corporation, adjusted for net income attributable to non-controlling interest, non-operating expense (income), interest expense, provision for (benefit from) income taxes, and depreciation and amortization. We define Adjusted EBITDA as Enterprise EBITDA, adjusted for transaction gains/losses/expenses related to our IPO and stock-based compensation expense.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Enterprise EBITDA and Adjusted EBITDA to net income (loss) attributable to Telos Corporation, the most directly comparable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measure,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3"/>
              </w:rPr>
              <w:t>Three Months Ended March</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Telos Corporation</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Adjustments:</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attributable to non-controlling interest</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Non-operating expense (income)</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Provision for (benefit from) income taxes</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Enterprise EBITDA</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(12,134)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3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100"/>
              <w:spacing w:after="0"/>
              <w:rPr>
                <w:sz w:val="20"/>
                <w:szCs w:val="20"/>
                <w:color w:val="auto"/>
              </w:rPr>
            </w:pPr>
            <w:r>
              <w:rPr>
                <w:rFonts w:ascii="Arial" w:cs="Arial" w:eastAsia="Arial" w:hAnsi="Arial"/>
                <w:sz w:val="18"/>
                <w:szCs w:val="18"/>
                <w:color w:val="auto"/>
              </w:rPr>
              <w:t>Adjusted EBITDA</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980" w:type="dxa"/>
            <w:vAlign w:val="bottom"/>
            <w:vMerge w:val="restart"/>
          </w:tcPr>
          <w:p>
            <w:pPr>
              <w:jc w:val="right"/>
              <w:ind w:right="2899"/>
              <w:spacing w:after="0"/>
              <w:rPr>
                <w:sz w:val="20"/>
                <w:szCs w:val="20"/>
                <w:color w:val="auto"/>
              </w:rPr>
            </w:pPr>
            <w:r>
              <w:rPr>
                <w:rFonts w:ascii="Arial" w:cs="Arial" w:eastAsia="Arial" w:hAnsi="Arial"/>
                <w:sz w:val="14"/>
                <w:szCs w:val="14"/>
                <w:color w:val="auto"/>
              </w:rPr>
              <w:t>34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470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70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(Loss) and Adjusted EPS</w:t>
      </w:r>
    </w:p>
    <w:p>
      <w:pPr>
        <w:spacing w:after="0" w:line="23"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The adjusted measures of Net Income (Loss) and Diluted EPS, (defined as “Adjusted Net Income (Loss)” and “Adjusted EPS”, respectively) are supplemental measures of operating performance that are not made under GAAP and that does not represent, and should not be considered as, an alternative to net income (loss) as determined by GAAP. We define Adjusted Net Income (Loss) as net income (loss) attributable to Telos Corporation, adjusted for non-operating expense (income) and stock-based compensation expense. We define Adjusted EPS as Adjusted Net Income (Loss) divided by the weighted-average number of common shares outstanding for the period.</w:t>
      </w:r>
    </w:p>
    <w:p>
      <w:pPr>
        <w:spacing w:after="0" w:line="20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 reconciliation of Adjusted Net Loss and Adjusted EPS to net loss attributable to Telos Corporation, the most directly comparable GAAP measure,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7"/>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Pr>
          <w:p>
            <w:pPr>
              <w:spacing w:after="0"/>
              <w:rPr>
                <w:sz w:val="18"/>
                <w:szCs w:val="18"/>
                <w:color w:val="auto"/>
              </w:rPr>
            </w:pPr>
          </w:p>
        </w:tc>
        <w:tc>
          <w:tcPr>
            <w:tcW w:w="24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31, 2020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89"/>
              </w:rPr>
              <w:t>Net Loss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6"/>
              </w:rPr>
              <w:t>Net Loss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5"/>
              </w:rPr>
              <w:t>Attributable</w:t>
            </w: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Diluted</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5"/>
              </w:rPr>
              <w:t>Attributable</w:t>
            </w:r>
          </w:p>
        </w:tc>
        <w:tc>
          <w:tcPr>
            <w:tcW w:w="2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Diluted</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6"/>
              </w:rPr>
              <w:t>to Telos</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Earnings Per</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to Telos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Earnings Per</w:t>
            </w:r>
          </w:p>
        </w:tc>
      </w:tr>
      <w:tr>
        <w:trPr>
          <w:trHeight w:val="234"/>
        </w:trPr>
        <w:tc>
          <w:tcPr>
            <w:tcW w:w="5980" w:type="dxa"/>
            <w:vAlign w:val="bottom"/>
          </w:tcPr>
          <w:p>
            <w:pPr>
              <w:spacing w:after="0"/>
              <w:rPr>
                <w:sz w:val="20"/>
                <w:szCs w:val="20"/>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3"/>
              </w:rPr>
              <w:t>Corporation</w:t>
            </w: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Share</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Corporation</w:t>
            </w:r>
          </w:p>
        </w:tc>
        <w:tc>
          <w:tcPr>
            <w:tcW w:w="2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Share</w:t>
            </w:r>
          </w:p>
        </w:tc>
      </w:tr>
      <w:tr>
        <w:trPr>
          <w:trHeight w:val="209"/>
        </w:trPr>
        <w:tc>
          <w:tcPr>
            <w:tcW w:w="5980" w:type="dxa"/>
            <w:vAlign w:val="bottom"/>
          </w:tcPr>
          <w:p>
            <w:pPr>
              <w:spacing w:after="0"/>
              <w:rPr>
                <w:sz w:val="18"/>
                <w:szCs w:val="18"/>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 thousands)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Reported GAAP measure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(14,778)</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Non-operating expense (income)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13,670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non-GAAP measure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Weighted-average shares of common stock outstanding</w:t>
            </w:r>
          </w:p>
        </w:tc>
        <w:tc>
          <w:tcPr>
            <w:tcW w:w="160" w:type="dxa"/>
            <w:vAlign w:val="bottom"/>
          </w:tcPr>
          <w:p>
            <w:pPr>
              <w:spacing w:after="0"/>
              <w:rPr>
                <w:sz w:val="17"/>
                <w:szCs w:val="17"/>
                <w:color w:val="auto"/>
              </w:rPr>
            </w:pPr>
          </w:p>
        </w:tc>
        <w:tc>
          <w:tcPr>
            <w:tcW w:w="9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64,625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38,073</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Each of Enterprise EBITDA, Adjusted EBITDA, Adjusted Net Income (Loss) and Adjusted EPS has limitations as an analytical tool, and you should not consider it in isolation, or as a substitute for analysis of our results as reported under GAAP. Among other limitations, each of Enterprise EBITDA, Adjusted EBITDA, Adjusted Net Income (Loss) and Adjusted EPS does not reflect our cash expenditures, or future requirements, for capital expenditures or contractual commitments, does not reflect the impact of certain cash charges resulting from matters we consider not to be indicative of our ongoing operations, and does not reflect income tax expense or benefit. Other companies in our industry may calculate Adjusted EBITDA, Adjusted Net Income (Loss) and Adjusted EPS differently than we do, which limits its usefulness as a comparative measure. Because of these limitations, neither Enterprise EBITDA, Adjusted EBITDA, Adjusted Net Income (Loss) nor Adjusted EPS should be considered as a replacement for net income (loss) or earnings per share, as determined by GAAP, or as a measure of our profitability. We compensate for these limitations by relying primarily on our GAAP results and using non-GAAP measures only for supplemental purposes.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ind w:right="200" w:firstLine="324"/>
        <w:spacing w:after="0" w:line="268" w:lineRule="auto"/>
        <w:rPr>
          <w:sz w:val="20"/>
          <w:szCs w:val="20"/>
          <w:color w:val="auto"/>
        </w:rPr>
      </w:pPr>
      <w:r>
        <w:rPr>
          <w:rFonts w:ascii="Arial" w:cs="Arial" w:eastAsia="Arial" w:hAnsi="Arial"/>
          <w:sz w:val="17"/>
          <w:szCs w:val="17"/>
          <w:color w:val="auto"/>
        </w:rPr>
        <w:t>Upon the closing of our IPO, we issued 17.2 million shares of our common stock at a price of $17.00 per share, generating net proceeds of approximately $272.8 million. We used approximately $108.9 million of the net proceeds in connection with the ERPS Conversion (see Note 6 – Exchangeable Redeemable Preferred Stock Conversion), $30.0 million to fund our acquisition of the outstanding Class B Units of Telos ID (see Note 2 – Purchase of Telos ID/Non-controlling Interests), $21.0 million to repay our outstanding senior term loan and subordinated debt (see Note 5 – Current Liabilities and Debt Obligations). We intend to use the remaining net proceeds for general corporate purposes. We also may use a portion of the net proceeds to acquire complementary businesses, products, services, or technologies. The amounts and timing of our actual use of the net proceeds will vary depending on numerous factors. Proceeds held by us are invested in short-term investments until needed for the uses described above. We currently anticipate that we will retain all available funds for use in the operation and expansion of our business, and we do not anticipate paying any cash dividends on our common stock in the foreseeable future.</w:t>
      </w:r>
    </w:p>
    <w:p>
      <w:pPr>
        <w:spacing w:after="0" w:line="208"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On April 6, 2021, we completed our follow-on offering of 9.1 million shares of our common stock at a price of $33.00 per share, including a secondary public offering of 7.0 million shares of common stock by certain existing stockholders of Telos. The offering generated approximately $64.5 million of net proceeds to Telos. We did not receive any proceeds from the shares of common stock sold by the selling stockholders. On April 19, 2021, we used approximately $28.1 million of the net proceeds to repurchase all the shares and warrants owned by EnCap.</w:t>
      </w:r>
    </w:p>
    <w:p>
      <w:pPr>
        <w:spacing w:after="0" w:line="198"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Our working capital was $102.2 million and $105.2 million as of March 31, 2021 and December 31, 2020, respectively. Although no assurances can be given, we expect that funds generated from operations are sufficient to maintain the liquidity we require to meet our operating, investing and financing needs for the next 12 months.</w:t>
      </w:r>
    </w:p>
    <w:p>
      <w:pPr>
        <w:spacing w:after="0" w:line="2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Cash used in operating activities was $9.3 million for the three months ended March 31, 2021, compared to cash provided by operating activities of $1.7 million for the same period in 2020. Cash provided by or used in operating activities is primarily driven by the Company’s operating income, the timing of receipt of customer payments, the timing of its payments to vendors and employees, and the timing of inventory turnover, adjusted for certain non-cash items that do not impact cash flows from operating activities. Additionally, net loss was $14.8 million for the three months ended March 31, 2021, compared to $1.5 million for the three months ended March 31, 2020.</w:t>
      </w:r>
    </w:p>
    <w:p>
      <w:pPr>
        <w:spacing w:after="0" w:line="21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Cash used in investing activities was approximately $2.6 million and $1.7 million for the three months ended March 31, 2021 and 2020, respectively, due primarily to the capitalization of software development costs of $2.2 million and $1.5 million for the three months ended March 31, 2021 and 2020, respectively, and the purchase of property and equipment.</w:t>
      </w:r>
    </w:p>
    <w:p>
      <w:pPr>
        <w:spacing w:after="0" w:line="211"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Cash used in financing activities was $0.3 million and $0.4 million for the three months ended March 31, 2021 and 2020, respectively, primarily attributable to payments under finance leases for both periods and an amendment fee paid to lender for the three months ended March 31, 2020.</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of the Condensed Consolidated Financial Statements for a discussion of recently issued accounting pronouncements.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 w:lineRule="exact"/>
        <w:rPr>
          <w:sz w:val="20"/>
          <w:szCs w:val="20"/>
          <w:color w:val="auto"/>
        </w:rPr>
      </w:pPr>
    </w:p>
    <w:p>
      <w:pPr>
        <w:ind w:firstLine="324"/>
        <w:spacing w:after="0" w:line="260" w:lineRule="auto"/>
        <w:rPr>
          <w:sz w:val="20"/>
          <w:szCs w:val="20"/>
          <w:color w:val="auto"/>
        </w:rPr>
      </w:pPr>
      <w:r>
        <w:rPr>
          <w:rFonts w:ascii="Arial" w:cs="Arial" w:eastAsia="Arial" w:hAnsi="Arial"/>
          <w:sz w:val="18"/>
          <w:szCs w:val="18"/>
          <w:color w:val="auto"/>
        </w:rPr>
        <w:t>During the three months ended March 31, 2021, there were no material changes to our critical accounting policies as reported in our Annual Report on Form 10-K for the year ended December 31, 2020 as filed with the SEC on March 25, 2021.</w:t>
      </w: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 w:lineRule="exact"/>
        <w:rPr>
          <w:sz w:val="20"/>
          <w:szCs w:val="20"/>
          <w:color w:val="auto"/>
        </w:rPr>
      </w:pPr>
    </w:p>
    <w:p>
      <w:pPr>
        <w:ind w:right="340" w:firstLine="324"/>
        <w:spacing w:after="0" w:line="288" w:lineRule="auto"/>
        <w:rPr>
          <w:sz w:val="20"/>
          <w:szCs w:val="20"/>
          <w:color w:val="auto"/>
        </w:rPr>
      </w:pPr>
      <w:r>
        <w:rPr>
          <w:rFonts w:ascii="Arial" w:cs="Arial" w:eastAsia="Arial" w:hAnsi="Arial"/>
          <w:sz w:val="16"/>
          <w:szCs w:val="16"/>
          <w:color w:val="auto"/>
        </w:rPr>
        <w:t>An evaluation of the effectiveness of our disclosure controls and procedures as of March 31, 2021 was performed under the supervision and with the participation of our management, including the Chief Executive Officer and Chief Financial Officer. Based on that evaluation, our Chief Executive Officer and Chief Financial Officer have concluded that our disclosure controls and procedures are effective to ensure that information required to be disclosed by the Company in its reports that it files or submits under the Exchange Act is recorded, processed, summarized and reported within the time periods specified in the Securities and Exchange Commission rules and forms, and that information required to be disclosed by the Company in the reports the Company files or submits under the Exchange Act is accumulated and communicated to our management, including our Chief Executive Officer and Chief Financial Officer,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3" w:lineRule="exact"/>
        <w:rPr>
          <w:sz w:val="20"/>
          <w:szCs w:val="20"/>
          <w:color w:val="auto"/>
        </w:rPr>
      </w:pPr>
    </w:p>
    <w:p>
      <w:pPr>
        <w:ind w:right="380" w:firstLine="324"/>
        <w:spacing w:after="0" w:line="260"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31, 2021 that has materially affected, or is reasonably likely to materially affect, our internal control over financial reporting.</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PART II—OTHER INFORMATION</w:t>
      </w:r>
    </w:p>
    <w:p>
      <w:pPr>
        <w:spacing w:after="0" w:line="19"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p>
    <w:p>
      <w:pPr>
        <w:ind w:right="680" w:firstLine="378"/>
        <w:spacing w:after="0" w:line="277" w:lineRule="auto"/>
        <w:rPr>
          <w:sz w:val="20"/>
          <w:szCs w:val="20"/>
          <w:color w:val="auto"/>
        </w:rPr>
      </w:pPr>
      <w:r>
        <w:rPr>
          <w:rFonts w:ascii="Arial" w:cs="Arial" w:eastAsia="Arial" w:hAnsi="Arial"/>
          <w:sz w:val="18"/>
          <w:szCs w:val="18"/>
          <w:color w:val="auto"/>
        </w:rPr>
        <w:t>Information regarding legal proceedings may be found in Note 8 – Commitments and Contingencies to the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ind w:right="180" w:firstLine="324"/>
        <w:spacing w:after="0" w:line="260" w:lineRule="auto"/>
        <w:rPr>
          <w:sz w:val="20"/>
          <w:szCs w:val="20"/>
          <w:color w:val="auto"/>
        </w:rPr>
      </w:pPr>
      <w:r>
        <w:rPr>
          <w:rFonts w:ascii="Arial" w:cs="Arial" w:eastAsia="Arial" w:hAnsi="Arial"/>
          <w:sz w:val="18"/>
          <w:szCs w:val="18"/>
          <w:color w:val="auto"/>
        </w:rPr>
        <w:t>There were no material changes in the period ended March 31, 2021 in our risk factors as disclosed in our Annual Report on Form 10-K for the year ended December 31, 2020.</w:t>
      </w:r>
    </w:p>
    <w:p>
      <w:pPr>
        <w:spacing w:after="0" w:line="20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7" w:name="page38"/>
    <w:bookmarkEnd w:id="37"/>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7" w:lineRule="exact"/>
        <w:rPr>
          <w:sz w:val="20"/>
          <w:szCs w:val="20"/>
          <w:color w:val="auto"/>
        </w:rPr>
      </w:pPr>
    </w:p>
    <w:p>
      <w:pPr>
        <w:jc w:val="both"/>
        <w:ind w:right="40" w:firstLine="324"/>
        <w:spacing w:after="0" w:line="255" w:lineRule="auto"/>
        <w:rPr>
          <w:sz w:val="20"/>
          <w:szCs w:val="20"/>
          <w:color w:val="auto"/>
        </w:rPr>
      </w:pPr>
      <w:r>
        <w:rPr>
          <w:rFonts w:ascii="Arial" w:cs="Arial" w:eastAsia="Arial" w:hAnsi="Arial"/>
          <w:sz w:val="18"/>
          <w:szCs w:val="18"/>
          <w:color w:val="auto"/>
        </w:rPr>
        <w:t>On May 14, 2021, our Board of Directors terminated the Telos ID Sale Bonus Plan (“Telos ID Plan”). The purpose of the Telos ID Plan was to provide a long-term incentive program to motivate key executives of Telos ID to participate in the value creation of Telos ID and enjoy the benefits of participation in future increases in the value of Telos ID and its underlying assets.</w:t>
      </w:r>
    </w:p>
    <w:p>
      <w:pPr>
        <w:spacing w:after="0" w:line="12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Prior to the IPO, we had a 50% ownership interest in Telos ID. Participants in the Telos ID Plan were entitled to a payment upon the transfer for value of all of the Company’s ownership interest in Telos ID or upon the occurrence of a “Sale” (as defined in the Telos ID Plan) of Telos ID if the value of Telos ID at the time of such transaction was at least $50 million. Upon a transfer of our ownership interest, the bonuses payable under the Telos ID Plan would have equaled 2.5% of the value of Telos ID (as defined by the Telos ID Plan) up to $85 million, plus 4% of the of the value of Telos ID in excess of $85 million. Upon a Sale, the bonuses payable would have amounted to 5% of the proceeds up to $85 million, plus 8% of the proceeds in excess of $85 million. If the Sale occurred after the transfer of ownership, the bonuses payable would have been 5% of the proceeds up to $85 million, plus 8% of the proceeds in excess of $85 million, less any bonuses already paid as part of any prior transfer of Telos’ ownership interests. The total bonuses payable upon a transfer of interest or Sale would have been allocated as follows: (i) 50% of the total to the President of Telos ID; and (ii) 50% to other participants as determined by the President of Telos ID. Both of these allocations would have been subject to approval by the Chairman of our Board of Directors.</w:t>
      </w:r>
    </w:p>
    <w:p>
      <w:pPr>
        <w:spacing w:after="0" w:line="9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 connection with the IPO, we purchased the 50% ownership interest in Telos ID that we did not already own. As a result of our ownership of 100% of Telos ID, the Board of Directors decided to terminate the Telos ID Plan. Employees of Telos ID who would have been eligible to participate in the Telos ID Plan, including the President of Telos ID, participate in the Telos Corporation 2016 Omnibus Long-Term Incentive Plan.</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gridSpan w:val="4"/>
          </w:tcPr>
          <w:p>
            <w:pPr>
              <w:spacing w:after="0"/>
              <w:rPr>
                <w:rFonts w:ascii="Arial" w:cs="Arial" w:eastAsia="Arial" w:hAnsi="Arial"/>
                <w:sz w:val="18"/>
                <w:szCs w:val="18"/>
                <w:i w:val="1"/>
                <w:iCs w:val="1"/>
                <w:color w:val="auto"/>
                <w:w w:val="88"/>
              </w:rPr>
            </w:pPr>
            <w:hyperlink w:anchor="page1">
              <w:r>
                <w:rPr>
                  <w:rFonts w:ascii="Arial" w:cs="Arial" w:eastAsia="Arial" w:hAnsi="Arial"/>
                  <w:sz w:val="18"/>
                  <w:szCs w:val="18"/>
                  <w:i w:val="1"/>
                  <w:iCs w:val="1"/>
                  <w:color w:val="auto"/>
                  <w:w w:val="88"/>
                </w:rPr>
                <w:t>Table of Contents</w:t>
              </w:r>
            </w:hyperlink>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020" w:type="dxa"/>
            <w:vAlign w:val="bottom"/>
          </w:tcPr>
          <w:p>
            <w:pPr>
              <w:spacing w:after="0"/>
              <w:rPr>
                <w:sz w:val="17"/>
                <w:szCs w:val="17"/>
                <w:color w:val="auto"/>
              </w:rPr>
            </w:pPr>
          </w:p>
        </w:tc>
      </w:tr>
      <w:tr>
        <w:trPr>
          <w:trHeight w:val="412"/>
        </w:trPr>
        <w:tc>
          <w:tcPr>
            <w:tcW w:w="1380" w:type="dxa"/>
            <w:vAlign w:val="bottom"/>
            <w:gridSpan w:val="5"/>
          </w:tcPr>
          <w:p>
            <w:pPr>
              <w:spacing w:after="0"/>
              <w:rPr>
                <w:sz w:val="20"/>
                <w:szCs w:val="20"/>
                <w:color w:val="auto"/>
              </w:rPr>
            </w:pPr>
            <w:r>
              <w:rPr>
                <w:rFonts w:ascii="Arial" w:cs="Arial" w:eastAsia="Arial" w:hAnsi="Arial"/>
                <w:sz w:val="18"/>
                <w:szCs w:val="18"/>
                <w:b w:val="1"/>
                <w:bCs w:val="1"/>
                <w:color w:val="auto"/>
                <w:w w:val="99"/>
              </w:rPr>
              <w:t>Item 6.  Exhibits</w:t>
            </w:r>
          </w:p>
        </w:tc>
        <w:tc>
          <w:tcPr>
            <w:tcW w:w="1700" w:type="dxa"/>
            <w:vAlign w:val="bottom"/>
          </w:tcPr>
          <w:p>
            <w:pPr>
              <w:spacing w:after="0"/>
              <w:rPr>
                <w:sz w:val="24"/>
                <w:szCs w:val="24"/>
                <w:color w:val="auto"/>
              </w:rPr>
            </w:pPr>
          </w:p>
        </w:tc>
        <w:tc>
          <w:tcPr>
            <w:tcW w:w="7020" w:type="dxa"/>
            <w:vAlign w:val="bottom"/>
          </w:tcPr>
          <w:p>
            <w:pPr>
              <w:spacing w:after="0"/>
              <w:rPr>
                <w:sz w:val="24"/>
                <w:szCs w:val="24"/>
                <w:color w:val="auto"/>
              </w:rPr>
            </w:pPr>
          </w:p>
        </w:tc>
      </w:tr>
      <w:tr>
        <w:trPr>
          <w:trHeight w:val="414"/>
        </w:trPr>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1700" w:type="dxa"/>
            <w:vAlign w:val="bottom"/>
          </w:tcPr>
          <w:p>
            <w:pPr>
              <w:spacing w:after="0"/>
              <w:rPr>
                <w:sz w:val="24"/>
                <w:szCs w:val="24"/>
                <w:color w:val="auto"/>
              </w:rPr>
            </w:pPr>
          </w:p>
        </w:tc>
        <w:tc>
          <w:tcPr>
            <w:tcW w:w="7020" w:type="dxa"/>
            <w:vAlign w:val="bottom"/>
          </w:tcPr>
          <w:p>
            <w:pPr>
              <w:spacing w:after="0"/>
              <w:rPr>
                <w:sz w:val="24"/>
                <w:szCs w:val="24"/>
                <w:color w:val="auto"/>
              </w:rPr>
            </w:pPr>
          </w:p>
        </w:tc>
      </w:tr>
      <w:tr>
        <w:trPr>
          <w:trHeight w:val="194"/>
        </w:trPr>
        <w:tc>
          <w:tcPr>
            <w:tcW w:w="138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Number</w:t>
            </w:r>
          </w:p>
        </w:tc>
        <w:tc>
          <w:tcPr>
            <w:tcW w:w="87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Description of Exhibit</w:t>
            </w:r>
          </w:p>
        </w:tc>
      </w:tr>
      <w:tr>
        <w:trPr>
          <w:trHeight w:val="20"/>
        </w:trPr>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10.</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20" w:type="dxa"/>
            <w:vAlign w:val="bottom"/>
            <w:gridSpan w:val="2"/>
          </w:tcPr>
          <w:p>
            <w:pPr>
              <w:spacing w:after="0" w:line="196" w:lineRule="exact"/>
              <w:rPr>
                <w:sz w:val="20"/>
                <w:szCs w:val="20"/>
                <w:color w:val="auto"/>
              </w:rPr>
            </w:pPr>
            <w:r>
              <w:rPr>
                <w:rFonts w:ascii="Arial" w:cs="Arial" w:eastAsia="Arial" w:hAnsi="Arial"/>
                <w:sz w:val="18"/>
                <w:szCs w:val="18"/>
                <w:color w:val="auto"/>
              </w:rPr>
              <w:t>Forms of Indemnification Agreement between the Company and 16 of its directors and executive officers</w:t>
            </w: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720" w:type="dxa"/>
            <w:vAlign w:val="bottom"/>
            <w:gridSpan w:val="2"/>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31.</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20" w:type="dxa"/>
            <w:vAlign w:val="bottom"/>
            <w:gridSpan w:val="2"/>
          </w:tcPr>
          <w:p>
            <w:pPr>
              <w:spacing w:after="0" w:line="196" w:lineRule="exact"/>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720" w:type="dxa"/>
            <w:vAlign w:val="bottom"/>
            <w:gridSpan w:val="2"/>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31.</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20" w:type="dxa"/>
            <w:vAlign w:val="bottom"/>
            <w:gridSpan w:val="2"/>
          </w:tcPr>
          <w:p>
            <w:pPr>
              <w:spacing w:after="0" w:line="19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196"/>
        </w:trPr>
        <w:tc>
          <w:tcPr>
            <w:tcW w:w="3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32</w:t>
              </w:r>
            </w:hyperlink>
            <w:r>
              <w:rPr>
                <w:rFonts w:ascii="Arial" w:cs="Arial" w:eastAsia="Arial" w:hAnsi="Arial"/>
                <w:sz w:val="18"/>
                <w:szCs w:val="18"/>
                <w:color w:val="000000"/>
              </w:rPr>
              <w:t>*</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20" w:type="dxa"/>
            <w:vAlign w:val="bottom"/>
            <w:gridSpan w:val="2"/>
          </w:tcPr>
          <w:p>
            <w:pPr>
              <w:spacing w:after="0" w:line="196" w:lineRule="exact"/>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20"/>
        </w:trPr>
        <w:tc>
          <w:tcPr>
            <w:tcW w:w="180" w:type="dxa"/>
            <w:vAlign w:val="bottom"/>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720" w:type="dxa"/>
            <w:vAlign w:val="bottom"/>
            <w:gridSpan w:val="2"/>
          </w:tcPr>
          <w:p>
            <w:pPr>
              <w:spacing w:after="0" w:line="20" w:lineRule="exact"/>
              <w:rPr>
                <w:sz w:val="1"/>
                <w:szCs w:val="1"/>
                <w:color w:val="auto"/>
              </w:rPr>
            </w:pPr>
          </w:p>
        </w:tc>
      </w:tr>
      <w:tr>
        <w:trPr>
          <w:trHeight w:val="222"/>
        </w:trPr>
        <w:tc>
          <w:tcPr>
            <w:tcW w:w="1380" w:type="dxa"/>
            <w:vAlign w:val="bottom"/>
            <w:gridSpan w:val="5"/>
          </w:tcPr>
          <w:p>
            <w:pPr>
              <w:spacing w:after="0"/>
              <w:rPr>
                <w:sz w:val="20"/>
                <w:szCs w:val="20"/>
                <w:color w:val="auto"/>
              </w:rPr>
            </w:pPr>
            <w:r>
              <w:rPr>
                <w:rFonts w:ascii="Arial" w:cs="Arial" w:eastAsia="Arial" w:hAnsi="Arial"/>
                <w:sz w:val="18"/>
                <w:szCs w:val="18"/>
                <w:color w:val="auto"/>
              </w:rPr>
              <w:t>101.INS**</w:t>
            </w:r>
          </w:p>
        </w:tc>
        <w:tc>
          <w:tcPr>
            <w:tcW w:w="872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380" w:type="dxa"/>
            <w:vAlign w:val="bottom"/>
            <w:gridSpan w:val="5"/>
          </w:tcPr>
          <w:p>
            <w:pPr>
              <w:spacing w:after="0"/>
              <w:rPr>
                <w:sz w:val="20"/>
                <w:szCs w:val="20"/>
                <w:color w:val="auto"/>
              </w:rPr>
            </w:pPr>
            <w:r>
              <w:rPr>
                <w:rFonts w:ascii="Arial" w:cs="Arial" w:eastAsia="Arial" w:hAnsi="Arial"/>
                <w:sz w:val="18"/>
                <w:szCs w:val="18"/>
                <w:color w:val="auto"/>
              </w:rPr>
              <w:t>101.SCH**</w:t>
            </w:r>
          </w:p>
        </w:tc>
        <w:tc>
          <w:tcPr>
            <w:tcW w:w="8720" w:type="dxa"/>
            <w:vAlign w:val="bottom"/>
            <w:gridSpan w:val="2"/>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380" w:type="dxa"/>
            <w:vAlign w:val="bottom"/>
            <w:gridSpan w:val="5"/>
          </w:tcPr>
          <w:p>
            <w:pPr>
              <w:spacing w:after="0"/>
              <w:rPr>
                <w:sz w:val="20"/>
                <w:szCs w:val="20"/>
                <w:color w:val="auto"/>
              </w:rPr>
            </w:pPr>
            <w:r>
              <w:rPr>
                <w:rFonts w:ascii="Arial" w:cs="Arial" w:eastAsia="Arial" w:hAnsi="Arial"/>
                <w:sz w:val="18"/>
                <w:szCs w:val="18"/>
                <w:color w:val="auto"/>
              </w:rPr>
              <w:t>101.CAL**</w:t>
            </w:r>
          </w:p>
        </w:tc>
        <w:tc>
          <w:tcPr>
            <w:tcW w:w="87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380" w:type="dxa"/>
            <w:vAlign w:val="bottom"/>
            <w:gridSpan w:val="5"/>
          </w:tcPr>
          <w:p>
            <w:pPr>
              <w:spacing w:after="0"/>
              <w:rPr>
                <w:sz w:val="20"/>
                <w:szCs w:val="20"/>
                <w:color w:val="auto"/>
              </w:rPr>
            </w:pPr>
            <w:r>
              <w:rPr>
                <w:rFonts w:ascii="Arial" w:cs="Arial" w:eastAsia="Arial" w:hAnsi="Arial"/>
                <w:sz w:val="18"/>
                <w:szCs w:val="18"/>
                <w:color w:val="auto"/>
              </w:rPr>
              <w:t>101.DEF**</w:t>
            </w:r>
          </w:p>
        </w:tc>
        <w:tc>
          <w:tcPr>
            <w:tcW w:w="872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30"/>
        </w:trPr>
        <w:tc>
          <w:tcPr>
            <w:tcW w:w="1380" w:type="dxa"/>
            <w:vAlign w:val="bottom"/>
            <w:gridSpan w:val="5"/>
          </w:tcPr>
          <w:p>
            <w:pPr>
              <w:spacing w:after="0"/>
              <w:rPr>
                <w:sz w:val="20"/>
                <w:szCs w:val="20"/>
                <w:color w:val="auto"/>
              </w:rPr>
            </w:pPr>
            <w:r>
              <w:rPr>
                <w:rFonts w:ascii="Arial" w:cs="Arial" w:eastAsia="Arial" w:hAnsi="Arial"/>
                <w:sz w:val="18"/>
                <w:szCs w:val="18"/>
                <w:color w:val="auto"/>
              </w:rPr>
              <w:t>*  filed herewith</w:t>
            </w:r>
          </w:p>
        </w:tc>
        <w:tc>
          <w:tcPr>
            <w:tcW w:w="1700" w:type="dxa"/>
            <w:vAlign w:val="bottom"/>
          </w:tcPr>
          <w:p>
            <w:pPr>
              <w:spacing w:after="0"/>
              <w:rPr>
                <w:sz w:val="20"/>
                <w:szCs w:val="20"/>
                <w:color w:val="auto"/>
              </w:rPr>
            </w:pPr>
          </w:p>
        </w:tc>
        <w:tc>
          <w:tcPr>
            <w:tcW w:w="7020" w:type="dxa"/>
            <w:vAlign w:val="bottom"/>
          </w:tcPr>
          <w:p>
            <w:pPr>
              <w:spacing w:after="0"/>
              <w:rPr>
                <w:sz w:val="20"/>
                <w:szCs w:val="20"/>
                <w:color w:val="auto"/>
              </w:rPr>
            </w:pPr>
          </w:p>
        </w:tc>
      </w:tr>
    </w:tbl>
    <w:p>
      <w:pPr>
        <w:ind w:left="340" w:right="19" w:hanging="332"/>
        <w:spacing w:after="0" w:line="260" w:lineRule="auto"/>
        <w:tabs>
          <w:tab w:leader="none" w:pos="2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9" w:name="page40"/>
    <w:bookmarkEnd w:id="39"/>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7"/>
          <w:szCs w:val="17"/>
          <w:color w:val="auto"/>
        </w:rPr>
        <w:t>TELOS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John B. Wood</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Michele Nakazawa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Michele Nakazawa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33"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0740"/>
          </w:cols>
          <w:pgMar w:left="320" w:top="125" w:right="839" w:bottom="1440" w:gutter="0" w:footer="0" w:header="0"/>
        </w:sectPr>
      </w:pPr>
    </w:p>
    <w:bookmarkStart w:id="40" w:name="page41"/>
    <w:bookmarkEnd w:id="40"/>
    <w:p>
      <w:pPr>
        <w:ind w:left="10120"/>
        <w:spacing w:after="0"/>
        <w:rPr>
          <w:sz w:val="20"/>
          <w:szCs w:val="20"/>
          <w:color w:val="auto"/>
        </w:rPr>
      </w:pPr>
      <w:r>
        <w:rPr>
          <w:rFonts w:ascii="Arial" w:cs="Arial" w:eastAsia="Arial" w:hAnsi="Arial"/>
          <w:sz w:val="19"/>
          <w:szCs w:val="19"/>
          <w:b w:val="1"/>
          <w:bCs w:val="1"/>
          <w:color w:val="auto"/>
        </w:rPr>
        <w:t>Exhibit 10.1</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AGREEMENT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THIS INDEMNIFICATION AGREEMENT (this “Agreement”) is made and entered into effective as of March 1, 2021 (the “Effective Date”), by and between Telos Corporation, a Maryland corporation (collectively, with its affiliates and subsidiaries, the “Company”), and [NAME] (“Indemnitee”).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Indemnitee commenced service as [A DIRECTOR/AN OFFICER] of the Company as of a date set forth in the records of the Company (the “Start Date”);</w:t>
      </w:r>
    </w:p>
    <w:p>
      <w:pPr>
        <w:spacing w:after="0" w:line="17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WHEREAS, at the request of the Company, Indemnitee currently continues to serve in such capacity for the Company and may, because of his or her service, be subjected to claims, suits or proceedings arising as a result such service;</w:t>
      </w:r>
    </w:p>
    <w:p>
      <w:pPr>
        <w:spacing w:after="0" w:line="1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WHEREAS, as an inducement to Indemnitee to continue to serve the Company in such capacity, the Company has agreed to enter this Agreement to memorialize the terms related to indemnification and advancement of expenses and costs which may incurred by Indemnitee in connection with any claims, suits or proceedings, to the maximum extent permitted by law and as described herein;</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parties by this Agreement desire to set forth their agreement regarding indemnification and advancement of expenses; and</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Indemnitee is relying upon the provisions of this Agreement in continuing to serve in such capacity the Company.</w:t>
      </w:r>
    </w:p>
    <w:p>
      <w:pPr>
        <w:spacing w:after="0" w:line="17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NOW, THEREFORE, in consideration of the premises and the covenants contained herein, the Company and Indemnitee do hereby covenant and agree as follows:</w:t>
      </w:r>
    </w:p>
    <w:p>
      <w:pPr>
        <w:spacing w:after="0" w:line="17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left="1300" w:hanging="320"/>
        <w:spacing w:after="0" w:line="250" w:lineRule="auto"/>
        <w:tabs>
          <w:tab w:leader="none" w:pos="1300" w:val="left"/>
        </w:tabs>
        <w:numPr>
          <w:ilvl w:val="1"/>
          <w:numId w:val="12"/>
        </w:numPr>
        <w:rPr>
          <w:rFonts w:ascii="Arial" w:cs="Arial" w:eastAsia="Arial" w:hAnsi="Arial"/>
          <w:sz w:val="22"/>
          <w:szCs w:val="22"/>
          <w:color w:val="auto"/>
        </w:rPr>
      </w:pPr>
      <w:r>
        <w:rPr>
          <w:rFonts w:ascii="Arial" w:cs="Arial" w:eastAsia="Arial" w:hAnsi="Arial"/>
          <w:sz w:val="22"/>
          <w:szCs w:val="22"/>
          <w:color w:val="auto"/>
        </w:rPr>
        <w:t>“Adjudged” shall mean adjudged finally by a court or arbitral or other authority of competent jurisdiction after the exhaustion of all rights of appeal.</w:t>
      </w:r>
    </w:p>
    <w:p>
      <w:pPr>
        <w:spacing w:after="0" w:line="390" w:lineRule="exact"/>
        <w:rPr>
          <w:rFonts w:ascii="Arial" w:cs="Arial" w:eastAsia="Arial" w:hAnsi="Arial"/>
          <w:sz w:val="22"/>
          <w:szCs w:val="22"/>
          <w:color w:val="auto"/>
        </w:rPr>
      </w:pPr>
    </w:p>
    <w:p>
      <w:pPr>
        <w:jc w:val="both"/>
        <w:ind w:left="1300" w:hanging="320"/>
        <w:spacing w:after="0" w:line="270" w:lineRule="auto"/>
        <w:tabs>
          <w:tab w:leader="none" w:pos="1300" w:val="left"/>
        </w:tabs>
        <w:numPr>
          <w:ilvl w:val="1"/>
          <w:numId w:val="12"/>
        </w:numPr>
        <w:rPr>
          <w:rFonts w:ascii="Arial" w:cs="Arial" w:eastAsia="Arial" w:hAnsi="Arial"/>
          <w:sz w:val="19"/>
          <w:szCs w:val="19"/>
          <w:color w:val="auto"/>
        </w:rPr>
      </w:pPr>
      <w:r>
        <w:rPr>
          <w:rFonts w:ascii="Arial" w:cs="Arial" w:eastAsia="Arial" w:hAnsi="Arial"/>
          <w:sz w:val="19"/>
          <w:szCs w:val="19"/>
          <w:color w:val="auto"/>
        </w:rPr>
        <w:t>“Change in Control” means a change in control of the Company occurring after the Effective Date of a nature that would be required to be reported in response to Item 6(e) of Schedule 14A of Regulation 14A (or in response to any similar item on any similar schedule or form) promulgated under the Securities Exchange Act of 1934, as amended (the “Exchange Act”), whether or not the Company is then subject to such reporting requirement; provided, however, that, without limitation, such a Change in Control shall be deemed to have occurred if, after the Effective Date (i) any “person” (as such term is used in Sections 13(d) and 14(d) of the Exchange Act) is or becomes the “beneficial owner” (as defined in Rule 13d-3 under the Exchange Act), directly or indirectly, of securities of the Company representing 50% or more of the combined voting power of all of the Company’s then-outstanding securities entitled to vote generally in the election of directors without the prior approval of at least two-thirds of the members of the Board of Directors of the Company (“Board of Directors”) in office immediately prior to such person’s attaining such percentage interest; (ii) the Company is a party to a merger, consolidation, sale of assets, plan of liquidation or other reorganization not approved by at least two-thirds of the members of the Board of Directors then in office, as a consequence of which members of the Board of Directors in office immediately prior to such transaction or event constitute less than a majority of the Board of Directors thereafter; or (iii) at any time, a majority of the members of the Board of Directors are not comprised of individuals (A) who were directors as of the Effective Date or (B) whose election by the Board of Directors or nomination for election by the Company’s stockholders was approved by the affirmative vote of at least two-thirds of the directors then in office who were directors as of the Effective Date or whose election or nomination for election was previously so approved.</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1" w:name="page42"/>
    <w:bookmarkEnd w:id="41"/>
    <w:p>
      <w:pPr>
        <w:jc w:val="both"/>
        <w:ind w:left="320" w:hanging="320"/>
        <w:spacing w:after="0" w:line="269" w:lineRule="auto"/>
        <w:tabs>
          <w:tab w:leader="none" w:pos="3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“Corporate Status” means the status of a person as a present or former director, officer, employee or agent of the Company or as a director, trustee, officer, partner, manager, managing member, fiduciary, employee or agent of any other foreign or domestic corporation, partnership, limited liability company, joint venture, trust, employee benefit plan or other enterprise that such person is or was serving in such capacity at the request of the Company. Indemnitee’s Corporate Status shall be deemed to have commenced on the Start Date. As a clarification and without limiting the circumstances in which Indemnitee may be serving at the request of the Company, service by Indemnitee shall be deemed to be at the request of the Company: (i) if Indemnitee serves or served as a director, trustee, officer, partner, manager, managing member, fiduciary, employee or agent of any foreign or domestic corporation, partnership, limited liability company, joint venture, trust, employee benefit plan or other enterprise</w:t>
      </w:r>
    </w:p>
    <w:p>
      <w:pPr>
        <w:spacing w:after="0" w:line="1" w:lineRule="exact"/>
        <w:rPr>
          <w:rFonts w:ascii="Arial" w:cs="Arial" w:eastAsia="Arial" w:hAnsi="Arial"/>
          <w:sz w:val="19"/>
          <w:szCs w:val="19"/>
          <w:color w:val="auto"/>
        </w:rPr>
      </w:pPr>
    </w:p>
    <w:p>
      <w:pPr>
        <w:jc w:val="both"/>
        <w:ind w:left="320" w:firstLine="4"/>
        <w:spacing w:after="0" w:line="233" w:lineRule="auto"/>
        <w:tabs>
          <w:tab w:leader="none" w:pos="710" w:val="left"/>
        </w:tabs>
        <w:numPr>
          <w:ilvl w:val="1"/>
          <w:numId w:val="13"/>
        </w:numPr>
        <w:rPr>
          <w:rFonts w:ascii="Arial" w:cs="Arial" w:eastAsia="Arial" w:hAnsi="Arial"/>
          <w:sz w:val="22"/>
          <w:szCs w:val="22"/>
          <w:color w:val="auto"/>
        </w:rPr>
      </w:pPr>
      <w:r>
        <w:rPr>
          <w:rFonts w:ascii="Arial" w:cs="Arial" w:eastAsia="Arial" w:hAnsi="Arial"/>
          <w:sz w:val="22"/>
          <w:szCs w:val="22"/>
          <w:color w:val="auto"/>
        </w:rPr>
        <w:t>of which a majority of the voting power or equity interest is or was owned directly or indirectly by the Company, or (B) the management of which is controlled directly or indirectly by the Company; or (ii) if, as a result of Indemnitee’s service to the Company, Indemnitee is subject to duties by, or required to perform services for, an employee benefit plan or its participants or beneficiaries, including as an actual or deemed fiduciary thereof.</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320" w:right="20" w:hanging="320"/>
        <w:spacing w:after="0" w:line="274" w:lineRule="auto"/>
        <w:tabs>
          <w:tab w:leader="none" w:pos="320" w:val="left"/>
        </w:tabs>
        <w:numPr>
          <w:ilvl w:val="0"/>
          <w:numId w:val="13"/>
        </w:numPr>
        <w:rPr>
          <w:rFonts w:ascii="Arial" w:cs="Arial" w:eastAsia="Arial" w:hAnsi="Arial"/>
          <w:sz w:val="21"/>
          <w:szCs w:val="21"/>
          <w:color w:val="auto"/>
        </w:rPr>
      </w:pPr>
      <w:r>
        <w:rPr>
          <w:rFonts w:ascii="Arial" w:cs="Arial" w:eastAsia="Arial" w:hAnsi="Arial"/>
          <w:sz w:val="21"/>
          <w:szCs w:val="21"/>
          <w:color w:val="auto"/>
        </w:rPr>
        <w:t>“Disinterested Director” means a director of the Company who is not and was not a party to the Proceeding in respect of which indemnification and/or advancement of Expenses is sought by Indemnitee.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9" w:lineRule="exact"/>
        <w:rPr>
          <w:rFonts w:ascii="Arial" w:cs="Arial" w:eastAsia="Arial" w:hAnsi="Arial"/>
          <w:sz w:val="21"/>
          <w:szCs w:val="21"/>
          <w:color w:val="auto"/>
        </w:rPr>
      </w:pPr>
    </w:p>
    <w:p>
      <w:pPr>
        <w:ind w:left="320" w:hanging="320"/>
        <w:spacing w:after="0"/>
        <w:tabs>
          <w:tab w:leader="none" w:pos="3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“Effective Date” has the meaning set forth in the first paragraph of this Agreement.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5" w:lineRule="exact"/>
        <w:rPr>
          <w:rFonts w:ascii="Arial" w:cs="Arial" w:eastAsia="Arial" w:hAnsi="Arial"/>
          <w:sz w:val="22"/>
          <w:szCs w:val="22"/>
          <w:color w:val="auto"/>
        </w:rPr>
      </w:pPr>
    </w:p>
    <w:p>
      <w:pPr>
        <w:jc w:val="both"/>
        <w:ind w:left="320" w:hanging="320"/>
        <w:spacing w:after="0" w:line="235" w:lineRule="auto"/>
        <w:tabs>
          <w:tab w:leader="none" w:pos="3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“Enterprise” shall mean (i) the Company and (ii) any other corporation, partnership, limited liability company, joint venture, trust, employee benefit plan or other enterprise which is an affiliate or wholly or partially owned subsidiary of the Company and of which the Indemnitee is or was serving as a director, trustee, general partner, managing member, officer, employee, agent or fiduciary; and (iii) any other corporation, partnership, limited liability company, joint venture, trust, employee benefit plan or other enterprise of which Indemnitee is or was serving at the request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37" w:right="339" w:bottom="1440" w:gutter="0" w:footer="0" w:header="0"/>
        </w:sectPr>
      </w:pPr>
    </w:p>
    <w:bookmarkStart w:id="42" w:name="page43"/>
    <w:bookmarkEnd w:id="42"/>
    <w:p>
      <w:pPr>
        <w:ind w:left="320" w:hanging="320"/>
        <w:spacing w:after="0"/>
        <w:tabs>
          <w:tab w:leader="none" w:pos="3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“ERISA” means the Employee Retirement Income Security Act of 1974, as amended.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5" w:lineRule="exact"/>
        <w:rPr>
          <w:rFonts w:ascii="Arial" w:cs="Arial" w:eastAsia="Arial" w:hAnsi="Arial"/>
          <w:sz w:val="22"/>
          <w:szCs w:val="22"/>
          <w:color w:val="auto"/>
        </w:rPr>
      </w:pPr>
    </w:p>
    <w:p>
      <w:pPr>
        <w:jc w:val="both"/>
        <w:ind w:left="320" w:hanging="320"/>
        <w:spacing w:after="0" w:line="272" w:lineRule="auto"/>
        <w:tabs>
          <w:tab w:leader="none" w:pos="320" w:val="left"/>
        </w:tabs>
        <w:numPr>
          <w:ilvl w:val="0"/>
          <w:numId w:val="14"/>
        </w:numPr>
        <w:rPr>
          <w:rFonts w:ascii="Arial" w:cs="Arial" w:eastAsia="Arial" w:hAnsi="Arial"/>
          <w:sz w:val="19"/>
          <w:szCs w:val="19"/>
          <w:color w:val="auto"/>
        </w:rPr>
      </w:pPr>
      <w:r>
        <w:rPr>
          <w:rFonts w:ascii="Arial" w:cs="Arial" w:eastAsia="Arial" w:hAnsi="Arial"/>
          <w:sz w:val="19"/>
          <w:szCs w:val="19"/>
          <w:color w:val="auto"/>
        </w:rPr>
        <w:t>“Expenses” means any and all disbursements or expenses incurred by Indemnitee in connection with prosecuting, defending, preparing to prosecute or defend, investigating, being or preparing to be a witness in or otherwise participating in a Proceeding, including, without limitation, reasonable and out-of-pocket attorneys’ fees and costs, retainers, court costs, arbitration and mediation costs, transcript costs, fees of experts, witness fees, travel expenses, duplicating costs, printing and binding costs, telephone charges, postage, delivery service fees, paralegal and secretarial services and fees, federal, state, local or foreign taxes imposed on Indemnitee as a result of the actual or deemed receipt of any payments under this Agreement and any ERISA excise taxes and penalties. Expenses shall also include (i) expenses incurred in connection with any appeal resulting from any Proceeding including, without limitation, the premium for, security for and other costs relating to any cost bond, supersedeas bond or other appeal bond or its equivalent, (ii) expenses incurred in connection with recovery under any directors’ and officers’ liability insurance policies maintained by the Company, and (iii) expenses incurred by Indemnitee in establishing or enforcing [his][her] right to indemnification or reimbursement under this 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left="320" w:hanging="320"/>
        <w:spacing w:after="0" w:line="233" w:lineRule="auto"/>
        <w:tabs>
          <w:tab w:leader="none" w:pos="3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“Independent Counsel” means a law firm, or a member of a law firm, that is experienced in matters of corporation law and securities law and neither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or participant or witness in the Proceeding giving rise to a claim for indemnification or advancement of Expenses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jc w:val="both"/>
        <w:ind w:left="320" w:hanging="320"/>
        <w:spacing w:after="0" w:line="273" w:lineRule="auto"/>
        <w:tabs>
          <w:tab w:leader="none" w:pos="320" w:val="left"/>
        </w:tabs>
        <w:numPr>
          <w:ilvl w:val="0"/>
          <w:numId w:val="14"/>
        </w:numPr>
        <w:rPr>
          <w:rFonts w:ascii="Arial" w:cs="Arial" w:eastAsia="Arial" w:hAnsi="Arial"/>
          <w:sz w:val="19"/>
          <w:szCs w:val="19"/>
          <w:color w:val="auto"/>
        </w:rPr>
      </w:pPr>
      <w:r>
        <w:rPr>
          <w:rFonts w:ascii="Arial" w:cs="Arial" w:eastAsia="Arial" w:hAnsi="Arial"/>
          <w:sz w:val="19"/>
          <w:szCs w:val="19"/>
          <w:color w:val="auto"/>
        </w:rPr>
        <w:t>“Jointly Indemnifiable Claims” shall mean any Proceeding for which the Indemnitee shall be entitled to indemnification, advancement of expenses or insurance coverage from (i) the Company and/or any Enterprise pursuant to this Agreement, the charter or Bylaws or other governing documents of the Company or any Enterprise, any agreement or a resolution of the stockholders of the Company entitled to vote generally in the election of directors or of the Board of Directors, or otherwise, on the one hand, and (ii) any Third-Party Indemnitor pursuant to any agreement between any Third-Party Indemnitor and the Indemnitee (including without limitation insurance coverage secured by or on behalf of the Indemnitee for personal coverage) pursuant to which the Indemnitee is indemnified, the laws of the jurisdiction of incorporation or organization of any Third-Party Indemnitor and/or the certificate/articles of incorporation, certificate/articles of organization, bylaws, stockholders agreement, partnership agreement, operating agreement, certificate of formation, certificate of limited partnership or other organizational or governing documents of any Third-Party Indemnitor, on the other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37" w:right="339" w:bottom="1440" w:gutter="0" w:footer="0" w:header="0"/>
        </w:sectPr>
      </w:pPr>
    </w:p>
    <w:bookmarkStart w:id="43" w:name="page44"/>
    <w:bookmarkEnd w:id="43"/>
    <w:p>
      <w:pPr>
        <w:jc w:val="both"/>
        <w:ind w:left="968" w:hanging="320"/>
        <w:spacing w:after="0" w:line="244" w:lineRule="auto"/>
        <w:tabs>
          <w:tab w:leader="none" w:pos="968" w:val="left"/>
        </w:tabs>
        <w:numPr>
          <w:ilvl w:val="1"/>
          <w:numId w:val="15"/>
        </w:numPr>
        <w:rPr>
          <w:rFonts w:ascii="Arial" w:cs="Arial" w:eastAsia="Arial" w:hAnsi="Arial"/>
          <w:sz w:val="21"/>
          <w:szCs w:val="21"/>
          <w:color w:val="auto"/>
        </w:rPr>
      </w:pPr>
      <w:r>
        <w:rPr>
          <w:rFonts w:ascii="Arial" w:cs="Arial" w:eastAsia="Arial" w:hAnsi="Arial"/>
          <w:sz w:val="21"/>
          <w:szCs w:val="21"/>
          <w:color w:val="auto"/>
        </w:rPr>
        <w:t>“Proceeding” means any threatened, pending or completed action, suit, arbitration, mediation, alternate dispute resolution mechanism, investigation, inquiry, administrative hearing, claim, demand or discovery request or any other actual, threatened or completed proceeding, whether brought by or in the right of the Company, its stockholders, or otherwise and whether of a civil (including intentional or unintentional tort claims), criminal, administrative or investigative (formal or informal) nature, including any appeal therefrom, and including any Proceeding pending on or before the Effective Date. If Indemnitee reasonably believes that a given situation may lead to or culminate in the institution of a Proceeding, such situation shall also be considered a Proceeding. The term “Proceeding” shall be broadly construed and shall include, without limitation, the investigation, preparation, defense, settlement, arbitration, mediation, or appeal of, and the giving of testimony in or related to, any threatened, pending or completed claim, action, suit or other proceeding, whether of a civil, criminal, administrative or investigative nature.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7" w:lineRule="exact"/>
        <w:rPr>
          <w:rFonts w:ascii="Arial" w:cs="Arial" w:eastAsia="Arial" w:hAnsi="Arial"/>
          <w:sz w:val="21"/>
          <w:szCs w:val="21"/>
          <w:color w:val="auto"/>
        </w:rPr>
      </w:pPr>
    </w:p>
    <w:p>
      <w:pPr>
        <w:jc w:val="both"/>
        <w:ind w:left="968" w:hanging="320"/>
        <w:spacing w:after="0" w:line="276" w:lineRule="auto"/>
        <w:tabs>
          <w:tab w:leader="none" w:pos="968" w:val="left"/>
        </w:tabs>
        <w:numPr>
          <w:ilvl w:val="1"/>
          <w:numId w:val="15"/>
        </w:numPr>
        <w:rPr>
          <w:rFonts w:ascii="Arial" w:cs="Arial" w:eastAsia="Arial" w:hAnsi="Arial"/>
          <w:sz w:val="19"/>
          <w:szCs w:val="19"/>
          <w:color w:val="auto"/>
        </w:rPr>
      </w:pPr>
      <w:r>
        <w:rPr>
          <w:rFonts w:ascii="Arial" w:cs="Arial" w:eastAsia="Arial" w:hAnsi="Arial"/>
          <w:sz w:val="19"/>
          <w:szCs w:val="19"/>
          <w:color w:val="auto"/>
        </w:rPr>
        <w:t>“Third-Party Indemnitor” means any person or entity that has or may in the future provide to the Indemnitee any indemnification, exoneration, hold harmless or Expense advancement rights and/or insurance benefits other than</w:t>
      </w:r>
    </w:p>
    <w:p>
      <w:pPr>
        <w:spacing w:after="0" w:line="1" w:lineRule="exact"/>
        <w:rPr>
          <w:rFonts w:ascii="Arial" w:cs="Arial" w:eastAsia="Arial" w:hAnsi="Arial"/>
          <w:sz w:val="19"/>
          <w:szCs w:val="19"/>
          <w:color w:val="auto"/>
        </w:rPr>
      </w:pPr>
    </w:p>
    <w:p>
      <w:pPr>
        <w:ind w:left="968" w:right="20"/>
        <w:spacing w:after="0" w:line="236" w:lineRule="auto"/>
        <w:rPr>
          <w:rFonts w:ascii="Arial" w:cs="Arial" w:eastAsia="Arial" w:hAnsi="Arial"/>
          <w:sz w:val="19"/>
          <w:szCs w:val="19"/>
          <w:color w:val="auto"/>
        </w:rPr>
      </w:pPr>
      <w:r>
        <w:rPr>
          <w:rFonts w:ascii="Arial" w:cs="Arial" w:eastAsia="Arial" w:hAnsi="Arial"/>
          <w:sz w:val="22"/>
          <w:szCs w:val="22"/>
          <w:color w:val="auto"/>
        </w:rPr>
        <w:t>(i) the Company, (ii) any Enterprise and (iii) any entity or entities through which the Company maintains liability insurance applicable to the Indemnitee.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5" w:lineRule="exact"/>
        <w:rPr>
          <w:rFonts w:ascii="Arial" w:cs="Arial" w:eastAsia="Arial" w:hAnsi="Arial"/>
          <w:sz w:val="19"/>
          <w:szCs w:val="19"/>
          <w:color w:val="auto"/>
        </w:rPr>
      </w:pPr>
    </w:p>
    <w:p>
      <w:pPr>
        <w:jc w:val="both"/>
        <w:ind w:left="328" w:hanging="328"/>
        <w:spacing w:after="0" w:line="246" w:lineRule="auto"/>
        <w:tabs>
          <w:tab w:leader="none" w:pos="328"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Services by Indemnitee</w:t>
      </w:r>
      <w:r>
        <w:rPr>
          <w:rFonts w:ascii="Arial" w:cs="Arial" w:eastAsia="Arial" w:hAnsi="Arial"/>
          <w:sz w:val="21"/>
          <w:szCs w:val="21"/>
          <w:color w:val="auto"/>
        </w:rPr>
        <w:t>. The Company expressly confirms and agrees that it has entered into this Agreement and assumed the obligations imposed on it hereby in order to induce the Indemnitee to continue to serve the Company in the capacity earlier described, and the Company acknowledges that Indemnitee is relying upon this Agreement in continuing to serve in such capacity. However, this Agreement shall not impose any independent obligation on Indemnitee or the Company to continue Indemnitee’s service to the Company beyond any period otherwise required by law or by other agreements or commitments of the parties, if any. This Agreement shall not be deemed an employment contract between the Company (or any other entity) and Indemnitee.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59" w:lineRule="exact"/>
        <w:rPr>
          <w:rFonts w:ascii="Arial" w:cs="Arial" w:eastAsia="Arial" w:hAnsi="Arial"/>
          <w:sz w:val="21"/>
          <w:szCs w:val="21"/>
          <w:color w:val="auto"/>
        </w:rPr>
      </w:pPr>
    </w:p>
    <w:p>
      <w:pPr>
        <w:jc w:val="both"/>
        <w:ind w:left="328" w:hanging="328"/>
        <w:spacing w:after="0" w:line="274" w:lineRule="auto"/>
        <w:tabs>
          <w:tab w:leader="none" w:pos="328"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Subject in all respects to Section 4 and Section 5, the Company shall indemnify and hold harmless, and advance Expenses to, Indemnitee (a) as provided in this Agreement and (b) otherwise to the maximum extent not prohibited by (and not merely to the extent affirmatively permitted by) Maryland law in effect on the Effective Date and as amended from time to time; provided, however, that no change in Maryland law shall have the effect of reducing the benefits available to Indemnitee hereunder based on Maryland law as in effect on the Effective Date, and provided further that the benefits available to Indemnitee hereunder in fact may be broader than those permitted or provided by Maryland law on the Effective Date. The rights of Indemnitee provided in this Section 3 shall include, without limitation, the rights set forth in the other sections of this Agreement, as well as any additional indemnification permitted or provided by the charter or bylaws of the Company or Section 2-418(b) of the Maryland General Corporation Law (the “MGCL”).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37" w:right="339" w:bottom="1440" w:gutter="0" w:footer="0" w:header="0"/>
        </w:sectPr>
      </w:pPr>
    </w:p>
    <w:bookmarkStart w:id="44" w:name="page45"/>
    <w:bookmarkEnd w:id="44"/>
    <w:p>
      <w:pPr>
        <w:jc w:val="both"/>
        <w:ind w:left="328" w:hanging="328"/>
        <w:spacing w:after="0" w:line="270" w:lineRule="auto"/>
        <w:tabs>
          <w:tab w:leader="none" w:pos="328"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Standard for Indemnification</w:t>
      </w:r>
      <w:r>
        <w:rPr>
          <w:rFonts w:ascii="Arial" w:cs="Arial" w:eastAsia="Arial" w:hAnsi="Arial"/>
          <w:sz w:val="19"/>
          <w:szCs w:val="19"/>
          <w:color w:val="auto"/>
        </w:rPr>
        <w:t>. If, by reason of Indemnitee’s Corporate Status, Indemnitee is, or is threatened to be, made a party to any Proceeding, the Company shall indemnify, defend and hold harmless Indemnitee against all judgments, penalties, fines and amounts paid in settlement and shall advance all Expenses actually and reasonably incurred by Indemnitee or on Indemnitee’s behalf in connection with any such Proceeding, unless (and only to the extent) it is ultimately Adjudged that (i) the act or omission of Indemnitee was material to the matter giving rise to the Proceeding and</w:t>
      </w:r>
    </w:p>
    <w:p>
      <w:pPr>
        <w:spacing w:after="0" w:line="4" w:lineRule="exact"/>
        <w:rPr>
          <w:rFonts w:ascii="Arial" w:cs="Arial" w:eastAsia="Arial" w:hAnsi="Arial"/>
          <w:sz w:val="19"/>
          <w:szCs w:val="19"/>
          <w:color w:val="auto"/>
        </w:rPr>
      </w:pPr>
    </w:p>
    <w:p>
      <w:pPr>
        <w:jc w:val="both"/>
        <w:ind w:left="328" w:hanging="4"/>
        <w:spacing w:after="0" w:line="287" w:lineRule="auto"/>
        <w:tabs>
          <w:tab w:leader="none" w:pos="706" w:val="left"/>
        </w:tabs>
        <w:numPr>
          <w:ilvl w:val="1"/>
          <w:numId w:val="17"/>
        </w:numPr>
        <w:rPr>
          <w:rFonts w:ascii="Arial" w:cs="Arial" w:eastAsia="Arial" w:hAnsi="Arial"/>
          <w:sz w:val="19"/>
          <w:szCs w:val="19"/>
          <w:color w:val="auto"/>
        </w:rPr>
      </w:pPr>
      <w:r>
        <w:rPr>
          <w:rFonts w:ascii="Arial" w:cs="Arial" w:eastAsia="Arial" w:hAnsi="Arial"/>
          <w:sz w:val="19"/>
          <w:szCs w:val="19"/>
          <w:color w:val="auto"/>
        </w:rPr>
        <w:t>was committed in bad faith or (B) was the result of Indemnitee’s active and deliberate dishonesty; (ii) Indemnitee actually received and is Adjudged to be liable for an improper personal benefit in money, property or services; or (iii) in the case of any criminal Proceeding, Indemnitee had reasonable cause to believe that his or her conduct was unlawful.</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328" w:hanging="328"/>
        <w:spacing w:after="0"/>
        <w:tabs>
          <w:tab w:leader="none" w:pos="32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Certain Limitations</w:t>
      </w:r>
      <w:r>
        <w:rPr>
          <w:rFonts w:ascii="Arial" w:cs="Arial" w:eastAsia="Arial" w:hAnsi="Arial"/>
          <w:sz w:val="22"/>
          <w:szCs w:val="22"/>
          <w:color w:val="auto"/>
        </w:rPr>
        <w:t>. Indemnitee shall not be entitled to:</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5" w:lineRule="exact"/>
        <w:rPr>
          <w:rFonts w:ascii="Arial" w:cs="Arial" w:eastAsia="Arial" w:hAnsi="Arial"/>
          <w:sz w:val="22"/>
          <w:szCs w:val="22"/>
          <w:color w:val="auto"/>
        </w:rPr>
      </w:pPr>
    </w:p>
    <w:p>
      <w:pPr>
        <w:ind w:left="968" w:hanging="320"/>
        <w:spacing w:after="0" w:line="250" w:lineRule="auto"/>
        <w:tabs>
          <w:tab w:leader="none" w:pos="968" w:val="left"/>
        </w:tabs>
        <w:numPr>
          <w:ilvl w:val="2"/>
          <w:numId w:val="17"/>
        </w:numPr>
        <w:rPr>
          <w:rFonts w:ascii="Arial" w:cs="Arial" w:eastAsia="Arial" w:hAnsi="Arial"/>
          <w:sz w:val="22"/>
          <w:szCs w:val="22"/>
          <w:color w:val="auto"/>
        </w:rPr>
      </w:pPr>
      <w:r>
        <w:rPr>
          <w:rFonts w:ascii="Arial" w:cs="Arial" w:eastAsia="Arial" w:hAnsi="Arial"/>
          <w:sz w:val="22"/>
          <w:szCs w:val="22"/>
          <w:color w:val="auto"/>
        </w:rPr>
        <w:t>indemnification hereunder if the Proceeding was one by or in the right of the Company and Indemnitee is Adjudged to be liable to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968" w:hanging="320"/>
        <w:spacing w:after="0" w:line="250" w:lineRule="auto"/>
        <w:tabs>
          <w:tab w:leader="none" w:pos="968" w:val="left"/>
        </w:tabs>
        <w:numPr>
          <w:ilvl w:val="2"/>
          <w:numId w:val="17"/>
        </w:numPr>
        <w:rPr>
          <w:rFonts w:ascii="Arial" w:cs="Arial" w:eastAsia="Arial" w:hAnsi="Arial"/>
          <w:sz w:val="22"/>
          <w:szCs w:val="22"/>
          <w:color w:val="auto"/>
        </w:rPr>
      </w:pPr>
      <w:r>
        <w:rPr>
          <w:rFonts w:ascii="Arial" w:cs="Arial" w:eastAsia="Arial" w:hAnsi="Arial"/>
          <w:sz w:val="22"/>
          <w:szCs w:val="22"/>
          <w:color w:val="auto"/>
        </w:rPr>
        <w:t>indemnification hereunder if Indemnitee is Adjudged to be liable on the basis that personal benefit was improperly received in any Proceeding charging improper personal benefit to Indemnitee;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jc w:val="both"/>
        <w:ind w:left="968" w:hanging="320"/>
        <w:spacing w:after="0" w:line="235" w:lineRule="auto"/>
        <w:tabs>
          <w:tab w:leader="none" w:pos="968" w:val="left"/>
        </w:tabs>
        <w:numPr>
          <w:ilvl w:val="2"/>
          <w:numId w:val="17"/>
        </w:numPr>
        <w:rPr>
          <w:rFonts w:ascii="Arial" w:cs="Arial" w:eastAsia="Arial" w:hAnsi="Arial"/>
          <w:sz w:val="22"/>
          <w:szCs w:val="22"/>
          <w:color w:val="auto"/>
        </w:rPr>
      </w:pPr>
      <w:r>
        <w:rPr>
          <w:rFonts w:ascii="Arial" w:cs="Arial" w:eastAsia="Arial" w:hAnsi="Arial"/>
          <w:sz w:val="22"/>
          <w:szCs w:val="22"/>
          <w:color w:val="auto"/>
        </w:rPr>
        <w:t>indemnification or advancement of Expenses hereunder if the Proceeding was brought by Indemnitee, unless: (i) the Proceeding was brought to establish or enforce indemnification rights under this Agreement, and then only to the extent in accordance with and as authorized by Section 12 of this Agreement, or (ii) the Company’s charter or bylaws, a resolution of the stockholders entitled to vote generally in the election of directors or of the Board of Directors or an agreement approved by the Board of Directors to which the Company is a party, expressly provides otherwise.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6" w:lineRule="exact"/>
        <w:rPr>
          <w:rFonts w:ascii="Arial" w:cs="Arial" w:eastAsia="Arial" w:hAnsi="Arial"/>
          <w:sz w:val="22"/>
          <w:szCs w:val="22"/>
          <w:color w:val="auto"/>
        </w:rPr>
      </w:pPr>
    </w:p>
    <w:p>
      <w:pPr>
        <w:jc w:val="both"/>
        <w:ind w:left="328" w:hanging="328"/>
        <w:spacing w:after="0"/>
        <w:tabs>
          <w:tab w:leader="none" w:pos="32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Court-Ordered Indemnification</w:t>
      </w:r>
      <w:r>
        <w:rPr>
          <w:rFonts w:ascii="Arial" w:cs="Arial" w:eastAsia="Arial" w:hAnsi="Arial"/>
          <w:sz w:val="22"/>
          <w:szCs w:val="22"/>
          <w:color w:val="auto"/>
        </w:rPr>
        <w:t>. Notwithstanding any other provision of this Agreement (other than Section 16), a court of appropriate jurisdiction, upon application of Indemnitee and such notice as the court shall require may order indemnification of Indemnitee by the Company in the following circumstances:</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jc w:val="both"/>
        <w:ind w:left="968" w:hanging="320"/>
        <w:spacing w:after="0"/>
        <w:tabs>
          <w:tab w:leader="none" w:pos="968" w:val="left"/>
        </w:tabs>
        <w:numPr>
          <w:ilvl w:val="2"/>
          <w:numId w:val="17"/>
        </w:numPr>
        <w:rPr>
          <w:rFonts w:ascii="Arial" w:cs="Arial" w:eastAsia="Arial" w:hAnsi="Arial"/>
          <w:sz w:val="22"/>
          <w:szCs w:val="22"/>
          <w:color w:val="auto"/>
        </w:rPr>
      </w:pPr>
      <w:r>
        <w:rPr>
          <w:rFonts w:ascii="Arial" w:cs="Arial" w:eastAsia="Arial" w:hAnsi="Arial"/>
          <w:sz w:val="22"/>
          <w:szCs w:val="22"/>
          <w:color w:val="auto"/>
        </w:rPr>
        <w:t>if such court determines that Indemnitee is entitled to reimbursement under Section 2-418(d)(1) of the MGCL, the court shall order indemnification, in which case Indemnitee also shall be entitled to recover the Expenses of securing such reimbursement;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37" w:right="339" w:bottom="1440" w:gutter="0" w:footer="0" w:header="0"/>
        </w:sectPr>
      </w:pPr>
    </w:p>
    <w:bookmarkStart w:id="45" w:name="page46"/>
    <w:bookmarkEnd w:id="45"/>
    <w:p>
      <w:pPr>
        <w:jc w:val="both"/>
        <w:ind w:left="968" w:hanging="320"/>
        <w:spacing w:after="0" w:line="279" w:lineRule="auto"/>
        <w:tabs>
          <w:tab w:leader="none" w:pos="968" w:val="left"/>
        </w:tabs>
        <w:numPr>
          <w:ilvl w:val="1"/>
          <w:numId w:val="18"/>
        </w:numPr>
        <w:rPr>
          <w:rFonts w:ascii="Arial" w:cs="Arial" w:eastAsia="Arial" w:hAnsi="Arial"/>
          <w:sz w:val="19"/>
          <w:szCs w:val="19"/>
          <w:color w:val="auto"/>
        </w:rPr>
      </w:pPr>
      <w:r>
        <w:rPr>
          <w:rFonts w:ascii="Arial" w:cs="Arial" w:eastAsia="Arial" w:hAnsi="Arial"/>
          <w:sz w:val="19"/>
          <w:szCs w:val="19"/>
          <w:color w:val="auto"/>
        </w:rPr>
        <w:t>if such court determines that Indemnitee is fairly and reasonably entitled to indemnification in view of all the relevant circumstances, whether or not Indemnitee (i) has met the standards of conduct set forth in Section 2-418(b) of the MGCL or (ii) has been Adjudged liable for receipt of an improper personal benefit under Section 2-418(c) of the MGCL, the court may order such indemnification as the court shall deem proper. However, indemnification with respect to any Proceeding by or in the right of the Company or in which liability shall have been Adjudged in the circumstances described in Section 2-418(c) of the MGCL shall be limited to Expenses.</w:t>
      </w:r>
    </w:p>
    <w:p>
      <w:pPr>
        <w:spacing w:after="0" w:line="366" w:lineRule="exact"/>
        <w:rPr>
          <w:rFonts w:ascii="Arial" w:cs="Arial" w:eastAsia="Arial" w:hAnsi="Arial"/>
          <w:sz w:val="19"/>
          <w:szCs w:val="19"/>
          <w:color w:val="auto"/>
        </w:rPr>
      </w:pPr>
    </w:p>
    <w:p>
      <w:pPr>
        <w:jc w:val="both"/>
        <w:ind w:left="328" w:hanging="328"/>
        <w:spacing w:after="0" w:line="271" w:lineRule="auto"/>
        <w:tabs>
          <w:tab w:leader="none" w:pos="328"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Partial Success</w:t>
      </w:r>
      <w:r>
        <w:rPr>
          <w:rFonts w:ascii="Arial" w:cs="Arial" w:eastAsia="Arial" w:hAnsi="Arial"/>
          <w:sz w:val="19"/>
          <w:szCs w:val="19"/>
          <w:color w:val="auto"/>
        </w:rPr>
        <w:t>. Notwithstanding any other provision of this Agreement, and without limiting any such provision, to the extent that Indemnitee was or is, by reason of Indemnitee’s Corporate Status, made a party to (or otherwise becomes a participant in) any Proceeding and is successful, on the merits or otherwise, in the defense of such Proceeding, Indemnitee shall be indemnified for all Expenses actually incurred by Indemnitee or on Indemnitee’s behalf in connection therewith. In addition to any other right to indemnification under any provision of this Agreement, and without limiting any such provision, if Indemnitee is not wholly successful in a Proceeding but is successful, on the merits or otherwise, as to one or more but less than all claims, issues or matters in such Proceeding, the Company shall indemnify Indemnitee under this Section 7 for all Expenses actually and reasonably incurred by Indemnitee or on Indemnitee’s behalf in connection with each successfully resolved claim, issue or matter, allocated on a reasonable and proportionate basis. For purposes of this Section 7, and without limitation, the termination of any claim, issue or matter in such a Proceeding by dismissal, with or without prejudice, shall be deemed to be a successful result as to such claim, issue or matter. For the avoidance of doubt, in the event that Indemnitee is not wholly successful and is Adjudged liable, the Company shall indemnify Indemnitee to the maximum extent not prohibited by (and not merely to the extent affirmatively permitted by) Maryland law and as permitted by Sections 3, 4, 5 and 6 of this Agreement.</w:t>
      </w:r>
    </w:p>
    <w:p>
      <w:pPr>
        <w:spacing w:after="0" w:line="380" w:lineRule="exact"/>
        <w:rPr>
          <w:rFonts w:ascii="Arial" w:cs="Arial" w:eastAsia="Arial" w:hAnsi="Arial"/>
          <w:sz w:val="19"/>
          <w:szCs w:val="19"/>
          <w:color w:val="auto"/>
        </w:rPr>
      </w:pPr>
    </w:p>
    <w:p>
      <w:pPr>
        <w:jc w:val="both"/>
        <w:ind w:left="328" w:hanging="328"/>
        <w:spacing w:after="0" w:line="270" w:lineRule="auto"/>
        <w:tabs>
          <w:tab w:leader="none" w:pos="328"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Advancement of Expenses</w:t>
      </w:r>
      <w:r>
        <w:rPr>
          <w:rFonts w:ascii="Arial" w:cs="Arial" w:eastAsia="Arial" w:hAnsi="Arial"/>
          <w:sz w:val="19"/>
          <w:szCs w:val="19"/>
          <w:color w:val="auto"/>
        </w:rPr>
        <w:t xml:space="preserve">. If Indemnitee was, is, or is threatened to be, made a party to (or otherwise becomes a participant in) any Proceeding, the Company shall, without requiring a preliminary determination of Indemnitee’s ultimate entitlement to indemnification hereunder, advance all reasonable Expenses incurred by or on behalf of Indemnitee in connection with such Proceeding. Such advance or advances shall be made within ten (10) days after the receipt by the Company of a statement or statements requesting such advance or advances from time to time, whether prior to or after final disposition of such Proceeding, and may be in the form of, in the reasonable discretion of Indemnitee (but without duplication): (i) payment of such Expenses directly to third parties on behalf of Indemnitee; (ii) advancement to Indemnitee of funds in an amount sufficient to pay such Expenses; or (iii) reimbursement to Indemnitee for Indemnitee’s payment of such Expenses. Such statement or statements shall reasonably evidence the Expenses incurred by or on behalf of Indemnitee and shall include or be preceded or accompanied by a written affirmation and undertaking by or on behalf of Indemnitee, in substantially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in such form as may be required under applicable law as in effect at the time of the execution thereof, to reimburse the portion (if any) of any Expenses advanced to Indemnitee relating to claims, issues or matters in the Proceeding as to which it shall ultimately be Adjudged by clear and convincing evidence, that the standard of conduct for indemnification has not been met by Indemnitee and which have not been successfully resolved as described in Section 7 of this Agreement. To the extent that Expenses advanced to Indemnitee do not relate to a specific claim, issue or matter in the Proceeding, such Expenses shall be allocated on a reasonable and proportionate basis taking into account all the circumstances. The undertaking required by this Section 8 shall be an unlimited general obligation by or on behalf of Indemnitee and shall be accepted without reference to Indemnitee’s financial ability to repay such advanced Expenses and without any requirement to post security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37" w:right="339" w:bottom="1440" w:gutter="0" w:footer="0" w:header="0"/>
        </w:sectPr>
      </w:pPr>
    </w:p>
    <w:bookmarkStart w:id="46" w:name="page47"/>
    <w:bookmarkEnd w:id="46"/>
    <w:p>
      <w:pPr>
        <w:jc w:val="both"/>
        <w:ind w:left="328" w:hanging="328"/>
        <w:spacing w:after="0" w:line="273" w:lineRule="auto"/>
        <w:tabs>
          <w:tab w:leader="none" w:pos="328"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Indemnitee as Witness or Other Participant</w:t>
      </w:r>
      <w:r>
        <w:rPr>
          <w:rFonts w:ascii="Arial" w:cs="Arial" w:eastAsia="Arial" w:hAnsi="Arial"/>
          <w:sz w:val="19"/>
          <w:szCs w:val="19"/>
          <w:color w:val="auto"/>
        </w:rPr>
        <w:t xml:space="preserve">. Notwithstanding any other provision of this Agreement, to the extent that Indemnitee was, is or may be, by reason of Indemnitee’s Corporate Status, made a witness or otherwise asked to participate in any Proceeding, including without limitation through any deposition, interview, interrogatory or document or similar request, whether instituted by the Company or any other party, and to which Indemnitee is not a party, Indemnitee shall be advanced all reasonable Expenses and indemnified and held harmless against all Expenses actually and reasonably incurred by Indemnitee or on Indemnitee’s behalf in connection therewith within ten (10) days after the receipt by the Company of a statement or statements requesting any such advance or indemnification from time to time, whether prior to or after final disposition of such Proceeding. Such statement or statements shall reasonably evidence the Expenses incurred by Indemnitee. In connection with any such advancement of Expenses, the Company may require Indemnitee to provide a written affirmation and undertaking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left="328" w:hanging="328"/>
        <w:spacing w:after="0"/>
        <w:tabs>
          <w:tab w:leader="none" w:pos="328"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Procedure for Determination of Entitlement to Indemnification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5" w:lineRule="exact"/>
        <w:rPr>
          <w:rFonts w:ascii="Arial" w:cs="Arial" w:eastAsia="Arial" w:hAnsi="Arial"/>
          <w:sz w:val="22"/>
          <w:szCs w:val="22"/>
          <w:color w:val="auto"/>
        </w:rPr>
      </w:pPr>
    </w:p>
    <w:p>
      <w:pPr>
        <w:jc w:val="both"/>
        <w:ind w:left="968" w:hanging="320"/>
        <w:spacing w:after="0" w:line="277" w:lineRule="auto"/>
        <w:tabs>
          <w:tab w:leader="none" w:pos="968" w:val="left"/>
        </w:tabs>
        <w:numPr>
          <w:ilvl w:val="1"/>
          <w:numId w:val="20"/>
        </w:numPr>
        <w:rPr>
          <w:rFonts w:ascii="Arial" w:cs="Arial" w:eastAsia="Arial" w:hAnsi="Arial"/>
          <w:sz w:val="19"/>
          <w:szCs w:val="19"/>
          <w:color w:val="auto"/>
        </w:rPr>
      </w:pPr>
      <w:r>
        <w:rPr>
          <w:rFonts w:ascii="Arial" w:cs="Arial" w:eastAsia="Arial" w:hAnsi="Arial"/>
          <w:sz w:val="19"/>
          <w:szCs w:val="19"/>
          <w:color w:val="auto"/>
        </w:rPr>
        <w:t>To obtain indemnification under this Agreement, Indemnitee shall submit to the Company, through its General Counsel, a written request, including therein or therewith such documentation and information as is reasonably available to Indemnitee and is reasonably necessary or appropriate to determine whether and to what extent Indemnitee is entitled to indemnification. Indemnitee may submit one or more such requests from time to time and at such time(s) as Indemnitee deems appropriate in Indemnitee’s sole discretion. The General Counsel of the Company, upon receiving any such request from Indemnitee, shall promptly advise the Board of Directors of the Company that Indemnitee has requested indemnification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37" w:right="339" w:bottom="1440" w:gutter="0" w:footer="0" w:header="0"/>
        </w:sectPr>
      </w:pPr>
    </w:p>
    <w:bookmarkStart w:id="47" w:name="page48"/>
    <w:bookmarkEnd w:id="47"/>
    <w:p>
      <w:pPr>
        <w:jc w:val="both"/>
        <w:ind w:left="968" w:hanging="320"/>
        <w:spacing w:after="0" w:line="269" w:lineRule="auto"/>
        <w:tabs>
          <w:tab w:leader="none" w:pos="968" w:val="left"/>
        </w:tabs>
        <w:numPr>
          <w:ilvl w:val="1"/>
          <w:numId w:val="21"/>
        </w:numPr>
        <w:rPr>
          <w:rFonts w:ascii="Arial" w:cs="Arial" w:eastAsia="Arial" w:hAnsi="Arial"/>
          <w:sz w:val="19"/>
          <w:szCs w:val="19"/>
          <w:color w:val="auto"/>
        </w:rPr>
      </w:pPr>
      <w:r>
        <w:rPr>
          <w:rFonts w:ascii="Arial" w:cs="Arial" w:eastAsia="Arial" w:hAnsi="Arial"/>
          <w:sz w:val="19"/>
          <w:szCs w:val="19"/>
          <w:color w:val="auto"/>
        </w:rPr>
        <w:t>Upon written request by Indemnitee for indemnification pursuant to Section 10(a) above, a determination, if required by applicable law, with respect to Indemnitee’s entitlement thereto shall promptly be made in the specific case: (i) if a Change in Control shall have occurred, by Independent Counsel in a written opinion to the Board of Directors, a copy of which shall be delivered to Indemnitee, which Independent Counsel shall be selected by Indemnitee and approved by the Board of Directors in accordance with Section 2-418(e)(2)(ii) of the MGCL, which approval shall not be unreasonably withheld; or (ii) if a Change in Control shall not have occurred, (A) by the Board of Directors by a majority vote of a quorum consisting of Disinterested Directors or, if such a quorum cannot be obtained, then by a majority vote of a duly authorized committee of the Board of Directors consisting solely of one or more Disinterested Directors, (B) if Independent Counsel has been selected by the Board of Directors in accordance with Section 2-418(e)(2)(ii) of the MGCL and approved by Indemnitee, which approval shall not be unreasonably withheld or delayed, by Independent Counsel in a written opinion to the Board of Directors, a copy of which shall be delivered to Indemnitee, or (C) if so directed by at least a majority of the members of the Board of Directors, the stockholders of the Company. If it is so determined that Indemnitee is entitled to indemnification, payment to Indemnitee shall be made within ten (10) days after such determination. Any Independent Counsel, or member of the Board of Directors shall act reasonably and in good faith in making a determination regarding Indemnitee’s entitlement to indemnification under this Agreement. Indemnitee shall cooperate with the Company (including Independent Counsel selected by the Company) in its determination of Indemnitee’s entitlement to indemnification, including providing to the Company, upon reasonable advance written request, any documentation or information which is not privileged or otherwise protected from disclosure and which is reasonably available to Indemnitee and reasonably necessary or appropriate to such determination in the discretion of the Board of Directors or Independent Counsel, as applicable; provided, however, in connection with such cooperation Indemnitee shall not be required to waive any applicable privilege or work product protection. Any Expenses incurred by Indemnitee in so cooperating with the Company or Independent Counsel shall be borne by the Company (irrespective of the determination as to Indemnitee’s entitlement to indemnification) and the Company shall indemnify and hold Indemnitee harmless therefrom.</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left="968" w:hanging="320"/>
        <w:spacing w:after="0" w:line="287" w:lineRule="auto"/>
        <w:tabs>
          <w:tab w:leader="none" w:pos="968"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Company shall pay the reasonable fees and expenses of any Independent Counsel and to fully indemnify such counsel against any and all Expenses, claims, liabilities and damages arising out of or relating to this Agreement or its engagement pursuant hereto. In no event shall the Indemnitee be required or requested to pay any such fees or expenses or to provide any such indemnification to any Independent Counsel.</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ind w:left="328" w:hanging="328"/>
        <w:spacing w:after="0"/>
        <w:tabs>
          <w:tab w:leader="none" w:pos="328"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Presumptions and Effect of Certain Proceedings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jc w:val="both"/>
        <w:ind w:left="968" w:hanging="320"/>
        <w:spacing w:after="0" w:line="235" w:lineRule="auto"/>
        <w:tabs>
          <w:tab w:leader="none" w:pos="968" w:val="left"/>
        </w:tabs>
        <w:numPr>
          <w:ilvl w:val="1"/>
          <w:numId w:val="22"/>
        </w:numPr>
        <w:rPr>
          <w:rFonts w:ascii="Arial" w:cs="Arial" w:eastAsia="Arial" w:hAnsi="Arial"/>
          <w:sz w:val="22"/>
          <w:szCs w:val="22"/>
          <w:color w:val="auto"/>
        </w:rPr>
      </w:pPr>
      <w:r>
        <w:rPr>
          <w:rFonts w:ascii="Arial" w:cs="Arial" w:eastAsia="Arial" w:hAnsi="Arial"/>
          <w:sz w:val="22"/>
          <w:szCs w:val="22"/>
          <w:color w:val="auto"/>
        </w:rPr>
        <w:t>In making any determination with respect to entitlement to indemnification hereunder, the person or persons or entity making such determination shall presume that Indemnitee is entitled to indemnification under this Agreement if Indemnitee has submitted a request for indemnification in accordance with Section 10(a) of this Agreement, and the Company shall have the burden of proof and the burden of persuasion by clear and convincing evidence to overcome that presumption in connection with the making of any determination contrary to that presumption.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37" w:right="339" w:bottom="1440" w:gutter="0" w:footer="0" w:header="0"/>
        </w:sectPr>
      </w:pPr>
    </w:p>
    <w:bookmarkStart w:id="48" w:name="page49"/>
    <w:bookmarkEnd w:id="48"/>
    <w:p>
      <w:pPr>
        <w:jc w:val="both"/>
        <w:ind w:left="320" w:hanging="320"/>
        <w:spacing w:after="0" w:line="245" w:lineRule="auto"/>
        <w:tabs>
          <w:tab w:leader="none" w:pos="320"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termination of any Proceeding, or of any claim, issue or matter therein, by any disposition other than a final judgment on the merits after exhaustion of all rights of appeal against Indemnitee, shall not create a presumption that Indemnitee did not meet the requisite standard of conduct described in this Agreement, including without limitation in Section 4 hereof, for indemnification. For the sake of clarity and the avoidance of doubt, a termination of any Proceeding, or of any claim, issue or matter therein, by way of settlement, the conviction upon a plea of nolo contendere or its equivalent, or the entry of an order of probation before or prior to judgment or its equivalent, shall not constitute a matter Adjudged against the Indemnitee within the meaning of Section 4 hereof and shall not create a presumption that Indemnitee did not meet the requisite standard of conduct described herein for indemnification.</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3" w:lineRule="exact"/>
        <w:rPr>
          <w:rFonts w:ascii="Arial" w:cs="Arial" w:eastAsia="Arial" w:hAnsi="Arial"/>
          <w:sz w:val="21"/>
          <w:szCs w:val="21"/>
          <w:color w:val="auto"/>
        </w:rPr>
      </w:pPr>
    </w:p>
    <w:p>
      <w:pPr>
        <w:jc w:val="both"/>
        <w:ind w:left="320" w:hanging="320"/>
        <w:spacing w:after="0" w:line="236" w:lineRule="auto"/>
        <w:tabs>
          <w:tab w:leader="none" w:pos="3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knowledge and/or actions, or failure to act, of any other director, officer, employee or agent of the Company or any other director, trustee, officer, partner, manager, managing member, fiduciary, employee or agent of any other foreign or domestic corporation, partnership, limited liability company, joint venture, trust, employee benefit plan or other enterprise shall not be imputed to Indemnitee for purposes of determining any right to indemnification under this Agreement.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6" w:lineRule="exact"/>
        <w:rPr>
          <w:rFonts w:ascii="Arial" w:cs="Arial" w:eastAsia="Arial" w:hAnsi="Arial"/>
          <w:sz w:val="22"/>
          <w:szCs w:val="22"/>
          <w:color w:val="auto"/>
        </w:rPr>
      </w:pPr>
    </w:p>
    <w:p>
      <w:pPr>
        <w:jc w:val="both"/>
        <w:ind w:left="320" w:hanging="320"/>
        <w:spacing w:after="0" w:line="272" w:lineRule="auto"/>
        <w:tabs>
          <w:tab w:leader="none" w:pos="3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For purposes of any determination as to Indemnitee’s entitlement to indemnification, Indemnitee shall be presumed to have met the standard of conduct for indemnification if, among other things and without limitation, Indemnitee relied on any information, opinion, report or statement, including any financial statement or other financial data or the records or books of account of the Company or any Enterprise, prepared or presented by an officer or employee of the Company or any Enterprise whom Indemnitee reasonably believed to be reliable and competent in the matters presented, by a lawyer, certified public accountant, appraiser or other person, as to a matter which Indemnitee reasonably believed to be within the person’s professional or expert competence, or, if Indemnitee was serving on the Board of Directors of the Company or as a member of any similar body of any Enterprise, by a committee of the Board of Directors or such other body on which Indemnitee does not serve, as to a matter within its designated authority, if Indemnitee reasonably believes the committee to merit confidence. The provisions of this Section 11(d) shall not be deemed to be exclusive or to limit in any way the other circumstances in which Indemnitee met, or be presumed to have met, the applicable standard of conduct set forth in this 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left="320" w:hanging="320"/>
        <w:spacing w:after="0" w:line="275" w:lineRule="auto"/>
        <w:tabs>
          <w:tab w:leader="none" w:pos="3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For purposes of this Agreement, Indemnitee shall be considered to have been wholly successful with respect to any Proceeding if such Proceeding is disposed of, on the merits or otherwise (including a disposition without prejudice), without (i) the disposition being adverse to Indemnitee, (ii) it being Adjudged that Indemnitee was liable to the Company, (iii) a plea of guilty by Indemnitee, (iv) it being Adjudged that an act or omission of Indemnitee was material to the matter giving rise to the Proceeding and was (A) committed in bad faith or (B) the result of Indemnitee’s active and deliberate dishonesty, (v) it being Adjudged that Indemnitee actually received an improper personal benefit in money, property or services or (vi) with respect to any criminal proceeding, it being Adjudged that Indemnitee had reasonable cause to believe the act or omission was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37" w:right="339" w:bottom="1440" w:gutter="0" w:footer="0" w:header="0"/>
        </w:sectPr>
      </w:pPr>
    </w:p>
    <w:bookmarkStart w:id="49" w:name="page50"/>
    <w:bookmarkEnd w:id="49"/>
    <w:p>
      <w:pPr>
        <w:ind w:left="328" w:hanging="328"/>
        <w:spacing w:after="0"/>
        <w:tabs>
          <w:tab w:leader="none" w:pos="328"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Remedies of Indemnitee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jc w:val="both"/>
        <w:ind w:left="968" w:hanging="320"/>
        <w:spacing w:after="0" w:line="243" w:lineRule="auto"/>
        <w:tabs>
          <w:tab w:leader="none" w:pos="968" w:val="left"/>
        </w:tabs>
        <w:numPr>
          <w:ilvl w:val="1"/>
          <w:numId w:val="24"/>
        </w:numPr>
        <w:rPr>
          <w:rFonts w:ascii="Arial" w:cs="Arial" w:eastAsia="Arial" w:hAnsi="Arial"/>
          <w:sz w:val="21"/>
          <w:szCs w:val="21"/>
          <w:color w:val="auto"/>
        </w:rPr>
      </w:pPr>
      <w:r>
        <w:rPr>
          <w:rFonts w:ascii="Arial" w:cs="Arial" w:eastAsia="Arial" w:hAnsi="Arial"/>
          <w:sz w:val="21"/>
          <w:szCs w:val="21"/>
          <w:color w:val="auto"/>
        </w:rPr>
        <w:t>If (i) a determination is made pursuant to Section 10(b) of this Agreement that Indemnitee is not entitled to indemnification under this Agreement; (ii) advancement of Expenses is not timely made pursuant to Sections 8 or 9 of this Agreement; (iii) no determination of entitlement to indemnification shall have been made pursuant to Section 10(b) of this Agreement within sixty (60) days after receipt by the Company of the request for indemnification; (iv) payment of indemnification is not made pursuant to Sections 7 or 9 of this Agreement within fifteen (15) days after receipt by the Company of a written request therefor; or (v) payment of indemnification pursuant to any other section of this Agreement or the charter or bylaws of the Company is not made within fifteen (15) days after a determination has been made that Indemnitee is entitled to indemnification, Indemnitee shall be entitled to an adjudication in an appropriate court located in the State of Maryland or the Commonwealth of Virginia, or in any other court of competent jurisdiction, with regard to Indemnitee’s entitlement to indemnification or advancement of Expenses. Alternatively, Indemnitee, at Indemnitee’s option, may seek an award in arbitration to be conducted by a single arbitrator pursuant to the Commercial Arbitration Rules of the American Arbitration Association. Indemnitee shall commence a proceeding seeking an adjudication or an award in arbitration within one hundred eighty (180) days following the date on which Indemnitee first has the right to commence such proceeding pursuant to this Section 12(a); provided, however, that the foregoing clause shall not apply to a proceeding brought by Indemnitee to enforce his or her rights under Section 7 of this Agreement. Except as set forth herein, the provisions of Maryland law (without regard to its conflicts of laws rules) shall apply to any such arbitration. The Company shall not oppose Indemnitee’s right to seek any such adjudication or award in arbitration.</w:t>
      </w:r>
    </w:p>
    <w:p>
      <w:pPr>
        <w:spacing w:after="0" w:line="200" w:lineRule="exact"/>
        <w:rPr>
          <w:rFonts w:ascii="Arial" w:cs="Arial" w:eastAsia="Arial" w:hAnsi="Arial"/>
          <w:sz w:val="21"/>
          <w:szCs w:val="21"/>
          <w:color w:val="auto"/>
        </w:rPr>
      </w:pPr>
    </w:p>
    <w:p>
      <w:pPr>
        <w:spacing w:after="0" w:line="203" w:lineRule="exact"/>
        <w:rPr>
          <w:rFonts w:ascii="Arial" w:cs="Arial" w:eastAsia="Arial" w:hAnsi="Arial"/>
          <w:sz w:val="21"/>
          <w:szCs w:val="21"/>
          <w:color w:val="auto"/>
        </w:rPr>
      </w:pPr>
    </w:p>
    <w:p>
      <w:pPr>
        <w:jc w:val="both"/>
        <w:ind w:left="968" w:hanging="320"/>
        <w:spacing w:after="0" w:line="273" w:lineRule="auto"/>
        <w:tabs>
          <w:tab w:leader="none" w:pos="968" w:val="left"/>
        </w:tabs>
        <w:numPr>
          <w:ilvl w:val="1"/>
          <w:numId w:val="24"/>
        </w:numPr>
        <w:rPr>
          <w:rFonts w:ascii="Arial" w:cs="Arial" w:eastAsia="Arial" w:hAnsi="Arial"/>
          <w:sz w:val="19"/>
          <w:szCs w:val="19"/>
          <w:color w:val="auto"/>
        </w:rPr>
      </w:pPr>
      <w:r>
        <w:rPr>
          <w:rFonts w:ascii="Arial" w:cs="Arial" w:eastAsia="Arial" w:hAnsi="Arial"/>
          <w:sz w:val="19"/>
          <w:szCs w:val="19"/>
          <w:color w:val="auto"/>
        </w:rPr>
        <w:t>In any judicial proceeding or arbitration commenced pursuant to this Section 12, Indemnitee shall be presumed to be entitled to indemnification or advancement of Expenses, as the case may be, under this Agreement and the Company shall have the burden of proving that Indemnitee is not entitled to indemnification or advancement of Expenses, as the case may be. If Indemnitee commences a judicial proceeding or arbitration pursuant to this Section 12, Indemnitee shall not be required to reimburse the Company for any advances pursuant to Section 8 of this Agreement until a final determination is made with respect to Indemnitee’s entitlement to indemnification (as to which all rights of appeal have been exhausted or lapsed). The Company shall, to the fullest extent not prohibited by law,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of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37" w:right="339" w:bottom="1440" w:gutter="0" w:footer="0" w:header="0"/>
        </w:sectPr>
      </w:pPr>
    </w:p>
    <w:bookmarkStart w:id="50" w:name="page51"/>
    <w:bookmarkEnd w:id="50"/>
    <w:p>
      <w:pPr>
        <w:jc w:val="both"/>
        <w:ind w:left="968" w:hanging="320"/>
        <w:spacing w:after="0" w:line="282" w:lineRule="auto"/>
        <w:tabs>
          <w:tab w:leader="none" w:pos="968" w:val="left"/>
        </w:tabs>
        <w:numPr>
          <w:ilvl w:val="1"/>
          <w:numId w:val="25"/>
        </w:numPr>
        <w:rPr>
          <w:rFonts w:ascii="Arial" w:cs="Arial" w:eastAsia="Arial" w:hAnsi="Arial"/>
          <w:sz w:val="19"/>
          <w:szCs w:val="19"/>
          <w:color w:val="auto"/>
        </w:rPr>
      </w:pPr>
      <w:r>
        <w:rPr>
          <w:rFonts w:ascii="Arial" w:cs="Arial" w:eastAsia="Arial" w:hAnsi="Arial"/>
          <w:sz w:val="19"/>
          <w:szCs w:val="19"/>
          <w:color w:val="auto"/>
        </w:rPr>
        <w:t>If a determination shall have been made pursuant to Section 10(b) of this Agreement that Indemnitee is entitled to indemnification, the Company shall be bound by such determination in any judicial proceeding or arbitration commenced pursuant to this Section 12, absent a misstatement by Indemnitee of a material fact, or an omission of a material fact necessary to make Indemnitee’s statement not materially misleading, in connection with the request for indemnification that was not disclosed in connection with the determination.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jc w:val="both"/>
        <w:ind w:left="968" w:hanging="320"/>
        <w:spacing w:after="0" w:line="246" w:lineRule="auto"/>
        <w:tabs>
          <w:tab w:leader="none" w:pos="968" w:val="left"/>
        </w:tabs>
        <w:numPr>
          <w:ilvl w:val="1"/>
          <w:numId w:val="25"/>
        </w:numPr>
        <w:rPr>
          <w:rFonts w:ascii="Arial" w:cs="Arial" w:eastAsia="Arial" w:hAnsi="Arial"/>
          <w:sz w:val="21"/>
          <w:szCs w:val="21"/>
          <w:color w:val="auto"/>
        </w:rPr>
      </w:pPr>
      <w:r>
        <w:rPr>
          <w:rFonts w:ascii="Arial" w:cs="Arial" w:eastAsia="Arial" w:hAnsi="Arial"/>
          <w:sz w:val="21"/>
          <w:szCs w:val="21"/>
          <w:color w:val="auto"/>
        </w:rPr>
        <w:t>In the event that Indemnitee, pursuant to this Section 12, seeks a judicial adjudication of or an award in arbitration to enforce Indemnitee’s rights under, or to recover damages for breach of, this Agreement, Indemnitee shall be entitled to advancement from the Company, and shall be indemnified and held harmless by the Company for, any and all Expenses actually and reasonably incurred by him or her in such judicial adjudication or arbitration. If it shall be determined in such judicial adjudication or arbitration that Indemnitee is entitled to receive part but not all of the indemnification or advancement of Expenses sought, the Expenses incurred by Indemnitee in connection with such judicial adjudication or arbitration shall be appropriately allocated and/or prorated, taking into account all the circumstances.</w:t>
      </w:r>
    </w:p>
    <w:p>
      <w:pPr>
        <w:spacing w:after="0" w:line="395" w:lineRule="exact"/>
        <w:rPr>
          <w:rFonts w:ascii="Arial" w:cs="Arial" w:eastAsia="Arial" w:hAnsi="Arial"/>
          <w:sz w:val="21"/>
          <w:szCs w:val="21"/>
          <w:color w:val="auto"/>
        </w:rPr>
      </w:pPr>
    </w:p>
    <w:p>
      <w:pPr>
        <w:jc w:val="both"/>
        <w:ind w:left="968" w:hanging="320"/>
        <w:spacing w:after="0" w:line="225" w:lineRule="auto"/>
        <w:tabs>
          <w:tab w:leader="none" w:pos="968" w:val="left"/>
        </w:tabs>
        <w:numPr>
          <w:ilvl w:val="1"/>
          <w:numId w:val="25"/>
        </w:numPr>
        <w:rPr>
          <w:rFonts w:ascii="Arial" w:cs="Arial" w:eastAsia="Arial" w:hAnsi="Arial"/>
          <w:sz w:val="21"/>
          <w:szCs w:val="21"/>
          <w:color w:val="auto"/>
        </w:rPr>
      </w:pPr>
      <w:r>
        <w:rPr>
          <w:rFonts w:ascii="Arial" w:cs="Arial" w:eastAsia="Arial" w:hAnsi="Arial"/>
          <w:sz w:val="21"/>
          <w:szCs w:val="21"/>
          <w:color w:val="auto"/>
        </w:rPr>
        <w:t>Interest shall be paid by the Company to Indemnitee at the maximum rate allowed to be charged for judgments under the Courts and Judicial Proceedings Article of the Annotated Code of Maryland for amounts which the Company pays or is obligated to pay for the period (i) commencing with either the 10</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day after the date on which the Company was requested to advance Expenses in accordance with Sections 8 or 9 of this Agreement or the 45th day after the date on which the Company was requested to make the determination of entitlement to indemnification under Section 10(b) of this Agreement, as applicable, and (ii) ending on the date such payment is made to Indemnitee by the Company.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51" w:lineRule="exact"/>
        <w:rPr>
          <w:rFonts w:ascii="Arial" w:cs="Arial" w:eastAsia="Arial" w:hAnsi="Arial"/>
          <w:sz w:val="21"/>
          <w:szCs w:val="21"/>
          <w:color w:val="auto"/>
        </w:rPr>
      </w:pPr>
    </w:p>
    <w:p>
      <w:pPr>
        <w:ind w:left="328" w:hanging="328"/>
        <w:spacing w:after="0"/>
        <w:tabs>
          <w:tab w:leader="none" w:pos="328"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Defense of Underlying Proceeding</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jc w:val="both"/>
        <w:ind w:left="968" w:hanging="320"/>
        <w:spacing w:after="0" w:line="245" w:lineRule="auto"/>
        <w:tabs>
          <w:tab w:leader="none" w:pos="968" w:val="left"/>
        </w:tabs>
        <w:numPr>
          <w:ilvl w:val="1"/>
          <w:numId w:val="26"/>
        </w:numPr>
        <w:rPr>
          <w:rFonts w:ascii="Arial" w:cs="Arial" w:eastAsia="Arial" w:hAnsi="Arial"/>
          <w:sz w:val="21"/>
          <w:szCs w:val="21"/>
          <w:color w:val="auto"/>
        </w:rPr>
      </w:pPr>
      <w:r>
        <w:rPr>
          <w:rFonts w:ascii="Arial" w:cs="Arial" w:eastAsia="Arial" w:hAnsi="Arial"/>
          <w:sz w:val="21"/>
          <w:szCs w:val="21"/>
          <w:color w:val="auto"/>
        </w:rPr>
        <w:t>Indemnitee shall notify the Company promptly in writing upon being served with or receiving any summons, citation, subpoena, complaint, indictment, notice, request or other document relating to any Proceeding which may result in the right to indemnification or the advancement of Expenses hereunder and shall include with such notice (or promptly after delivery of such notice) a description of the nature of the Proceeding and a summary of the facts underlying the Proceeding. The failure to give any such notice shall not disqualify Indemnitee from the right, or otherwise affect in any manner any right of Indemnitee, to indemnification or the advancement of Expenses under this Agreement, unless the Company’s ability to defend in such Proceeding or to obtain proceeds under any insurance policy is materially and adversely prejudiced thereby, and then only to the extent the Company is thereby actually so prejudiced.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37" w:right="339" w:bottom="1440" w:gutter="0" w:footer="0" w:header="0"/>
        </w:sectPr>
      </w:pPr>
    </w:p>
    <w:bookmarkStart w:id="51" w:name="page52"/>
    <w:bookmarkEnd w:id="51"/>
    <w:p>
      <w:pPr>
        <w:jc w:val="both"/>
        <w:ind w:left="320" w:hanging="320"/>
        <w:spacing w:after="0" w:line="271" w:lineRule="auto"/>
        <w:tabs>
          <w:tab w:leader="none" w:pos="3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Subject to the provisions of the last sentence of this Section 13(b) and of Section 13(c) below, the Company shall have the right to defend Indemnitee in any Proceeding which may give rise to indemnification hereunder using a law firm of the Company’s choice, subject to the prior written approval of the Indemnitee, which shall not be unreasonably withheld; provided, however, that the Company shall notify Indemnitee in writing of any such decision to defend within fifteen (15) calendar days following receipt of notice of any such Proceeding under Section 13(a) above. Indemnitee shall have the right to retain a separate law firm in any such Proceeding at Indemnitee’s sole expense. The Company shall not, without the prior written consent of Indemnitee, which shall not be unreasonably withheld or delayed, consent to the entry of any judgment against Indemnitee or enter into any settlement or compromise of a claim against Indemnitee which (i) includes an admission of fault of Indemnitee; (ii) does not include, as an unconditional term thereof, (A) the full release with prejudice of Indemnitee from all liability in respect of such Proceeding, which release shall be in form and substance reasonably satisfactory to Indemnitee and (B) the complete dismissal of all claims against the Indemnitee with prejudice; or (iii) would impose any Expense, judgment, fine, penalty or limitation on Indemnitee. This Section 13(b) shall not apply to a Proceeding brought by Indemnitee under Section 12 of this Agreement, a Proceeding by or in the right of the Company or in the case of clause (ii) of Section 13(c).</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jc w:val="both"/>
        <w:ind w:left="320" w:hanging="320"/>
        <w:spacing w:after="0" w:line="271" w:lineRule="auto"/>
        <w:tabs>
          <w:tab w:leader="none" w:pos="3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Notwithstanding the provisions of Section 12(b) above, if in a Proceeding to which Indemnitee is a party, (i) Indemnitee reasonably concludes, based upon advice of counsel approved by the Company, which approval shall not be unreasonably withheld or delayed, that Indemnitee may have separate defenses or counterclaims to assert with respect to any issue which may not be consistent with other defendants in such Proceeding, (ii) Indemnitee reasonably concludes, based upon advice of counsel approved by the Company, which approval shall not be unreasonably withheld or delayed, that an actual or apparent conflict of interest or potential conflict of interest exists between Indemnitee and the Company, or (iii) if the Company fails to assume the defense of such Proceeding in a timely manner, Indemnitee shall be entitled to be represented by separate legal counsel of Indemnitee’s choice, subject, except in the case of (ii) or (iii) above, to the prior approval of the Company, which approval shall not be unreasonably withheld or delayed, at the sole expense of the Company. In addition, if the Company fails to comply with any of its obligations under this Agreement or in the event that the Company or any other person takes any action to declare this Agreement void or unenforceable, or institutes any Proceeding to deny or to recover from Indemnitee the benefits intended to be provided to Indemnitee hereunder, Indemnitee shall have the right to retain counsel of Indemnitee’s choice, subject to the prior approval of the Company, which approval shall not be unreasonably withheld or delayed, at the sole expense of the Company (subject to Section 12(d) of this Agreement), to represent Indemnitee in connection with any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37" w:right="339" w:bottom="1440" w:gutter="0" w:footer="0" w:header="0"/>
        </w:sectPr>
      </w:pPr>
    </w:p>
    <w:bookmarkStart w:id="52" w:name="page53"/>
    <w:bookmarkEnd w:id="52"/>
    <w:p>
      <w:pPr>
        <w:jc w:val="both"/>
        <w:ind w:left="328" w:hanging="328"/>
        <w:spacing w:after="0" w:line="270" w:lineRule="auto"/>
        <w:tabs>
          <w:tab w:leader="none" w:pos="328"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Jointly Indemnifiable Claims</w:t>
      </w:r>
      <w:r>
        <w:rPr>
          <w:rFonts w:ascii="Arial" w:cs="Arial" w:eastAsia="Arial" w:hAnsi="Arial"/>
          <w:sz w:val="19"/>
          <w:szCs w:val="19"/>
          <w:color w:val="auto"/>
        </w:rPr>
        <w:t>. Given that certain Jointly Indemnifiable Claims may arise, the Company acknowledges and agrees that the Company shall, to the extent applicable, cause any Enterprise to (i) be fully and primarily responsible for, and be the indemnitor of first resort with respect to, payment to or payment on behalf of the Indemnitee in respect of indemnification or advancement of Expenses in connection with any such Jointly Indemnifiable Claim, irrespective of any right of recovery the Indemnitee may have from the Third-Party Indemnitors, and (ii) be required to advance the full amount of Expenses incurred by the Indemnitee and shall be liable for the full amount of all Expenses, judgments, fines, penalties and amounts paid in settlement to the extent not prohibited by (and not merely to the extent affirmatively permitted by) applicable law and as required by the terms of this Agreement, without regard to any rights the Indemnitee may have against the Third-Party Indemnitors. Under no circumstance shall the Company or any Enterprise be entitled to, and the Company hereby irrevocably waives, relinquishes and releases, any claims against the Third-Party Indemnitors for subrogation, contribution or recovery of any kind and no right of advancement or recovery the Indemnitee may have from the Third-Party Indemnitors shall reduce or otherwise alter the rights of the Indemnitee or the obligations of the Company or any Enterprise. The Company further agrees that no advancement or payment by any Third-Party Indemnitor on behalf of Indemnitee with respect to any Proceeding for which Indemnitee has sought indemnification, exoneration or any other rights from the Company shall affect the foregoing, and the Third-Party Indemnitor(s) shall have a right to receive from the Company contribution and/or be subrogated, to the extent of such advancement or payment, to all of the rights of recovery of Indemnitee against the Company. The Company and the Indemnitee agree that each of the Third-Party Indemnitors shall be third-party beneficiaries with respect to this Agreement entitled to enforce this Section 14 as though each such Third-Party Indemnitor were a party to this Agreement.</w:t>
      </w:r>
    </w:p>
    <w:p>
      <w:pPr>
        <w:spacing w:after="0" w:line="378" w:lineRule="exact"/>
        <w:rPr>
          <w:rFonts w:ascii="Arial" w:cs="Arial" w:eastAsia="Arial" w:hAnsi="Arial"/>
          <w:sz w:val="19"/>
          <w:szCs w:val="19"/>
          <w:color w:val="auto"/>
        </w:rPr>
      </w:pPr>
    </w:p>
    <w:p>
      <w:pPr>
        <w:ind w:left="328" w:hanging="328"/>
        <w:spacing w:after="0"/>
        <w:tabs>
          <w:tab w:leader="none" w:pos="328"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Non-Exclusivity; Survival of Rights; Subrogation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jc w:val="both"/>
        <w:ind w:left="968" w:hanging="320"/>
        <w:spacing w:after="0" w:line="272" w:lineRule="auto"/>
        <w:tabs>
          <w:tab w:leader="none" w:pos="968"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rights of indemnification and advancement of Expenses as provided by this Agreement shall not be deemed exclusive of any other rights to which Indemnitee may at any time be entitled under (i) applicable law (including, but not limited to, the MGCL), (ii) the charter or bylaws of the Company, (iii) any agreement or (iv) a resolution of (A) the stockholders entitled to vote generally in the election of directors or (B) the Board of Directors, or otherwise. Unless consented to in writing by Indemnitee,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regardless of whether a claim with respect to such action or inaction is raised prior or subsequent to such amendment, alteration or repeal. No right or remedy herein conferred is intended to be exclusive of any other right or remedy, and every other right or remedy shall be cumulative and in addition to every other right or remedy given hereunder or now or hereafter existing at law or in equity or otherwise. The assertion of any right or remedy hereunder, or otherwise, shall not prohibit the concurrent assertion or employment of any other right or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37" w:right="339" w:bottom="1440" w:gutter="0" w:footer="0" w:header="0"/>
        </w:sectPr>
      </w:pPr>
    </w:p>
    <w:bookmarkStart w:id="53" w:name="page54"/>
    <w:bookmarkEnd w:id="53"/>
    <w:p>
      <w:pPr>
        <w:jc w:val="both"/>
        <w:ind w:left="968" w:hanging="320"/>
        <w:spacing w:after="0" w:line="252" w:lineRule="auto"/>
        <w:tabs>
          <w:tab w:leader="none" w:pos="968" w:val="left"/>
        </w:tabs>
        <w:numPr>
          <w:ilvl w:val="1"/>
          <w:numId w:val="29"/>
        </w:numPr>
        <w:rPr>
          <w:rFonts w:ascii="Arial" w:cs="Arial" w:eastAsia="Arial" w:hAnsi="Arial"/>
          <w:sz w:val="21"/>
          <w:szCs w:val="21"/>
          <w:color w:val="auto"/>
        </w:rPr>
      </w:pPr>
      <w:r>
        <w:rPr>
          <w:rFonts w:ascii="Arial" w:cs="Arial" w:eastAsia="Arial" w:hAnsi="Arial"/>
          <w:sz w:val="21"/>
          <w:szCs w:val="21"/>
          <w:color w:val="auto"/>
        </w:rPr>
        <w:t>Except as set forth in Section 14,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32" w:lineRule="exact"/>
        <w:rPr>
          <w:rFonts w:ascii="Arial" w:cs="Arial" w:eastAsia="Arial" w:hAnsi="Arial"/>
          <w:sz w:val="21"/>
          <w:szCs w:val="21"/>
          <w:color w:val="auto"/>
        </w:rPr>
      </w:pPr>
    </w:p>
    <w:p>
      <w:pPr>
        <w:ind w:left="968" w:hanging="320"/>
        <w:spacing w:after="0" w:line="250" w:lineRule="auto"/>
        <w:tabs>
          <w:tab w:leader="none" w:pos="968" w:val="left"/>
        </w:tabs>
        <w:numPr>
          <w:ilvl w:val="1"/>
          <w:numId w:val="29"/>
        </w:numPr>
        <w:rPr>
          <w:rFonts w:ascii="Arial" w:cs="Arial" w:eastAsia="Arial" w:hAnsi="Arial"/>
          <w:sz w:val="22"/>
          <w:szCs w:val="22"/>
          <w:color w:val="auto"/>
        </w:rPr>
      </w:pPr>
      <w:r>
        <w:rPr>
          <w:rFonts w:ascii="Arial" w:cs="Arial" w:eastAsia="Arial" w:hAnsi="Arial"/>
          <w:sz w:val="22"/>
          <w:szCs w:val="22"/>
          <w:color w:val="auto"/>
        </w:rPr>
        <w:t>All rights of Indemnitee under this Agreement shall survive termination of Indemnitee’s employment with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328" w:hanging="328"/>
        <w:spacing w:after="0"/>
        <w:tabs>
          <w:tab w:leader="none" w:pos="328"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jc w:val="both"/>
        <w:ind w:left="968" w:hanging="320"/>
        <w:spacing w:after="0" w:line="271" w:lineRule="auto"/>
        <w:tabs>
          <w:tab w:leader="none" w:pos="968"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 Company shall purchase and maintain a policy or policies of directors and officers liability insurance with reputable insurance companies. The Company shall continue to provide such insurance coverage to Indemnitee and such insurance policies shall have coverage terms and policy limits at least as favorable to Indemnitee as the insurance coverage provided to any other director or officer of the Company. If the Company has such insurance in effect at the time it receives from Indemnitee any notice of the commencement of an action, suit, proceeding or other claim, the Company shall give prompt notice of the commencement of such action, suit, proceeding or other claim to the insurers and take such other actions in accordance with the procedures set forth in the policy as required or appropriate to secure coverage of Indemnitee for such action, suit, proceeding or other claim. The Company shall thereafter take all reasonably necessary or desirable action to cause such insurers to pay, on behalf of Indemnitee, all amounts payable as a result of such action, suit, proceeding or other claim in accordance with the terms of such policy. In the event of a Change in Control that would result in a loss or cancellation of the Company directors and officers liability insurance policy or policies, the Company shall purchase a directors and officers “Tail” insurance policy or policies to provide coverage to the Company’s directors and officers for a period of six (6) years after such Change in Control, but only with respect to coverage for claims arising from wrongful acts, errors or omissions occurring before such Change in Control.</w:t>
      </w:r>
    </w:p>
    <w:p>
      <w:pPr>
        <w:spacing w:after="0" w:line="376" w:lineRule="exact"/>
        <w:rPr>
          <w:rFonts w:ascii="Arial" w:cs="Arial" w:eastAsia="Arial" w:hAnsi="Arial"/>
          <w:sz w:val="19"/>
          <w:szCs w:val="19"/>
          <w:color w:val="auto"/>
        </w:rPr>
      </w:pPr>
    </w:p>
    <w:p>
      <w:pPr>
        <w:jc w:val="both"/>
        <w:ind w:left="968" w:hanging="320"/>
        <w:spacing w:after="0" w:line="244" w:lineRule="auto"/>
        <w:tabs>
          <w:tab w:leader="none" w:pos="968" w:val="left"/>
        </w:tabs>
        <w:numPr>
          <w:ilvl w:val="1"/>
          <w:numId w:val="30"/>
        </w:numPr>
        <w:rPr>
          <w:rFonts w:ascii="Arial" w:cs="Arial" w:eastAsia="Arial" w:hAnsi="Arial"/>
          <w:sz w:val="21"/>
          <w:szCs w:val="21"/>
          <w:color w:val="auto"/>
        </w:rPr>
      </w:pPr>
      <w:r>
        <w:rPr>
          <w:rFonts w:ascii="Arial" w:cs="Arial" w:eastAsia="Arial" w:hAnsi="Arial"/>
          <w:sz w:val="21"/>
          <w:szCs w:val="21"/>
          <w:color w:val="auto"/>
        </w:rPr>
        <w:t>Without in any way limiting any other obligation under this Agreement, the Company shall indemnify Indemnitee for any payment by Indemnitee which would otherwise be indemnifiable hereunder arising out of the amount of any deductible or retention and the amount of any excess of the aggregate of all judgments, penalties, fines, settlements and Expenses incurred by Indemnitee in connection with a Proceeding over the coverage of any insurance referred to in Section 16(a). The purchase, establishment and maintenance of any such insurance shall not in any way limit or affect the rights or obligations of the Company or Indemnitee under this Agreement except as expressly provided herein, and the execution and delivery of this Agreement by the Company and Indemnitee shall not in any way limit or affect the rights or obligations of the Company under any such insurance policies. If, at the time the Company receives notice from any source of a Proceeding to which Indemnitee is a party or a participant (as a witness or otherwise), the Company has director and officer liability insurance in effect, the Company shall give prompt notice of such Proceeding to the insurers in accordance with the procedures set forth in the respective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37" w:right="339" w:bottom="1440" w:gutter="0" w:footer="0" w:header="0"/>
        </w:sectPr>
      </w:pPr>
    </w:p>
    <w:bookmarkStart w:id="54" w:name="page55"/>
    <w:bookmarkEnd w:id="54"/>
    <w:p>
      <w:pPr>
        <w:jc w:val="both"/>
        <w:ind w:left="328" w:hanging="328"/>
        <w:spacing w:after="0" w:line="275" w:lineRule="auto"/>
        <w:tabs>
          <w:tab w:leader="none" w:pos="328"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 If the indemnification provided in this Agreement is unavailable in whole or in part and may not be paid to Indemnitee for any reason, other than for failure to satisfy the standard of conduct set forth in Section 4 or due to the provisions of Section 5, then, with respect to any Proceeding in which the Company is jointly liable with Indemnitee (or would be if joined in such Proceeding), to the fullest extent permissible under applicable law, the Company, in lieu of indemnifying and holding harmless Indemnitee, shall pay, in the first instance, the entire amount incurred by Indemnitee, whether for Expenses, judgments, fines, penalties, and/or amounts paid or to be paid in settlement, in connection with any Proceeding without requiring Indemnitee to contribute to such payment, and the Company hereby waives and relinquishes any right of contribution it may have at any time against Indemnitee.</w:t>
      </w:r>
    </w:p>
    <w:p>
      <w:pPr>
        <w:spacing w:after="0" w:line="373" w:lineRule="exact"/>
        <w:rPr>
          <w:rFonts w:ascii="Arial" w:cs="Arial" w:eastAsia="Arial" w:hAnsi="Arial"/>
          <w:sz w:val="19"/>
          <w:szCs w:val="19"/>
          <w:color w:val="auto"/>
        </w:rPr>
      </w:pPr>
    </w:p>
    <w:p>
      <w:pPr>
        <w:ind w:left="328" w:hanging="328"/>
        <w:spacing w:after="0"/>
        <w:tabs>
          <w:tab w:leader="none" w:pos="328"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5" w:lineRule="exact"/>
        <w:rPr>
          <w:rFonts w:ascii="Arial" w:cs="Arial" w:eastAsia="Arial" w:hAnsi="Arial"/>
          <w:sz w:val="22"/>
          <w:szCs w:val="22"/>
          <w:color w:val="auto"/>
        </w:rPr>
      </w:pPr>
    </w:p>
    <w:p>
      <w:pPr>
        <w:jc w:val="both"/>
        <w:ind w:left="968" w:hanging="320"/>
        <w:spacing w:after="0" w:line="236" w:lineRule="auto"/>
        <w:tabs>
          <w:tab w:leader="none" w:pos="968"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This Agreement shall be effective as of the Effective Date and may apply to acts or omissions of Indemnitee taken in or in connection with Indemnitee’s Corporate Status which occurred after the Start Date and prior to the Effective Date if Indemnitee was an officer, director, employee or agent of the Company or was a director, trustee, officer, partner, manager, managing member, fiduciary, employee or agent of any Enterprise at the time such act or omission occurred.</w:t>
      </w: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jc w:val="both"/>
        <w:ind w:left="968" w:hanging="320"/>
        <w:spacing w:after="0" w:line="246" w:lineRule="auto"/>
        <w:tabs>
          <w:tab w:leader="none" w:pos="968" w:val="left"/>
        </w:tabs>
        <w:numPr>
          <w:ilvl w:val="1"/>
          <w:numId w:val="31"/>
        </w:numPr>
        <w:rPr>
          <w:rFonts w:ascii="Arial" w:cs="Arial" w:eastAsia="Arial" w:hAnsi="Arial"/>
          <w:sz w:val="21"/>
          <w:szCs w:val="21"/>
          <w:color w:val="auto"/>
        </w:rPr>
      </w:pPr>
      <w:r>
        <w:rPr>
          <w:rFonts w:ascii="Arial" w:cs="Arial" w:eastAsia="Arial" w:hAnsi="Arial"/>
          <w:sz w:val="21"/>
          <w:szCs w:val="21"/>
          <w:color w:val="auto"/>
        </w:rPr>
        <w:t>This Agreement shall continue until and terminate on the later of: (i) the date that Indemnitee shall have ceased to serve as a director, officer, employee or agent of the Company or as a director, trustee, officer, partner, manager, managing member, fiduciary, employee or agent of any other foreign or domestic corporation, partnership, limited liability company, joint venture, trust, employee benefit plan or other enterprise that such person is or was serving in such capacity at the request of the Company and (ii) the date that Indemnitee is no longer subject to any actual or possible Proceeding (including any rights of appeal thereto and any Proceeding commenced by Indemnitee pursuant to Section 12 of this Agreement).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3" w:lineRule="exact"/>
        <w:rPr>
          <w:rFonts w:ascii="Arial" w:cs="Arial" w:eastAsia="Arial" w:hAnsi="Arial"/>
          <w:sz w:val="21"/>
          <w:szCs w:val="21"/>
          <w:color w:val="auto"/>
        </w:rPr>
      </w:pPr>
    </w:p>
    <w:p>
      <w:pPr>
        <w:jc w:val="both"/>
        <w:ind w:left="968" w:hanging="320"/>
        <w:spacing w:after="0" w:line="274" w:lineRule="auto"/>
        <w:tabs>
          <w:tab w:leader="none" w:pos="968"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indemnification and advancement of Expenses provided by, or granted pursuant to, this Agreement shall be binding upon and be enforceable by the parties hereto and their respective successors and assigns (including any direct or indirect successor by purchase, merger, consolidation or otherwise to all, substantially all or a substantial part, of the business and/or assets of the Company), shall continue as to an Indemnitee who has ceased to be a director, officer, employee or agent of the Company or a director, trustee, officer, partner, manager, managing member, fiduciary, employee or agent of any other foreign or domestic corporation, partnership, limited liability company, joint venture, trust, employee benefit plan or other enterprise that such person is or was serving in such capacity at the request of the Company, and shall inure to the benefit of Indemnitee and Indemnitee’s spouse, assigns, heirs, devisees, executors and administrators and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780" w:right="339" w:bottom="1440" w:gutter="0" w:footer="0" w:header="0"/>
        </w:sectPr>
      </w:pPr>
    </w:p>
    <w:bookmarkStart w:id="55" w:name="page56"/>
    <w:bookmarkEnd w:id="55"/>
    <w:p>
      <w:pPr>
        <w:jc w:val="both"/>
        <w:ind w:left="320" w:hanging="320"/>
        <w:spacing w:after="0" w:line="269" w:lineRule="auto"/>
        <w:tabs>
          <w:tab w:leader="none" w:pos="3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If, by reason of Indemnitee’s Corporate Status, Indemnitee’s spouse is made a party to any Proceeding, the Company shall indemnify and hold harmless Indemnitee’s spouse against all judgments, penalties, fines and amounts paid in settlement and all Expenses actually and reasonably incurred by Indemnitee’s spouse in connection with any such Proceeding unless (and only to the extent) it is ultimately Adjudged that (a) the act or omission of Indemnitee was material to the matter giving rise to the Proceeding and (i) was committed in bad faith or (ii) was the result of active and deliberate dishonesty; (b) Indemnitee actually received an improper personal benefit in money, property or services; or (c) in the case of any criminal Proceeding, Indemnitee had reasonable cause to believe that his or her conduct was unlawful. Further, Indemnitee’s spouse shall not be entitled to (x) indemnification hereunder if the Proceeding was one by or in the right of the Company and Indemnitee is Adjudged to be liable to the Company; (y) indemnification hereunder if Indemnitee is Adjudged to be liable on the basis that personal benefit was improperly received in any Proceeding charging improper personal benefit to Indemnitee; or (z) indemnification or advancement of Expenses hereunder if the Proceeding was brought by Indemnitee, unless: (i) the Proceeding was brought to establish or enforce indemnification rights under this Agreement, and then only to the extent in accordance with and as authorized by Section 12 of this Agreement, or (ii) the Company’s charter or bylaws, a resolution of the stockholders entitled to vote generally in the election of directors or of the Board of Directors or an agreement approved by the Board of Directors to which the Company is a party, expressly provides otherwise. The foregoing right to indemnification shall include, without limitation, any Proceeding that seeks damages recoverable from marital community property, jointly-owned property or property purported to have been transferred from the Indemnitee to his or her spouse (or former spouse); provided that Indemnitee is indemnified and held harmless for the same pursuant to this Agreement. The Indemnitee’s spouse or former spouse also shall be entitled to advancement of Expenses to the same extent that Indemnitee is entitled to advancement of Expenses herein. The Company may maintain insurance to cover its obligation hereunder with respect to Indemnitee’s spouse (or former spouse) or set aside assets in a trust or escrow fund for that purpose.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320" w:hanging="320"/>
        <w:spacing w:after="0" w:line="236" w:lineRule="auto"/>
        <w:tabs>
          <w:tab w:leader="none" w:pos="3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780" w:right="339" w:bottom="1440" w:gutter="0" w:footer="0" w:header="0"/>
        </w:sectPr>
      </w:pPr>
    </w:p>
    <w:bookmarkStart w:id="56" w:name="page57"/>
    <w:bookmarkEnd w:id="56"/>
    <w:p>
      <w:pPr>
        <w:jc w:val="both"/>
        <w:ind w:left="320" w:hanging="320"/>
        <w:spacing w:after="0" w:line="244" w:lineRule="auto"/>
        <w:tabs>
          <w:tab w:leader="none" w:pos="32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Company and Indemnitee agree that a monetary remedy for breach of this Agreement, at some later date, may be inadequate, impracticable and difficult to prove,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Indemnitee shall further be entitled to such injunctive relief and/or specific performance,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a court, and the Company hereby waives any such requirement of such a bond or undertaking.</w:t>
      </w:r>
    </w:p>
    <w:p>
      <w:pPr>
        <w:spacing w:after="0" w:line="200" w:lineRule="exact"/>
        <w:rPr>
          <w:rFonts w:ascii="Arial" w:cs="Arial" w:eastAsia="Arial" w:hAnsi="Arial"/>
          <w:sz w:val="21"/>
          <w:szCs w:val="21"/>
          <w:color w:val="auto"/>
        </w:rPr>
      </w:pPr>
    </w:p>
    <w:p>
      <w:pPr>
        <w:spacing w:after="0" w:line="204" w:lineRule="exact"/>
        <w:rPr>
          <w:rFonts w:ascii="Arial" w:cs="Arial" w:eastAsia="Arial" w:hAnsi="Arial"/>
          <w:sz w:val="21"/>
          <w:szCs w:val="21"/>
          <w:color w:val="auto"/>
        </w:rPr>
      </w:pPr>
    </w:p>
    <w:p>
      <w:pPr>
        <w:jc w:val="both"/>
        <w:ind w:left="320" w:hanging="320"/>
        <w:spacing w:after="0" w:line="244" w:lineRule="auto"/>
        <w:tabs>
          <w:tab w:leader="none" w:pos="320" w:val="left"/>
        </w:tabs>
        <w:numPr>
          <w:ilvl w:val="0"/>
          <w:numId w:val="33"/>
        </w:numPr>
        <w:rPr>
          <w:rFonts w:ascii="Arial" w:cs="Arial" w:eastAsia="Arial" w:hAnsi="Arial"/>
          <w:sz w:val="21"/>
          <w:szCs w:val="21"/>
          <w:color w:val="auto"/>
        </w:rPr>
      </w:pPr>
      <w:r>
        <w:rPr>
          <w:rFonts w:ascii="Arial" w:cs="Arial" w:eastAsia="Arial" w:hAnsi="Arial"/>
          <w:sz w:val="21"/>
          <w:szCs w:val="21"/>
          <w:color w:val="auto"/>
        </w:rPr>
        <w:t>If any provision or provisions of this Agreement shall be held to be invalid, void, illegal or otherwise unenforceable for any reason whatsoever: (i)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200" w:lineRule="exact"/>
        <w:rPr>
          <w:rFonts w:ascii="Arial" w:cs="Arial" w:eastAsia="Arial" w:hAnsi="Arial"/>
          <w:sz w:val="21"/>
          <w:szCs w:val="21"/>
          <w:color w:val="auto"/>
        </w:rPr>
      </w:pPr>
    </w:p>
    <w:p>
      <w:pPr>
        <w:spacing w:after="0" w:line="204" w:lineRule="exact"/>
        <w:rPr>
          <w:rFonts w:ascii="Arial" w:cs="Arial" w:eastAsia="Arial" w:hAnsi="Arial"/>
          <w:sz w:val="21"/>
          <w:szCs w:val="21"/>
          <w:color w:val="auto"/>
        </w:rPr>
      </w:pPr>
    </w:p>
    <w:p>
      <w:pPr>
        <w:jc w:val="both"/>
        <w:ind w:left="320" w:hanging="320"/>
        <w:spacing w:after="0" w:line="275" w:lineRule="auto"/>
        <w:tabs>
          <w:tab w:leader="none" w:pos="3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Except as provided in Section 18(g) above,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unless otherwise expressly stated, shall such waiver constitute a continuing waiver. The only exception to this clause being if the Company provides indemnification to another current or former director of the Company on terms that are more favorable to such current or former director than the terms of indemnification contained in this Agreement, then this Agreement shall automatically be deemed to be amended (without any action on the part of the Company or Indemnitee) to include such more favorable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780" w:right="339" w:bottom="1440" w:gutter="0" w:footer="0" w:header="0"/>
        </w:sectPr>
      </w:pPr>
    </w:p>
    <w:bookmarkStart w:id="57" w:name="page58"/>
    <w:bookmarkEnd w:id="57"/>
    <w:p>
      <w:pPr>
        <w:jc w:val="both"/>
        <w:ind w:left="320" w:hanging="320"/>
        <w:spacing w:after="0" w:line="246" w:lineRule="auto"/>
        <w:tabs>
          <w:tab w:leader="none" w:pos="3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All notices, requests, demands and other communications hereunder shall be in writing and shall be deemed to have been duly given if (i) delivered by hand, facsimile, electronic mail, or overnight courier service and by the party to whom said notice, request, demand or other communication shall have been directed, on the day of such delivery, or (ii) mailed by certified or registered mail with postage prepaid, on the third business day after the date on which it is so mailed: (i) if to Indemnitee, to the address set forth on the signature page hereto; or (ii) if to the Company, to Telos Corporation, 19886 Ashburn Road Ashburn, Virginia 20147, Attn: General Counsel; or to such other address as may have been furnished in writing to Indemnitee by the Company or in writing to the Company by Indemnitee, as the case may be.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38" w:lineRule="exact"/>
        <w:rPr>
          <w:rFonts w:ascii="Arial" w:cs="Arial" w:eastAsia="Arial" w:hAnsi="Arial"/>
          <w:sz w:val="21"/>
          <w:szCs w:val="21"/>
          <w:color w:val="auto"/>
        </w:rPr>
      </w:pPr>
    </w:p>
    <w:p>
      <w:pPr>
        <w:ind w:left="320" w:hanging="320"/>
        <w:spacing w:after="0" w:line="250" w:lineRule="auto"/>
        <w:tabs>
          <w:tab w:leader="none" w:pos="3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and enforced in accordance with, the laws of the State of Maryland, without regard to its conflicts of laws rules.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jc w:val="both"/>
        <w:ind w:left="320" w:hanging="320"/>
        <w:spacing w:after="0" w:line="238" w:lineRule="auto"/>
        <w:tabs>
          <w:tab w:leader="none" w:pos="3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This Agreement may be executed in one or more counterparts (delivery of which may be in electronic format), each of which shall for all purposes be deemed to be an original and all of which together shall constitute one and the same Agreement. One such counterpart signed by the party against whom enforceability is sought shall be sufficient to evidence the existence of this Agreement.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3" w:lineRule="exact"/>
        <w:rPr>
          <w:rFonts w:ascii="Arial" w:cs="Arial" w:eastAsia="Arial" w:hAnsi="Arial"/>
          <w:sz w:val="22"/>
          <w:szCs w:val="22"/>
          <w:color w:val="auto"/>
        </w:rPr>
      </w:pPr>
    </w:p>
    <w:p>
      <w:pPr>
        <w:ind w:left="320" w:hanging="320"/>
        <w:spacing w:after="0" w:line="250" w:lineRule="auto"/>
        <w:tabs>
          <w:tab w:leader="none" w:pos="3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headings of the paragraphs of this Agreement are inserted for convenience only and shall not be deemed to constitute part of this Agreement or to affect the construction thereof.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[Remainder of the Page Blank]</w:t>
      </w:r>
    </w:p>
    <w:p>
      <w:pPr>
        <w:spacing w:after="0" w:line="200" w:lineRule="exact"/>
        <w:rPr>
          <w:sz w:val="20"/>
          <w:szCs w:val="20"/>
          <w:color w:val="auto"/>
        </w:rPr>
      </w:pP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780" w:right="339" w:bottom="1440" w:gutter="0" w:footer="0" w:header="0"/>
        </w:sectPr>
      </w:pPr>
    </w:p>
    <w:bookmarkStart w:id="58" w:name="page59"/>
    <w:bookmarkEnd w:id="58"/>
    <w:p>
      <w:pPr>
        <w:ind w:firstLine="648"/>
        <w:spacing w:after="0" w:line="250" w:lineRule="auto"/>
        <w:rPr>
          <w:sz w:val="20"/>
          <w:szCs w:val="20"/>
          <w:color w:val="auto"/>
        </w:rPr>
      </w:pPr>
      <w:r>
        <w:rPr>
          <w:rFonts w:ascii="Arial" w:cs="Arial" w:eastAsia="Arial" w:hAnsi="Arial"/>
          <w:sz w:val="22"/>
          <w:szCs w:val="22"/>
          <w:color w:val="auto"/>
        </w:rPr>
        <w:t>IN WITNESS WHEREOF, the parties hereto have executed this Agreement as of the day and year first above written, intending the Agreement to be under seal:</w:t>
      </w:r>
    </w:p>
    <w:p>
      <w:pPr>
        <w:spacing w:after="0" w:line="36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TELOS CORPORATION</w:t>
      </w:r>
    </w:p>
    <w:p>
      <w:pPr>
        <w:spacing w:after="0" w:line="395" w:lineRule="exact"/>
        <w:rPr>
          <w:sz w:val="20"/>
          <w:szCs w:val="20"/>
          <w:color w:val="auto"/>
        </w:rPr>
      </w:pPr>
    </w:p>
    <w:p>
      <w:pPr>
        <w:ind w:left="3900"/>
        <w:spacing w:after="0"/>
        <w:tabs>
          <w:tab w:leader="none" w:pos="71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(SEAL)</w:t>
      </w:r>
    </w:p>
    <w:p>
      <w:pPr>
        <w:spacing w:after="0" w:line="7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7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39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[INDEMNITEE]</w:t>
      </w:r>
    </w:p>
    <w:p>
      <w:pPr>
        <w:spacing w:after="0" w:line="395" w:lineRule="exact"/>
        <w:rPr>
          <w:sz w:val="20"/>
          <w:szCs w:val="20"/>
          <w:color w:val="auto"/>
        </w:rPr>
      </w:pPr>
    </w:p>
    <w:p>
      <w:pPr>
        <w:ind w:left="7140"/>
        <w:spacing w:after="0"/>
        <w:rPr>
          <w:sz w:val="20"/>
          <w:szCs w:val="20"/>
          <w:color w:val="auto"/>
        </w:rPr>
      </w:pPr>
      <w:r>
        <w:rPr>
          <w:rFonts w:ascii="Arial" w:cs="Arial" w:eastAsia="Arial" w:hAnsi="Arial"/>
          <w:sz w:val="22"/>
          <w:szCs w:val="22"/>
          <w:u w:val="single" w:color="auto"/>
          <w:color w:val="auto"/>
        </w:rPr>
        <w:t>(SEAL)</w:t>
      </w:r>
    </w:p>
    <w:p>
      <w:pPr>
        <w:spacing w:after="0" w:line="7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780" w:right="73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AFFIRMATION AND UNDERTAKING TO REPAY EXPENSES ADVANCED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To: The Board of Directors of Telos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 Affirmation and Undertaking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This Affirmation and Undertaking is being provided pursuant to the Indemnification Agreement, dated as of the [EFFECTIVE DATE], by and between Telos Corporation, a Maryland corporation (the “Company”), and me as the undersigned Indemnitee (the “Indemnification Agreement”), pursuant to which I am entitled to advancement of Expenses in connection with [</w:t>
      </w:r>
      <w:r>
        <w:rPr>
          <w:rFonts w:ascii="Arial" w:cs="Arial" w:eastAsia="Arial" w:hAnsi="Arial"/>
          <w:sz w:val="22"/>
          <w:szCs w:val="22"/>
          <w:u w:val="single" w:color="auto"/>
          <w:color w:val="auto"/>
        </w:rPr>
        <w:t>DESCRIPTION OF PROCEEDING</w:t>
      </w:r>
      <w:r>
        <w:rPr>
          <w:rFonts w:ascii="Arial" w:cs="Arial" w:eastAsia="Arial" w:hAnsi="Arial"/>
          <w:sz w:val="22"/>
          <w:szCs w:val="22"/>
          <w:color w:val="auto"/>
        </w:rPr>
        <w:t>] (the “Proceeding”).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Terms used herein and not otherwise defined shall have the meanings specified in the Indemnification Agreement.</w:t>
      </w:r>
    </w:p>
    <w:p>
      <w:pPr>
        <w:spacing w:after="0" w:line="24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I am subject to the Proceeding by reason of my Corporate Status or by reason of alleged actions or omissions by me in such capacity. I hereby affirm my good faith belief that at all times, insofar as I was involved as [a director][an officer] of the Company, in any of the facts or events giving rise to the Proceeding, I (i) did not act with active and deliberate dishonesty, (ii) did not receive any improper personal benefit in money, property or services and (iii) in the case of any criminal proceeding, had no reasonable cause to believe that any act or omission by me was unlawful.</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In consideration of the advancement of Expenses by the Company for Expenses incurred by me in connection with the Proceeding (the “Advanced Expenses”), I hereby agree that if, in connection with the Proceeding, it is Adjudged that (i) an act or omission by me was material to the matter giving rise to the Proceeding and (A) was committed in bad faith or (B) was the result of active and deliberate dishonesty, (ii) I actually received an improper personal benefit in money, property or services, or (iii) in the case of any criminal proceeding, I had reasonable cause to believe that the act or omission was unlawful, then I shall promptly reimburse the portion of the Advanced Expenses relating to the claims, issues or matters in the Proceeding as to which the foregoing findings have been established.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I have executed this Affirmation and Undertaking on this _____ day of _______________,</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20____.</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ectPr>
          <w:pgSz w:w="11900" w:h="16838" w:orient="portrait"/>
          <w:cols w:equalWidth="0" w:num="1">
            <w:col w:w="11240"/>
          </w:cols>
          <w:pgMar w:left="320" w:top="53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John B. Wood, certify that:</w:t>
      </w:r>
    </w:p>
    <w:p>
      <w:pPr>
        <w:spacing w:after="0" w:line="225" w:lineRule="exact"/>
        <w:rPr>
          <w:sz w:val="20"/>
          <w:szCs w:val="20"/>
          <w:color w:val="auto"/>
        </w:rPr>
      </w:pPr>
    </w:p>
    <w:p>
      <w:pPr>
        <w:ind w:left="760" w:hanging="311"/>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Telos Corporation;</w:t>
      </w:r>
    </w:p>
    <w:p>
      <w:pPr>
        <w:spacing w:after="0" w:line="225" w:lineRule="exact"/>
        <w:rPr>
          <w:rFonts w:ascii="Arial" w:cs="Arial" w:eastAsia="Arial" w:hAnsi="Arial"/>
          <w:sz w:val="18"/>
          <w:szCs w:val="18"/>
          <w:color w:val="auto"/>
        </w:rPr>
      </w:pPr>
    </w:p>
    <w:p>
      <w:pPr>
        <w:ind w:firstLine="449"/>
        <w:spacing w:after="0" w:line="342" w:lineRule="auto"/>
        <w:tabs>
          <w:tab w:leader="none" w:pos="756"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49"/>
        <w:spacing w:after="0" w:line="308" w:lineRule="auto"/>
        <w:tabs>
          <w:tab w:leader="none" w:pos="7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449"/>
        <w:spacing w:after="0" w:line="263" w:lineRule="auto"/>
        <w:tabs>
          <w:tab w:leader="none" w:pos="7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440" w:right="500" w:firstLine="449"/>
        <w:spacing w:after="0" w:line="263" w:lineRule="auto"/>
        <w:tabs>
          <w:tab w:leader="none" w:pos="1246"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440" w:right="240" w:firstLine="449"/>
        <w:spacing w:after="0" w:line="263" w:lineRule="auto"/>
        <w:tabs>
          <w:tab w:leader="none" w:pos="1186"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40" w:right="340" w:firstLine="449"/>
        <w:spacing w:after="0" w:line="342" w:lineRule="auto"/>
        <w:tabs>
          <w:tab w:leader="none" w:pos="1201"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40" w:right="320" w:firstLine="449"/>
        <w:spacing w:after="0" w:line="263" w:lineRule="auto"/>
        <w:tabs>
          <w:tab w:leader="none" w:pos="121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80" w:firstLine="449"/>
        <w:spacing w:after="0" w:line="277" w:lineRule="auto"/>
        <w:tabs>
          <w:tab w:leader="none" w:pos="7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to the audit committee of registrant's board of directors:</w:t>
      </w:r>
    </w:p>
    <w:p>
      <w:pPr>
        <w:spacing w:after="0" w:line="170" w:lineRule="exact"/>
        <w:rPr>
          <w:rFonts w:ascii="Arial" w:cs="Arial" w:eastAsia="Arial" w:hAnsi="Arial"/>
          <w:sz w:val="18"/>
          <w:szCs w:val="18"/>
          <w:color w:val="auto"/>
        </w:rPr>
      </w:pPr>
    </w:p>
    <w:p>
      <w:pPr>
        <w:ind w:left="440" w:right="560" w:firstLine="449"/>
        <w:spacing w:after="0" w:line="308" w:lineRule="auto"/>
        <w:tabs>
          <w:tab w:leader="none" w:pos="1191"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40" w:right="260" w:firstLine="449"/>
        <w:spacing w:after="0" w:line="277" w:lineRule="auto"/>
        <w:tabs>
          <w:tab w:leader="none" w:pos="1201"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May 17, 2021</w:t>
      </w:r>
    </w:p>
    <w:p>
      <w:pPr>
        <w:spacing w:after="0" w:line="30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John B. Wood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Michele Nakazawa, certify that:</w:t>
      </w:r>
    </w:p>
    <w:p>
      <w:pPr>
        <w:spacing w:after="0" w:line="225" w:lineRule="exact"/>
        <w:rPr>
          <w:sz w:val="20"/>
          <w:szCs w:val="20"/>
          <w:color w:val="auto"/>
        </w:rPr>
      </w:pPr>
    </w:p>
    <w:p>
      <w:pPr>
        <w:ind w:left="760" w:hanging="311"/>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Telos Corporation;</w:t>
      </w:r>
    </w:p>
    <w:p>
      <w:pPr>
        <w:spacing w:after="0" w:line="225" w:lineRule="exact"/>
        <w:rPr>
          <w:rFonts w:ascii="Arial" w:cs="Arial" w:eastAsia="Arial" w:hAnsi="Arial"/>
          <w:sz w:val="18"/>
          <w:szCs w:val="18"/>
          <w:color w:val="auto"/>
        </w:rPr>
      </w:pPr>
    </w:p>
    <w:p>
      <w:pPr>
        <w:ind w:firstLine="449"/>
        <w:spacing w:after="0" w:line="342" w:lineRule="auto"/>
        <w:tabs>
          <w:tab w:leader="none" w:pos="756"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49"/>
        <w:spacing w:after="0" w:line="308" w:lineRule="auto"/>
        <w:tabs>
          <w:tab w:leader="none" w:pos="756"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449"/>
        <w:spacing w:after="0" w:line="263" w:lineRule="auto"/>
        <w:tabs>
          <w:tab w:leader="none" w:pos="7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440" w:right="500" w:firstLine="449"/>
        <w:spacing w:after="0" w:line="263" w:lineRule="auto"/>
        <w:tabs>
          <w:tab w:leader="none" w:pos="1246"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440" w:right="240" w:firstLine="449"/>
        <w:spacing w:after="0" w:line="263" w:lineRule="auto"/>
        <w:tabs>
          <w:tab w:leader="none" w:pos="1186"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440" w:right="340" w:firstLine="449"/>
        <w:spacing w:after="0" w:line="342" w:lineRule="auto"/>
        <w:tabs>
          <w:tab w:leader="none" w:pos="1201"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40" w:right="320" w:firstLine="449"/>
        <w:spacing w:after="0" w:line="263" w:lineRule="auto"/>
        <w:tabs>
          <w:tab w:leader="none" w:pos="121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80" w:firstLine="449"/>
        <w:spacing w:after="0" w:line="277" w:lineRule="auto"/>
        <w:tabs>
          <w:tab w:leader="none" w:pos="7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to the audit committee of registrant's board of directors:</w:t>
      </w:r>
    </w:p>
    <w:p>
      <w:pPr>
        <w:spacing w:after="0" w:line="170" w:lineRule="exact"/>
        <w:rPr>
          <w:rFonts w:ascii="Arial" w:cs="Arial" w:eastAsia="Arial" w:hAnsi="Arial"/>
          <w:sz w:val="18"/>
          <w:szCs w:val="18"/>
          <w:color w:val="auto"/>
        </w:rPr>
      </w:pPr>
    </w:p>
    <w:p>
      <w:pPr>
        <w:ind w:left="440" w:right="560" w:firstLine="449"/>
        <w:spacing w:after="0" w:line="308" w:lineRule="auto"/>
        <w:tabs>
          <w:tab w:leader="none" w:pos="1191"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40" w:right="260" w:firstLine="449"/>
        <w:spacing w:after="0" w:line="277" w:lineRule="auto"/>
        <w:tabs>
          <w:tab w:leader="none" w:pos="1201"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May 17, 2021</w:t>
      </w:r>
    </w:p>
    <w:p>
      <w:pPr>
        <w:spacing w:after="0" w:line="212"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Michele Nakazawa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Michele Nakazawa</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Chief Financial Officer (Principal Financial and Accounting</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162"/>
        <w:spacing w:after="0" w:line="263" w:lineRule="auto"/>
        <w:rPr>
          <w:sz w:val="20"/>
          <w:szCs w:val="20"/>
          <w:color w:val="auto"/>
        </w:rPr>
      </w:pPr>
      <w:r>
        <w:rPr>
          <w:rFonts w:ascii="Arial" w:cs="Arial" w:eastAsia="Arial" w:hAnsi="Arial"/>
          <w:sz w:val="18"/>
          <w:szCs w:val="18"/>
          <w:color w:val="auto"/>
        </w:rPr>
        <w:t>In connection with the Quarterly Report of Telos Corporation (the "Company") on Form 10-Q for the period ended March 31, 2021, as filed with the Securities and Exchange Commission on the date hereof (the "Report"), we, John B. Wood and Michele Nakazawa, certify, pursuant to 18 U.S.C. § 1350, as adopted pursuant to § 906 of the Sarbanes-Oxley Act of 2002, that to our knowledge:</w:t>
      </w:r>
    </w:p>
    <w:p>
      <w:pPr>
        <w:spacing w:after="0" w:line="184" w:lineRule="exact"/>
        <w:rPr>
          <w:sz w:val="20"/>
          <w:szCs w:val="20"/>
          <w:color w:val="auto"/>
        </w:rPr>
      </w:pPr>
    </w:p>
    <w:p>
      <w:pPr>
        <w:ind w:left="480" w:hanging="247"/>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760" w:right="320" w:hanging="6527"/>
        <w:spacing w:after="0" w:line="500" w:lineRule="auto"/>
        <w:tabs>
          <w:tab w:leader="none" w:pos="4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17, 2021</w:t>
      </w:r>
    </w:p>
    <w:p>
      <w:pPr>
        <w:spacing w:after="0" w:line="2"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John B. Wood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May 17, 2021</w:t>
      </w:r>
    </w:p>
    <w:p>
      <w:pPr>
        <w:spacing w:after="0" w:line="17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Michele Nakazawa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Michele Nakazawa</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Chief Financial Officer (Principal Financial and Accounting</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amp;"/>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lvl w:ilvl="1">
      <w:lvlJc w:val="left"/>
      <w:lvlText w:val="o"/>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amp;"/>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decimal"/>
      <w:start w:val="1"/>
    </w:lvl>
    <w:lvl w:ilvl="1">
      <w:lvlJc w:val="left"/>
      <w:lvlText w:val="%2."/>
      <w:numFmt w:val="lowerLetter"/>
      <w:start w:val="1"/>
    </w:lvl>
  </w:abstractNum>
  <w:abstractNum w:abstractNumId="12">
    <w:nsid w:val="79838CB2"/>
    <w:multiLevelType w:val="hybridMultilevel"/>
    <w:lvl w:ilvl="0">
      <w:lvlJc w:val="left"/>
      <w:lvlText w:val="%1."/>
      <w:numFmt w:val="lowerLetter"/>
      <w:start w:val="3"/>
    </w:lvl>
    <w:lvl w:ilvl="1">
      <w:lvlJc w:val="left"/>
      <w:lvlText w:val="(%2)"/>
      <w:numFmt w:val="upperLetter"/>
      <w:start w:val="1"/>
    </w:lvl>
  </w:abstractNum>
  <w:abstractNum w:abstractNumId="13">
    <w:nsid w:val="4353D0CD"/>
    <w:multiLevelType w:val="hybridMultilevel"/>
    <w:lvl w:ilvl="0">
      <w:lvlJc w:val="left"/>
      <w:lvlText w:val="%1."/>
      <w:numFmt w:val="lowerLetter"/>
      <w:start w:val="7"/>
    </w:lvl>
  </w:abstractNum>
  <w:abstractNum w:abstractNumId="14">
    <w:nsid w:val="B03E0C6"/>
    <w:multiLevelType w:val="hybridMultilevel"/>
    <w:lvl w:ilvl="0">
      <w:lvlJc w:val="left"/>
      <w:lvlText w:val="%1"/>
      <w:numFmt w:val="decimal"/>
      <w:start w:val="1"/>
    </w:lvl>
    <w:lvl w:ilvl="1">
      <w:lvlJc w:val="left"/>
      <w:lvlText w:val="%2."/>
      <w:numFmt w:val="lowerLetter"/>
      <w:start w:val="11"/>
    </w:lvl>
  </w:abstractNum>
  <w:abstractNum w:abstractNumId="15">
    <w:nsid w:val="189A769B"/>
    <w:multiLevelType w:val="hybridMultilevel"/>
    <w:lvl w:ilvl="0">
      <w:lvlJc w:val="left"/>
      <w:lvlText w:val="%1."/>
      <w:numFmt w:val="decimal"/>
      <w:start w:val="2"/>
    </w:lvl>
    <w:lvl w:ilvl="1">
      <w:lvlJc w:val="left"/>
      <w:lvlText w:val="%2"/>
      <w:numFmt w:val="lowerLetter"/>
      <w:start w:val="1"/>
    </w:lvl>
  </w:abstractNum>
  <w:abstractNum w:abstractNumId="16">
    <w:nsid w:val="54E49EB4"/>
    <w:multiLevelType w:val="hybridMultilevel"/>
    <w:lvl w:ilvl="0">
      <w:lvlJc w:val="left"/>
      <w:lvlText w:val="%1."/>
      <w:numFmt w:val="decimal"/>
      <w:start w:val="4"/>
    </w:lvl>
    <w:lvl w:ilvl="1">
      <w:lvlJc w:val="left"/>
      <w:lvlText w:val="(%2)"/>
      <w:numFmt w:val="upperLetter"/>
      <w:start w:val="1"/>
    </w:lvl>
    <w:lvl w:ilvl="2">
      <w:lvlJc w:val="left"/>
      <w:lvlText w:val="%3."/>
      <w:numFmt w:val="lowerLetter"/>
      <w:start w:val="1"/>
    </w:lvl>
  </w:abstractNum>
  <w:abstractNum w:abstractNumId="17">
    <w:nsid w:val="71F32454"/>
    <w:multiLevelType w:val="hybridMultilevel"/>
    <w:lvl w:ilvl="0">
      <w:lvlJc w:val="left"/>
      <w:lvlText w:val="%1"/>
      <w:numFmt w:val="decimal"/>
      <w:start w:val="1"/>
    </w:lvl>
    <w:lvl w:ilvl="1">
      <w:lvlJc w:val="left"/>
      <w:lvlText w:val="%2."/>
      <w:numFmt w:val="lowerLetter"/>
      <w:start w:val="2"/>
    </w:lvl>
  </w:abstractNum>
  <w:abstractNum w:abstractNumId="18">
    <w:nsid w:val="2CA88611"/>
    <w:multiLevelType w:val="hybridMultilevel"/>
    <w:lvl w:ilvl="0">
      <w:lvlJc w:val="left"/>
      <w:lvlText w:val="%1."/>
      <w:numFmt w:val="decimal"/>
      <w:start w:val="7"/>
    </w:lvl>
    <w:lvl w:ilvl="1">
      <w:lvlJc w:val="left"/>
      <w:lvlText w:val="%2"/>
      <w:numFmt w:val="lowerLetter"/>
      <w:start w:val="1"/>
    </w:lvl>
  </w:abstractNum>
  <w:abstractNum w:abstractNumId="19">
    <w:nsid w:val="836C40E"/>
    <w:multiLevelType w:val="hybridMultilevel"/>
    <w:lvl w:ilvl="0">
      <w:lvlJc w:val="left"/>
      <w:lvlText w:val="%1."/>
      <w:numFmt w:val="decimal"/>
      <w:start w:val="9"/>
    </w:lvl>
    <w:lvl w:ilvl="1">
      <w:lvlJc w:val="left"/>
      <w:lvlText w:val="%2."/>
      <w:numFmt w:val="lowerLetter"/>
      <w:start w:val="1"/>
    </w:lvl>
  </w:abstractNum>
  <w:abstractNum w:abstractNumId="20">
    <w:nsid w:val="2901D82"/>
    <w:multiLevelType w:val="hybridMultilevel"/>
    <w:lvl w:ilvl="0">
      <w:lvlJc w:val="left"/>
      <w:lvlText w:val="%1"/>
      <w:numFmt w:val="decimal"/>
      <w:start w:val="1"/>
    </w:lvl>
    <w:lvl w:ilvl="1">
      <w:lvlJc w:val="left"/>
      <w:lvlText w:val="%2."/>
      <w:numFmt w:val="lowerLetter"/>
      <w:start w:val="2"/>
    </w:lvl>
  </w:abstractNum>
  <w:abstractNum w:abstractNumId="21">
    <w:nsid w:val="3A95F874"/>
    <w:multiLevelType w:val="hybridMultilevel"/>
    <w:lvl w:ilvl="0">
      <w:lvlJc w:val="left"/>
      <w:lvlText w:val="%1."/>
      <w:numFmt w:val="decimal"/>
      <w:start w:val="11"/>
    </w:lvl>
    <w:lvl w:ilvl="1">
      <w:lvlJc w:val="left"/>
      <w:lvlText w:val="%2."/>
      <w:numFmt w:val="lowerLetter"/>
      <w:start w:val="1"/>
    </w:lvl>
  </w:abstractNum>
  <w:abstractNum w:abstractNumId="22">
    <w:nsid w:val="8138641"/>
    <w:multiLevelType w:val="hybridMultilevel"/>
    <w:lvl w:ilvl="0">
      <w:lvlJc w:val="left"/>
      <w:lvlText w:val="%1."/>
      <w:numFmt w:val="lowerLetter"/>
      <w:start w:val="2"/>
    </w:lvl>
  </w:abstractNum>
  <w:abstractNum w:abstractNumId="23">
    <w:nsid w:val="1E7FF521"/>
    <w:multiLevelType w:val="hybridMultilevel"/>
    <w:lvl w:ilvl="0">
      <w:lvlJc w:val="left"/>
      <w:lvlText w:val="%1."/>
      <w:numFmt w:val="decimal"/>
      <w:start w:val="12"/>
    </w:lvl>
    <w:lvl w:ilvl="1">
      <w:lvlJc w:val="left"/>
      <w:lvlText w:val="%2."/>
      <w:numFmt w:val="lowerLetter"/>
      <w:start w:val="1"/>
    </w:lvl>
  </w:abstractNum>
  <w:abstractNum w:abstractNumId="24">
    <w:nsid w:val="7C3DBD3D"/>
    <w:multiLevelType w:val="hybridMultilevel"/>
    <w:lvl w:ilvl="0">
      <w:lvlJc w:val="left"/>
      <w:lvlText w:val="%1"/>
      <w:numFmt w:val="decimal"/>
      <w:start w:val="1"/>
    </w:lvl>
    <w:lvl w:ilvl="1">
      <w:lvlJc w:val="left"/>
      <w:lvlText w:val="%2."/>
      <w:numFmt w:val="lowerLetter"/>
      <w:start w:val="3"/>
    </w:lvl>
  </w:abstractNum>
  <w:abstractNum w:abstractNumId="25">
    <w:nsid w:val="737B8DDC"/>
    <w:multiLevelType w:val="hybridMultilevel"/>
    <w:lvl w:ilvl="0">
      <w:lvlJc w:val="left"/>
      <w:lvlText w:val="%1."/>
      <w:numFmt w:val="decimal"/>
      <w:start w:val="13"/>
    </w:lvl>
    <w:lvl w:ilvl="1">
      <w:lvlJc w:val="left"/>
      <w:lvlText w:val="%2."/>
      <w:numFmt w:val="lowerLetter"/>
      <w:start w:val="1"/>
    </w:lvl>
  </w:abstractNum>
  <w:abstractNum w:abstractNumId="26">
    <w:nsid w:val="6CEAF087"/>
    <w:multiLevelType w:val="hybridMultilevel"/>
    <w:lvl w:ilvl="0">
      <w:lvlJc w:val="left"/>
      <w:lvlText w:val="%1."/>
      <w:numFmt w:val="lowerLetter"/>
      <w:start w:val="2"/>
    </w:lvl>
  </w:abstractNum>
  <w:abstractNum w:abstractNumId="27">
    <w:nsid w:val="22221A70"/>
    <w:multiLevelType w:val="hybridMultilevel"/>
    <w:lvl w:ilvl="0">
      <w:lvlJc w:val="left"/>
      <w:lvlText w:val="%1."/>
      <w:numFmt w:val="decimal"/>
      <w:start w:val="14"/>
    </w:lvl>
    <w:lvl w:ilvl="1">
      <w:lvlJc w:val="left"/>
      <w:lvlText w:val="%2."/>
      <w:numFmt w:val="lowerLetter"/>
      <w:start w:val="1"/>
    </w:lvl>
  </w:abstractNum>
  <w:abstractNum w:abstractNumId="28">
    <w:nsid w:val="4516DDE9"/>
    <w:multiLevelType w:val="hybridMultilevel"/>
    <w:lvl w:ilvl="0">
      <w:lvlJc w:val="left"/>
      <w:lvlText w:val="%1"/>
      <w:numFmt w:val="decimal"/>
      <w:start w:val="1"/>
    </w:lvl>
    <w:lvl w:ilvl="1">
      <w:lvlJc w:val="left"/>
      <w:lvlText w:val="%2."/>
      <w:numFmt w:val="lowerLetter"/>
      <w:start w:val="2"/>
    </w:lvl>
  </w:abstractNum>
  <w:abstractNum w:abstractNumId="29">
    <w:nsid w:val="3006C83E"/>
    <w:multiLevelType w:val="hybridMultilevel"/>
    <w:lvl w:ilvl="0">
      <w:lvlJc w:val="left"/>
      <w:lvlText w:val="%1."/>
      <w:numFmt w:val="decimal"/>
      <w:start w:val="16"/>
    </w:lvl>
    <w:lvl w:ilvl="1">
      <w:lvlJc w:val="left"/>
      <w:lvlText w:val="%2."/>
      <w:numFmt w:val="lowerLetter"/>
      <w:start w:val="1"/>
    </w:lvl>
  </w:abstractNum>
  <w:abstractNum w:abstractNumId="30">
    <w:nsid w:val="614FD4A1"/>
    <w:multiLevelType w:val="hybridMultilevel"/>
    <w:lvl w:ilvl="0">
      <w:lvlJc w:val="left"/>
      <w:lvlText w:val="%1."/>
      <w:numFmt w:val="decimal"/>
      <w:start w:val="17"/>
    </w:lvl>
    <w:lvl w:ilvl="1">
      <w:lvlJc w:val="left"/>
      <w:lvlText w:val="%2."/>
      <w:numFmt w:val="lowerLetter"/>
      <w:start w:val="1"/>
    </w:lvl>
  </w:abstractNum>
  <w:abstractNum w:abstractNumId="31">
    <w:nsid w:val="419AC241"/>
    <w:multiLevelType w:val="hybridMultilevel"/>
    <w:lvl w:ilvl="0">
      <w:lvlJc w:val="left"/>
      <w:lvlText w:val="%1."/>
      <w:numFmt w:val="lowerLetter"/>
      <w:start w:val="4"/>
    </w:lvl>
  </w:abstractNum>
  <w:abstractNum w:abstractNumId="32">
    <w:nsid w:val="5577F8E1"/>
    <w:multiLevelType w:val="hybridMultilevel"/>
    <w:lvl w:ilvl="0">
      <w:lvlJc w:val="left"/>
      <w:lvlText w:val="%1."/>
      <w:numFmt w:val="lowerLetter"/>
      <w:start w:val="6"/>
    </w:lvl>
  </w:abstractNum>
  <w:abstractNum w:abstractNumId="33">
    <w:nsid w:val="440BADFC"/>
    <w:multiLevelType w:val="hybridMultilevel"/>
    <w:lvl w:ilvl="0">
      <w:lvlJc w:val="left"/>
      <w:lvlText w:val="%1."/>
      <w:numFmt w:val="lowerLetter"/>
      <w:start w:val="9"/>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2021-05-18T00:32:23Z</dcterms:created>
  <dcterms:modified xsi:type="dcterms:W3CDTF">2021-05-18T00:32:23Z</dcterms:modified>
</cp:coreProperties>
</file>