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412750</wp:posOffset>
            </wp:positionV>
            <wp:extent cx="708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59" w:lineRule="exact"/>
        <w:rPr>
          <w:sz w:val="24"/>
          <w:szCs w:val="24"/>
          <w:color w:val="auto"/>
        </w:rPr>
      </w:pPr>
    </w:p>
    <w:p>
      <w:pPr>
        <w:ind w:left="640" w:hanging="32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color w:val="auto"/>
        </w:rPr>
        <w:t>December 31, 2025</w:t>
      </w:r>
    </w:p>
    <w:p>
      <w:pPr>
        <w:spacing w:after="0" w:line="1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67" w:lineRule="exact"/>
        <w:rPr>
          <w:sz w:val="24"/>
          <w:szCs w:val="24"/>
          <w:color w:val="auto"/>
        </w:rPr>
      </w:pPr>
    </w:p>
    <w:p>
      <w:pPr>
        <w:ind w:left="4240" w:right="1640" w:hanging="3924"/>
        <w:spacing w:after="0" w:line="537" w:lineRule="auto"/>
        <w:tabs>
          <w:tab w:leader="none" w:pos="6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THE SECURITIES EXCHANGE ACT OF 1934 Commission file number: 001-08443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-84455</wp:posOffset>
            </wp:positionV>
            <wp:extent cx="280289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TELOS CORPORATION</w:t>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52-0880974</w:t>
            </w:r>
          </w:p>
        </w:tc>
      </w:tr>
      <w:tr>
        <w:trPr>
          <w:trHeight w:val="225"/>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3"/>
        </w:trPr>
        <w:tc>
          <w:tcPr>
            <w:tcW w:w="52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19886 Ashburn Road, Ashburn, Virginia</w:t>
            </w:r>
          </w:p>
        </w:tc>
        <w:tc>
          <w:tcPr>
            <w:tcW w:w="35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20147-2358</w:t>
            </w:r>
          </w:p>
        </w:tc>
      </w:tr>
      <w:tr>
        <w:trPr>
          <w:trHeight w:val="234"/>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724-3800</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227" w:right="399" w:bottom="41" w:gutter="0" w:footer="0" w:header="0"/>
        </w:sectPr>
      </w:pPr>
    </w:p>
    <w:p>
      <w:pPr>
        <w:spacing w:after="0" w:line="144"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40" w:space="720"/>
            <w:col w:w="1580" w:space="720"/>
            <w:col w:w="3920"/>
          </w:cols>
          <w:pgMar w:left="320" w:top="227" w:right="399" w:bottom="41" w:gutter="0" w:footer="0" w:header="0"/>
          <w:type w:val="continuous"/>
        </w:sectPr>
      </w:pP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ectPr>
          <w:pgSz w:w="11900" w:h="16838" w:orient="portrait"/>
          <w:cols w:equalWidth="0" w:num="1">
            <w:col w:w="11180"/>
          </w:cols>
          <w:pgMar w:left="320" w:top="227" w:right="399" w:bottom="41" w:gutter="0" w:footer="0" w:header="0"/>
          <w:type w:val="continuous"/>
        </w:sectPr>
      </w:pP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8760" w:space="100"/>
            <w:col w:w="160" w:space="180"/>
            <w:col w:w="220" w:space="120"/>
            <w:col w:w="1640"/>
          </w:cols>
          <w:pgMar w:left="320" w:top="227" w:right="399" w:bottom="41"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8920" w:space="100"/>
            <w:col w:w="160" w:space="180"/>
            <w:col w:w="220" w:space="80"/>
            <w:col w:w="1520"/>
          </w:cols>
          <w:pgMar w:left="320" w:top="227" w:right="399" w:bottom="41" w:gutter="0" w:footer="0" w:header="0"/>
          <w:type w:val="continuous"/>
        </w:sect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54"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360" w:type="dxa"/>
        <w:tblCellMar>
          <w:top w:w="0" w:type="dxa"/>
          <w:left w:w="0" w:type="dxa"/>
          <w:bottom w:w="0" w:type="dxa"/>
          <w:right w:w="0" w:type="dxa"/>
        </w:tblCellMar>
      </w:tblPr>
      <w:tr>
        <w:trPr>
          <w:trHeight w:val="3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180"/>
          </w:cols>
          <w:pgMar w:left="320" w:top="227" w:right="399" w:bottom="41"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35" w:lineRule="exact"/>
        <w:rPr>
          <w:sz w:val="20"/>
          <w:szCs w:val="20"/>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as of June 30, 2025 was approximately $165.2 million based upon the last reported sale price of the registrant's common stock on The Nasdaq Stock Market LLC as of the close of business on that day.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9, 2026, the registrant had outstanding 74,217,621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080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080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2026 Annual Meeting of Stockholders to be filed with the Securities and Exchange Commission within 120 days after the end of the registrant's fiscal year ended December 31, 2025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46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6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046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 to 2025 Form 10-K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
        </w:trPr>
        <w:tc>
          <w:tcPr>
            <w:tcW w:w="10540" w:type="dxa"/>
            <w:vAlign w:val="bottom"/>
            <w:gridSpan w:val="54"/>
          </w:tcPr>
          <w:p>
            <w:pPr>
              <w:spacing w:after="0" w:line="20" w:lineRule="exact"/>
              <w:rPr>
                <w:sz w:val="1"/>
                <w:szCs w:val="1"/>
                <w:color w:val="auto"/>
              </w:rPr>
            </w:pPr>
          </w:p>
        </w:tc>
        <w:tc>
          <w:tcPr>
            <w:tcW w:w="340" w:type="dxa"/>
            <w:vAlign w:val="bottom"/>
            <w:tcBorders>
              <w:top w:val="single" w:sz="8" w:color="auto"/>
            </w:tcBorders>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Special Note Regarding Forward-Looking Statements</w:t>
            </w:r>
          </w:p>
        </w:tc>
        <w:tc>
          <w:tcPr>
            <w:tcW w:w="20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176"/>
        </w:trPr>
        <w:tc>
          <w:tcPr>
            <w:tcW w:w="128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rPr>
              <w:t>PART I</w:t>
            </w:r>
          </w:p>
        </w:tc>
        <w:tc>
          <w:tcPr>
            <w:tcW w:w="3500" w:type="dxa"/>
            <w:vAlign w:val="bottom"/>
            <w:tcBorders>
              <w:top w:val="single" w:sz="8" w:color="0000FF"/>
            </w:tcBorders>
            <w:gridSpan w:val="39"/>
          </w:tcPr>
          <w:p>
            <w:pPr>
              <w:spacing w:after="0"/>
              <w:rPr>
                <w:sz w:val="15"/>
                <w:szCs w:val="15"/>
                <w:color w:val="auto"/>
              </w:rPr>
            </w:pPr>
          </w:p>
        </w:tc>
        <w:tc>
          <w:tcPr>
            <w:tcW w:w="5880" w:type="dxa"/>
            <w:vAlign w:val="bottom"/>
            <w:tcBorders>
              <w:top w:val="single" w:sz="8" w:color="CCEEFF"/>
            </w:tcBorders>
            <w:gridSpan w:val="10"/>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60" w:type="dxa"/>
            <w:vAlign w:val="bottom"/>
            <w:tcBorders>
              <w:top w:val="single" w:sz="8" w:color="CCEEFF"/>
            </w:tcBorders>
            <w:gridSpan w:val="3"/>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gridSpan w:val="2"/>
          </w:tcPr>
          <w:p>
            <w:pPr>
              <w:spacing w:after="0" w:line="20" w:lineRule="exact"/>
              <w:rPr>
                <w:sz w:val="1"/>
                <w:szCs w:val="1"/>
                <w:color w:val="auto"/>
              </w:rPr>
            </w:pPr>
          </w:p>
        </w:tc>
        <w:tc>
          <w:tcPr>
            <w:tcW w:w="10640" w:type="dxa"/>
            <w:vAlign w:val="bottom"/>
            <w:gridSpan w:val="57"/>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Business</w:t>
            </w:r>
          </w:p>
        </w:tc>
        <w:tc>
          <w:tcPr>
            <w:tcW w:w="200" w:type="dxa"/>
            <w:vAlign w:val="bottom"/>
            <w:gridSpan w:val="3"/>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8800" w:type="dxa"/>
            <w:vAlign w:val="bottom"/>
            <w:tcBorders>
              <w:top w:val="single" w:sz="8" w:color="CCEEFF"/>
            </w:tcBorders>
            <w:gridSpan w:val="46"/>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gridSpan w:val="3"/>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9600" w:type="dxa"/>
            <w:vAlign w:val="bottom"/>
            <w:gridSpan w:val="48"/>
          </w:tcPr>
          <w:p>
            <w:pPr>
              <w:ind w:left="340"/>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240" w:type="dxa"/>
            <w:vAlign w:val="bottom"/>
            <w:gridSpan w:val="4"/>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FF"/>
            </w:tcBorders>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20" w:type="dxa"/>
            <w:vAlign w:val="bottom"/>
            <w:tcBorders>
              <w:top w:val="single" w:sz="8" w:color="0000FF"/>
            </w:tcBorders>
            <w:gridSpan w:val="8"/>
          </w:tcPr>
          <w:p>
            <w:pPr>
              <w:spacing w:after="0" w:line="20" w:lineRule="exact"/>
              <w:rPr>
                <w:sz w:val="1"/>
                <w:szCs w:val="1"/>
                <w:color w:val="auto"/>
              </w:rPr>
            </w:pPr>
          </w:p>
        </w:tc>
        <w:tc>
          <w:tcPr>
            <w:tcW w:w="8520" w:type="dxa"/>
            <w:vAlign w:val="bottom"/>
            <w:gridSpan w:val="4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Item 1B.</w:t>
            </w:r>
          </w:p>
        </w:tc>
        <w:tc>
          <w:tcPr>
            <w:tcW w:w="340" w:type="dxa"/>
            <w:vAlign w:val="bottom"/>
            <w:gridSpan w:val="2"/>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Unresolved Staff Comments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25</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680" w:type="dxa"/>
            <w:vAlign w:val="bottom"/>
            <w:tcBorders>
              <w:top w:val="single" w:sz="8" w:color="CCEEFF"/>
            </w:tcBorders>
            <w:gridSpan w:val="3"/>
            <w:shd w:val="clear" w:color="auto" w:fill="CCEEFF"/>
          </w:tcPr>
          <w:p>
            <w:pPr>
              <w:spacing w:after="0" w:line="20" w:lineRule="exact"/>
              <w:rPr>
                <w:sz w:val="1"/>
                <w:szCs w:val="1"/>
                <w:color w:val="auto"/>
              </w:rPr>
            </w:pPr>
          </w:p>
        </w:tc>
        <w:tc>
          <w:tcPr>
            <w:tcW w:w="1840" w:type="dxa"/>
            <w:vAlign w:val="bottom"/>
            <w:tcBorders>
              <w:top w:val="single" w:sz="8" w:color="0000FF"/>
            </w:tcBorders>
            <w:gridSpan w:val="24"/>
            <w:shd w:val="clear" w:color="auto" w:fill="CCEEFF"/>
          </w:tcPr>
          <w:p>
            <w:pPr>
              <w:spacing w:after="0" w:line="20" w:lineRule="exact"/>
              <w:rPr>
                <w:sz w:val="1"/>
                <w:szCs w:val="1"/>
                <w:color w:val="auto"/>
              </w:rPr>
            </w:pPr>
          </w:p>
        </w:tc>
        <w:tc>
          <w:tcPr>
            <w:tcW w:w="7500" w:type="dxa"/>
            <w:vAlign w:val="bottom"/>
            <w:tcBorders>
              <w:top w:val="single" w:sz="8" w:color="CCEEFF"/>
            </w:tcBorders>
            <w:gridSpan w:val="24"/>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w w:val="99"/>
              </w:rPr>
              <w:t>Item 1C.</w:t>
            </w:r>
          </w:p>
        </w:tc>
        <w:tc>
          <w:tcPr>
            <w:tcW w:w="3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4"/>
          </w:tcPr>
          <w:p>
            <w:pPr>
              <w:spacing w:after="0" w:line="175" w:lineRule="exact"/>
              <w:rPr>
                <w:sz w:val="20"/>
                <w:szCs w:val="20"/>
                <w:color w:val="auto"/>
              </w:rPr>
            </w:pPr>
            <w:r>
              <w:rPr>
                <w:rFonts w:ascii="Times New Roman" w:cs="Times New Roman" w:eastAsia="Times New Roman" w:hAnsi="Times New Roman"/>
                <w:sz w:val="16"/>
                <w:szCs w:val="16"/>
                <w:color w:val="0000FF"/>
              </w:rPr>
              <w:t>Cybersecurity</w:t>
            </w:r>
          </w:p>
        </w:tc>
        <w:tc>
          <w:tcPr>
            <w:tcW w:w="7420" w:type="dxa"/>
            <w:vAlign w:val="bottom"/>
            <w:gridSpan w:val="23"/>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25</w:t>
            </w: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FF"/>
            </w:tcBorders>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20" w:type="dxa"/>
            <w:vAlign w:val="bottom"/>
            <w:tcBorders>
              <w:top w:val="single" w:sz="8" w:color="0000FF"/>
            </w:tcBorders>
            <w:gridSpan w:val="9"/>
          </w:tcPr>
          <w:p>
            <w:pPr>
              <w:spacing w:after="0" w:line="20" w:lineRule="exact"/>
              <w:rPr>
                <w:sz w:val="1"/>
                <w:szCs w:val="1"/>
                <w:color w:val="auto"/>
              </w:rPr>
            </w:pPr>
          </w:p>
        </w:tc>
        <w:tc>
          <w:tcPr>
            <w:tcW w:w="8420" w:type="dxa"/>
            <w:vAlign w:val="bottom"/>
            <w:gridSpan w:val="3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Properties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27</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660" w:type="dxa"/>
            <w:vAlign w:val="bottom"/>
            <w:tcBorders>
              <w:top w:val="single" w:sz="8" w:color="0000FF"/>
            </w:tcBorders>
            <w:gridSpan w:val="5"/>
            <w:shd w:val="clear" w:color="auto" w:fill="CCEEFF"/>
          </w:tcPr>
          <w:p>
            <w:pPr>
              <w:spacing w:after="0" w:line="20" w:lineRule="exact"/>
              <w:rPr>
                <w:sz w:val="1"/>
                <w:szCs w:val="1"/>
                <w:color w:val="auto"/>
              </w:rPr>
            </w:pPr>
          </w:p>
        </w:tc>
        <w:tc>
          <w:tcPr>
            <w:tcW w:w="8680" w:type="dxa"/>
            <w:vAlign w:val="bottom"/>
            <w:tcBorders>
              <w:top w:val="single" w:sz="8" w:color="CCEEFF"/>
            </w:tcBorders>
            <w:gridSpan w:val="43"/>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600" w:type="dxa"/>
            <w:vAlign w:val="bottom"/>
            <w:gridSpan w:val="48"/>
          </w:tcPr>
          <w:p>
            <w:pPr>
              <w:ind w:left="340"/>
              <w:spacing w:after="0" w:line="175" w:lineRule="exact"/>
              <w:rPr>
                <w:sz w:val="20"/>
                <w:szCs w:val="20"/>
                <w:color w:val="auto"/>
              </w:rPr>
            </w:pPr>
            <w:r>
              <w:rPr>
                <w:rFonts w:ascii="Times New Roman" w:cs="Times New Roman" w:eastAsia="Times New Roman" w:hAnsi="Times New Roman"/>
                <w:sz w:val="16"/>
                <w:szCs w:val="16"/>
                <w:color w:val="0000FF"/>
              </w:rPr>
              <w:t>Legal Proceedings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27</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200" w:type="dxa"/>
            <w:vAlign w:val="bottom"/>
            <w:tcBorders>
              <w:top w:val="single" w:sz="8" w:color="0000FF"/>
            </w:tcBorders>
            <w:gridSpan w:val="13"/>
          </w:tcPr>
          <w:p>
            <w:pPr>
              <w:spacing w:after="0" w:line="20" w:lineRule="exact"/>
              <w:rPr>
                <w:sz w:val="1"/>
                <w:szCs w:val="1"/>
                <w:color w:val="auto"/>
              </w:rPr>
            </w:pPr>
          </w:p>
        </w:tc>
        <w:tc>
          <w:tcPr>
            <w:tcW w:w="8140" w:type="dxa"/>
            <w:vAlign w:val="bottom"/>
            <w:gridSpan w:val="3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27</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1600" w:type="dxa"/>
            <w:vAlign w:val="bottom"/>
            <w:tcBorders>
              <w:top w:val="single" w:sz="8" w:color="0000FF"/>
            </w:tcBorders>
            <w:gridSpan w:val="19"/>
            <w:shd w:val="clear" w:color="auto" w:fill="CCEEFF"/>
          </w:tcPr>
          <w:p>
            <w:pPr>
              <w:spacing w:after="0" w:line="20" w:lineRule="exact"/>
              <w:rPr>
                <w:sz w:val="1"/>
                <w:szCs w:val="1"/>
                <w:color w:val="auto"/>
              </w:rPr>
            </w:pPr>
          </w:p>
        </w:tc>
        <w:tc>
          <w:tcPr>
            <w:tcW w:w="7740" w:type="dxa"/>
            <w:vAlign w:val="bottom"/>
            <w:tcBorders>
              <w:top w:val="single" w:sz="8" w:color="CCEEFF"/>
            </w:tcBorders>
            <w:gridSpan w:val="29"/>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11200" w:type="dxa"/>
            <w:vAlign w:val="bottom"/>
            <w:gridSpan w:val="60"/>
          </w:tcPr>
          <w:p>
            <w:pPr>
              <w:spacing w:after="0"/>
              <w:rPr>
                <w:sz w:val="20"/>
                <w:szCs w:val="20"/>
                <w:color w:val="auto"/>
              </w:rPr>
            </w:pPr>
            <w:r>
              <w:rPr>
                <w:rFonts w:ascii="Times New Roman" w:cs="Times New Roman" w:eastAsia="Times New Roman" w:hAnsi="Times New Roman"/>
                <w:sz w:val="16"/>
                <w:szCs w:val="16"/>
                <w:b w:val="1"/>
                <w:bCs w:val="1"/>
                <w:color w:val="0000FF"/>
              </w:rPr>
              <w:t>PART II</w:t>
            </w: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FF"/>
            </w:tcBorders>
            <w:gridSpan w:val="4"/>
          </w:tcPr>
          <w:p>
            <w:pPr>
              <w:spacing w:after="0" w:line="20" w:lineRule="exact"/>
              <w:rPr>
                <w:sz w:val="1"/>
                <w:szCs w:val="1"/>
                <w:color w:val="auto"/>
              </w:rPr>
            </w:pPr>
          </w:p>
        </w:tc>
        <w:tc>
          <w:tcPr>
            <w:tcW w:w="10580" w:type="dxa"/>
            <w:vAlign w:val="bottom"/>
            <w:gridSpan w:val="55"/>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5.</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28</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7260" w:type="dxa"/>
            <w:vAlign w:val="bottom"/>
            <w:tcBorders>
              <w:top w:val="single" w:sz="8" w:color="0000FF"/>
            </w:tcBorders>
            <w:gridSpan w:val="46"/>
            <w:shd w:val="clear" w:color="auto" w:fill="CCEEFF"/>
          </w:tcPr>
          <w:p>
            <w:pPr>
              <w:spacing w:after="0" w:line="20" w:lineRule="exact"/>
              <w:rPr>
                <w:sz w:val="1"/>
                <w:szCs w:val="1"/>
                <w:color w:val="auto"/>
              </w:rPr>
            </w:pPr>
          </w:p>
        </w:tc>
        <w:tc>
          <w:tcPr>
            <w:tcW w:w="2080" w:type="dxa"/>
            <w:vAlign w:val="bottom"/>
            <w:tcBorders>
              <w:top w:val="single" w:sz="8" w:color="CCEEFF"/>
            </w:tcBorders>
            <w:gridSpan w:val="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9600" w:type="dxa"/>
            <w:vAlign w:val="bottom"/>
            <w:gridSpan w:val="48"/>
          </w:tcPr>
          <w:p>
            <w:pPr>
              <w:ind w:left="340"/>
              <w:spacing w:after="0" w:line="175" w:lineRule="exact"/>
              <w:rPr>
                <w:sz w:val="20"/>
                <w:szCs w:val="20"/>
                <w:color w:val="auto"/>
              </w:rPr>
            </w:pPr>
            <w:r>
              <w:rPr>
                <w:rFonts w:ascii="Times New Roman" w:cs="Times New Roman" w:eastAsia="Times New Roman" w:hAnsi="Times New Roman"/>
                <w:sz w:val="16"/>
                <w:szCs w:val="16"/>
                <w:color w:val="0000FF"/>
              </w:rPr>
              <w:t>[Reserved]</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28</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720" w:type="dxa"/>
            <w:vAlign w:val="bottom"/>
            <w:tcBorders>
              <w:top w:val="single" w:sz="8" w:color="0000FF"/>
            </w:tcBorders>
            <w:gridSpan w:val="7"/>
          </w:tcPr>
          <w:p>
            <w:pPr>
              <w:spacing w:after="0" w:line="20" w:lineRule="exact"/>
              <w:rPr>
                <w:sz w:val="1"/>
                <w:szCs w:val="1"/>
                <w:color w:val="auto"/>
              </w:rPr>
            </w:pPr>
          </w:p>
        </w:tc>
        <w:tc>
          <w:tcPr>
            <w:tcW w:w="8620" w:type="dxa"/>
            <w:vAlign w:val="bottom"/>
            <w:gridSpan w:val="4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7.</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29</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gridSpan w:val="5"/>
            <w:shd w:val="clear" w:color="auto" w:fill="CCEEFF"/>
          </w:tcPr>
          <w:p>
            <w:pPr>
              <w:spacing w:after="0" w:line="20" w:lineRule="exact"/>
              <w:rPr>
                <w:sz w:val="1"/>
                <w:szCs w:val="1"/>
                <w:color w:val="auto"/>
              </w:rPr>
            </w:pPr>
          </w:p>
        </w:tc>
        <w:tc>
          <w:tcPr>
            <w:tcW w:w="5800" w:type="dxa"/>
            <w:vAlign w:val="bottom"/>
            <w:tcBorders>
              <w:top w:val="single" w:sz="8" w:color="0000FF"/>
            </w:tcBorders>
            <w:gridSpan w:val="45"/>
            <w:shd w:val="clear" w:color="auto" w:fill="CCEEFF"/>
          </w:tcPr>
          <w:p>
            <w:pPr>
              <w:spacing w:after="0" w:line="20" w:lineRule="exact"/>
              <w:rPr>
                <w:sz w:val="1"/>
                <w:szCs w:val="1"/>
                <w:color w:val="auto"/>
              </w:rPr>
            </w:pPr>
          </w:p>
        </w:tc>
        <w:tc>
          <w:tcPr>
            <w:tcW w:w="3540" w:type="dxa"/>
            <w:vAlign w:val="bottom"/>
            <w:tcBorders>
              <w:top w:val="single" w:sz="8" w:color="CCEEFF"/>
            </w:tcBorders>
            <w:gridSpan w:val="3"/>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Overview</w:t>
            </w:r>
          </w:p>
        </w:tc>
        <w:tc>
          <w:tcPr>
            <w:tcW w:w="3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29</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640" w:type="dxa"/>
            <w:vAlign w:val="bottom"/>
            <w:tcBorders>
              <w:top w:val="single" w:sz="8" w:color="0000FF"/>
            </w:tcBorders>
            <w:gridSpan w:val="4"/>
          </w:tcPr>
          <w:p>
            <w:pPr>
              <w:spacing w:after="0" w:line="20" w:lineRule="exact"/>
              <w:rPr>
                <w:sz w:val="1"/>
                <w:szCs w:val="1"/>
                <w:color w:val="auto"/>
              </w:rPr>
            </w:pPr>
          </w:p>
        </w:tc>
        <w:tc>
          <w:tcPr>
            <w:tcW w:w="8700" w:type="dxa"/>
            <w:vAlign w:val="bottom"/>
            <w:gridSpan w:val="44"/>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Business Environment</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29</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460" w:type="dxa"/>
            <w:vAlign w:val="bottom"/>
            <w:tcBorders>
              <w:top w:val="single" w:sz="8" w:color="0000FF"/>
            </w:tcBorders>
            <w:gridSpan w:val="17"/>
            <w:shd w:val="clear" w:color="auto" w:fill="CCEEFF"/>
          </w:tcPr>
          <w:p>
            <w:pPr>
              <w:spacing w:after="0" w:line="20" w:lineRule="exact"/>
              <w:rPr>
                <w:sz w:val="1"/>
                <w:szCs w:val="1"/>
                <w:color w:val="auto"/>
              </w:rPr>
            </w:pPr>
          </w:p>
        </w:tc>
        <w:tc>
          <w:tcPr>
            <w:tcW w:w="7880" w:type="dxa"/>
            <w:vAlign w:val="bottom"/>
            <w:tcBorders>
              <w:top w:val="single" w:sz="8" w:color="CCEEFF"/>
            </w:tcBorders>
            <w:gridSpan w:val="31"/>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Key Performance Measures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31</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1800" w:type="dxa"/>
            <w:vAlign w:val="bottom"/>
            <w:tcBorders>
              <w:top w:val="single" w:sz="8" w:color="0000FF"/>
            </w:tcBorders>
            <w:gridSpan w:val="22"/>
          </w:tcPr>
          <w:p>
            <w:pPr>
              <w:spacing w:after="0" w:line="20" w:lineRule="exact"/>
              <w:rPr>
                <w:sz w:val="1"/>
                <w:szCs w:val="1"/>
                <w:color w:val="auto"/>
              </w:rPr>
            </w:pPr>
          </w:p>
        </w:tc>
        <w:tc>
          <w:tcPr>
            <w:tcW w:w="7540" w:type="dxa"/>
            <w:vAlign w:val="bottom"/>
            <w:gridSpan w:val="2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Backlog</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31</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540" w:type="dxa"/>
            <w:vAlign w:val="bottom"/>
            <w:tcBorders>
              <w:top w:val="single" w:sz="8" w:color="0000FF"/>
            </w:tcBorders>
            <w:gridSpan w:val="2"/>
            <w:shd w:val="clear" w:color="auto" w:fill="CCEEFF"/>
          </w:tcPr>
          <w:p>
            <w:pPr>
              <w:spacing w:after="0" w:line="20" w:lineRule="exact"/>
              <w:rPr>
                <w:sz w:val="1"/>
                <w:szCs w:val="1"/>
                <w:color w:val="auto"/>
              </w:rPr>
            </w:pPr>
          </w:p>
        </w:tc>
        <w:tc>
          <w:tcPr>
            <w:tcW w:w="8800" w:type="dxa"/>
            <w:vAlign w:val="bottom"/>
            <w:tcBorders>
              <w:top w:val="single" w:sz="8" w:color="CCEEFF"/>
            </w:tcBorders>
            <w:gridSpan w:val="4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Financial Highlights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320" w:type="dxa"/>
            <w:vAlign w:val="bottom"/>
            <w:tcBorders>
              <w:top w:val="single" w:sz="8" w:color="0000FF"/>
            </w:tcBorders>
            <w:gridSpan w:val="15"/>
          </w:tcPr>
          <w:p>
            <w:pPr>
              <w:spacing w:after="0" w:line="20" w:lineRule="exact"/>
              <w:rPr>
                <w:sz w:val="1"/>
                <w:szCs w:val="1"/>
                <w:color w:val="auto"/>
              </w:rPr>
            </w:pPr>
          </w:p>
        </w:tc>
        <w:tc>
          <w:tcPr>
            <w:tcW w:w="8020" w:type="dxa"/>
            <w:vAlign w:val="bottom"/>
            <w:gridSpan w:val="3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Results of Operations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400" w:type="dxa"/>
            <w:vAlign w:val="bottom"/>
            <w:tcBorders>
              <w:top w:val="single" w:sz="8" w:color="0000FF"/>
            </w:tcBorders>
            <w:gridSpan w:val="16"/>
            <w:shd w:val="clear" w:color="auto" w:fill="CCEEFF"/>
          </w:tcPr>
          <w:p>
            <w:pPr>
              <w:spacing w:after="0" w:line="20" w:lineRule="exact"/>
              <w:rPr>
                <w:sz w:val="1"/>
                <w:szCs w:val="1"/>
                <w:color w:val="auto"/>
              </w:rPr>
            </w:pPr>
          </w:p>
        </w:tc>
        <w:tc>
          <w:tcPr>
            <w:tcW w:w="7940" w:type="dxa"/>
            <w:vAlign w:val="bottom"/>
            <w:tcBorders>
              <w:top w:val="single" w:sz="8" w:color="CCEEFF"/>
            </w:tcBorders>
            <w:gridSpan w:val="3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Non-GAAP Financial Measures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34</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2080" w:type="dxa"/>
            <w:vAlign w:val="bottom"/>
            <w:tcBorders>
              <w:top w:val="single" w:sz="8" w:color="0000FF"/>
            </w:tcBorders>
            <w:gridSpan w:val="29"/>
          </w:tcPr>
          <w:p>
            <w:pPr>
              <w:spacing w:after="0" w:line="20" w:lineRule="exact"/>
              <w:rPr>
                <w:sz w:val="1"/>
                <w:szCs w:val="1"/>
                <w:color w:val="auto"/>
              </w:rPr>
            </w:pPr>
          </w:p>
        </w:tc>
        <w:tc>
          <w:tcPr>
            <w:tcW w:w="7260" w:type="dxa"/>
            <w:vAlign w:val="bottom"/>
            <w:gridSpan w:val="1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100" w:type="dxa"/>
            <w:vAlign w:val="bottom"/>
            <w:gridSpan w:val="3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Liquidity and Capital Resources</w:t>
            </w:r>
          </w:p>
        </w:tc>
        <w:tc>
          <w:tcPr>
            <w:tcW w:w="7160" w:type="dxa"/>
            <w:vAlign w:val="bottom"/>
            <w:gridSpan w:val="17"/>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35</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100" w:type="dxa"/>
            <w:vAlign w:val="bottom"/>
            <w:tcBorders>
              <w:top w:val="single" w:sz="8" w:color="0000FF"/>
            </w:tcBorders>
            <w:gridSpan w:val="30"/>
            <w:shd w:val="clear" w:color="auto" w:fill="CCEEFF"/>
          </w:tcPr>
          <w:p>
            <w:pPr>
              <w:spacing w:after="0" w:line="20" w:lineRule="exact"/>
              <w:rPr>
                <w:sz w:val="1"/>
                <w:szCs w:val="1"/>
                <w:color w:val="auto"/>
              </w:rPr>
            </w:pPr>
          </w:p>
        </w:tc>
        <w:tc>
          <w:tcPr>
            <w:tcW w:w="7240" w:type="dxa"/>
            <w:vAlign w:val="bottom"/>
            <w:tcBorders>
              <w:top w:val="single" w:sz="8" w:color="CCEEFF"/>
            </w:tcBorders>
            <w:gridSpan w:val="1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36</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2780" w:type="dxa"/>
            <w:vAlign w:val="bottom"/>
            <w:tcBorders>
              <w:top w:val="single" w:sz="8" w:color="0000FF"/>
            </w:tcBorders>
            <w:gridSpan w:val="35"/>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7A.</w:t>
            </w: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38</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gridSpan w:val="3"/>
            <w:shd w:val="clear" w:color="auto" w:fill="CCEEFF"/>
          </w:tcPr>
          <w:p>
            <w:pPr>
              <w:spacing w:after="0" w:line="20" w:lineRule="exact"/>
              <w:rPr>
                <w:sz w:val="1"/>
                <w:szCs w:val="1"/>
                <w:color w:val="auto"/>
              </w:rPr>
            </w:pPr>
          </w:p>
        </w:tc>
        <w:tc>
          <w:tcPr>
            <w:tcW w:w="680" w:type="dxa"/>
            <w:vAlign w:val="bottom"/>
            <w:tcBorders>
              <w:top w:val="single" w:sz="8" w:color="CCEEFF"/>
            </w:tcBorders>
            <w:gridSpan w:val="3"/>
            <w:shd w:val="clear" w:color="auto" w:fill="CCEEFF"/>
          </w:tcPr>
          <w:p>
            <w:pPr>
              <w:spacing w:after="0" w:line="20" w:lineRule="exact"/>
              <w:rPr>
                <w:sz w:val="1"/>
                <w:szCs w:val="1"/>
                <w:color w:val="auto"/>
              </w:rPr>
            </w:pPr>
          </w:p>
        </w:tc>
        <w:tc>
          <w:tcPr>
            <w:tcW w:w="3880" w:type="dxa"/>
            <w:vAlign w:val="bottom"/>
            <w:tcBorders>
              <w:top w:val="single" w:sz="8" w:color="0000FF"/>
            </w:tcBorders>
            <w:gridSpan w:val="42"/>
            <w:shd w:val="clear" w:color="auto" w:fill="CCEEFF"/>
          </w:tcPr>
          <w:p>
            <w:pPr>
              <w:spacing w:after="0" w:line="20" w:lineRule="exact"/>
              <w:rPr>
                <w:sz w:val="1"/>
                <w:szCs w:val="1"/>
                <w:color w:val="auto"/>
              </w:rPr>
            </w:pPr>
          </w:p>
        </w:tc>
        <w:tc>
          <w:tcPr>
            <w:tcW w:w="5460" w:type="dxa"/>
            <w:vAlign w:val="bottom"/>
            <w:tcBorders>
              <w:top w:val="single" w:sz="8" w:color="CCEEFF"/>
            </w:tcBorders>
            <w:gridSpan w:val="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8.</w:t>
            </w:r>
          </w:p>
        </w:tc>
        <w:tc>
          <w:tcPr>
            <w:tcW w:w="3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Consolidated Financial Statements and Supplementary Data</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39</w:t>
            </w: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900" w:type="dxa"/>
            <w:vAlign w:val="bottom"/>
            <w:tcBorders>
              <w:top w:val="single" w:sz="8" w:color="0000FF"/>
            </w:tcBorders>
            <w:gridSpan w:val="43"/>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No. 238)</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39</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800" w:type="dxa"/>
            <w:vAlign w:val="bottom"/>
            <w:tcBorders>
              <w:top w:val="single" w:sz="8" w:color="0000FF"/>
            </w:tcBorders>
            <w:gridSpan w:val="41"/>
            <w:shd w:val="clear" w:color="auto" w:fill="CCEEFF"/>
          </w:tcPr>
          <w:p>
            <w:pPr>
              <w:spacing w:after="0" w:line="20" w:lineRule="exact"/>
              <w:rPr>
                <w:sz w:val="1"/>
                <w:szCs w:val="1"/>
                <w:color w:val="auto"/>
              </w:rPr>
            </w:pPr>
          </w:p>
        </w:tc>
        <w:tc>
          <w:tcPr>
            <w:tcW w:w="5540" w:type="dxa"/>
            <w:vAlign w:val="bottom"/>
            <w:tcBorders>
              <w:top w:val="single" w:sz="8" w:color="CCEEFF"/>
            </w:tcBorders>
            <w:gridSpan w:val="7"/>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0" w:type="dxa"/>
            <w:vAlign w:val="bottom"/>
            <w:gridSpan w:val="41"/>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Operations</w:t>
            </w:r>
          </w:p>
        </w:tc>
        <w:tc>
          <w:tcPr>
            <w:tcW w:w="5460" w:type="dxa"/>
            <w:vAlign w:val="bottom"/>
            <w:gridSpan w:val="6"/>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41</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2540" w:type="dxa"/>
            <w:vAlign w:val="bottom"/>
            <w:tcBorders>
              <w:top w:val="single" w:sz="8" w:color="0000FF"/>
            </w:tcBorders>
            <w:gridSpan w:val="32"/>
          </w:tcPr>
          <w:p>
            <w:pPr>
              <w:spacing w:after="0" w:line="20" w:lineRule="exact"/>
              <w:rPr>
                <w:sz w:val="1"/>
                <w:szCs w:val="1"/>
                <w:color w:val="auto"/>
              </w:rPr>
            </w:pPr>
          </w:p>
        </w:tc>
        <w:tc>
          <w:tcPr>
            <w:tcW w:w="6800" w:type="dxa"/>
            <w:vAlign w:val="bottom"/>
            <w:gridSpan w:val="16"/>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Comprehensive Loss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42</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180" w:type="dxa"/>
            <w:vAlign w:val="bottom"/>
            <w:tcBorders>
              <w:top w:val="single" w:sz="8" w:color="0000FF"/>
            </w:tcBorders>
            <w:gridSpan w:val="38"/>
            <w:shd w:val="clear" w:color="auto" w:fill="CCEEFF"/>
          </w:tcPr>
          <w:p>
            <w:pPr>
              <w:spacing w:after="0" w:line="20" w:lineRule="exact"/>
              <w:rPr>
                <w:sz w:val="1"/>
                <w:szCs w:val="1"/>
                <w:color w:val="auto"/>
              </w:rPr>
            </w:pPr>
          </w:p>
        </w:tc>
        <w:tc>
          <w:tcPr>
            <w:tcW w:w="6160" w:type="dxa"/>
            <w:vAlign w:val="bottom"/>
            <w:tcBorders>
              <w:top w:val="single" w:sz="8" w:color="CCEEFF"/>
            </w:tcBorders>
            <w:gridSpan w:val="10"/>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38"/>
          </w:tcPr>
          <w:p>
            <w:pPr>
              <w:spacing w:after="0" w:line="175"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6080" w:type="dxa"/>
            <w:vAlign w:val="bottom"/>
            <w:gridSpan w:val="9"/>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43</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880" w:type="dxa"/>
            <w:vAlign w:val="bottom"/>
            <w:tcBorders>
              <w:top w:val="single" w:sz="8" w:color="0000FF"/>
            </w:tcBorders>
            <w:gridSpan w:val="26"/>
          </w:tcPr>
          <w:p>
            <w:pPr>
              <w:spacing w:after="0" w:line="20" w:lineRule="exact"/>
              <w:rPr>
                <w:sz w:val="1"/>
                <w:szCs w:val="1"/>
                <w:color w:val="auto"/>
              </w:rPr>
            </w:pPr>
          </w:p>
        </w:tc>
        <w:tc>
          <w:tcPr>
            <w:tcW w:w="7460" w:type="dxa"/>
            <w:vAlign w:val="bottom"/>
            <w:gridSpan w:val="22"/>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Cash Flows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44</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580" w:type="dxa"/>
            <w:vAlign w:val="bottom"/>
            <w:tcBorders>
              <w:top w:val="single" w:sz="8" w:color="0000FF"/>
            </w:tcBorders>
            <w:gridSpan w:val="33"/>
            <w:shd w:val="clear" w:color="auto" w:fill="CCEEFF"/>
          </w:tcPr>
          <w:p>
            <w:pPr>
              <w:spacing w:after="0" w:line="20" w:lineRule="exact"/>
              <w:rPr>
                <w:sz w:val="1"/>
                <w:szCs w:val="1"/>
                <w:color w:val="auto"/>
              </w:rPr>
            </w:pPr>
          </w:p>
        </w:tc>
        <w:tc>
          <w:tcPr>
            <w:tcW w:w="6760" w:type="dxa"/>
            <w:vAlign w:val="bottom"/>
            <w:tcBorders>
              <w:top w:val="single" w:sz="8" w:color="CCEEFF"/>
            </w:tcBorders>
            <w:gridSpan w:val="15"/>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Changes in Stockholders' Equity</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45</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3940" w:type="dxa"/>
            <w:vAlign w:val="bottom"/>
            <w:tcBorders>
              <w:top w:val="single" w:sz="8" w:color="0000FF"/>
            </w:tcBorders>
            <w:gridSpan w:val="44"/>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80" w:type="dxa"/>
            <w:vAlign w:val="bottom"/>
            <w:gridSpan w:val="3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6180" w:type="dxa"/>
            <w:vAlign w:val="bottom"/>
            <w:gridSpan w:val="10"/>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46</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080" w:type="dxa"/>
            <w:vAlign w:val="bottom"/>
            <w:tcBorders>
              <w:top w:val="single" w:sz="8" w:color="0000FF"/>
            </w:tcBorders>
            <w:gridSpan w:val="37"/>
            <w:shd w:val="clear" w:color="auto" w:fill="CCEEFF"/>
          </w:tcPr>
          <w:p>
            <w:pPr>
              <w:spacing w:after="0" w:line="20" w:lineRule="exact"/>
              <w:rPr>
                <w:sz w:val="1"/>
                <w:szCs w:val="1"/>
                <w:color w:val="auto"/>
              </w:rPr>
            </w:pPr>
          </w:p>
        </w:tc>
        <w:tc>
          <w:tcPr>
            <w:tcW w:w="6260" w:type="dxa"/>
            <w:vAlign w:val="bottom"/>
            <w:tcBorders>
              <w:top w:val="single" w:sz="8" w:color="CCEEFF"/>
            </w:tcBorders>
            <w:gridSpan w:val="11"/>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gridSpan w:val="37"/>
          </w:tcPr>
          <w:p>
            <w:pPr>
              <w:spacing w:after="0" w:line="175" w:lineRule="exact"/>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color w:val="0000FF"/>
              </w:rPr>
              <w:t>Organization</w:t>
            </w:r>
          </w:p>
        </w:tc>
        <w:tc>
          <w:tcPr>
            <w:tcW w:w="6180" w:type="dxa"/>
            <w:vAlign w:val="bottom"/>
            <w:gridSpan w:val="10"/>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46</w:t>
            </w:r>
          </w:p>
        </w:tc>
        <w:tc>
          <w:tcPr>
            <w:tcW w:w="320" w:type="dxa"/>
            <w:vAlign w:val="bottom"/>
          </w:tcPr>
          <w:p>
            <w:pPr>
              <w:spacing w:after="0"/>
              <w:rPr>
                <w:sz w:val="15"/>
                <w:szCs w:val="15"/>
                <w:color w:val="auto"/>
              </w:rPr>
            </w:pPr>
          </w:p>
        </w:tc>
      </w:tr>
      <w:tr>
        <w:trPr>
          <w:trHeight w:val="20"/>
        </w:trPr>
        <w:tc>
          <w:tcPr>
            <w:tcW w:w="1440" w:type="dxa"/>
            <w:vAlign w:val="bottom"/>
            <w:gridSpan w:val="8"/>
          </w:tcPr>
          <w:p>
            <w:pPr>
              <w:spacing w:after="0" w:line="20" w:lineRule="exact"/>
              <w:rPr>
                <w:sz w:val="1"/>
                <w:szCs w:val="1"/>
                <w:color w:val="auto"/>
              </w:rPr>
            </w:pPr>
          </w:p>
        </w:tc>
        <w:tc>
          <w:tcPr>
            <w:tcW w:w="840" w:type="dxa"/>
            <w:vAlign w:val="bottom"/>
            <w:tcBorders>
              <w:top w:val="single" w:sz="8" w:color="0000FF"/>
            </w:tcBorders>
            <w:gridSpan w:val="9"/>
          </w:tcPr>
          <w:p>
            <w:pPr>
              <w:spacing w:after="0" w:line="20" w:lineRule="exact"/>
              <w:rPr>
                <w:sz w:val="1"/>
                <w:szCs w:val="1"/>
                <w:color w:val="auto"/>
              </w:rPr>
            </w:pPr>
          </w:p>
        </w:tc>
        <w:tc>
          <w:tcPr>
            <w:tcW w:w="8340" w:type="dxa"/>
            <w:vAlign w:val="bottom"/>
            <w:gridSpan w:val="38"/>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2. Summary of Significant Accounting Policies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46</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060" w:type="dxa"/>
            <w:vAlign w:val="bottom"/>
            <w:tcBorders>
              <w:top w:val="single" w:sz="8" w:color="0000FF"/>
            </w:tcBorders>
            <w:gridSpan w:val="36"/>
            <w:shd w:val="clear" w:color="auto" w:fill="CCEEFF"/>
          </w:tcPr>
          <w:p>
            <w:pPr>
              <w:spacing w:after="0" w:line="20" w:lineRule="exact"/>
              <w:rPr>
                <w:sz w:val="1"/>
                <w:szCs w:val="1"/>
                <w:color w:val="auto"/>
              </w:rPr>
            </w:pPr>
          </w:p>
        </w:tc>
        <w:tc>
          <w:tcPr>
            <w:tcW w:w="6280" w:type="dxa"/>
            <w:vAlign w:val="bottom"/>
            <w:tcBorders>
              <w:top w:val="single" w:sz="8" w:color="CCEEFF"/>
            </w:tcBorders>
            <w:gridSpan w:val="1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gridSpan w:val="36"/>
          </w:tcPr>
          <w:p>
            <w:pPr>
              <w:spacing w:after="0" w:line="175" w:lineRule="exact"/>
              <w:rPr>
                <w:sz w:val="20"/>
                <w:szCs w:val="20"/>
                <w:color w:val="auto"/>
              </w:rPr>
            </w:pPr>
            <w:r>
              <w:rPr>
                <w:rFonts w:ascii="Times New Roman" w:cs="Times New Roman" w:eastAsia="Times New Roman" w:hAnsi="Times New Roman"/>
                <w:sz w:val="16"/>
                <w:szCs w:val="16"/>
                <w:color w:val="0000FF"/>
              </w:rPr>
              <w:t>3. Revenue Recognition</w:t>
            </w:r>
          </w:p>
        </w:tc>
        <w:tc>
          <w:tcPr>
            <w:tcW w:w="6200" w:type="dxa"/>
            <w:vAlign w:val="bottom"/>
            <w:gridSpan w:val="11"/>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54</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1560" w:type="dxa"/>
            <w:vAlign w:val="bottom"/>
            <w:tcBorders>
              <w:top w:val="single" w:sz="8" w:color="0000FF"/>
            </w:tcBorders>
            <w:gridSpan w:val="18"/>
          </w:tcPr>
          <w:p>
            <w:pPr>
              <w:spacing w:after="0" w:line="20" w:lineRule="exact"/>
              <w:rPr>
                <w:sz w:val="1"/>
                <w:szCs w:val="1"/>
                <w:color w:val="auto"/>
              </w:rPr>
            </w:pPr>
          </w:p>
        </w:tc>
        <w:tc>
          <w:tcPr>
            <w:tcW w:w="7780" w:type="dxa"/>
            <w:vAlign w:val="bottom"/>
            <w:gridSpan w:val="3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6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4. Accounts Receivable, Net</w:t>
            </w:r>
          </w:p>
        </w:tc>
        <w:tc>
          <w:tcPr>
            <w:tcW w:w="7400" w:type="dxa"/>
            <w:vAlign w:val="bottom"/>
            <w:gridSpan w:val="2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57</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860" w:type="dxa"/>
            <w:vAlign w:val="bottom"/>
            <w:tcBorders>
              <w:top w:val="single" w:sz="8" w:color="0000FF"/>
            </w:tcBorders>
            <w:gridSpan w:val="25"/>
            <w:shd w:val="clear" w:color="auto" w:fill="CCEEFF"/>
          </w:tcPr>
          <w:p>
            <w:pPr>
              <w:spacing w:after="0" w:line="20" w:lineRule="exact"/>
              <w:rPr>
                <w:sz w:val="1"/>
                <w:szCs w:val="1"/>
                <w:color w:val="auto"/>
              </w:rPr>
            </w:pPr>
          </w:p>
        </w:tc>
        <w:tc>
          <w:tcPr>
            <w:tcW w:w="7480" w:type="dxa"/>
            <w:vAlign w:val="bottom"/>
            <w:tcBorders>
              <w:top w:val="single" w:sz="8" w:color="CCEEFF"/>
            </w:tcBorders>
            <w:gridSpan w:val="23"/>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5. Property and Equipment, Net</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58</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2060" w:type="dxa"/>
            <w:vAlign w:val="bottom"/>
            <w:tcBorders>
              <w:top w:val="single" w:sz="8" w:color="0000FF"/>
            </w:tcBorders>
            <w:gridSpan w:val="28"/>
          </w:tcPr>
          <w:p>
            <w:pPr>
              <w:spacing w:after="0" w:line="20" w:lineRule="exact"/>
              <w:rPr>
                <w:sz w:val="1"/>
                <w:szCs w:val="1"/>
                <w:color w:val="auto"/>
              </w:rPr>
            </w:pPr>
          </w:p>
        </w:tc>
        <w:tc>
          <w:tcPr>
            <w:tcW w:w="7280" w:type="dxa"/>
            <w:vAlign w:val="bottom"/>
            <w:gridSpan w:val="20"/>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gridSpan w:val="1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6. Goodwill, Net</w:t>
            </w:r>
          </w:p>
        </w:tc>
        <w:tc>
          <w:tcPr>
            <w:tcW w:w="8160" w:type="dxa"/>
            <w:vAlign w:val="bottom"/>
            <w:gridSpan w:val="36"/>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58</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100" w:type="dxa"/>
            <w:vAlign w:val="bottom"/>
            <w:tcBorders>
              <w:top w:val="single" w:sz="8" w:color="0000FF"/>
            </w:tcBorders>
            <w:gridSpan w:val="11"/>
            <w:shd w:val="clear" w:color="auto" w:fill="CCEEFF"/>
          </w:tcPr>
          <w:p>
            <w:pPr>
              <w:spacing w:after="0" w:line="20" w:lineRule="exact"/>
              <w:rPr>
                <w:sz w:val="1"/>
                <w:szCs w:val="1"/>
                <w:color w:val="auto"/>
              </w:rPr>
            </w:pPr>
          </w:p>
        </w:tc>
        <w:tc>
          <w:tcPr>
            <w:tcW w:w="8240" w:type="dxa"/>
            <w:vAlign w:val="bottom"/>
            <w:tcBorders>
              <w:top w:val="single" w:sz="8" w:color="CCEEFF"/>
            </w:tcBorders>
            <w:gridSpan w:val="37"/>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7. Intangible Assets, Net</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59</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1600" w:type="dxa"/>
            <w:vAlign w:val="bottom"/>
            <w:tcBorders>
              <w:top w:val="single" w:sz="8" w:color="0000FF"/>
            </w:tcBorders>
            <w:gridSpan w:val="19"/>
          </w:tcPr>
          <w:p>
            <w:pPr>
              <w:spacing w:after="0" w:line="20" w:lineRule="exact"/>
              <w:rPr>
                <w:sz w:val="1"/>
                <w:szCs w:val="1"/>
                <w:color w:val="auto"/>
              </w:rPr>
            </w:pPr>
          </w:p>
        </w:tc>
        <w:tc>
          <w:tcPr>
            <w:tcW w:w="7740" w:type="dxa"/>
            <w:vAlign w:val="bottom"/>
            <w:gridSpan w:val="29"/>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360" w:type="dxa"/>
            <w:vAlign w:val="bottom"/>
            <w:gridSpan w:val="3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8. Other Balance Sheet Components</w:t>
            </w:r>
          </w:p>
        </w:tc>
        <w:tc>
          <w:tcPr>
            <w:tcW w:w="6900" w:type="dxa"/>
            <w:vAlign w:val="bottom"/>
            <w:gridSpan w:val="16"/>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60</w:t>
            </w:r>
          </w:p>
        </w:tc>
        <w:tc>
          <w:tcPr>
            <w:tcW w:w="320" w:type="dxa"/>
            <w:vAlign w:val="bottom"/>
            <w:shd w:val="clear" w:color="auto" w:fill="CCEEFF"/>
          </w:tcPr>
          <w:p>
            <w:pPr>
              <w:spacing w:after="0"/>
              <w:rPr>
                <w:sz w:val="15"/>
                <w:szCs w:val="15"/>
                <w:color w:val="auto"/>
              </w:rPr>
            </w:pPr>
          </w:p>
        </w:tc>
      </w:tr>
      <w:tr>
        <w:trPr>
          <w:trHeight w:val="21"/>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2360" w:type="dxa"/>
            <w:vAlign w:val="bottom"/>
            <w:tcBorders>
              <w:top w:val="single" w:sz="8" w:color="0000FF"/>
            </w:tcBorders>
            <w:gridSpan w:val="31"/>
            <w:shd w:val="clear" w:color="auto" w:fill="CCEEFF"/>
          </w:tcPr>
          <w:p>
            <w:pPr>
              <w:spacing w:after="0" w:line="20" w:lineRule="exact"/>
              <w:rPr>
                <w:sz w:val="1"/>
                <w:szCs w:val="1"/>
                <w:color w:val="auto"/>
              </w:rPr>
            </w:pPr>
          </w:p>
        </w:tc>
        <w:tc>
          <w:tcPr>
            <w:tcW w:w="6980" w:type="dxa"/>
            <w:vAlign w:val="bottom"/>
            <w:tcBorders>
              <w:top w:val="single" w:sz="8" w:color="CCEEFF"/>
            </w:tcBorders>
            <w:gridSpan w:val="17"/>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60" w:type="dxa"/>
            <w:vAlign w:val="bottom"/>
            <w:gridSpan w:val="31"/>
          </w:tcPr>
          <w:p>
            <w:pPr>
              <w:spacing w:after="0" w:line="175" w:lineRule="exact"/>
              <w:rPr>
                <w:sz w:val="20"/>
                <w:szCs w:val="20"/>
                <w:color w:val="auto"/>
              </w:rPr>
            </w:pPr>
            <w:r>
              <w:rPr>
                <w:rFonts w:ascii="Times New Roman" w:cs="Times New Roman" w:eastAsia="Times New Roman" w:hAnsi="Times New Roman"/>
                <w:sz w:val="16"/>
                <w:szCs w:val="16"/>
                <w:color w:val="0000FF"/>
              </w:rPr>
              <w:t>9. Revolving Credit Facility</w:t>
            </w:r>
          </w:p>
        </w:tc>
        <w:tc>
          <w:tcPr>
            <w:tcW w:w="6900" w:type="dxa"/>
            <w:vAlign w:val="bottom"/>
            <w:gridSpan w:val="16"/>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4"/>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61</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1820" w:type="dxa"/>
            <w:vAlign w:val="bottom"/>
            <w:tcBorders>
              <w:top w:val="single" w:sz="8" w:color="0000FF"/>
            </w:tcBorders>
            <w:gridSpan w:val="23"/>
          </w:tcPr>
          <w:p>
            <w:pPr>
              <w:spacing w:after="0" w:line="20" w:lineRule="exact"/>
              <w:rPr>
                <w:sz w:val="1"/>
                <w:szCs w:val="1"/>
                <w:color w:val="auto"/>
              </w:rPr>
            </w:pPr>
          </w:p>
        </w:tc>
        <w:tc>
          <w:tcPr>
            <w:tcW w:w="7520" w:type="dxa"/>
            <w:vAlign w:val="bottom"/>
            <w:gridSpan w:val="25"/>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10. Stockholders' Equity</w:t>
            </w:r>
          </w:p>
        </w:tc>
        <w:tc>
          <w:tcPr>
            <w:tcW w:w="7660" w:type="dxa"/>
            <w:vAlign w:val="bottom"/>
            <w:gridSpan w:val="28"/>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4"/>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61</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600" w:type="dxa"/>
            <w:vAlign w:val="bottom"/>
            <w:tcBorders>
              <w:top w:val="single" w:sz="8" w:color="0000FF"/>
            </w:tcBorders>
            <w:gridSpan w:val="19"/>
            <w:shd w:val="clear" w:color="auto" w:fill="CCEEFF"/>
          </w:tcPr>
          <w:p>
            <w:pPr>
              <w:spacing w:after="0" w:line="20" w:lineRule="exact"/>
              <w:rPr>
                <w:sz w:val="1"/>
                <w:szCs w:val="1"/>
                <w:color w:val="auto"/>
              </w:rPr>
            </w:pPr>
          </w:p>
        </w:tc>
        <w:tc>
          <w:tcPr>
            <w:tcW w:w="7740" w:type="dxa"/>
            <w:vAlign w:val="bottom"/>
            <w:tcBorders>
              <w:top w:val="single" w:sz="8" w:color="CCEEFF"/>
            </w:tcBorders>
            <w:gridSpan w:val="29"/>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11. Stock-Based Compensation</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62</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2040" w:type="dxa"/>
            <w:vAlign w:val="bottom"/>
            <w:tcBorders>
              <w:top w:val="single" w:sz="8" w:color="0000FF"/>
            </w:tcBorders>
            <w:gridSpan w:val="27"/>
          </w:tcPr>
          <w:p>
            <w:pPr>
              <w:spacing w:after="0" w:line="20" w:lineRule="exact"/>
              <w:rPr>
                <w:sz w:val="1"/>
                <w:szCs w:val="1"/>
                <w:color w:val="auto"/>
              </w:rPr>
            </w:pPr>
          </w:p>
        </w:tc>
        <w:tc>
          <w:tcPr>
            <w:tcW w:w="7300" w:type="dxa"/>
            <w:vAlign w:val="bottom"/>
            <w:gridSpan w:val="21"/>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12. Leases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64</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680" w:type="dxa"/>
            <w:vAlign w:val="bottom"/>
            <w:tcBorders>
              <w:top w:val="single" w:sz="8" w:color="0000FF"/>
            </w:tcBorders>
            <w:gridSpan w:val="6"/>
            <w:shd w:val="clear" w:color="auto" w:fill="CCEEFF"/>
          </w:tcPr>
          <w:p>
            <w:pPr>
              <w:spacing w:after="0" w:line="20" w:lineRule="exact"/>
              <w:rPr>
                <w:sz w:val="1"/>
                <w:szCs w:val="1"/>
                <w:color w:val="auto"/>
              </w:rPr>
            </w:pPr>
          </w:p>
        </w:tc>
        <w:tc>
          <w:tcPr>
            <w:tcW w:w="8660" w:type="dxa"/>
            <w:vAlign w:val="bottom"/>
            <w:tcBorders>
              <w:top w:val="single" w:sz="8" w:color="CCEEFF"/>
            </w:tcBorders>
            <w:gridSpan w:val="42"/>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13. Employee Benefit Plan</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65</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1740" w:type="dxa"/>
            <w:vAlign w:val="bottom"/>
            <w:tcBorders>
              <w:top w:val="single" w:sz="8" w:color="0000FF"/>
            </w:tcBorders>
            <w:gridSpan w:val="21"/>
          </w:tcPr>
          <w:p>
            <w:pPr>
              <w:spacing w:after="0" w:line="20" w:lineRule="exact"/>
              <w:rPr>
                <w:sz w:val="1"/>
                <w:szCs w:val="1"/>
                <w:color w:val="auto"/>
              </w:rPr>
            </w:pPr>
          </w:p>
        </w:tc>
        <w:tc>
          <w:tcPr>
            <w:tcW w:w="7600" w:type="dxa"/>
            <w:vAlign w:val="bottom"/>
            <w:gridSpan w:val="27"/>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14. Income Taxes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66</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140" w:type="dxa"/>
            <w:vAlign w:val="bottom"/>
            <w:tcBorders>
              <w:top w:val="single" w:sz="8" w:color="0000FF"/>
            </w:tcBorders>
            <w:gridSpan w:val="12"/>
            <w:shd w:val="clear" w:color="auto" w:fill="CCEEFF"/>
          </w:tcPr>
          <w:p>
            <w:pPr>
              <w:spacing w:after="0" w:line="20" w:lineRule="exact"/>
              <w:rPr>
                <w:sz w:val="1"/>
                <w:szCs w:val="1"/>
                <w:color w:val="auto"/>
              </w:rPr>
            </w:pPr>
          </w:p>
        </w:tc>
        <w:tc>
          <w:tcPr>
            <w:tcW w:w="8200" w:type="dxa"/>
            <w:vAlign w:val="bottom"/>
            <w:tcBorders>
              <w:top w:val="single" w:sz="8" w:color="CCEEFF"/>
            </w:tcBorders>
            <w:gridSpan w:val="36"/>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15. Loss Per Share</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68</w:t>
            </w:r>
          </w:p>
        </w:tc>
        <w:tc>
          <w:tcPr>
            <w:tcW w:w="320" w:type="dxa"/>
            <w:vAlign w:val="bottom"/>
          </w:tcPr>
          <w:p>
            <w:pPr>
              <w:spacing w:after="0"/>
              <w:rPr>
                <w:sz w:val="15"/>
                <w:szCs w:val="15"/>
                <w:color w:val="auto"/>
              </w:rPr>
            </w:pPr>
          </w:p>
        </w:tc>
      </w:tr>
      <w:tr>
        <w:trPr>
          <w:trHeight w:val="20"/>
        </w:trPr>
        <w:tc>
          <w:tcPr>
            <w:tcW w:w="1280" w:type="dxa"/>
            <w:vAlign w:val="bottom"/>
            <w:gridSpan w:val="7"/>
          </w:tcPr>
          <w:p>
            <w:pPr>
              <w:spacing w:after="0" w:line="20" w:lineRule="exact"/>
              <w:rPr>
                <w:sz w:val="1"/>
                <w:szCs w:val="1"/>
                <w:color w:val="auto"/>
              </w:rPr>
            </w:pPr>
          </w:p>
        </w:tc>
        <w:tc>
          <w:tcPr>
            <w:tcW w:w="1220" w:type="dxa"/>
            <w:vAlign w:val="bottom"/>
            <w:tcBorders>
              <w:top w:val="single" w:sz="8" w:color="0000FF"/>
            </w:tcBorders>
            <w:gridSpan w:val="14"/>
          </w:tcPr>
          <w:p>
            <w:pPr>
              <w:spacing w:after="0" w:line="20" w:lineRule="exact"/>
              <w:rPr>
                <w:sz w:val="1"/>
                <w:szCs w:val="1"/>
                <w:color w:val="auto"/>
              </w:rPr>
            </w:pPr>
          </w:p>
        </w:tc>
        <w:tc>
          <w:tcPr>
            <w:tcW w:w="8120" w:type="dxa"/>
            <w:vAlign w:val="bottom"/>
            <w:gridSpan w:val="34"/>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60" w:type="dxa"/>
            <w:vAlign w:val="bottom"/>
            <w:gridSpan w:val="4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16. Segment Information</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69</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1620" w:type="dxa"/>
            <w:vAlign w:val="bottom"/>
            <w:tcBorders>
              <w:top w:val="single" w:sz="8" w:color="0000FF"/>
            </w:tcBorders>
            <w:gridSpan w:val="20"/>
            <w:shd w:val="clear" w:color="auto" w:fill="CCEEFF"/>
          </w:tcPr>
          <w:p>
            <w:pPr>
              <w:spacing w:after="0" w:line="20" w:lineRule="exact"/>
              <w:rPr>
                <w:sz w:val="1"/>
                <w:szCs w:val="1"/>
                <w:color w:val="auto"/>
              </w:rPr>
            </w:pPr>
          </w:p>
        </w:tc>
        <w:tc>
          <w:tcPr>
            <w:tcW w:w="7720" w:type="dxa"/>
            <w:vAlign w:val="bottom"/>
            <w:tcBorders>
              <w:top w:val="single" w:sz="8" w:color="CCEEFF"/>
            </w:tcBorders>
            <w:gridSpan w:val="2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60" w:type="dxa"/>
            <w:vAlign w:val="bottom"/>
            <w:gridSpan w:val="47"/>
          </w:tcPr>
          <w:p>
            <w:pPr>
              <w:spacing w:after="0" w:line="175" w:lineRule="exact"/>
              <w:rPr>
                <w:sz w:val="20"/>
                <w:szCs w:val="20"/>
                <w:color w:val="auto"/>
              </w:rPr>
            </w:pPr>
            <w:r>
              <w:rPr>
                <w:rFonts w:ascii="Times New Roman" w:cs="Times New Roman" w:eastAsia="Times New Roman" w:hAnsi="Times New Roman"/>
                <w:sz w:val="16"/>
                <w:szCs w:val="16"/>
                <w:color w:val="0000FF"/>
              </w:rPr>
              <w:t>17. Supplemental Cash Flow Information</w:t>
            </w:r>
          </w:p>
        </w:tc>
        <w:tc>
          <w:tcPr>
            <w:tcW w:w="340" w:type="dxa"/>
            <w:vAlign w:val="bottom"/>
            <w:gridSpan w:val="5"/>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70</w:t>
            </w:r>
          </w:p>
        </w:tc>
        <w:tc>
          <w:tcPr>
            <w:tcW w:w="320" w:type="dxa"/>
            <w:vAlign w:val="bottom"/>
          </w:tcPr>
          <w:p>
            <w:pPr>
              <w:spacing w:after="0"/>
              <w:rPr>
                <w:sz w:val="15"/>
                <w:szCs w:val="15"/>
                <w:color w:val="auto"/>
              </w:rPr>
            </w:pPr>
          </w:p>
        </w:tc>
      </w:tr>
      <w:tr>
        <w:trPr>
          <w:trHeight w:val="21"/>
        </w:trPr>
        <w:tc>
          <w:tcPr>
            <w:tcW w:w="1280" w:type="dxa"/>
            <w:vAlign w:val="bottom"/>
            <w:gridSpan w:val="7"/>
          </w:tcPr>
          <w:p>
            <w:pPr>
              <w:spacing w:after="0" w:line="20" w:lineRule="exact"/>
              <w:rPr>
                <w:sz w:val="1"/>
                <w:szCs w:val="1"/>
                <w:color w:val="auto"/>
              </w:rPr>
            </w:pPr>
          </w:p>
        </w:tc>
        <w:tc>
          <w:tcPr>
            <w:tcW w:w="2680" w:type="dxa"/>
            <w:vAlign w:val="bottom"/>
            <w:tcBorders>
              <w:top w:val="single" w:sz="8" w:color="0000FF"/>
            </w:tcBorders>
            <w:gridSpan w:val="34"/>
          </w:tcPr>
          <w:p>
            <w:pPr>
              <w:spacing w:after="0" w:line="20" w:lineRule="exact"/>
              <w:rPr>
                <w:sz w:val="1"/>
                <w:szCs w:val="1"/>
                <w:color w:val="auto"/>
              </w:rPr>
            </w:pPr>
          </w:p>
        </w:tc>
        <w:tc>
          <w:tcPr>
            <w:tcW w:w="6660" w:type="dxa"/>
            <w:vAlign w:val="bottom"/>
            <w:gridSpan w:val="14"/>
          </w:tcPr>
          <w:p>
            <w:pPr>
              <w:spacing w:after="0" w:line="20" w:lineRule="exact"/>
              <w:rPr>
                <w:sz w:val="1"/>
                <w:szCs w:val="1"/>
                <w:color w:val="auto"/>
              </w:rPr>
            </w:pPr>
          </w:p>
        </w:tc>
        <w:tc>
          <w:tcPr>
            <w:tcW w:w="160" w:type="dxa"/>
            <w:vAlign w:val="bottom"/>
            <w:tcBorders>
              <w:top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0" w:type="dxa"/>
            <w:vAlign w:val="bottom"/>
            <w:gridSpan w:val="48"/>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18. Commitments, Contingencies and Subsequent Events</w:t>
            </w:r>
          </w:p>
        </w:tc>
        <w:tc>
          <w:tcPr>
            <w:tcW w:w="340" w:type="dxa"/>
            <w:vAlign w:val="bottom"/>
            <w:gridSpan w:val="5"/>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70</w:t>
            </w:r>
          </w:p>
        </w:tc>
        <w:tc>
          <w:tcPr>
            <w:tcW w:w="320" w:type="dxa"/>
            <w:vAlign w:val="bottom"/>
            <w:shd w:val="clear" w:color="auto" w:fill="CCEEFF"/>
          </w:tcPr>
          <w:p>
            <w:pPr>
              <w:spacing w:after="0"/>
              <w:rPr>
                <w:sz w:val="15"/>
                <w:szCs w:val="15"/>
                <w:color w:val="auto"/>
              </w:rPr>
            </w:pPr>
          </w:p>
        </w:tc>
      </w:tr>
      <w:tr>
        <w:trPr>
          <w:trHeight w:val="20"/>
        </w:trPr>
        <w:tc>
          <w:tcPr>
            <w:tcW w:w="1280" w:type="dxa"/>
            <w:vAlign w:val="bottom"/>
            <w:tcBorders>
              <w:top w:val="single" w:sz="8" w:color="CCEEFF"/>
            </w:tcBorders>
            <w:gridSpan w:val="7"/>
            <w:shd w:val="clear" w:color="auto" w:fill="CCEEFF"/>
          </w:tcPr>
          <w:p>
            <w:pPr>
              <w:spacing w:after="0" w:line="20" w:lineRule="exact"/>
              <w:rPr>
                <w:sz w:val="1"/>
                <w:szCs w:val="1"/>
                <w:color w:val="auto"/>
              </w:rPr>
            </w:pPr>
          </w:p>
        </w:tc>
        <w:tc>
          <w:tcPr>
            <w:tcW w:w="3720" w:type="dxa"/>
            <w:vAlign w:val="bottom"/>
            <w:tcBorders>
              <w:top w:val="single" w:sz="8" w:color="0000FF"/>
            </w:tcBorders>
            <w:gridSpan w:val="40"/>
            <w:shd w:val="clear" w:color="auto" w:fill="CCEEFF"/>
          </w:tcPr>
          <w:p>
            <w:pPr>
              <w:spacing w:after="0" w:line="20" w:lineRule="exact"/>
              <w:rPr>
                <w:sz w:val="1"/>
                <w:szCs w:val="1"/>
                <w:color w:val="auto"/>
              </w:rPr>
            </w:pPr>
          </w:p>
        </w:tc>
        <w:tc>
          <w:tcPr>
            <w:tcW w:w="5620" w:type="dxa"/>
            <w:vAlign w:val="bottom"/>
            <w:tcBorders>
              <w:top w:val="single" w:sz="8" w:color="CCEEFF"/>
            </w:tcBorders>
            <w:gridSpan w:val="8"/>
            <w:shd w:val="clear" w:color="auto" w:fill="CCEEFF"/>
          </w:tcPr>
          <w:p>
            <w:pPr>
              <w:spacing w:after="0" w:line="20" w:lineRule="exact"/>
              <w:rPr>
                <w:sz w:val="1"/>
                <w:szCs w:val="1"/>
                <w:color w:val="auto"/>
              </w:rPr>
            </w:pPr>
          </w:p>
        </w:tc>
        <w:tc>
          <w:tcPr>
            <w:tcW w:w="160" w:type="dxa"/>
            <w:vAlign w:val="bottom"/>
            <w:tcBorders>
              <w:top w:val="single" w:sz="8" w:color="0000FF"/>
            </w:tcBorders>
            <w:gridSpan w:val="3"/>
            <w:shd w:val="clear" w:color="auto" w:fill="CCEEFF"/>
          </w:tcPr>
          <w:p>
            <w:pPr>
              <w:spacing w:after="0" w:line="20" w:lineRule="exact"/>
              <w:rPr>
                <w:sz w:val="1"/>
                <w:szCs w:val="1"/>
                <w:color w:val="auto"/>
              </w:rPr>
            </w:pPr>
          </w:p>
        </w:tc>
        <w:tc>
          <w:tcPr>
            <w:tcW w:w="420" w:type="dxa"/>
            <w:vAlign w:val="bottom"/>
            <w:tcBorders>
              <w:top w:val="single" w:sz="8" w:color="CCEEFF"/>
            </w:tcBorders>
            <w:gridSpan w:val="2"/>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6"/>
        </w:trPr>
        <w:tc>
          <w:tcPr>
            <w:tcW w:w="20" w:type="dxa"/>
            <w:vAlign w:val="bottom"/>
          </w:tcPr>
          <w:p>
            <w:pPr>
              <w:spacing w:after="0"/>
              <w:rPr>
                <w:sz w:val="17"/>
                <w:szCs w:val="17"/>
                <w:color w:val="auto"/>
              </w:rPr>
            </w:pPr>
          </w:p>
        </w:tc>
        <w:tc>
          <w:tcPr>
            <w:tcW w:w="9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9.</w:t>
            </w:r>
          </w:p>
        </w:tc>
        <w:tc>
          <w:tcPr>
            <w:tcW w:w="9560" w:type="dxa"/>
            <w:vAlign w:val="bottom"/>
            <w:gridSpan w:val="14"/>
          </w:tcPr>
          <w:p>
            <w:pPr>
              <w:ind w:left="300"/>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3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0000FF"/>
                <w:w w:val="99"/>
              </w:rPr>
              <w:t>71</w:t>
            </w:r>
          </w:p>
        </w:tc>
        <w:tc>
          <w:tcPr>
            <w:tcW w:w="3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9A</w:t>
            </w:r>
            <w:r>
              <w:rPr>
                <w:rFonts w:ascii="Times New Roman" w:cs="Times New Roman" w:eastAsia="Times New Roman" w:hAnsi="Times New Roman"/>
                <w:sz w:val="16"/>
                <w:szCs w:val="16"/>
                <w:color w:val="000000"/>
              </w:rPr>
              <w:t>.</w:t>
            </w:r>
          </w:p>
        </w:tc>
        <w:tc>
          <w:tcPr>
            <w:tcW w:w="9560" w:type="dxa"/>
            <w:vAlign w:val="bottom"/>
            <w:gridSpan w:val="14"/>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340" w:type="dxa"/>
            <w:vAlign w:val="bottom"/>
            <w:gridSpan w:val="3"/>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71</w:t>
            </w:r>
          </w:p>
        </w:tc>
        <w:tc>
          <w:tcPr>
            <w:tcW w:w="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Item 9B.</w:t>
            </w:r>
          </w:p>
        </w:tc>
        <w:tc>
          <w:tcPr>
            <w:tcW w:w="9560" w:type="dxa"/>
            <w:vAlign w:val="bottom"/>
            <w:gridSpan w:val="14"/>
          </w:tcPr>
          <w:p>
            <w:pPr>
              <w:ind w:left="300"/>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340" w:type="dxa"/>
            <w:vAlign w:val="bottom"/>
            <w:gridSpan w:val="3"/>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72</w:t>
            </w: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Item 9C.</w:t>
            </w:r>
          </w:p>
        </w:tc>
        <w:tc>
          <w:tcPr>
            <w:tcW w:w="380" w:type="dxa"/>
            <w:vAlign w:val="bottom"/>
            <w:gridSpan w:val="3"/>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6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w:t>
            </w:r>
          </w:p>
        </w:tc>
        <w:tc>
          <w:tcPr>
            <w:tcW w:w="340" w:type="dxa"/>
            <w:vAlign w:val="bottom"/>
            <w:gridSpan w:val="3"/>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72</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III</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10.</w:t>
            </w:r>
          </w:p>
        </w:tc>
        <w:tc>
          <w:tcPr>
            <w:tcW w:w="9560" w:type="dxa"/>
            <w:vAlign w:val="bottom"/>
            <w:gridSpan w:val="14"/>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340" w:type="dxa"/>
            <w:vAlign w:val="bottom"/>
            <w:gridSpan w:val="3"/>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73</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7"/>
              </w:rPr>
              <w:t>Item 11.</w:t>
            </w:r>
          </w:p>
        </w:tc>
        <w:tc>
          <w:tcPr>
            <w:tcW w:w="42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36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color w:val="0000FF"/>
              </w:rPr>
              <w:t>Executive Compensation</w:t>
            </w:r>
          </w:p>
        </w:tc>
        <w:tc>
          <w:tcPr>
            <w:tcW w:w="558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0000FF"/>
                <w:w w:val="99"/>
              </w:rPr>
              <w:t>73</w:t>
            </w:r>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12.</w:t>
            </w:r>
          </w:p>
        </w:tc>
        <w:tc>
          <w:tcPr>
            <w:tcW w:w="9560" w:type="dxa"/>
            <w:vAlign w:val="bottom"/>
            <w:gridSpan w:val="14"/>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340" w:type="dxa"/>
            <w:vAlign w:val="bottom"/>
            <w:gridSpan w:val="3"/>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73</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Item 13.</w:t>
            </w:r>
          </w:p>
        </w:tc>
        <w:tc>
          <w:tcPr>
            <w:tcW w:w="9560" w:type="dxa"/>
            <w:vAlign w:val="bottom"/>
            <w:gridSpan w:val="14"/>
          </w:tcPr>
          <w:p>
            <w:pPr>
              <w:ind w:left="300"/>
              <w:spacing w:after="0" w:line="175"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340" w:type="dxa"/>
            <w:vAlign w:val="bottom"/>
            <w:gridSpan w:val="3"/>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14.</w:t>
            </w:r>
          </w:p>
        </w:tc>
        <w:tc>
          <w:tcPr>
            <w:tcW w:w="9560" w:type="dxa"/>
            <w:vAlign w:val="bottom"/>
            <w:gridSpan w:val="14"/>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340" w:type="dxa"/>
            <w:vAlign w:val="bottom"/>
            <w:gridSpan w:val="3"/>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73</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IV</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15.</w:t>
            </w:r>
          </w:p>
        </w:tc>
        <w:tc>
          <w:tcPr>
            <w:tcW w:w="9560" w:type="dxa"/>
            <w:vAlign w:val="bottom"/>
            <w:gridSpan w:val="14"/>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340" w:type="dxa"/>
            <w:vAlign w:val="bottom"/>
            <w:gridSpan w:val="3"/>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74</w:t>
            </w:r>
          </w:p>
        </w:tc>
        <w:tc>
          <w:tcPr>
            <w:tcW w:w="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Item 16.</w:t>
            </w:r>
          </w:p>
        </w:tc>
        <w:tc>
          <w:tcPr>
            <w:tcW w:w="9560" w:type="dxa"/>
            <w:vAlign w:val="bottom"/>
            <w:gridSpan w:val="14"/>
          </w:tcPr>
          <w:p>
            <w:pPr>
              <w:ind w:left="300"/>
              <w:spacing w:after="0" w:line="175" w:lineRule="exact"/>
              <w:rPr>
                <w:sz w:val="20"/>
                <w:szCs w:val="20"/>
                <w:color w:val="auto"/>
              </w:rPr>
            </w:pPr>
            <w:r>
              <w:rPr>
                <w:rFonts w:ascii="Times New Roman" w:cs="Times New Roman" w:eastAsia="Times New Roman" w:hAnsi="Times New Roman"/>
                <w:sz w:val="16"/>
                <w:szCs w:val="16"/>
                <w:color w:val="0000FF"/>
              </w:rPr>
              <w:t>Form 10-K Summary</w:t>
            </w:r>
          </w:p>
        </w:tc>
        <w:tc>
          <w:tcPr>
            <w:tcW w:w="340" w:type="dxa"/>
            <w:vAlign w:val="bottom"/>
            <w:gridSpan w:val="3"/>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75</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560" w:type="dxa"/>
            <w:vAlign w:val="bottom"/>
            <w:tcBorders>
              <w:bottom w:val="single" w:sz="8" w:color="auto"/>
            </w:tcBorders>
            <w:gridSpan w:val="14"/>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0000FF"/>
              </w:rPr>
              <w:t>Signatures</w:t>
            </w:r>
          </w:p>
        </w:tc>
        <w:tc>
          <w:tcPr>
            <w:tcW w:w="340" w:type="dxa"/>
            <w:vAlign w:val="bottom"/>
            <w:tcBorders>
              <w:bottom w:val="single" w:sz="8" w:color="auto"/>
            </w:tcBorders>
            <w:gridSpan w:val="3"/>
            <w:shd w:val="clear" w:color="auto" w:fill="CCEEFF"/>
          </w:tcPr>
          <w:p>
            <w:pPr>
              <w:jc w:val="center"/>
              <w:ind w:right="20"/>
              <w:spacing w:after="0" w:line="175" w:lineRule="exact"/>
              <w:rPr>
                <w:sz w:val="20"/>
                <w:szCs w:val="20"/>
                <w:color w:val="auto"/>
              </w:rPr>
            </w:pPr>
            <w:r>
              <w:rPr>
                <w:rFonts w:ascii="Times New Roman" w:cs="Times New Roman" w:eastAsia="Times New Roman" w:hAnsi="Times New Roman"/>
                <w:sz w:val="16"/>
                <w:szCs w:val="16"/>
                <w:color w:val="0000FF"/>
                <w:w w:val="99"/>
              </w:rPr>
              <w:t>76</w:t>
            </w:r>
          </w:p>
        </w:tc>
        <w:tc>
          <w:tcPr>
            <w:tcW w:w="320" w:type="dxa"/>
            <w:vAlign w:val="bottom"/>
            <w:tcBorders>
              <w:bottom w:val="single" w:sz="8" w:color="auto"/>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within the meaning of Section 27A of the Securities Act of 1933 and Section 21E of the Securities Exchange Act of 1934. In addition, in the future the Company, and others on its behalf, may make statements that constitute forward-looking statements. Such forward-looking statements may include, without limitation, statements relating to the Company's plans, objectives or goals; future economic performance or prospects; the potential effect on the Company's future performance of certain contingencies; and assumptions underlying any such statements. You are cautioned not to place undue reliance on the Company's forward-looking statements.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Words such as "believes," "anticipates," "expects," "intends" and "plans" and similar expressions are intended to identify forward-looking statements but are not the exclusive means of identifying such statements. The forward-looking statements are and will be based upon management's then current views and assumptions regarding future events and operating performance and are only applicable as of the dates of such statements. The Company does not intend to update these forward-looking statements except as may be required by applicable laws.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By their very nature, forward-looking statements involve inherent risks and uncertainties, both general and specific, and risks exist that predictions, forecasts, projections and other outcomes described or implied in forward-looking statements will not be achieved. The Company cautions you that these important factors could cause results to differ materially from the plans, objectives, expectations, estimates and intentions expressed in such forward-looking statements, including the risks described under the caption "Risk Factors" in this Annual Report on Form 10-K.</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Given these risks, uncertainties and other factors, many of which are beyond our control, we caution you not to place undue reliance on these forward-looking statements. We undertake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Telos Corporation is a Maryland corporation headquartered in Ashburn, Virginia. Telos Corporation, together with its subsidiaries (the "Company" or "Telos" or "We"), offers technology solutions and services that empower and protect the world's most security-conscious organizations.</w:t>
      </w:r>
    </w:p>
    <w:p>
      <w:pPr>
        <w:spacing w:after="0" w:line="108"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We deliver efficient, adaptable, and secure solutions that protect people, organizations, and information across government and industry. From cyber governance, risk and compliance ("GRC") with Xacta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identity and biometric solutions, secure networks, and TSA PreCheck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enrollment, we help customers stay ahead of evolving threats. Our primary customers include the U.S. federal government, large commercial organizations and international customers. Our deep domain expertise, cleared workforce, and proven technologies give us a unique position at the intersection of cybersecurity, identity, and network security. Driven by purpose and guided by our core values, we build lasting partnerships, deliver superior solutions, and help create a more secure, interconnected world.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Segments</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conduct our business through two reportable and operating segments: Security Solutions and Secure Networks. These segments enable the alignment of our strategies and objectives and provide a framework for the timely and rational allocation of resources within the line of business.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regarding our segments is presented in </w:t>
      </w:r>
      <w:r>
        <w:rPr>
          <w:rFonts w:ascii="Times New Roman" w:cs="Times New Roman" w:eastAsia="Times New Roman" w:hAnsi="Times New Roman"/>
          <w:sz w:val="18"/>
          <w:szCs w:val="18"/>
          <w:u w:val="single" w:color="auto"/>
          <w:color w:val="0000FF"/>
        </w:rPr>
        <w:t>Note 16 – Segment Information</w:t>
      </w:r>
      <w:r>
        <w:rPr>
          <w:rFonts w:ascii="Times New Roman" w:cs="Times New Roman" w:eastAsia="Times New Roman" w:hAnsi="Times New Roman"/>
          <w:sz w:val="18"/>
          <w:szCs w:val="18"/>
          <w:color w:val="auto"/>
        </w:rPr>
        <w:t xml:space="preserve"> to the consolidated financial statements at Item 8 of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Solutions Segment:</w:t>
      </w:r>
    </w:p>
    <w:p>
      <w:pPr>
        <w:spacing w:after="0" w:line="162" w:lineRule="exact"/>
        <w:rPr>
          <w:sz w:val="20"/>
          <w:szCs w:val="20"/>
          <w:color w:val="auto"/>
        </w:rPr>
      </w:pPr>
    </w:p>
    <w:p>
      <w:pPr>
        <w:jc w:val="both"/>
        <w:ind w:right="280"/>
        <w:spacing w:after="0"/>
        <w:rPr>
          <w:sz w:val="20"/>
          <w:szCs w:val="20"/>
          <w:color w:val="auto"/>
        </w:rPr>
      </w:pPr>
      <w:r>
        <w:rPr>
          <w:rFonts w:ascii="Times New Roman" w:cs="Times New Roman" w:eastAsia="Times New Roman" w:hAnsi="Times New Roman"/>
          <w:sz w:val="18"/>
          <w:szCs w:val="18"/>
          <w:color w:val="auto"/>
        </w:rPr>
        <w:t>The Security Solutions segment delivers cybersecurity, cloud, identity, and secure messaging solutions that help government and commercial customers protect critical systems, manage cyber risk, and operate securely in complex and regulated environments. This segment combines cyber GRC solutions, secure cloud services, identity and biometric technologies, and secure messaging platforms to support mission-critical requirements for government and commercial customers operating in highly regulated and security-sensitive environments.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Solutions represented 90.8% and 70.9% of total revenues for fiscal years 2025 and 2024,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Security Solutions segment offers the following solutions and services:</w:t>
      </w:r>
    </w:p>
    <w:p>
      <w:pPr>
        <w:spacing w:after="0" w:line="167" w:lineRule="exact"/>
        <w:rPr>
          <w:sz w:val="20"/>
          <w:szCs w:val="20"/>
          <w:color w:val="auto"/>
        </w:rPr>
      </w:pPr>
    </w:p>
    <w:p>
      <w:pPr>
        <w:ind w:left="660" w:right="320" w:hanging="328"/>
        <w:spacing w:after="0" w:line="268" w:lineRule="auto"/>
        <w:tabs>
          <w:tab w:leader="none" w:pos="655" w:val="left"/>
        </w:tabs>
        <w:numPr>
          <w:ilvl w:val="0"/>
          <w:numId w:val="3"/>
        </w:numPr>
        <w:rPr>
          <w:rFonts w:ascii="Times New Roman" w:cs="Times New Roman" w:eastAsia="Times New Roman" w:hAnsi="Times New Roman"/>
          <w:sz w:val="18"/>
          <w:szCs w:val="18"/>
          <w:b w:val="1"/>
          <w:bCs w:val="1"/>
          <w:color w:val="auto"/>
          <w:strike w:val="1"/>
        </w:rPr>
      </w:pPr>
      <w:r>
        <w:rPr>
          <w:rFonts w:ascii="Times New Roman" w:cs="Times New Roman" w:eastAsia="Times New Roman" w:hAnsi="Times New Roman"/>
          <w:sz w:val="18"/>
          <w:szCs w:val="18"/>
          <w:b w:val="1"/>
          <w:bCs w:val="1"/>
          <w:i w:val="1"/>
          <w:iCs w:val="1"/>
          <w:color w:val="auto"/>
        </w:rPr>
        <w:t xml:space="preserve">Xacta: </w:t>
      </w:r>
      <w:r>
        <w:rPr>
          <w:rFonts w:ascii="Times New Roman" w:cs="Times New Roman" w:eastAsia="Times New Roman" w:hAnsi="Times New Roman"/>
          <w:sz w:val="18"/>
          <w:szCs w:val="18"/>
          <w:color w:val="auto"/>
        </w:rPr>
        <w:t>Deployed at some of the world's most security-conscious organizations, Xacta is a cyber GRC automation platform designed to help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meet the complex challenges of managing cyber risk and security compliance by automating processes for assessment and authorization, remediation, and continuous monitoring.</w:t>
      </w:r>
    </w:p>
    <w:p>
      <w:pPr>
        <w:spacing w:after="0" w:line="120" w:lineRule="exact"/>
        <w:rPr>
          <w:rFonts w:ascii="Times New Roman" w:cs="Times New Roman" w:eastAsia="Times New Roman" w:hAnsi="Times New Roman"/>
          <w:sz w:val="18"/>
          <w:szCs w:val="18"/>
          <w:b w:val="1"/>
          <w:bCs w:val="1"/>
          <w:color w:val="auto"/>
          <w:strike w:val="1"/>
        </w:rPr>
      </w:pPr>
    </w:p>
    <w:p>
      <w:pPr>
        <w:ind w:left="660"/>
        <w:spacing w:after="0" w:line="256" w:lineRule="auto"/>
        <w:rPr>
          <w:rFonts w:ascii="Times New Roman" w:cs="Times New Roman" w:eastAsia="Times New Roman" w:hAnsi="Times New Roman"/>
          <w:sz w:val="18"/>
          <w:szCs w:val="18"/>
          <w:b w:val="1"/>
          <w:bCs w:val="1"/>
          <w:color w:val="auto"/>
          <w:strike w:val="1"/>
        </w:rPr>
      </w:pPr>
      <w:r>
        <w:rPr>
          <w:rFonts w:ascii="Times New Roman" w:cs="Times New Roman" w:eastAsia="Times New Roman" w:hAnsi="Times New Roman"/>
          <w:sz w:val="18"/>
          <w:szCs w:val="18"/>
          <w:color w:val="auto"/>
        </w:rPr>
        <w:t>Xacta is a premier platform delivering automated cyber risk management and continuous compliance processes for systems based in the cloud, on-premises, and in hybrid environments. It supports a wide-range of frameworks and regulatory content, including National Institute of Standards and Technology ("NIST") Risk Management Framework ("RMF"), the Cybersecurity Risk Management Construct for Department of War ("DoW") IT, the NIST Cybersecurity Framework, the Federal Risk and Authorization Management Program ("FedRAMP") and the DoW's Cybersecurity Maturity Model Certification ("CMMC") program, across all industries with no-code customization options for tailoring content to fit the organization's needs.</w:t>
      </w:r>
    </w:p>
    <w:p>
      <w:pPr>
        <w:spacing w:after="0" w:line="133" w:lineRule="exact"/>
        <w:rPr>
          <w:rFonts w:ascii="Times New Roman" w:cs="Times New Roman" w:eastAsia="Times New Roman" w:hAnsi="Times New Roman"/>
          <w:sz w:val="18"/>
          <w:szCs w:val="18"/>
          <w:b w:val="1"/>
          <w:bCs w:val="1"/>
          <w:color w:val="auto"/>
          <w:strike w:val="1"/>
        </w:rPr>
      </w:pPr>
    </w:p>
    <w:p>
      <w:pPr>
        <w:ind w:left="660"/>
        <w:spacing w:after="0" w:line="266" w:lineRule="auto"/>
        <w:rPr>
          <w:rFonts w:ascii="Times New Roman" w:cs="Times New Roman" w:eastAsia="Times New Roman" w:hAnsi="Times New Roman"/>
          <w:sz w:val="18"/>
          <w:szCs w:val="18"/>
          <w:b w:val="1"/>
          <w:bCs w:val="1"/>
          <w:color w:val="auto"/>
          <w:strike w:val="1"/>
        </w:rPr>
      </w:pPr>
      <w:r>
        <w:rPr>
          <w:rFonts w:ascii="Times New Roman" w:cs="Times New Roman" w:eastAsia="Times New Roman" w:hAnsi="Times New Roman"/>
          <w:sz w:val="18"/>
          <w:szCs w:val="18"/>
          <w:color w:val="auto"/>
        </w:rPr>
        <w:t>Recently, Telos launched Xacta.ai</w:t>
      </w:r>
      <w:r>
        <w:rPr>
          <w:rFonts w:ascii="Times New Roman" w:cs="Times New Roman" w:eastAsia="Times New Roman" w:hAnsi="Times New Roman"/>
          <w:sz w:val="8"/>
          <w:szCs w:val="8"/>
          <w:color w:val="auto"/>
        </w:rPr>
        <w:t>TM</w:t>
      </w:r>
      <w:r>
        <w:rPr>
          <w:rFonts w:ascii="Times New Roman" w:cs="Times New Roman" w:eastAsia="Times New Roman" w:hAnsi="Times New Roman"/>
          <w:sz w:val="18"/>
          <w:szCs w:val="18"/>
          <w:color w:val="auto"/>
        </w:rPr>
        <w:t>, the artificial intelligence ("AI") capability at the core of the Xacta cyber GRC platform, dramatically reducing compliance time and effort. Xacta.ai delivers expert-level guidance and real-time insights, empowering organizations to move from reactive compliance to proactive risk management.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left="660" w:hanging="328"/>
        <w:spacing w:after="0" w:line="262"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Cybersecurity Services: </w:t>
      </w:r>
      <w:r>
        <w:rPr>
          <w:rFonts w:ascii="Times New Roman" w:cs="Times New Roman" w:eastAsia="Times New Roman" w:hAnsi="Times New Roman"/>
          <w:sz w:val="18"/>
          <w:szCs w:val="18"/>
          <w:color w:val="auto"/>
        </w:rPr>
        <w:t>We offer solutions and services for the full cybersecurity lifecycle, including RMF consulting services,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assessment and compliance, engineering and evaluation, operations, penetration testing, and digital forensics. With a pedigree in cybersecurity and information assurance that spans three decades, our multi-certified cybersecurity personnel provide services and solutions that deliver continuous security assurance for business, government, and public sector critical infrastructure.</w:t>
      </w:r>
    </w:p>
    <w:p>
      <w:pPr>
        <w:spacing w:after="0" w:line="122" w:lineRule="exact"/>
        <w:rPr>
          <w:rFonts w:ascii="Times New Roman" w:cs="Times New Roman" w:eastAsia="Times New Roman" w:hAnsi="Times New Roman"/>
          <w:sz w:val="18"/>
          <w:szCs w:val="18"/>
          <w:b w:val="1"/>
          <w:bCs w:val="1"/>
          <w:i w:val="1"/>
          <w:iCs w:val="1"/>
          <w:color w:val="auto"/>
        </w:rPr>
      </w:pPr>
    </w:p>
    <w:p>
      <w:pPr>
        <w:ind w:left="660" w:right="80" w:hanging="328"/>
        <w:spacing w:after="0" w:line="254"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b w:val="1"/>
          <w:bCs w:val="1"/>
          <w:i w:val="1"/>
          <w:iCs w:val="1"/>
          <w:color w:val="auto"/>
        </w:rPr>
        <w:t>Telos Automated Message Handling System ("Telos AMHS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Telos AMHS is a web-based organizational message distribution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solution for mission-critical communications; the recognized gold standard for organizational messaging in the U.S. government. Telos AMHS is used by military field operatives for critical communications on the battlefield using the Defense Information System Agency's Organizational Messaging Service and its specialized communications protocols. Telos AMHS is also used by the Intelligence Community ("IC") for timely situational awareness and assessment reporting utilizing the Director of National Intelligence's Information Transport Service, Organizational Messaging data standards and computing infrastructure. Because Telos AMHS supports timely and reliable delivery for authoritative communications, its uses include terrorist warnings, "eyes-only" messages, military execution orders, intelligence information, overflight clearances, and Emergency Action Messages for nuclear command and control. Information exchanged at this level and for these purposes requires operational requirements for time-sensitive, guaranteed delivery, precedence, high availability, and reliability.</w:t>
      </w:r>
    </w:p>
    <w:p>
      <w:pPr>
        <w:spacing w:after="0" w:line="134" w:lineRule="exact"/>
        <w:rPr>
          <w:rFonts w:ascii="Times New Roman" w:cs="Times New Roman" w:eastAsia="Times New Roman" w:hAnsi="Times New Roman"/>
          <w:sz w:val="18"/>
          <w:szCs w:val="18"/>
          <w:b w:val="1"/>
          <w:bCs w:val="1"/>
          <w:i w:val="1"/>
          <w:iCs w:val="1"/>
          <w:color w:val="auto"/>
          <w:strike w:val="1"/>
        </w:rPr>
      </w:pPr>
    </w:p>
    <w:p>
      <w:pPr>
        <w:ind w:left="660" w:right="2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b w:val="1"/>
          <w:bCs w:val="1"/>
          <w:i w:val="1"/>
          <w:iCs w:val="1"/>
          <w:color w:val="auto"/>
        </w:rPr>
        <w:t xml:space="preserve">Telos Identity Solutions: </w:t>
      </w:r>
      <w:r>
        <w:rPr>
          <w:rFonts w:ascii="Times New Roman" w:cs="Times New Roman" w:eastAsia="Times New Roman" w:hAnsi="Times New Roman"/>
          <w:sz w:val="18"/>
          <w:szCs w:val="18"/>
          <w:color w:val="auto"/>
        </w:rPr>
        <w:t>Telos provides a portfolio of identity solutions that support secure identity verification, biometric enrollment, and trusted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identity services for government and commercial customers. These solutions address requirements related to Know Your Customer (“KYC”), identity proofing, access control, insider threat mitigation, and regulatory compliance, and are deployed across large-scale environments supporting millions of identity transactions through workstations, kiosks, laptops, mobile devices, and access control systems.</w:t>
      </w:r>
    </w:p>
    <w:p>
      <w:pPr>
        <w:spacing w:after="0" w:line="126" w:lineRule="exact"/>
        <w:rPr>
          <w:rFonts w:ascii="Times New Roman" w:cs="Times New Roman" w:eastAsia="Times New Roman" w:hAnsi="Times New Roman"/>
          <w:sz w:val="18"/>
          <w:szCs w:val="18"/>
          <w:color w:val="auto"/>
          <w:strike w:val="1"/>
        </w:rPr>
      </w:pPr>
    </w:p>
    <w:p>
      <w:pPr>
        <w:ind w:left="660" w:right="20"/>
        <w:spacing w:after="0" w:line="256" w:lineRule="auto"/>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Built on secure, enterprise-grade platforms certified and operational across multiple U.S. federal agencies, these offerings enable organizations to deploy modular, scalable services supporting both business-to-business and business-to-consumer identity use cases. Telos supports major digital identity programs in the U.S., including those serving the military, transportation, healthcare, law enforcement, financial services, and civil service organizations. Telos maintains key government certifications and designations, including recognition as a TSA PreCheck enrollment provider, Aviation Channeling Services provider, Federal Bureau of Investigation ("FBI") approved Channeler, and Florida Department of Law Enforcement Registered Live Scan Service Provider.</w:t>
      </w:r>
    </w:p>
    <w:p>
      <w:pPr>
        <w:spacing w:after="0" w:line="129" w:lineRule="exact"/>
        <w:rPr>
          <w:rFonts w:ascii="Times New Roman" w:cs="Times New Roman" w:eastAsia="Times New Roman" w:hAnsi="Times New Roman"/>
          <w:sz w:val="18"/>
          <w:szCs w:val="18"/>
          <w:color w:val="auto"/>
          <w:strike w:val="1"/>
        </w:rPr>
      </w:pPr>
    </w:p>
    <w:p>
      <w:pPr>
        <w:ind w:left="660"/>
        <w:spacing w:after="0" w:line="229" w:lineRule="auto"/>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Telos’ identity offerings include TSA PreCheck enrollment services, IDVetting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Aviation Channeling Services (“ACS”), which provide identity enrollment, FBI background check submission, and biometric services for government agencies, transportation security programs, and regulated industries. Through these services, Telos supports high-assurance identity verification and vetting processes for millions of individuals annually in compliance with federal and industry requirements. Telos also offers ONYX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proprietary touchless fingerprint biometric technology designed to enable secure and scalable biometric authentication across mobile and enterprise environments.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 Networks Segment:</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With a focus on enterprise security, the Secure Networks segment provides secure networking architectures and solutions to our customers through secure mobility solutions and network management and defense services. Our net-centric solutions enable collaboration and connectivity to increase efficiency, reduce costs, and improve mission outcomes. Telos provides an extensive range of wired and wireless, fixed and deployable, classified and unclassified voice, data, and video secure network solutions and services to support defense and civilian missions. Our capabilities include network design, operations and sustainment, system integration and engineering, network security and compliance, deployable communications, service desk, defensive cyber operations, and program management.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 Networks represented 9.2% and 29.1% of total revenues for fiscal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Secure Networks segment offers the following solutions and services:</w:t>
      </w:r>
    </w:p>
    <w:p>
      <w:pPr>
        <w:spacing w:after="0" w:line="167" w:lineRule="exact"/>
        <w:rPr>
          <w:sz w:val="20"/>
          <w:szCs w:val="20"/>
          <w:color w:val="auto"/>
        </w:rPr>
      </w:pPr>
    </w:p>
    <w:p>
      <w:pPr>
        <w:ind w:left="660" w:right="22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Secure Mobility: </w:t>
      </w:r>
      <w:r>
        <w:rPr>
          <w:rFonts w:ascii="Times New Roman" w:cs="Times New Roman" w:eastAsia="Times New Roman" w:hAnsi="Times New Roman"/>
          <w:sz w:val="18"/>
          <w:szCs w:val="18"/>
          <w:color w:val="auto"/>
        </w:rPr>
        <w:t>We offer solutions for business and government that enable work off-premise and minimize operational and security concerns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and beyond the enterprise. Our secure mobility team brings credentials to every engagement, supplying deep expertise and experience, highly desirable clearances and industry-recognized certifications for network engineering, mobility, and security. We also offer secure mobility professional services, such as consulting and deployment services, to deliver integrated communications solutions that meet even the most complex needs of civilian, defense, and commercial customers.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Network Management and Defense: </w:t>
      </w:r>
      <w:r>
        <w:rPr>
          <w:rFonts w:ascii="Times New Roman" w:cs="Times New Roman" w:eastAsia="Times New Roman" w:hAnsi="Times New Roman"/>
          <w:sz w:val="18"/>
          <w:szCs w:val="18"/>
          <w:color w:val="auto"/>
        </w:rPr>
        <w:t>We provide the complete spectrum of managed services and solutions needed for operating, maintaining,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defending complex enterprise networks. Our managed network services reduce the total cost of ownership while also ensuring system and network availability, information protection and assured information delivery.</w:t>
      </w:r>
    </w:p>
    <w:p>
      <w:pPr>
        <w:spacing w:after="0" w:line="120" w:lineRule="exact"/>
        <w:rPr>
          <w:rFonts w:ascii="Times New Roman" w:cs="Times New Roman" w:eastAsia="Times New Roman" w:hAnsi="Times New Roman"/>
          <w:sz w:val="18"/>
          <w:szCs w:val="18"/>
          <w:color w:val="auto"/>
        </w:rPr>
      </w:pPr>
    </w:p>
    <w:p>
      <w:pPr>
        <w:ind w:left="660"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Telos employs a robust group of network engineers, system administrators, help desk, cybersecurity specialists, and program managers who are experienced with advanced DoW and federal networks, and are certified in the leading tools, technologies, and best practices for network management and administration. We ensure the consistency and continuity of network management services required in today's mission-critical network environments.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18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Our primary customers include the U.S. federal government, large commercial businesses, state and local governments, and international customers. Our consolidated revenues are largely attributable to prime contracts or subcontracts with our contractors engaged in work for the U.S. federal government. In fiscal year 2025, we generated approximately 91.0% of our revenues from the U.S. federal government, with the remaining attributable to state and local governments, and commercial markets.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U.S. federal government customers include the DoW, the intelligence community ("IC"), and multiple civilian and public sector agencies, including the U.S. Department of Homeland Security ("DHS"), the U.S. Department of Justice, the U.S. Department of Energy, the U.S. General Services Administration, the U.S. Department of the Interior, the U.S. Social Security Administration, the U.S. Environment Protection Agency, and more. These customers have a number of subsidiary agencies with separate budgets and procurement functions. Our contracts may be with the highest level of these agencies or with the subsidiary agencies of these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customers include some of the largest technology, communications, and professional services companies in the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operate in a competitive market for cybersecurity, governance, risk and compliance software, secure network solutions, and digital identity services. The market is fragmented, with no single company or small group of companies holding a dominant position. Our competitors include large defense contractors that offer overlapping capabilities across multiple service areas, as well as smaller specialty firms focused on risk and compliance management, organizational messaging, information security consulting, and secure network solutions.</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Competition for U.S. federal government contracts is particularly intense due to the competitive bidding process that governs both initial contract awards and renewals. Many government contracts require contractors to hold security clearances and employ personnel with specified levels of experience and clearance, which can limit the pool of qualified competitors but may also constrain our ability to scale rapidly.</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markets in which we operate are characterized by evolving technology requirements and changing customer needs. For example, and without limitation, in the identity and biometric solutions market, industry standards and compatible technologies continue to develop rapidly. We compete primarily on the basis of our technical capabilities, our experience serving security-conscious government and commercial customers, our ability to obtain and maintain required security clearances, the quality and reliability of our solutions, and our capacity to anticipate and respond to emerging technological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part of our sales and marketing investments, we make corporate investments in functional areas such as contracts, solution architects, and operations to ensure our back-office systems and processes scale for business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sell our products and services leveraging a direct sales approach, with a small subset being executed through a handful of partner organizations. Our customer acquisition success extends to commercial customers and vendors seeking to do business with the U.S. federal government; however, our largest portion of revenue lies with the U.S. federal government itself.</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sales strategy is to establish a customer foothold with one of our solutions and work to achieve rapid success. We then leverage this customer relationship to generate interest in other solutions from the Telos portfolio. We have a variety of upsell opportunities that allow us to expand our presence within a customer account.</w:t>
      </w:r>
    </w:p>
    <w:p>
      <w:pPr>
        <w:spacing w:after="0" w:line="12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Much of our business is awarded through the submission of formal competitive bids; however, a portion of our revenue is awarded through limited competition or sole-source contracts.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Organizations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sales team works with partner organizations like Amazon Web Services ("AWS") to pursue mutual customers and leverage their marketplace platforms and marketing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build market awareness of Telos and our solutions through a variety of marketing programs, including briefings with industry analysts, public relations activities, trade show exhibitions, speaking engagements, and digital marketing. We will continue investing in these activities and targeting additional vertical-specific content creation, targeted advertising campaigns, and search engine marketing. Our sales team works hand-in-hand with our marketing team to develop targeted awareness campaigns for our various solutions that generate valuable leads and 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developed proprietary software-based solutions in various platforms related to security and cyber risk management. We invest substantial resources in research and development to innovate new solutions, enhance our offerings and grow opportunities by developing new features and modules for our existing platforms. See </w:t>
      </w:r>
      <w:r>
        <w:rPr>
          <w:rFonts w:ascii="Times New Roman" w:cs="Times New Roman" w:eastAsia="Times New Roman" w:hAnsi="Times New Roman"/>
          <w:sz w:val="18"/>
          <w:szCs w:val="18"/>
          <w:u w:val="single" w:color="auto"/>
          <w:color w:val="0000FF"/>
        </w:rPr>
        <w:t>Note 2 - Summary of Significant Accounting Policies</w:t>
      </w:r>
      <w:r>
        <w:rPr>
          <w:rFonts w:ascii="Times New Roman" w:cs="Times New Roman" w:eastAsia="Times New Roman" w:hAnsi="Times New Roman"/>
          <w:sz w:val="18"/>
          <w:szCs w:val="18"/>
          <w:color w:val="auto"/>
        </w:rPr>
        <w:t xml:space="preserve"> (under the caption "Research and Development") included in our notes to consolidated financial statements.</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are leveraging our improved agile innovation and rapid automated development practices to rapidly establish prototypes that we can fully test for suitability and to pre-establish enterprise risk level across a variety of government networks and cloud environments. We are committed to and view our continued investment in research and development as a key factor to our long-term business success.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7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December 31, 2025, we had 525 employees, of which 509 were full-time employees. As of December 31, 2025, approximately 90.1% of our workforce was located in the United States. Approximately 309 of our U.S.-based employees held U.S. security clearances, and 23.0% self-identified as veterans of U.S. military service as of that date. Our employees are not represented by a labor union or covered by a collective bargaining agreement. We have not experienced any work stoppages, and we consider relations with our employees to be good.</w:t>
      </w:r>
    </w:p>
    <w:p>
      <w:pPr>
        <w:spacing w:after="0" w:line="12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Telos places a strong emphasis on supporting our people. Our management team is committed to maintaining a corporate culture that fosters mutual respect and job satisfaction for our people while delivering innovation and value to customers and shareholders. This commitment is reflected in our core values:</w:t>
      </w:r>
    </w:p>
    <w:p>
      <w:pPr>
        <w:spacing w:after="0" w:line="8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 xml:space="preserve">Always </w:t>
      </w:r>
      <w:r>
        <w:rPr>
          <w:rFonts w:ascii="Times New Roman" w:cs="Times New Roman" w:eastAsia="Times New Roman" w:hAnsi="Times New Roman"/>
          <w:sz w:val="18"/>
          <w:szCs w:val="18"/>
          <w:color w:val="auto"/>
        </w:rPr>
        <w:t>with integrity, at Telos we:</w:t>
      </w:r>
    </w:p>
    <w:p>
      <w:pPr>
        <w:spacing w:after="0" w:line="2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Build trusted relationships,</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Work hard together,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 xml:space="preserve">Design and deliver superior solutions, </w:t>
      </w:r>
      <w:r>
        <w:rPr>
          <w:rFonts w:ascii="Times New Roman" w:cs="Times New Roman" w:eastAsia="Times New Roman" w:hAnsi="Times New Roman"/>
          <w:sz w:val="18"/>
          <w:szCs w:val="18"/>
          <w:i w:val="1"/>
          <w:iCs w:val="1"/>
          <w:color w:val="auto"/>
        </w:rPr>
        <w:t>and</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Have fun doing it.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values are woven throughout the fabric of Telos; they are reflected in our hiring practices, reinforced regularly, and reviewed during appraisals.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are encouraged to challenge themselves and each other to exhibit the core values in all activities.</w:t>
      </w:r>
    </w:p>
    <w:p>
      <w:pPr>
        <w:spacing w:after="0" w:line="15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employees are provided with multiple reporting channels should they observe activities inconsistent with our core values. While employees are encouraged first to speak openly about any issues, a 24/7 hotline provides an opportunity to express concerns anonymously.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foundational value of integrity to be a non-negotiable requirement of employment, and an expectation of suppliers, partners, and our customers. We guard our reputation and will take necessary action to protect it. An essential part of our brand promise is always to engage employees, customers, partners, suppliers, and investors with integrity.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effort to improve our disclosures around human capital issues, we provided a public report pursuant to the Sustainability Accounting Standards Board ("SASB") Software &amp; IT Service Standard, which addresses, in part, metrics relating to recruiting and managing a global, diverse and skilled workforce.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operate in a very competitive environment for talent. To ensure we can attract the most well-qualified employees, we employ strategic sourcing methods, innovative recruitment campaigns, and outreach initiatives to attract a diverse pool of candidates. This involves leveraging various channels, such as job boards, job fairs, social media platforms, and diversity-focused partnerships, to engage with candidates from different backgrounds and experiences.</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continuously enhance our employee value proposition by offering a range of benefits and supplemental programs that support our employees' physical, mental, and financial well-being. In addition, we are strengthening our performance management program to ensure employees receive meaningful feedback, opportunities for growth, and recognition for their contributions, fostering both individual and organizational success.</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at Telos, we help our employees succeed by providing flexibility in where and how they work. The employees' ability to work remotely or in a hybrid arrangement is a strategy that helps us attract, hire and retain the best people, regardless of their specific location. This strategy increases employee empowerment and satisfaction, drives efficiency, and enables us to hire from a broad and diverse talent pool.</w:t>
      </w:r>
    </w:p>
    <w:p>
      <w:pPr>
        <w:spacing w:after="0" w:line="12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are committed to providing a work environment free of discrimination and harassment, where our employees can do their best work, bring their whole selves to work, feel supported, and in turn, support others. We strive to create a working environment where everyone feels included and respected and has an equal opportunity to contribute. We promote collaboration and encourage employees to maximize their potential by bringing varied views, experiences, and perspectives to their work. Our objective is to continue to improve our hiring, development, training, advancement, and retention of talent and to foster a synergistic environment at Telos.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generally experience seasonality due to our key customers' fiscal year ends and procurement cycles. We derive a substantial portion of our revenue from the U.S. federal government, whose fiscal year ends on September 30 of each year, which may impact our third fiscal quarter. In addition, our quarterly results may be impacted by the number of working days in a given quarter. See </w:t>
      </w:r>
      <w:r>
        <w:rPr>
          <w:rFonts w:ascii="Times New Roman" w:cs="Times New Roman" w:eastAsia="Times New Roman" w:hAnsi="Times New Roman"/>
          <w:sz w:val="18"/>
          <w:szCs w:val="18"/>
          <w:i w:val="1"/>
          <w:iCs w:val="1"/>
          <w:color w:val="auto"/>
        </w:rPr>
        <w:t>"Risk Factors — We are subject to the seasonality of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spending."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Federal Government Contracts, Regulation, and Legislation</w:t>
      </w:r>
    </w:p>
    <w:p>
      <w:pPr>
        <w:spacing w:after="0" w:line="1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business is heavily regulated, and we must comply with and are affected by laws and regulations relating to the formation, administration and performance of U.S. federal government and other contracts. U.S. federal government contracts generally are subject to the Federal Acquisition Regulation ("FAR") and Defense Federal Acquisition Regulation Supplement ("DFARS"), which sets forth policies, procedures and requirements for acquiring goods and services by the U.S. federal government, and agency-specific regulations that implement or supplement the FAR or DFARS. These regulations impose a broad range of requirements, many of which are unique to government contracting, including various procurement, security, contract pricing and cost, contract termination, and adjustments and audit requirements. Among other things, these laws and regulations:</w:t>
      </w:r>
    </w:p>
    <w:p>
      <w:pPr>
        <w:spacing w:after="0" w:line="79" w:lineRule="exact"/>
        <w:rPr>
          <w:sz w:val="20"/>
          <w:szCs w:val="20"/>
          <w:color w:val="auto"/>
        </w:rPr>
      </w:pPr>
    </w:p>
    <w:p>
      <w:pPr>
        <w:ind w:left="660" w:right="4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specific and unique cost accounting practices that may differ from Generally Accepted Accounting Principles in the United States of America ("U.S. GAAP" or "GAAP") and therefore require reconciliation;</w:t>
      </w:r>
    </w:p>
    <w:p>
      <w:pPr>
        <w:spacing w:after="0" w:line="5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allowable and unallowable costs and otherwise govern our right to reimbursement under various cost-type U.S. federal government contracts;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compliance with U.S. federal government Cost Accounting Standards;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reviews by the Defense Contract Audit Agency, Defense Contract Management Agency and other U.S. federal government agencies for compliance with government requirements for a contractor's business system; and</w:t>
      </w:r>
    </w:p>
    <w:p>
      <w:pPr>
        <w:spacing w:after="0" w:line="53"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use and dissemination of, and require the protection of, unclassified contract-related information and information classified for national security purposes and the export of certain products and technical data.</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U.S. federal government customers employ several contracting methods to purchase services and products. Budgetary pressures and reforms in the procurement process have caused many U.S. federal government customers to increasingly purchase services and products using contracting methods that allow them to select multiple contract winners or pre-qualify certain contractors to provide services or products on established general terms and conditions rather than through single-award contracts. The predominant contracting methods through which U.S. federal government agencies procure services and products include definitive award contracts, IDIQ contracts, Blanket Purchase Agreements ("BPAs"), U.S. General Service Administration ("GSA") schedule contracts and other transactional agreements ("OTAs").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Government contracts are subject to congressional funding. Consequently, at the outset of a program, a contract is usually partially funded, and Congress annually determines if additional funds are to be appropriated to the contract. All of our government customers have the right to terminate their contract with us at their convenience or in the event that we default. Most of our contracts have cancellation terms that permit us to recover all or a portion of our incurred costs and fees for work performed where the U.S. federal government issues a termination for convenience.</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portion of our business is classified by the U.S. federal government and cannot be specifically described. The operating results of these classified programs are included in our consolidated financial statements.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We also actively monitor legislative initiatives and carefully follow legislative and contracting trends and activities, and evolve our strategies to take these into consideration and respond to opportunities as they develop. These regulations and risks are described in more detail below under </w:t>
      </w:r>
      <w:r>
        <w:rPr>
          <w:rFonts w:ascii="Times New Roman" w:cs="Times New Roman" w:eastAsia="Times New Roman" w:hAnsi="Times New Roman"/>
          <w:sz w:val="18"/>
          <w:szCs w:val="18"/>
          <w:u w:val="single" w:color="auto"/>
          <w:color w:val="0000FF"/>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00"/>
        </w:rPr>
        <w:t>" in this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Social, and Governance Matters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strive to operate our business in an environmentally responsible manner and in support of sustainable long-term financial performance. Our Environmental, Social and Governance ("ESG") task force is charged with addressing climate and environmentally-related risks and opportunities, including our publicly-disclosed climate transition plan. The Company publicly reports certain climate change-related information via CDP and provides public sustainability disclosures using the SASB Software &amp; IT Service Standard. By making these disclosures, however, we have not concluded that the information disclosed is material to our business and this information is not incorporated by reference into and is not a part of this Annual Report on Form 10-K. The Board of Directors authorized the Nominating and Corporate Governance Committee to oversee the Company's ESG efforts, which include climate-related risks and opportunities.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for discussion of risks related to the global climate.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Website and Available Information</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at 19886 Ashburn Road, Ashburn, Virginia 20147, and our telephone number is (703) 724-3800. Our website can be accessed at www.telos.com, which contains information about our Company and operations. Through a link on the Investor Relations section of our website, copies of each of our filings with the U.S. Securities and Exchange Commission ("SEC") can be viewed and downloaded free of charge as soon as reasonably practicable after the reports and amendments are electronically filed with or furnished to the SEC. The information on our website is not incorporated by reference into and is not part of this Annual Report on Form 10-K.</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(www.sec.gov) that contains reports, proxy and information statements, and other information regarding issuers that file electronically with the SEC, including Telos.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your evaluation of the Company and business, you should carefully consider the risks and uncertainties as described below, together with the information included elsewhere in this Annual Report on Form 10-K and other documents we file with the SEC. These factors, as well as additional risks and uncertainties not currently known to us or that we currently believe are immaterial, may currently have, or may have, a significant impact on our business, operating results or financial condition. Actual results could differ materially from those projected in the forward-looking statements contained in this Annual Report on Form 10-K as a result of the risk factors discussed below and elsewhere in this Annual Report on Form 10-K.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and Operational Risks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cyber or other information security threats, breaches, or other disruptions.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routinely experience cybersecurity threats, threats to our information technology infrastructure and attempts to gain access to our sensitive information, as do our customers, suppliers, prime and subcontractors, and strategic partners. We experience similar security threats at customer sites that we operate and manage as a contractual requirement. The threats we face vary from attacks common to most industries to more advanced and persistent, highly organized adversaries who target us because we protect national security information. While we have security measures in place to protect our data and the data of our customers or end-users of our services, our services and underlying infrastructure may in the future be materially breached or compromised as a result of the following:</w:t>
      </w:r>
    </w:p>
    <w:p>
      <w:pPr>
        <w:spacing w:after="0" w:line="133" w:lineRule="exact"/>
        <w:rPr>
          <w:sz w:val="20"/>
          <w:szCs w:val="20"/>
          <w:color w:val="auto"/>
        </w:rPr>
      </w:pPr>
    </w:p>
    <w:p>
      <w:pPr>
        <w:ind w:left="660" w:righ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attempts to fraudulently induce employees, contractors or customers into disclosing sensitive information such as user names, passwords or other information to gain access to our customers' data, our data or our IT 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individuals or groups of hackers and sophisticated organizations, including state-sponsored organizations or nation-states;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on our internally built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resulting from enhancements and updates to our existing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in the products or components across the broad ecosystem that our services operate in or are dependent 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existing within newly acquired or integrated technologies and infrastructures;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existing within third-party software or services that we employ;</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on, or vulnerabilities in, the many different underlying networks and services that power the Internet that our products depend on, most of which are not under our control or the control of our vendors, partners, or customers;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or contractor errors or intentional acts that compromise our security systems.</w:t>
      </w:r>
    </w:p>
    <w:p>
      <w:pPr>
        <w:spacing w:after="0" w:line="171"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Although we have developed systems and processes designed to assess, identify, and manage material cybersecurity risks, we can provide no assurances that such systems and processes will provide absolute security. In the normal course of business, we are the target of malicious cyberattack attempts.</w:t>
      </w:r>
    </w:p>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security breach or incident could result in unauthorized parties obtaining access to, or the denial of authorized access to, our IT systems or data, or our customers' systems or data, including intellectual property, proprietary, sensitive, or other confidential information. A security breach or incident could result in the unauthorized disclosure of large quantities of our customers' personally identifiable information. A security breach could also result in a loss of confidence in the security of our services, damage our reputation, negatively impact our future sales, disrupt our business and lead to increases in insurance premiums and legal and financial exposure and liability. Finally, the detection, prevention and remediation of known or potential security vulnerabilities, including those arising from third-party hardware or software, may result in additional financial burdens due to additional direct and indirect costs, such as additional infrastructure capacity spending to mitigate any system degradation.</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contracts for our solutions and services, or subscriptions, and expand our relationships with them, our revenue could decline and our results of operations would be adversely impacted.</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continue to maintain and grow our business, it is important that our existing customers renew their contracts for our solutions and services or subscriptions when existing contract terms expire. Our customers have no obligation to renew or extend their contracts for our solutions or services or subscriptions after the expiration of the contractual periods, which vary in length, and in the normal course of business, some customers have elected not to renew or extend. It is difficult to predict attrition rates given the varying needs of our customer base. Our attrition rates may increase or fluctuate as a result of a number of factors, including customer dissatisfaction with our solutions or services, customers' spending levels, mix of customer base, decreases in the number of users at our customers, competition, pricing increases or changes, and deteriorating general economic conditions or budgetary constraints.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future success also depends in part on our ability to expand our relationships with our current customers by selling additional features, solutions and services, more subscriptions or enhanced editions of our solutions and services. This may also require increasingly sophisticated and costly sales efforts that are targeted at senior leaders. Similarly, the rate at which our customers purchase new or enhanced solutions and services depends on a number of factors, some of which are beyond our control.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efforts to maintain and expand our relationships with our existing customers are not successful, our business could be harmed.</w:t>
      </w:r>
    </w:p>
    <w:p>
      <w:pPr>
        <w:spacing w:after="0" w:line="16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federal government may terminate, cancel, delay, modify or curtail our contracts at any time prior to completion and, if we do not replace them, this may adversely affect our future revenues and could adversely impact our earnings</w:t>
      </w:r>
      <w:r>
        <w:rPr>
          <w:rFonts w:ascii="Times New Roman" w:cs="Times New Roman" w:eastAsia="Times New Roman" w:hAnsi="Times New Roman"/>
          <w:sz w:val="18"/>
          <w:szCs w:val="18"/>
          <w:i w:val="1"/>
          <w:iCs w:val="1"/>
          <w:color w:val="auto"/>
        </w:rPr>
        <w:t>.</w:t>
      </w:r>
    </w:p>
    <w:p>
      <w:pPr>
        <w:spacing w:after="0" w:line="10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Many of the U.S. federal government programs in which we participate, both as a contractor or subcontractor, extend for several years and include one or more base years and one or more option years. These programs are typically funded on an annual basis. Under these contracts, the U.S. federal government generally has the right not to exercise options to extend or expand our contracts and may otherwise terminate, cancel, modify, delay, or curtail our contracts at its convenience. Any decisions by the U.S. federal government to not exercise contract options or to terminate, cancel, delay, modify or curtail our major programs or contracts (including those on which we serve as a subcontractor) would adversely affect our revenues, revenue growth and profitability.</w:t>
      </w:r>
    </w:p>
    <w:p>
      <w:pPr>
        <w:spacing w:after="0" w:line="1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Changes in congressional schedules, administration priorities, negotiations for program funding levels or unforeseen world events can delay or disrupt the funding for a program or contract. Funds for multi-year contracts can be changed in subsequent years in the appropriations process. In addition, the U.S. federal government has increasingly relied on IDIQ contracts and other procurement vehicles that are subject to a competitive bidding and funding process even after the award of the basic contract, adding an element of uncertainty to future funding levels. Delays in the funding process or changes in funding or funding priorities can impact the timing of available funds or can lead to changes in program content, delay or termination at the government's convenience.</w:t>
      </w:r>
    </w:p>
    <w:p>
      <w:pPr>
        <w:spacing w:after="0" w:line="12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government spending reductions, workforce changes, and policy shifts may impact our existing operations and future opportunities for new contracts.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derive a substantial amount of our revenue from contracts with the federal government, either as a prime contractor or a subcontractor, changes in federal government budgetary priorities or policy shift could directly affect our financial performance. Uncertainty exists regarding how future budget and program decisions will unfold, including the spending priorities of the U.S. presidential administration and Congress, and what challenges budget reductions will present for us and our industry generally. The current administration's efforts to reduce the size and spending of the federal government pose several potential risks to our operations. The focus on reducing government spending may lead to fewer contracts being awarded, reduced contract values, or delays in the awarding of contracts. Changes in federal priorities may result in a shift away from governance, risk and compliance software solutions, cybersecurity, and digital identity services, potentially reducing demand for our offerings.</w:t>
      </w:r>
    </w:p>
    <w:p>
      <w:pPr>
        <w:spacing w:after="0" w:line="135"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Budgetary constraints and spending freezes may lead to delays in contract awards and renewals, as well as modifications or terminations of existing contracts. This could disrupt our revenue streams and require adjustments to our operations and workforce. As federal agencies adjust their spending priorities, there may be a reduction in new business opportunities, limiting our growth prospects and market expansion efforts.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Terminations, reductions in force, and hiring freezes within federal agencies may lead to a loss of institutional knowledge and expertise, resulting in delays or disruptions in project execution. Workforce shortages may also affect contract management and oversight, impacting the quality and timeliness of our service delivery.</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uncertainty surrounding federal budget allocations, workforce changes, and policy shifts may hinder our ability to execute long-term strategic initiatives and build and maintain long-term relationships with key government stakeholders. As federal agencies face staffing challenges and budget constraints, there may be increased competition among contractors for limited government resources and attention, leading to more stringent contract terms and lower profit margins.</w:t>
      </w:r>
    </w:p>
    <w:p>
      <w:pPr>
        <w:spacing w:after="0" w:line="12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few key customer contracts for a significant portion of our future revenue. A significant reduction or delay in implementation to one or more of these contracts would materially affect our anticipated operating results.</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small number of our large customer contracts are expected to comprise a significant portion of our future revenue. Our business will likely be harmed if any of our key customer contracts generate less revenue than we forecast, and the termination or delay of a large contract or multiple contracts could have a material adverse effect on our revenue and profitability. Adverse events affecting the programs subject to these contracts, such as inflation, labor challenges, shortage of materials, market volatility, a significant decline in the traveling public or supply chain disruption or delay, could also negatively affect our ability to process transactions under those contracts, which could adversely affect our revenue and the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attract, train, retain and motivate key and skilled employees, including key members of our management team, would adversely affect our ability to execute our strategy and may disrupt our operations.</w:t>
      </w:r>
    </w:p>
    <w:p>
      <w:pPr>
        <w:spacing w:after="0" w:line="1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business relies heavily upon the expertise and services of our employees. Our success depends upon the continued services of our highly qualified and experienced executive officers and other key members of management. From time to time, there may be changes in our executive management team resulting from the hiring or departure of executives. Such changes in our executive management team may be disruptive to our business.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substantially dependent on the continued service of our existing highly trained and skilled personnel, particularly our business development and operations groups, because of the complexity of our services and technologies. The technology industry is subject to substantial and continuous competition for engineers and other subject matter experts with high levels of experience in designing, developing and managing software, cybersecurity, and Internet-related services, as well as competition for sales executives, data scientists and operations personnel.</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Many U.S. federal government contracts require us to have security clearances and employ personnel with specified levels of education, work experience, and security clearances. Depending on the level of clearance, security clearances can be difficult and time-consuming to obtain. Competition for skilled personnel is intense, and to the extent we cannot maintain or obtain the required level of expertise and clearances for our employees working on such contracts, we may not be able to fulfill our contractual obligations and may not generate the revenue anticipated from the contracts.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not be successful in attracting and retaining qualified personnel. From time to time, we have experienced, and we expect to continue to experience, difficulty in hiring, developing, integrating and retaining highly skilled employees with appropriate qualifications. These difficulties may be amplified by evolving restrictions on immigration, travel, or the availability of visas for skilled technology workers. These difficulties could be further amplified by the high cost of living in the Washington D.C. metropolitan area, where our headquarters is located. If we fail to attract new personnel or fail to retain and motivate our current key employees or group, our business and future growth prospects could be severely harmed.</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competitive bidding process to obtain U.S. federal government contracts, both upon initial issuance and re-competition, and the likelihood of bid protest, we may be unable to achieve or sustain revenue growth and profitability.</w:t>
      </w:r>
    </w:p>
    <w:p>
      <w:pPr>
        <w:spacing w:after="0" w:line="10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Many of our U.S. federal government contracts are awarded through a competitive bidding process upon initial award and renewal, and we expect this will continue. There is often significant competition and pricing pressure as a result of this process. From time to time, the competitive bidding process presents a number of risks, including the following:</w:t>
      </w:r>
    </w:p>
    <w:p>
      <w:pPr>
        <w:spacing w:after="0" w:line="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expend substantial funds and time to prepare bids and proposals for contracts that are ultimately awarded to one of our competitors;</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accurately estimate the resources and costs that will be required to perform any contract we are awarded, which results in substantial cost overruns and decreased margins;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encounter expense and delay when our competitors protest or challenge awards of contracts, and any such protest or challenge could result in a requirement to resubmit bids on modified specifications or in the termination, reduction or modification of the awarded contract; and</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given the opportunity to re-compete for U.S. federal government contracts previously awarded to us, and we may incur expenses to protest such a decision and ultimately may not succeed in competing for or winning such contract renewal.</w:t>
      </w:r>
    </w:p>
    <w:p>
      <w:pPr>
        <w:spacing w:after="0" w:line="5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U.S. federal government contracts for which we compete typically have multiple option periods, and if, as happens from time to time, we fail to win a contract or a task order, we generally will be unable to compete again for that contract for several years. If we fail to win new contracts or to receive renewal contracts upon re-competition, our business and prospects will be adversely affected and that could cause our actual results to differ materially and adversely from those anticipated. In addition, we will not have an opportunity to compete for these contract opportunities again until such contracts expire.</w:t>
      </w:r>
    </w:p>
    <w:p>
      <w:pPr>
        <w:spacing w:after="0" w:line="1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event a bid protest of contracts awarded to us are unsuccessful, the resulting delay of program performance and funding of work under protested contract awards may adversely affect our revenue and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and future profitability depend, in part, on our ability to develop new technologies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ability to increase revenue from existing customers and attract new customers will depend, in part, on our ability to anticipate and respond effectively to rapid technological changes and market developments. Further, our future profitability partly depends on our ability to successfully implement our strategies to increase adoption of our solutions and services and develop new offerings.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Virtually all of the products we produce and sell are highly engineered and require sophisticated manufacturing and system integration techniques and capabilities. The government market in which we primarily operate is characterized by rapidly changing technologies. The product or program needs of our government and commercial customers change and evolve regularly. Accordingly, our future performance in part depends on our ability to identify emerging technological trends, devote adequate research and development resources, develop and manufacture competitive products, and bring those products to market quickly at cost-effective prices.</w:t>
      </w:r>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Further, the market for identity verification solutions is still developing, and the evolution of this market may result in the development of different technologies and industry standards that may not be compatible with our current solutions, products, or technologies. Maintaining adequate research and development resources, such as the appropriate personnel and development technology, to meet the market demands is essential.</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we fail to effectively anticipate, identify and respond to these changes in product, solutions or program needs in a timely manner, our business could be negatively impacted. Likewise, if we are unable to develop new products that meet customers' changing needs, future sales and earnings may be materially affected. Our failure to maintain adequate research and development resources or to compete effectively with the research and development programs of our competitors would give an advantage to such competitors and our business, results of operations and financial condition could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due to increasing variability in our security solutions' sales and implementation cycles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market the majority of our security solutions directly to U.S. federal government customers. The sale and implementation of our services to these entities typically involves a lengthy education process and a significant technical evaluation and commitment of capital and other resources, which adds uncertainty to our sales cycle. This process is also subject to the risk of delays associated with customers' internal budgeting and other procedures for approving large capital expenditures, deploying new technologies within their networks and testing and accepting new technologies that affect key operations.</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a result, the sales and implementation cycles associated with certain of our services can be difficult to predict and lengthy. Our quarterly and annual operating results could be materially harmed if orders forecasted for a specific customer for a particular period of time are not realized.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execute our sales and business development capabilities will harm our ability to grow our business.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solutions and services depends, to a significant extent, on our ability to perform at a high level in our business development, growth, sales and marketing operations and activities. We believe that selling and marketing our security solutions requires advanced sales skills, customer relationships and technical knowledge to generate interest and to effectively communicate our solutions or services to new markets.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not achieve anticipated revenue growth from our growth team if we are unable to hire and develop talented business development and sales personnel, if our new business development and sales personnel are unable to achieve desired productivity levels in a reasonable period of time, or if we are unable to retain our existing sales force.</w:t>
      </w:r>
    </w:p>
    <w:p>
      <w:pPr>
        <w:spacing w:after="0" w:line="11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computing infrastructure operated by third parties to support some of our solutions and customers, and to help complete critical business functions. Any errors, disruption, performance problems, or failure in their or our operational infrastructure could adversely affect our business, financial condition, and results of operations.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rely on the technology, infrastructure, and software applications of certain third parties in order to host or operate certain key features or functions of our business. Additionally, we rely on third-party computer hardware and cloud capabilities in order to deliver our solutions and services. Our business is dependent on the integrity, security and efficient operation of this technology and infrastructure, and we do not necessarily control the operation or data security of the third parties we utilize.</w:t>
      </w:r>
    </w:p>
    <w:p>
      <w:pPr>
        <w:spacing w:after="0" w:line="12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any of these third-party services experience errors, disruptions, security issues, or other performance deficiencies; if they are updated such that our solutions become incompatible; if these services, software, or hardware fails or becomes unavailable due to extended outages, interruptions, defects, or otherwise; or if they are no longer available on commercially reasonable terms or prices (or at all), these issues could result in errors or defects in our solutions, failure of our solutions to perform, decline in our revenue and margins, damage to our reputation and brand, exposure to legal or contractual liability, increase in our expenses, and interruption in our ability to manage our operations. In addition, our processes for managing our sales and servicing our customers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customers or third-party providers.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Furthermore, our solutions are, in many cases, important or essential to our customers' operations, including, in some cases, their cybersecurity or oversight and compliance programs, and subject to service level agreements. Any interruption in our service, whether as a result of an internal or third-party issue, could damage our brand and reputation, cause our customers to terminate or not renew their contracts with us or decrease the use of our solutions and services, require us to indemnify our customers against certain losses, result in our issuing credit or paying penalties or fines, subject us to other losses or liabilities, cause our solutions to be perceived as unreliable or unsecured, and prevent us from gaining new or additional business from current or future customers, any of which could harm our business, financial condition, and results of operations.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Moreover,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 For example, the provisioning of additional cloud hosting capacity requires lead time. These third parties have no obligation to renew their agreements with us on commercially reasonable terms, or at all. If these third 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(among other possible consequences) transfer to other cloud providers or invest in a private cloud. In that case, we could incur significant costs and experience possible service interruption in connection with doing so, or risk loss of customer contracts if they are unwilling to accept such a change.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failure to maintain our relationships with our third-party providers (or obtain adequate replacements), and to receive services from such providers that do not contain any material errors or defects, could adversely affect our ability to deliver effective products and solutions to our customers and adversely affect our business and results of operations.</w:t>
      </w:r>
    </w:p>
    <w:p>
      <w:pPr>
        <w:spacing w:after="0" w:line="11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certain operational services and components of our products in order to fully perform under our contracts, and the failure or disruption of a third party to perform these services or provide these goods could have an adverse impact on our business.</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rely on subcontractors and other suppliers (or contracting parties) to provide materials, major components and subsystems for our products or to perform a portion of the services that we provide to our customers. A failure by one or more of our suppliers or contracting parties to provide agreed-upon materials, components or products, or perform agreed-upon services, on a timely basis and in a cost-effective manner, may adversely affect our ability to perform our obligations and adversely impact our results of operations.</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Occasionally, we rely on only one or two sources of supply, which, if disrupted, could have an adverse effect on our ability to meet our commitments to customers, and could adversely affect our business, results of operations and financial condition.</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From time to time, we depend on these subcontractors and suppliers to fulfill their contractual obligations in a timely and satisfactory manner in full compliance with customer requirements. If one or more of our subcontractors or suppliers is unable to satisfactorily provide on a timely basis the agreed-upon supplies or perform the agreed-upon services per its contractual obligations, our ability to perform our obligations as a contractor may be adversely affected. Our subcontractors' or suppliers' deficiencies can result in a customer terminating our contract for default, and we may be exposed to liability. Additionally, we could experience cost overruns and delays in contract performance, both of which would negatively impact our business and results of operations.</w:t>
      </w:r>
    </w:p>
    <w:p>
      <w:pPr>
        <w:spacing w:after="0" w:line="12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protect our intellectual property, technologies and proprietary rights could harm our business, competitive position, financial condition, and results of operations.</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internally developed technologies, patents and other intellectual property. Despite our precautions, it may be possible for a third party to copy or otherwise obtain and use our trade secrets or other forms of intellectual property without authorization. Furthermore, the laws of foreign countries may not protect our proprietary rights in those countries to the same extent U.S. law protects these rights in the United States. In addition, it is possible that others may independently develop substantially equivalent intellectual property. If we do not effectively protect our intellectual property, our business could suffer.</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protect our intellectual property rights, we may be required to spend significant resources to monitor and protect our rights. In the future, we may have to resort to litigation to enforce our intellectual property rights, protect our trade secrets, or determine the validity and scope of the proprietary rights of others. Regardless of outcome, this type of litigation could result in substantial costs and diversion of management and technical resources. The inability to adequately protect and enforce our intellectual property and other proprietary rights could seriously harm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profitability may vary based on the mix of our contracts and may be adversely affected by our failure to estimate and manage costs, time, and resources accurately.</w:t>
      </w:r>
    </w:p>
    <w:p>
      <w:pPr>
        <w:spacing w:after="0" w:line="10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generated 73.3% of our 2025 revenues from fixed-price contracts. Under fixed-price contracts, we receive a fixed price irrespective of the actual costs we incur, and consequently, we carry the burden of any cost overruns. Fixed-price contracts require us to price our contracts by predicting our expenditures in advance. Due to their nature, fixed-price contracts inherently have more risk, particularly fixed-price development contracts where the costs to complete the development stage of the program can be highly variable, uncertain and difficult to estimate.</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cost-reimbursable contracts, we are reimbursed for allowable costs and paid a fee, which may be fixed or performance-based. In certain cases, cost-reimbursable contracts have a contract ceiling. If our costs exceed the contract ceiling and are not authorized by the customer or are not allowable under the contract or applicable regulations, we may not be able to obtain reimbursement for all such costs and our fees may be reduced or eliminated. In addition, because many of our contracts involve advanced designs and innovative technologies, we may experience unforeseen technological difficulties and cost overruns.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both types of contracts, we must accurately estimate the likely volume of work that will occur, costs and resource requirements involved, and assess the probability of completing individual transactions or milestones within the contracted time period and amount to maximize profit on these contracts. Further, some of our contracts have provisions relating to cost controls and audit rights, and if we fail to meet the terms specified in these contracts, we may incur additional costs or penalties. Cost overruns or poor cost controls could lower earnings, or may incur a net loss on a contract, and cause a negative impact on our results of operations.</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some of our contracts are under a time-and-material basis. While this type of contracts is generally subject to less uncertainty than fixed-price contracts, to the extent that our actual labor costs are higher than the contract rates, our actual results could differ materially and adversely from those anticipated.</w:t>
      </w:r>
    </w:p>
    <w:p>
      <w:pPr>
        <w:spacing w:after="0" w:line="11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face risks associated with the growth of our business in new commercial markets and with new customer verticals, and we may not be able to achieve organic growth nor have the necessary resources to dedicate to the overall growth of our business.</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 increase our revenue and achieve and maintain profitability, we plan to expand our operations in new commercial markets, including those where we may have limited operating experience, and may be subject to increased business, technology and economic risks that could affect our financial results. In the future, we may increasingly focus on commercial customers, including in the banking, financial services, healthcare, manufacturing, telecommunication, airlines and aerospace, insurance, retail, transportation, shipping and logistics, and energy industries, as well as other critical infrastructure industries. Entering new verticals and expanding in the verticals in which we are already operating will continue to require significant resources and there is no guarantee that such efforts will be successful or beneficial to us.</w:t>
      </w:r>
    </w:p>
    <w:p>
      <w:pPr>
        <w:spacing w:after="0" w:line="1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Although sales to a new customer have often led to additional sales to the same customer or similarly situated customers, it is uncertain if we will achieve the same penetration and organic growth in the future, and our reputation, business, financial condition, and results of operations could be negatively impacted. As we expand into and within new and emerging markets and heavily regulated industry verticals, we will likely face additional regulatory scrutiny, risks, and burdens from the governments and agencies that regulate those markets and industries.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deliver high-quality technical support services may adversely affect our relationships with our customers and our financial results.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customers depend on our support organization to resolve technical issues relating to our solutions and offerings. We may be unable to respond quickly enough to accommodate short-term increases in customer demand for support services. Increased customer demand for these services, without corresponding revenues, could increase costs and adversely affect our operating results. In addition, our sales process is highly dependent on the reputation of our solutions, support and positive recommendations from our existing customers. Failure to maintain high-quality technical support, or a market perception that we do not maintain high-quality support, could adversely affect our reputation, our ability to sell our offerings to existing and prospective customers, and our business, operating results and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 with our partner organizations.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To grow our business, we will continue to build, grow and maintain relationships with third parties, such as partner organizations, that provide complementary cybersecurity offerings. Identifying partners and negotiating relationships with them requires significant time and resources. The relationship we have with our partners, and that our partners have with our customers, provides our customers with enhanced value for our solutions and services.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agreements with our partners are generally non-exclusive; therefore, our partners may offer customer solutions from several companies, including solutions and services that compete with ours. If our partners do not effectively market and sell our solutions or services, or use greater efforts to market and sell their solutions or those of our competitors, or fail to meet the needs of our customers, or if we are unsuccessful in establishing or maintaining our relationships with our partners, our ability to compete in the marketplace or to grow our revenue could be impaired, and our results of operations could be adversely affected.</w:t>
      </w:r>
    </w:p>
    <w:p>
      <w:pPr>
        <w:spacing w:after="0" w:line="1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Moreover, our revenues and operating results could differ materially and adversely from those anticipated if these partner organizations chose to offer directly to the customers solutions or services of the type that we provide.</w:t>
      </w:r>
    </w:p>
    <w:p>
      <w:pPr>
        <w:spacing w:after="0" w:line="10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technology that is used in our products and services to perform key functions. If we are unable to license third-party technology or the technology is subject to a security breach, without an alternative, it may negatively impact our business and results of operations.</w:t>
      </w:r>
    </w:p>
    <w:p>
      <w:pPr>
        <w:spacing w:after="0" w:line="10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currently incorporate technology that we license from third parties, including software, into our solutions. The third-party technology licenses we use may not continue to be available on commercially reasonable terms or at all. Our business could suffer if we lost the right to use these technologies.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margins and results of operations could be significantly harmed.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third party could claim that the licensed software infringes a patent or other proprietary right. Litigation between the licensor and a third party or between a third party and us could lead to royalty obligations for which we are not indemnified or for which indemnification is insufficient, or we may not be able to obtain any additional license on commercially reasonable terms or at all. The loss of, or our inability to obtain or maintain, any of these technology licenses could delay the introduction of new products or services until equivalent technology, if available, is identified, licensed and integrated.</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our business is dependent on the integrity, security and efficient operation of the third-party technology, and we do not necessarily control the operations or data security of the third-party providers we utilize. Our systems and operations or those of our third-party providers and partners could be exposed to damage, interruption, security breach and other risks from, among other things, computer viruses, other malicious software, and other cyberattacks. The vulnerability of the technology to security breaches, failure of these systems to perform as designed, or inability to find suitable alternatives could result in significant disruptions to our operations and subject us to losses, liability or costs to remediate any of these system failures.</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to set optimal pricing structures for our solutions and services could adversely impact our business, financial condition and results of operations.</w:t>
      </w:r>
    </w:p>
    <w:p>
      <w:pPr>
        <w:spacing w:after="0" w:line="10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From time to time, we change our pricing models in response to competition, global economic conditions, and general reductions in our customers' spending levels, pricing studies, or changes in how our solutions are broadly consumed. Similarly, as we introduce new products and services, or as a result of the evolution of our existing solutions and services, we may have difficulty determining the appropriate price structure for our products and services. Further, as new and existing competitors introduce new products or services that compete with ours, or revise their pricing structures, we may be unable to attract new customers at the same price or based on the same pricing model as we have used historically. Moreover, as we continue to target selling our solutions and services to larger organizations, these larger organizations may demand substantial price concessions. We may also need to change pricing policies to accommodate government pricing guidelines for our contracts with federal, state, and local governments, and foreign governments.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are unable to modify or develop pricing models and strategies that are attractive to existing and prospective customers, while enabling us to significantly grow our sales and revenue relative to our associated costs and expenses in a reasonable period of time, our business, financial condition, and results of operations may be adversely impacted.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("AI") is an emerging technology and we may not be successful in our AI initiatives.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field of AI is characterized by rapid technological advancements and is subject to significant risks and uncertainties. Our future success may be dependent, in part, on our ability to develop, integrate, and effectively utilize AI technologies in our solutions or offerings. Given that this is a new and complex technology, we may face challenges related to the designing, developing, and implementing AI processes and procedures. There are significant risks involved in using AI and no assurances can be provided that our use of AI will enhance our products or services, produce the intended results or keep pace with the use of AI by our competitors. For example, AI algorithms may be flawed, insufficient, of poor quality, rely upon incorrect or inaccurate data, reflect unwanted forms of bias, or contain other errors or inadequacies, any of which may not be easily detectable; AI has been known to produce false or “hallucinatory” inferences or outputs; our use of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products and services. Further, this technology is subject to evolving industry standards and regulatory constraints. Failures to effectively address these risks and uncertainties may materially and adversely affect our business and results of operations.</w:t>
      </w:r>
    </w:p>
    <w:p>
      <w:pPr>
        <w:spacing w:after="0" w:line="1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Recently, we launched Xacta.ai, the artificial intelligence capability at the core of our Xacta platform. The use of AI in our solutions may carry considerable risk, and we cannot guarantee the achievement of the intended outcome. The use of AI technologies involves issues associated with intellectual property, data privacy and security, consumer protection and equal opportunity laws. Given the nature of AI technology, we may face significant competition from other companies and evolving regulatory landscape. Our AI efforts may not be successful and our competitors may incorporate AI into their products or services more successfully than us. Further, AI-related changes to our products and services may affect our customers' expectation or requirements in ways we cannot adequately anticipate or adapt to; and may result to unsatisfied customers or inability to operate profitably and sustainably.</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regulatory disputes and governmental inquiries that could materially harm our business, operating results, and financial condition.</w:t>
      </w:r>
    </w:p>
    <w:p>
      <w:pPr>
        <w:spacing w:after="0" w:line="10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From time to time, in the ordinary course of business, we are subject to a variety of legal proceedings and, in the future, may be subject to lawsuits, claims, government investigations and other proceedings. These may include lawsuits and claims related to securities compliance, contracts, subcontracts, intellectual property, employment and wage claims, and other matters. Our business may be adversely affected by the outcome of legal proceedings and other contingencies that cannot be predicted with certainty. Those contingencies include, but are not limited to, the cost of litigation and unpredictable court decisions. Adverse outcomes with respect to litigation, or a government inquiry, or any of these legal proceedings may result in significant settlement costs or judgments, penalties and fines, or harm our reputation, all of which could negatively affect our business, results of operations and financial conditions.</w:t>
      </w:r>
    </w:p>
    <w:p>
      <w:pPr>
        <w:spacing w:after="0" w:line="11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future acquisitions, strategic investments, partnerships, divestitures, mergers or joint ventures may subject us to significant risks, any of which could harm our business.</w:t>
      </w:r>
    </w:p>
    <w:p>
      <w:pPr>
        <w:spacing w:after="0" w:line="10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in the past acquired, and may in the future seek to acquire or invest in, complementary businesses, products or technologies to enhance our technical capabilities or otherwise capture growth opportunities.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long-term strategy may include identifying and acquiring, partnering with, investing in or merging with suitable candidates on acceptable terms, or divesting of certain business lines or activities. Partnerships, mergers, joint ventures, acquisitions, and divestitures include a number of risks and present financial, managerial and operational challenges, including but not limited to: diversion of management attention from running our existing business; possible material weaknesses in internal control over financial reporting; increased expenses, including legal, administrative and compensation expenses related to newly hired or terminated employees; increased costs to integrate the technology, personnel, customer base and business practices of the acquired company with us; potential exposure to material liabilities not discovered in the due diligence process; potential adverse effects on reported operating results due to possible write-down of goodwill and other intangible assets associated with acquisitions; and unavailability of acquisition financing or unavailability of such financing on reasonable terms.</w:t>
      </w:r>
    </w:p>
    <w:p>
      <w:pPr>
        <w:spacing w:after="0" w:line="13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Any acquired business, technology, service or product could significantly underperform relative to our expectations and may not achieve the benefits we expect from possible acquisitions. For all these reasons, our pursuit of an acquisition, partnership, investment, divestiture, merger, or joint venture could cause its actual results to differ materially from those anticipated and/or negatively affect our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confidence in, and acceptance of, identity platforms and biometrics generally, and our solutions and services specifically, will be a key factor in our business’s continued growth.</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profitability will depend, in part, on public confidence in and acceptance of identity platforms and biometrics generally. Continued acceptance of identity platforms and biometric information as a secure and reliable method to identify individuals, mitigate risk and minimize fraud is an important factor in our continued growth. While both identity platforms and biometrics have become more widely adopted, they may not achieve universal acceptance. The attractiveness of some of our solutions to our customers is impacted by a number of factors, including the willingness of individuals to provide their personal information, including biometric information, to private or governmental entities, the level of confidence that such information can be stored safely and securely, and trust that such information will not be misused or breached. Certain individuals may never accept the use of biometrics as being safe. If identity platforms and biometrics do not achieve universal acceptance, or our solutions are not competitive with our industry players, our growth could be limited, which could materially adversely affect our business, results of operations and financial condition.</w:t>
      </w:r>
    </w:p>
    <w:p>
      <w:pPr>
        <w:spacing w:after="0" w:line="1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decline or disruption in the travel industry or general economic downturn could materially and adversely affect our business, results of operations and financial condition.</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One of our growth strategies is to increase revenue from our TSA PreCheck enrollment offerings. Accordingly, our performance is dependent in part on the strength of the travel industry. Our revenue is therefore susceptible to declines in or disruptions to leisure and business travel that may be caused by factors entirely out of our control, including, but not limited to, prolonged extreme weather, natural or man-made disasters, travel-related health concerns (including pandemics and epidemics or other outbreak of contagious diseases), restrictions related to travel, stay-at-home orders, wars and military actions, terrorist attacks, sources of political uncertainty or political events, protests, foreign policy changes, regional hostilities, general economic conditions (such as a recession or inflation), changes in regulations, labor unrest or travel-related accidents. Because these events or concerns, and the full impact of their effects, are largely unpredictable, they can dramatically and suddenly affect travel behavior and other activities by consumers, and therefore demand for our TSA PreCheck services, which could materially adversely affect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that we are taking to restructure our business to improve profitability may not be as effective as anticipated.</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the Company initiates restructuring activities to execute management's strategy and optimize its cost structure. We executed a restructuring plan in early 2023 and implemented additional restructuring actions in the third quarter of 2024 and fourth quarter of 2025 to better align our operations with strategic priorities, resulting in restructuring-related costs. We may be unable to realize the expected improved profitability and efficiency from our restructuring efforts.</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and intangible assets represent significant assets on our balance sheet and any impairment on these assets could negatively impact our results of operations, and shareholders' equity.</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2025, goodwill and intangible assets, net was 23.8% of our total assets. Goodwill and intangible assets are tested for impairment whenever events or changes in circumstances indicate that the carrying value may not be recoverable, and at least annually in the case of goodwill. The impairment test is based on several factors, estimates and assumptions requiring judgment. Adverse changes in macroeconomic conditions, industry and market consideration, overall financial performance, market capitalization and relevant entity-specific events could result in an impairment of goodwill and intangible assets.</w:t>
      </w:r>
    </w:p>
    <w:p>
      <w:pPr>
        <w:spacing w:after="0" w:line="1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fourth quarter of 2025, we conducted a quantitative goodwill impairment analysis on the Secure Networks reporting unit. The impairment analysis determined that the reporting unit's carrying value exceeded its estimated fair value as a result of continued contraction of Secure Networks' backlog in 2025. Accordingly, we recognized a non-cash goodwill impairment of $14.9 million as of December 31, 2025.</w:t>
      </w:r>
    </w:p>
    <w:p>
      <w:pPr>
        <w:spacing w:after="0" w:line="12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Likewise, in the third quarter of 2024, we decided to discontinue the development and/or sale of all or part of certain solutions for selected capitalized software projects, and certain projects which we ceased to use before the end of their useful life. As a result, we recognized an impairment loss on intangible assets of $11.7 million as of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Legal and Regulatory Risks</w:t>
      </w:r>
    </w:p>
    <w:p>
      <w:pPr>
        <w:spacing w:after="0" w:line="15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environment in which we operate is highly competitive, and we may not be able to compete successfully against existing or future competitors.</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operate in an intensely competitive market and diverse industry segment, and we expect competition to increase in the future from established businesses and new market entrants. Based on our current market analysis, no single company or small group of companies is in a dominant competitive position. Some large competitors offer capabilities in a number of markets that overlap many of the same areas in which we offer services, while certain companies are focused upon only one or a few of such markets. Some firms that compete with us in multiple areas include large, established defense contractors. In addition, we compete with smaller specialty companies, including risk and compliance management companies, organizational messaging companies, and security consulting organizations, and companies that provide secure network offerings. If we are unable to anticipate or react to these challenges or do not compete effectively, our competitive position could weaken and could result in a decline in revenue or reduced revenue growth, price reductions or reduced gross margins, and loss of market share, all of which could adversely affect our business.</w:t>
      </w:r>
    </w:p>
    <w:p>
      <w:pPr>
        <w:spacing w:after="0" w:line="13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federal budget, changes in spending or budgetary priorities of the U.S. federal government, a prolonged U.S. federal government shutdown or delays in contract awards may significantly and adversely affect our future revenues, cash flow and financial results.</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customers are substantially U.S. federal government. The customer relationship with the U.S. federal government involves certain unique risks. The programs we participate in must compete with other programs and policy imperatives during the budget and appropriations process. If government funding relating to our contracts with the U.S. federal government becomes unavailable, or is reduced or delayed, or planned orders are reduced, our contracts or subcontracts may be terminated or adjusted by the U.S. federal government or the prime contractor. Our operating results could also be adversely affected by spending caps or changes in the budgetary priorities of the U.S. federal government, as well as delays in program starts or the award of contracts or task orders under contracts.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past few years, U.S. federal government appropriations have been affected by larger U.S. federal government budgetary issues and related legislation. As a result, federal government funding levels have fluctuated and have been difficult to predict. Future spending levels are subject to a wide range of factors, including Congressional action. In addition, over the last few years, the U.S. federal government has been unable to complete its budget process before the end of its fiscal year, resulting in a series of continuing resolutions to extend sufficient funds only for U.S. federal government agencies to continue operating. When the U.S. federal government fails to complete its appropriations process or provide for a continuing resolution, a full or partial government shutdown may occur. A federal government shutdown could disrupt our performance, delay or cancellation of key programs, delay or cancel contract payments, or require us to incur substantial costs without reimbursement under the existing contracts. Moreover, the national debt threatened to reach the statutory debt ceiling, and such an event in future years could result in the U.S. federal government defaulting on its debts.</w:t>
      </w:r>
    </w:p>
    <w:p>
      <w:pPr>
        <w:spacing w:after="0" w:line="13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a result, government spending levels are difficult to predict beyond the near term due to numerous factors, including the external threat environment, future government priorities and the state of government finances. Significant changes in government spending, changes in U.S. federal government priorities, policies and requirements, or another prolonged government shutdown could have a material and adverse effect on our results of operations, financial condition or liquidity.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Administration's actions, such as tariffs and other changes in international trade policies, could adversely and unexpectedly impact our business.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January 2025, the then-new Administration began increasing tariff rates on numerous products from a range of nations. The duration and extent of the tariffs and reciprocal tariffs, including the availability of certain exemption on some products, continue to evolve. Changes in international trade policies, including higher tariffs on imported goods and materials, may increase the procurement costs of certain IT hardware we use, both internally or on our contracts, or sell to our customers. These actions could adversely affect the Company and our supply chain, business partners, or customers, and have a negative effect on our business, results of operations, or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seasonality of U.S. federal government spending.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derive a substantial portion of our revenues from U.S. federal government contracting, and as a result, we are subject to the annual seasonality of U.S. federal government purchasing. Because the U.S. federal government fiscal year ends on September 30, it is common for U.S. federal government agencies to award extra tasks in the weeks immediately prior to the end of its fiscal year in order to avoid the loss of unexpended fiscal year funds. As a result of this seasonality, we have historically experienced higher revenues in the second half of our fiscal year, with the pace of orders typically substantially reduced during the first half of our fiscal year.</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as well as contractual obligations relating to privacy, data protection and security, technology protection, and other matters. Any actual or perceived failure to comply with these requirements could have a material effect on our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a variety of local, state, national, and international laws and directives and regulations in the United States and abroad that involve matters central to our business, including privacy and data protection, data security, data storage, retention, transfer and deletion, technology protection, and personal information. Foreign data protection, data security, privacy, and other laws and regulations can impose different obligations or be more restrictive than those in the United States. These U.S. federal, state and foreign laws and regulations, which, depending on the regime, may be enforced by private parties or government entities, are constantly evolving and can be subject to significant change, and they are likely to remain uncertain for the foreseeable future. In addition, the application, interpretation, and enforcement of these laws and regulations are often uncertain, and may be interpreted and applied inconsistently from country to country and inconsistently with our current policies and practices. A number of proposals are pending before U.S. federal, state, and foreign legislative and regulatory bodies that could significantly affect our business.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overarching complexity of privacy and data protection laws and regulations around the world pose a compliance challenge that could manifest in costs, damages, or liability in other forms as a result of failure to implement proper programmatic controls, failure to adhere to those controls, or the malicious or inadvertent breach of applicable privacy and data protection requirements by us, our employees, our business partners, or our customers.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government regulation, self-regulatory standards and other industry standards may legally or contractually apply to us, be argued to apply to us, or we may elect to comply with such standards or to facilitate our customers' compliance with such standards. Because privacy, data protection, and information security are critical competitive factors in our industry, we may make statements on our website, in marketing materials, or in other settings about our data security measures and our compliance with, or our ability to facilitate our customers' compliance with, these standards.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and regulations concerning privacy, data protection, and information security, and we cannot yet determine the impact such future laws, regulations and standards, or amendments to or re-interpretations of existing laws and regulations, industry standards, or other obligations may have on our business. New laws, amendments to or re-interpretations of existing laws and regulations, industry standards, and contractual and other obligations may require us to incur additional costs and restrict our business operations. As these legal regimes relating to privacy, data protection, and information security continue to evolve, they may result in ever-increasing public scrutiny and escalating levels of enforcement and sanctions. Furthermore, because the interpretation and application of laws, standards, contractual obligations and other obligations relating to privacy, data protection, and information security are uncertain, these laws, standards, and contractual and other obligations may be interpreted and applied in a manner that is, or is alleged to be, inconsistent with our data management practices, our policies or procedures, or the features of our solutions. If so, in addition to the possibility of fines, lawsuits, and other claims, we could be required to fundamentally change our business activities and practices or modify our solutions, which could have an adverse effect on our business. We may be unable to make such changes and modifications in a commercially reasonable manner or at all, and our ability to fulfill existing obligations, make enhancements, or develop new solutions and features could be limited. Furthermore, the costs of compliance with, and other burdens imposed by, the laws, regulations, and policies that are applicable to the businesses of our customers may limit the use and adoption of, and reduce the overall demand for, our solutions.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These existing and proposed laws and regulations can be costly to comply with and can make our solutions and services less effective or valuable, delay or impede the development of new products, result in negative publicity, increase our operating costs, require us to modify our data handling practices, limit our operations, impose substantial fines and penalties, require significant management time and attention, or put our data or technology at risk. Any failure or perceived failure by us or our solutions to comply with U.S. or applicable foreign laws, regulations, directives, policies, industry standards, or legal obligations relating to privacy, data protection, or information security, or any security incident that results in loss of or the unauthorized access to, or acquisition, use, release, or transfer of, personal information, personal data, or other customer or sensitive data or information may result in governmental investigations, inquiries, enforcement actions and prosecutions, private claims and litigation, indemnification or other contractual obligations, other remedies, including fines or demands that we modify or cease existing business practices, or adverse publicity, and related costs and liabilities, which could significantly and adversely affect our business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substantial oversight from federal agencies that have the authority to suspend our ability to bid on contracts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U.S. federal government contractor, we are subject to oversight by many agencies and entities of the U.S. federal government that may investigate and make inquiries about our business practices and conduct audits of contract performance and cost accounting. Depending on the results of any such audits and investigations, the U.S. federal government may make claims against us. Under U.S. federal government procurement regulations and practices, an indictment of a U.S. federal government contractor could result in that contractor being fined and/or suspended for a period of time from eligibility for bidding on, or for the award of, new U.S. federal government contracts. A conviction could result in debarment for a specified period of time, and debarment could materially and negatively affect our business and operating results.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and subject us to liability if we are not in full compliance with applicable laws.</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Some of our solutions are subject to export and import controls, including, without limitation, the Department of State's Directorate of Defense Trade Controls, the Commerce Department's Export Administration Regulations, U.S. Customs regulations and various economic and trade sanctions regulations established by the Treasury Department's Office of Foreign Assets Control. If we fail to comply with these U.S. export control laws and import laws,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may be time-consuming, is not guaranteed and may result in the delay or loss of sales opportunities.</w:t>
      </w:r>
    </w:p>
    <w:p>
      <w:pPr>
        <w:spacing w:after="0" w:line="13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Furthermore, the U.S. export control laws and economic sanctions laws prohibit the shipment of certain products and services to U.S. embargoed or sanctioned countries, governments and persons. Even though we take precautions to prevent our solutions from being provisioned or provided to U.S. sanctions targets in violation of applicable regulations, our solutions could be provisioned to those targets despite such precautions. Any such sales could have negative consequences, including government investigations, penalties and reputational harm. Changes in our solutions or changes in export and import regulations may create delays in the introduction, sale and deployment of our solutions in international markets or prevent the export or import of our solutions to certain countries, governments or persons altogether. Any decreased use of our solutions or limitation on our ability to export or sell our solutions may adversely affect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Reporting and Common Stock</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and other expectations about our business and operating results, which may cause our stock price to decline.</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we release or confirm guidance in our quarterly earnings conference calls, quarterly earnings releases, or otherwise, regarding our future performance that represents our management's estimates as of the date of release. This guidance, which includes forward-looking statements, is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Our aim is to state possible outcomes as high and low ranges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Any failure to successfully implement our operating strategy or the occurrence of any of the events or circumstances beyond our control could result in the actual operating results being different from our guidance, and the differences may be adverse and material. In light of the foregoing, investors are urged not to rely upon our guidance when making an investment decision regarding our common stock.</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Furthermore, if we make downward revisions to our previously announced guidance, or if our publicly announced guidance of future operating results fails to meet the expectations of securities analysts, investors or other interested parties, the price of our common stock may decline.</w:t>
      </w:r>
    </w:p>
    <w:p>
      <w:pPr>
        <w:spacing w:after="0" w:line="10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fluctuate and may fall short of prior periods, our projections or the expectations of securities analysts or investors, which could adversely affect the trading price of our stock.</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operating and financial results have historically varied from quarter to quarter, and we expect that they may continue to do so in the future as a result of a number of factors, many of which are difficult to predict and outside of our control. Therefore, the results of any one quarter may not be a reliable indication of results to be expected for any other quarter or for any year. This variability and unpredictability could result in our failing to achieve our projected results or to meet the expectations of securities analysts or investors for any period. As a result, our stock price may decline, and the decrease in the stock price may be disproportionate to the shortfall in our financial performance.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U.S. federal government contracts involve work of a confidential nature, which may limit investor insight into portions of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historically had, and from time to time continue to have, contracts with or for the U.S. federal government that are subject to confidentiality and/or security restrictions (for example, and without limitation, contracts involving classified information and classified programs). We do not provide information about these contracts and programs, their risks or any disputes or claims relating to such contracts or programs. As a result, investors have less insight into our confidential business or our business overall. However, historically the business risks associated with our work on confidential or classified programs have not differed materially from those of our other government contracts.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implemented or that it will enhance long-term stockholder value.</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May 2022, our Board of Directors approved a share repurchase program ("SRP") for the repurchase of up to $50.0 million of our outstanding shares of our common stock. As of December 31, 2025, approximately $25.1 million remained available under the stock repurchase program. The repurchase program has no termination date and may be suspended for periods, amended or discontinued at any time. We are not obligated to repurchase a specified number or dollar value of shares. Share repurchases under the program will be made from time to time in private transactions or open market purchases, as permitted by securities laws and other legal requirements. There can be no guarantee about the timing of our share repurchases, or that the volume of such repurchases will increase. The stock repurchase program could affect the price of our common stock, increase volatility, diminish our cash reserves, and even if fully implemented may not enhance long-term stockholder value.</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our ability to produce timely and accurate financial statements or comply with applicable regulations could be impaired.</w:t>
      </w:r>
    </w:p>
    <w:p>
      <w:pPr>
        <w:spacing w:after="0" w:line="10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(“Sarbanes-Oxley Act”), the rules and regulations of Nasdaq, and other securities rules and regulations that impose various requirements on public companies.</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identify weaknesses or deficiencies that we may be unable to remedy before the requisite deadlines on those reports. Our ability to comply with the annual internal control reporting requirements will depend on the effectiveness of our financial reporting and data system and controls across the Company. We expect these systems and controls to involve greater expenditures and to become increasingly complex as our business grows. To effectively manage this complexity, we will need to continue to improve our operational, financial and management controls and our reporting systems and procedures.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judgments or estimates relating to our critical accounting policies are based on assumptions that change or prove to be incorrect, our results of operations could be adversely affected.</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management to make judgments, estimates, and assumptions that affect the amounts reported in the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and equity, and the amount of revenue and expenses that are not readily apparent from other sources.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Significant judgments, estimates, and assumptions used in preparing our consolidated financial statements include, or may in the future include, those related to revenue recognition, goodwill and other long-lived assets, and income taxes.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inflationary pressures and weakened global economic and political conditions may adversely affect our industry, business, operating results and financial condition.</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a variety of reasons, including geopolitical factors, the global economy in which we operate has faced, and may continue to face, heightened inflationary pressure, impacting the cost of doing business in both supply and labor markets. These inflationary pressures have been and could continue to be exacerbated by geopolitical turmoil and economic policy actions. With the U.S. federal government being our primary customer, we generate a substantial portion of our revenue through various fixed-price and multi-year government contracts. However, our approach to include modest price escalations in our bids for multi-year work may be insufficient to account and mitigate inflationary pressures, which may result in significant cost overruns on each contract.</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and geopolitical conditions. The United States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These economic conditions can arise suddenly and the full impact of such conditions can remain uncertain at any point in time.</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 heightened geopolitical risks, stemming from the Administration's foreign policy, Middle East instability, and the Ukraine-Russia war, can increase levels of political and economic unpredictability globally and increase the volatility of global financial markets. Moreover, these conditions can affect the rate of information technology spending and could adversely affect our customers' ability or willingness to purchase our solutions and services, delay prospective customers' purchasing decisions, reduce the value or duration of their subscription contracts, or affect attrition rates, all of which could adversely affect our future sales and operating results.</w:t>
      </w:r>
    </w:p>
    <w:p>
      <w:pPr>
        <w:spacing w:after="0" w:line="1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and the third-party systems upon which we and our customers rely are also vulnerable to damage or interruption from catastrophic occurrences or events outside our control.</w:t>
      </w:r>
    </w:p>
    <w:p>
      <w:pPr>
        <w:spacing w:after="0" w:line="1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systems and the third-party systems upon which we and our customers rely are also vulnerable to damage or interruption from catastrophic occurrences, telecommunication failures, cybersecurity threats, social unrest,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solutions,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be impacted by natural disasters, wars, terrorist attacks, power outages, public health crises (epidemics or pandemics), or other events outside our control. If major disasters such as earthquakes, floods, hurricanes, tornadoes, fires, or other events occur, or our information system or communications network breaks down, operates improperly, or is unusable, our headquarters and other facilities may be seriously damaged, or we may have to stop or delay production and delivery of our solutions and services.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Although we maintain crisis management and disaster response plans, such events could make it difficult or impossible for us to deliver our solutions and services to our customers, and could decrease demand for our offerings. We may incur shutdowns, delays, disruptions or expenses relating to such events outside of our control, which could have a material adverse impact on our business, operating results and financial condition. Moreover, any significant natural disaster, pandemic, or other catastrophic or force majeure events could affect our personnel, supply chain, or service providers' ability to provide materials and perform services on a timely basis.</w:t>
      </w:r>
    </w:p>
    <w:p>
      <w:pPr>
        <w:spacing w:after="0" w:line="1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Acts of terrorism and other geopolitical unrest could also potentially cause disruptions in our business or the business of our supply chain, services providers, or the economy as a whole. Because we do not carry insurance for all these possible losses, and significant recovery time could be required to resume operations, our financial condition and operating results could be materially adversely affected by such an event outside our control.</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their application to us could result in unfavorable accounting charges or effects, which could adversely affect our results of operations and growth prospects.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prepare consolidated financial statements in accordance with U.S. GAAP. In particular, we make certain estimates and assumptions related to the adoption and interpretation of these principles, including the recognition of our revenue and the accounting of our stock-based compensation expense with respect to our consolidated financial statements. If these assumptions turn out to be incorrect, our revenue or our stock-based compensation expense could materially differ from our expectations, which could have a material adverse effect on our financial results. A change in any of these principles or guidance, or in their interpretations or application to us, may have a significant impact on our reported results, as well as our processes and related controls, and may retroactively affect previously reported results or our forecasts, which may negatively impact our financial statements. For example, any recent new standards issued by the Financial Accounting Standards Board could materially impact our consolidated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adoption of these new standards may potentially require enhancements or changes in our processes or systems and may require significant time and cost on behalf of our financial management. This may, in turn, adversely affect our results of operations and growth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clim</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b w:val="1"/>
          <w:bCs w:val="1"/>
          <w:i w:val="1"/>
          <w:iCs w:val="1"/>
          <w:color w:val="auto"/>
        </w:rPr>
        <w:t>te-related risks could negatively affect our business.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are inherent climate-related risks wherever business is conducted. Any of our primary locations may be vulnerable to the adverse effects of climate change. Climate-related events, including the increasing frequency of extreme weather events and their impact on U.S. critical infrastructure, have the potential to disrupt our business and the businesses of our suppliers, customers, and partners, and may cause us to experience additional costs to maintain or resume operations. In addition, current and emerging legal and regulatory requirements with respect to climate change may result in increased compliance requirements on our business, which could increase our capital expenditures, reduce our margins and adversely affect our financial position. Further, our reputation and client relationships may be damaged as a result of our practices related to climate change, including our involvement, or our clients' involvement, in certain industries or projects associated with causing or exacerbating climate change, as well as any decisions we make to continue to conduct or change our activities in response to considerations relating to climate change.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1B. Unresolved Staff Comments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1C. Cybersecurity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processes to assess, identify, and manage material cybersecurity risks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developed an ISO/IEC 27001-certified Information Security Management System (“ISMS”) designed to enhance our corporate security measures, identify and mitigate information security risks, and protect and preserve the confidentiality, integrity, and continued availability of all information owned by the Company and that of its customers and suppliers in our control. Our ISO certification can be verified on the BSI Group website using certificate number IS 649202.</w:t>
      </w:r>
    </w:p>
    <w:p>
      <w:pPr>
        <w:spacing w:after="0" w:line="12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ISMS includes developing, implementing, and continually improving policies and procedures designed to safeguard information and ensure the availability of critical data and systems. These policies cover areas such as requiring secure coding practices and a secure development lifecycle process, monthly information security awareness training for all employees and enhanced training for specialized personnel, review and assessment by external, independent third parties, who certify and report on our weaknesses and internal response preparedness for the entire Company, and the performance of routine and risk-based vulnerability scanning of our network infrastructure as well as annual third-party penetration testing.</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cybersecurity risk assessment, identification, and management process consists of a dedicated Governance Risk and Compliance ("GRC") team, within our Information Security organization, that implements a repeatable, ISO/IEC 27001-compliant methodology to asses and track cybersecurity risk. This team, reporting to and working with the Chief Information Security Officer ("CISO"), identifies, tracks, and updates cybersecurity risks that threaten the Company directly and through third parties. The GRC team collaborates closely with risk owners throughout the Company, vendors, and suppliers, working with them in an effort to ensure their risks are identified, documented, and mitigated in a timely fashion.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to our active ISO/IEC 27001 certification, the Company assesses itself against the National Institute of Standards and Technology Special Publication 800-171 as required by the Defense Federal Acquisition Regulation Supplement. The Company has also achieved Cybersecurity Maturity Model Certification Level 2 ("CMMC L2"), reflecting an independent assessment against applicable DoW cybersecurity requirements. In accordance with our ISMS, we also actively monitor known threats that could affect our products and services and work with our suppliers to provide us with real-time reports of threats or vulnerabilities that may affect our enterprise-wide systems. Our program also includes a cyber incident response plan that provides controls and procedures for timely and accurate reporting of any material cybersecurity incident, as well as a business continuity plan that is designed to provide a clear framework for how the Company can continue in the event of any significant disruption in an effort to ensure that we can offer the same level of security, support, and excellence to all our customers. In the normal course, our Security and GRC teams engage assessors, consultants, and other third parties to assist in various cyber-related matters. For example, to maintain our ISO certification, the Company utilizes an external third party to conduct yearly audits of its ISMS. Our Information Security organization also leverages third-party advisors, as appropriate, for various tasks, such as conducting annual third-party penetration testing.</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We conduct an enterprise risk assessment that includes an assessment of cybersecurity risk in context with other enterprise-level risks. Furthermore, our CISO and our General Counsel regularly discuss cybersecurity risk mitigation. We carry errors and omissions insurance that provides some protection against the potential losses arising from a cybersecurity incident. For additional information regarding potential cybersecurity risks, see relevant business and operational risks under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of this Annual Report on Form 10-K.</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2025, we did not experience a material information security breach incident or any penalties or settlements related to the same, and the expenses we have incurred from information security breach incidents were immaterial.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and expertise in assessing and managing material cybersecurity risks</w:t>
      </w:r>
    </w:p>
    <w:p>
      <w:pPr>
        <w:spacing w:after="0" w:line="21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Information Security team, led by our CISO, is responsible for assessing and managing material cybersecurity risks. Certifications held by the Information Security team include CompTIA A+, Network+, Security+, CyberSecurity Analyst+ ("CYSA+"), Pentest+, Advanced Security Practitioner ("CASP"), EC-Council Certified Ethical Hacker ("CEH"), Certified Security Analyst ("ECSA"), Computer Hacking Forensic Investigator ("CHFI"), Associate Chief Information Security Officer ("ACCISO"), CMMC-AB Registered Practitioner ("RP"), ISC2 Certified Information Systems Security Professional ("CISSP"), Systems Security Certified Practitioner ("SSCP"), ISACA Certified Information Security Manager ("CISM"), PCAP – Certified Associate Python Programmer, &amp; eLearnSecurity Junior Penetration Tester ("eJPT"). Our CISO’s background includes over 19 years of experience in IT and Information Security. His formal education includes a Master’s degree in Cybersecurity and Information Assurance and a Bachelor’s degree in Computer Forensics. Certifications held by the CISO include CompTIA A+, Network+, &amp; Security+, Microsoft Technology Associate ("MTA"), CMMC-AB RP, ISO 27001 Certified Lead Implementer Professional, EC-Council CEH &amp; CHFI, ISACA Certified Data Privacy Solutions Engineer ("CDPSE") &amp; Certified Information Security Manager ("CISM"), ISC2 CISSP, and Offensive Security Certified Professional ("OSCP"). Our CISO reports to our Chief Information Technology Officer ("CITO"), who in turn reports to our Chief Executive Officer ("CEO"). Each of our CITO and our CEO have extensive experience in cybersecurity matters.</w:t>
      </w:r>
    </w:p>
    <w:p>
      <w:pPr>
        <w:spacing w:after="0" w:line="13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CISO provides reports to the Audit Committee of our Board of Directors on a standing basis at each Audit Committee meeting, and as otherwise requested by the Chair of the Audit Committee or as determined necessary by the CISO or other members of senior management. The CISO is personally involved in, and responsible for, the risk assessment, identification and management process described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 of cybersecurity risks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Board of Directors has oversight responsibility with respect to risk management and reviews matters with management as part of management’s regular Board reporting. The Board of Directors has delegated responsibility for information security and cybersecurity risk oversight to the Audit Committee. In accordance with its charter, the Audit Committee discharges these responsibilities through various processes, including the option to use third-party advisers as and when it deems appropriate, and discusses with management the Company’s major policies with respect to risk assessment and risk management. The Audit Committee regularly reports the results of these discussions to the Board of Directors. As noted above, the CISO reports to the Audit Committee at each regular Audit Committee meeting on the status of cybersecurity risk assessment, identification and management, as well as reporting information security incidents as they occur, if material, and providing periodic briefings about our information security program, our internal response preparedness, and assessments led by outside advisors. The Chair of the Audit Committee, in turn, reports on these topics to the Board of Directors as and when deemed necessary and/or material. Overall, our Board contains two directors with work experience related to cybersecurity issues or oversight.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Properties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lease approximately 191,700 square feet of space for our corporate headquarters, integration facility, and primary service depot in Ashburn, Virginia.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expires in May 2029.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leased additional office space in facilities located in Maryland, Florida and Nevada under various leases expiring through July 2027.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current space is substantially adequate to meet our operating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Legal Proceedings</w:t>
      </w:r>
    </w:p>
    <w:p>
      <w:pPr>
        <w:spacing w:after="0" w:line="1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Information regarding legal proceedings may be found in </w:t>
      </w:r>
      <w:r>
        <w:rPr>
          <w:rFonts w:ascii="Times New Roman" w:cs="Times New Roman" w:eastAsia="Times New Roman" w:hAnsi="Times New Roman"/>
          <w:sz w:val="18"/>
          <w:szCs w:val="18"/>
          <w:u w:val="single" w:color="auto"/>
          <w:color w:val="0000FF"/>
        </w:rPr>
        <w:t>Note 18 – Commitments, Contingencies and Subsequent Events</w:t>
      </w:r>
      <w:r>
        <w:rPr>
          <w:rFonts w:ascii="Times New Roman" w:cs="Times New Roman" w:eastAsia="Times New Roman" w:hAnsi="Times New Roman"/>
          <w:sz w:val="18"/>
          <w:szCs w:val="18"/>
          <w:color w:val="auto"/>
        </w:rPr>
        <w:t xml:space="preserve"> to the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9"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6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"TLS."</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9, 2026, there were approximately 154 holders of record of Telos common stock, $0.001 par value. The number of shareholders of record of our common stock may not be representative of the number of beneficial owners due to shares that may be held by depositories, brokers or nominees.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securities authorized for issuance under our stock-based compensation plan, see </w:t>
      </w:r>
      <w:r>
        <w:rPr>
          <w:rFonts w:ascii="Times New Roman" w:cs="Times New Roman" w:eastAsia="Times New Roman" w:hAnsi="Times New Roman"/>
          <w:sz w:val="18"/>
          <w:szCs w:val="18"/>
          <w:u w:val="single" w:color="auto"/>
          <w:color w:val="0000FF"/>
        </w:rPr>
        <w:t>Note 11 – Stock-Based Compensation</w:t>
      </w:r>
      <w:r>
        <w:rPr>
          <w:rFonts w:ascii="Times New Roman" w:cs="Times New Roman" w:eastAsia="Times New Roman" w:hAnsi="Times New Roman"/>
          <w:sz w:val="18"/>
          <w:szCs w:val="18"/>
          <w:color w:val="auto"/>
        </w:rPr>
        <w:t xml:space="preserve"> to the Consolidated Financial Statements contained in Item 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of Equity Securities and Use of Proceeds</w:t>
      </w:r>
    </w:p>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December 31, 2025, that were not registered under the Securities Act and were not previously disclosed on a Quarterly Report on Form 10-Q or a Current Report on Form 8-K.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w:t>
      </w:r>
    </w:p>
    <w:p>
      <w:pPr>
        <w:spacing w:after="0" w:line="18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May 24, 2022, the Board of Directors authorized a Share Repurchase Program ("SRP"), pursuant to which the Company can repurchase up to $50.0 million of issued and outstanding common stock. The shares may be repurchased on a discretionary basis from time to time through open market purchases. The repurchase program has no expiration date and may be modified, suspended, or terminated at any time.</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Common Stock Purchase Activity During the Three Months Ended December 31,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6"/>
                <w:szCs w:val="16"/>
                <w:color w:val="auto"/>
              </w:rPr>
              <w:t>Total Number of Shares</w:t>
            </w:r>
          </w:p>
        </w:tc>
        <w:tc>
          <w:tcPr>
            <w:tcW w:w="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Maximum Dollar Value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Total Number of Shares</w:t>
            </w: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Average Price Paid per</w:t>
            </w:r>
          </w:p>
        </w:tc>
        <w:tc>
          <w:tcPr>
            <w:tcW w:w="16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Purchased as Part of</w:t>
            </w:r>
          </w:p>
        </w:tc>
        <w:tc>
          <w:tcPr>
            <w:tcW w:w="80" w:type="dxa"/>
            <w:vAlign w:val="bottom"/>
          </w:tcPr>
          <w:p>
            <w:pPr>
              <w:spacing w:after="0"/>
              <w:rPr>
                <w:sz w:val="14"/>
                <w:szCs w:val="14"/>
                <w:color w:val="auto"/>
              </w:rPr>
            </w:pPr>
          </w:p>
        </w:tc>
        <w:tc>
          <w:tcPr>
            <w:tcW w:w="1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of Shares that May Yet</w:t>
            </w:r>
          </w:p>
        </w:tc>
        <w:tc>
          <w:tcPr>
            <w:tcW w:w="0" w:type="dxa"/>
            <w:vAlign w:val="bottom"/>
          </w:tcPr>
          <w:p>
            <w:pPr>
              <w:spacing w:after="0"/>
              <w:rPr>
                <w:sz w:val="1"/>
                <w:szCs w:val="1"/>
                <w:color w:val="auto"/>
              </w:rPr>
            </w:pPr>
          </w:p>
        </w:tc>
      </w:tr>
      <w:tr>
        <w:trPr>
          <w:trHeight w:val="162"/>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740" w:type="dxa"/>
            <w:vAlign w:val="bottom"/>
            <w:gridSpan w:val="2"/>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Publicly Announced</w:t>
            </w:r>
          </w:p>
        </w:tc>
        <w:tc>
          <w:tcPr>
            <w:tcW w:w="80" w:type="dxa"/>
            <w:vAlign w:val="bottom"/>
          </w:tcPr>
          <w:p>
            <w:pPr>
              <w:spacing w:after="0"/>
              <w:rPr>
                <w:sz w:val="14"/>
                <w:szCs w:val="14"/>
                <w:color w:val="auto"/>
              </w:rPr>
            </w:pPr>
          </w:p>
        </w:tc>
        <w:tc>
          <w:tcPr>
            <w:tcW w:w="1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Be Purchased Under the</w:t>
            </w:r>
          </w:p>
        </w:tc>
        <w:tc>
          <w:tcPr>
            <w:tcW w:w="0" w:type="dxa"/>
            <w:vAlign w:val="bottom"/>
          </w:tcPr>
          <w:p>
            <w:pPr>
              <w:spacing w:after="0"/>
              <w:rPr>
                <w:sz w:val="1"/>
                <w:szCs w:val="1"/>
                <w:color w:val="auto"/>
              </w:rPr>
            </w:pPr>
          </w:p>
        </w:tc>
      </w:tr>
      <w:tr>
        <w:trPr>
          <w:trHeight w:val="216"/>
        </w:trPr>
        <w:tc>
          <w:tcPr>
            <w:tcW w:w="4320" w:type="dxa"/>
            <w:vAlign w:val="bottom"/>
            <w:gridSpan w:val="2"/>
            <w:vMerge w:val="continue"/>
          </w:tcPr>
          <w:p>
            <w:pPr>
              <w:spacing w:after="0"/>
              <w:rPr>
                <w:sz w:val="18"/>
                <w:szCs w:val="18"/>
                <w:color w:val="auto"/>
              </w:rPr>
            </w:pPr>
          </w:p>
        </w:tc>
        <w:tc>
          <w:tcPr>
            <w:tcW w:w="17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Purchased </w:t>
            </w:r>
            <w:r>
              <w:rPr>
                <w:rFonts w:ascii="Times New Roman" w:cs="Times New Roman" w:eastAsia="Times New Roman" w:hAnsi="Times New Roman"/>
                <w:sz w:val="21"/>
                <w:szCs w:val="21"/>
                <w:color w:val="auto"/>
                <w:vertAlign w:val="superscript"/>
              </w:rPr>
              <w:t>(1)</w:t>
            </w:r>
          </w:p>
        </w:tc>
        <w:tc>
          <w:tcPr>
            <w:tcW w:w="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Share </w:t>
            </w:r>
            <w:r>
              <w:rPr>
                <w:rFonts w:ascii="Times New Roman" w:cs="Times New Roman" w:eastAsia="Times New Roman" w:hAnsi="Times New Roman"/>
                <w:sz w:val="21"/>
                <w:szCs w:val="21"/>
                <w:color w:val="auto"/>
                <w:vertAlign w:val="superscript"/>
              </w:rPr>
              <w:t>(1)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Repurchase Plans </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8"/>
                <w:szCs w:val="18"/>
                <w:color w:val="auto"/>
              </w:rPr>
            </w:pPr>
          </w:p>
        </w:tc>
        <w:tc>
          <w:tcPr>
            <w:tcW w:w="7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Plans </w:t>
            </w:r>
            <w:r>
              <w:rPr>
                <w:rFonts w:ascii="Times New Roman" w:cs="Times New Roman" w:eastAsia="Times New Roman" w:hAnsi="Times New Roman"/>
                <w:sz w:val="21"/>
                <w:szCs w:val="21"/>
                <w:color w:val="auto"/>
                <w:vertAlign w:val="superscript"/>
              </w:rPr>
              <w:t>(1)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2025 - October 31, 2025</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31,076,558</w:t>
            </w:r>
          </w:p>
        </w:tc>
        <w:tc>
          <w:tcPr>
            <w:tcW w:w="0" w:type="dxa"/>
            <w:vAlign w:val="bottom"/>
          </w:tcPr>
          <w:p>
            <w:pPr>
              <w:spacing w:after="0"/>
              <w:rPr>
                <w:sz w:val="1"/>
                <w:szCs w:val="1"/>
                <w:color w:val="auto"/>
              </w:rPr>
            </w:pPr>
          </w:p>
        </w:tc>
      </w:tr>
      <w:tr>
        <w:trPr>
          <w:trHeight w:val="21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2025 - November 30, 2025</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658,796</w:t>
            </w:r>
          </w:p>
        </w:tc>
        <w:tc>
          <w:tcPr>
            <w:tcW w:w="8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658,796</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27,245,870</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2025 - December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377,261</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377,261</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25,088,723</w:t>
            </w:r>
          </w:p>
        </w:tc>
        <w:tc>
          <w:tcPr>
            <w:tcW w:w="0" w:type="dxa"/>
            <w:vAlign w:val="bottom"/>
          </w:tcPr>
          <w:p>
            <w:pPr>
              <w:spacing w:after="0"/>
              <w:rPr>
                <w:sz w:val="1"/>
                <w:szCs w:val="1"/>
                <w:color w:val="auto"/>
              </w:rPr>
            </w:pPr>
          </w:p>
        </w:tc>
      </w:tr>
      <w:tr>
        <w:trPr>
          <w:trHeight w:val="212"/>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1,036,057</w:t>
            </w:r>
          </w:p>
        </w:tc>
        <w:tc>
          <w:tcPr>
            <w:tcW w:w="8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1,036,057</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fourth quarter of 2025, the Company repurchased 1,036,057 shares of common stock under the program for an aggregate price of $6.0 million on the open 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[Reserved]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Management's Discussion and Analysis of Financial Condition and Results of Operations</w:t>
      </w:r>
    </w:p>
    <w:p>
      <w:pPr>
        <w:spacing w:after="0" w:line="1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financial condition and results of operations should be read in conjunction with our consolidated financial statements and the related notes to consolidated financial statements included in Part II, Item 8 of this Annual Report on Form 10-K ("10-K"). In addition to historical financial information, the following discussion and analysis contain forward-looking statements that involve risks, uncertainties and assumptions. Our actual results and timing of selected events in future periods may differ materially from those anticipated or implied in these forward-looking statements as a result of many factors, including those discussed under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and elsewhere in this 10-K. See also "</w:t>
      </w:r>
      <w:r>
        <w:rPr>
          <w:rFonts w:ascii="Times New Roman" w:cs="Times New Roman" w:eastAsia="Times New Roman" w:hAnsi="Times New Roman"/>
          <w:sz w:val="18"/>
          <w:szCs w:val="18"/>
          <w:u w:val="single" w:color="auto"/>
          <w:color w:val="0000FF"/>
        </w:rPr>
        <w:t>Special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Regarding Forward-Looking Statements</w:t>
      </w:r>
      <w:r>
        <w:rPr>
          <w:rFonts w:ascii="Times New Roman" w:cs="Times New Roman" w:eastAsia="Times New Roman" w:hAnsi="Times New Roman"/>
          <w:sz w:val="18"/>
          <w:szCs w:val="18"/>
          <w:color w:val="000000"/>
        </w:rPr>
        <w:t>" at the beginning of this 10-K.</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section, we discuss our financial condition, changes in financial condition and results of operations for the year ended December 31, 2025, compared to the year ended December 31,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For an overview of our business, including our business segments and a discussion of the services and products we provide, see </w:t>
      </w:r>
      <w:r>
        <w:rPr>
          <w:rFonts w:ascii="Times New Roman" w:cs="Times New Roman" w:eastAsia="Times New Roman" w:hAnsi="Times New Roman"/>
          <w:sz w:val="18"/>
          <w:szCs w:val="18"/>
          <w:u w:val="single" w:color="auto"/>
          <w:color w:val="0000FF"/>
        </w:rPr>
        <w:t>Item 1, "Business</w:t>
      </w:r>
      <w:r>
        <w:rPr>
          <w:rFonts w:ascii="Times New Roman" w:cs="Times New Roman" w:eastAsia="Times New Roman" w:hAnsi="Times New Roman"/>
          <w:sz w:val="18"/>
          <w:szCs w:val="18"/>
          <w:color w:val="auto"/>
        </w:rPr>
        <w:t xml:space="preserve">" in Part I and </w:t>
      </w:r>
      <w:r>
        <w:rPr>
          <w:rFonts w:ascii="Times New Roman" w:cs="Times New Roman" w:eastAsia="Times New Roman" w:hAnsi="Times New Roman"/>
          <w:sz w:val="18"/>
          <w:szCs w:val="18"/>
          <w:u w:val="single" w:color="auto"/>
          <w:color w:val="0000FF"/>
        </w:rPr>
        <w:t>Note 16 – Segment Information</w:t>
      </w:r>
      <w:r>
        <w:rPr>
          <w:rFonts w:ascii="Times New Roman" w:cs="Times New Roman" w:eastAsia="Times New Roman" w:hAnsi="Times New Roman"/>
          <w:sz w:val="18"/>
          <w:szCs w:val="18"/>
          <w:color w:val="auto"/>
        </w:rPr>
        <w:t xml:space="preserve"> of the notes to the consolidated financial statements contained within this 10-K.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discussed under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we derive a substantial portion of our revenues from contracts and subcontracts with the U.S. federal government. Our revenues are generated from a number of contract vehicle and task orders. The U.S. federal government has increasingly relied on contracts that are subject to a competitive bidding process (including BPA and IDIQ Task Orders, OTAs, and other GSA schedule solicitations), resulting in greater competition and increased pricing pressure. We expect that a majority of the business that we seek in the foreseeable future will be awarded through a competitive bidding process.</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Over the past several years we have sought to diversify and improve our operating margins through the evolution of our business from an emphasis on product reselling to an advanced solutions technologies provider. Although we continue to offer resold products through our contract vehicles or our prime partners' contracts, we have focused on the transformation and growth of our software and service solutions offerings, as well as the design and delivery of our manufactured and branded technologies. We emphasize leveraging technology and innovation, specifically in cybersecurity, cloud, and identity solutions, to drive growth and ensure a secure and defendable network. We continue to invest in and develop in AI integration, enhancing automation and improving existing solutions to maintain a competitive edge.</w:t>
      </w:r>
    </w:p>
    <w:p>
      <w:pPr>
        <w:spacing w:after="0" w:line="1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believe our contract portfolio reflects low to moderate financial risk due to the limited number of long-term fixed-price development contracts, thus minimizing the risk of cost overruns. Our firm-fixed-price activities consist primarily of contracts for products and services at established contract prices that are designed to be repeatable solution offerings. For 2025 and 2024, the Company's revenue derived from firm-fixed-price contracts was 73.3% and 75.3%, respectively; time-and-material contract revenue was 21.8% and 14.6%, respectively; and cost-plus contract revenue was 4.9% and 10.1%,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Environment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Government Budget</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fiscal year ("FY") 2025, we generated approximately 91.0% of our revenues from the U.S. federal government, either as prime contractor or a subcontractor to other contractors engaged in work for the U.S. federal government, including 58.1% of our revenue from the DoW. Accordingly, our business performance is affected by the overall level of U.S. federal government spending and the alignment of our offerings and capabilities with current and future budget priorities of the U.S. federal government.</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we view the budget environment as constructive and believe there is bipartisan support for continued investment in the areas of defense and national security, it is uncertain when (and if) in any particular government fiscal year appropriations bills will be passed. During those periods of time when appropriations bills have not been passed and signed into law, U.S. federal government agencies operate under a continuing resolution ("CR"), a temporary measure that allows the government to continue operations at prior year funding levels.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FY2025 U.S. federal government appropriations, which ran through September 30, 2025, were determined by a full-year CR. While the Administration has submitted its FY2026 budget proposal outlining its priorities, partisan disagreements over federal spending levels, among other things, have stalled progress on the required appropriations bills. Recently, on February 3, 2026, Congress passed another full-year CR for FY2026 to end the partial government shutdown. This enacted bill provides full-year funding for several programs, including defense and national security, through September 30, 2026; and also extended homeland security funding through February 13, 2026. A partial government shutdown began on February 14, 2026 after the lawmakers and the White House failed to reach a deal on legislation to fund DHS through September 2026. The impasse affects agencies such as the Transportation Security Administration, the Federal Emergency Management Agency, U.S. Coast Guard, the Secret Service, U.S. Immigration and Custom Enforcement, and U.S. Customs and Border Protection.</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Congress approved a FY2026 Defense Appropriations Bill that provides $838.7 billion in discretionary funding, including $838.5 billion in defense funding and $180 million in nondefense funding. This funding prioritizes restoring military strength, accelerating modernization, and supporting personnel through pay raises. This bill moves in parallel with the National Defense Authorization Act ("NDAA"), signed in December 2025, which authorizes up to approximately $900.6 billion for national defense.</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federal government's cybersecurity and IT spending priorities for fiscal years 2025 and 2026 present both significant opportunities and notable risks for our suite of security solutions. The FY2026 NDAA authorizes approximately $15.1 billion for DoW cyber activities, representing a 4.1% increase. The FY2026 NDAA emphasizes securing the defense industrial base, accelerating artificial intelligence ("AI") integration, and harmonizing cybersecurity requirements. This increase directly aligns with our core offerings in cyber risk management (e.g., Xacta).</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Further, the FY2026 budget for AI reflects a massive strategic shift toward implementation and national dominance, particularly within the defense sector. FY26 is viewed as the year federal agencies move from experimenting with AI to adopting "agentic" AI. The FY26 budget request included a record-breaking $13.4 billion for AI and autonomy initiatives within the DoW, the largest single-year investment in the agency's history. Consistent with these initiatives, in October 2025, we launched Xacta.ai, which we believe will reduce cyber compliance timelines through AI-driven automation.</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federal government cybersecurity and AI-related initiatives continue to evolve and may be influenced by changes in Administration policy, legislative action and regulatory developments. These changes may affect funding allocations, procurement strategies and compliance expectations. While management continues to monitor the federal government's initiatives and seeks to align the Company's capabilities accordingly, there can be no assurance that the future government priorities will not impose new compliance obligations, or technological advancements that will require for additional investment or affect the Company's ability to compete for or perform under government contracts.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Economic and Regulatory Policies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Aside from the uncertainty in the budgetary environment, the Administration put in place a number of Executive Orders and actions that have affected, and could continue to affect, many businesses. The Administration continuously evaluates federal agencies and existing government contracts, grants, and programs for affordability, efficiency, and alignment with U.S. federal government priorities. Further, the Administration continues ever-changing actions that increase, invoke new and/or rescind tariffs on various goods imported from various countries. Changes in international trade policies, including higher tariffs on imported goods and materials, may increase the procurement costs of certain IT hardware we use internally, on our contracts, or sell to our customers.</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ongoing and potential future reforms to the U.S. federal government processes, including changes to procurement rules and regulations, could transform how contracts are awarded, negotiated, and managed. These initiatives could further delay contract awards and/or result in modifications to the scope or terms of contracts we hold. At the same time, the Administration's focus on efficiency, transparency, consolidation, and accountability could lead to certain traditionally government functions being transferred to private entities. This potential transition of services to the private sector could benefit Telos, given our wide array of capabilities and advanced solutions.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includes significant changes to the Internal Revenue Code, with various provisions changing the U.S. federal income tax regulations and modifications to the Inflation Reduction Act of 2022. Further, the OBBBA significantly impacts the defense sector through substantial funding allocations and strategic investments, including specific investments in areas like AI, and provides the DoW with extended time, until 2029, to make strategic investments in the defense industrial base. Increased funding and improved tax treatment for research and development could boost targeted defense investments, scale commercial technologies for military use, and support related programs.</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continue to monitor and assess the risks and opportunities presented to us, in light of ongoing political tensions and heightened global instability that we expect to persist in the near term. Initiatives to reduce governmental spending, federal budget and debt ceiling action, and U.S. federal government policy positions, including trade policy, tax reform and/or changes to the U.S. federal government priorities, could materially impact federal spending broadly.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Measures</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primary financial performance measures we use to manage our business and monitor results of operations are revenue, gross profit, cash flow, and Adjusted EBITDA (a non-GAAP financial measure). We evaluate our results of operations by considering the drivers causing changes in these measures. We evaluate significant trends and fluctuations in our contract portfolio over time due to contract awards and completions, changes in customer requirements and changes in the volume of product and software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1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Backlog is also a useful measure in developing our annual budgeted revenue by estimating for the upcoming year our continuing business from existing customers and active contracts. We consider backlog, both funded and unfunded (as explained below), other expected annual renewals, and expansion planned by our current customers.</w:t>
      </w:r>
    </w:p>
    <w:p>
      <w:pPr>
        <w:spacing w:after="0" w:line="122"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federal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w:t>
      </w:r>
    </w:p>
    <w:p>
      <w:pPr>
        <w:spacing w:after="0" w:line="1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historical experience, we generally assume option year renewals to be exercised. Most of our customers fund contracts on the basis of one year or less, and, as a result, funded backlog is generally expected to be earned within one year from any point in time, whereas unfunded backlog is expected to be earned over a longer period.</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1: Backlog by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Security Solutions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66,480</w:t>
            </w:r>
          </w:p>
        </w:tc>
        <w:tc>
          <w:tcPr>
            <w:tcW w:w="8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55,739</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21,373</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Security Solutions backlog</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122,219</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65,593</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Secured Networks</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6,977</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w:t>
            </w: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Secure Networks backlog</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10,896</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Funded</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51,197</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57,276</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25,292</w:t>
            </w:r>
          </w:p>
        </w:tc>
      </w:tr>
      <w:tr>
        <w:trPr>
          <w:trHeight w:val="212"/>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backlog</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126,073</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76,489</w:t>
            </w:r>
          </w:p>
        </w:tc>
      </w:tr>
      <w:tr>
        <w:trPr>
          <w:trHeight w:val="20"/>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Increases in backlog is a result of the award of new contracts and the renewal or extension of existing contracts. Reductions in backlog arise from the completion, modification, de-obligation, or the early termination of contracts. See the relevant industry, legal and regulatory risks under </w:t>
      </w:r>
      <w:r>
        <w:rPr>
          <w:rFonts w:ascii="Times New Roman" w:cs="Times New Roman" w:eastAsia="Times New Roman" w:hAnsi="Times New Roman"/>
          <w:sz w:val="18"/>
          <w:szCs w:val="18"/>
          <w:u w:val="single" w:color="auto"/>
          <w:color w:val="0000FF"/>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10-K. We believe that comparisons of backlog period-to-period are difficult. We also believe that it is difficult to predict future revenue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solely based on analysis of backlog. The actual timing of revenue from projects included in backlog will vary.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Highlights</w:t>
      </w:r>
    </w:p>
    <w:p>
      <w:pPr>
        <w:spacing w:after="0" w:line="1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Several key highlights of our financial performance in fiscal year 2025 are described below. More details are presented in our "Results of Operations" section below.</w:t>
      </w:r>
    </w:p>
    <w:p>
      <w:pPr>
        <w:spacing w:after="0" w:line="10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Revenue increased 52.2% year-over-year due to 94.9% growth in Security Solutions, primarily due to the expansion of large programs in Telos ID.</w:t>
      </w:r>
    </w:p>
    <w:p>
      <w:pPr>
        <w:spacing w:after="0" w:line="171"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expanded 523 basis points year-over-year.</w:t>
      </w:r>
    </w:p>
    <w:p>
      <w:pPr>
        <w:spacing w:after="0" w:line="171"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increased by $10.6 million, or 11.7%, year-over-year due to an $8.9 million increase in stock-based compensation, an $8.5 million increase in impairment loss and a $0.1 million increase in restructuring expenses. These increases were partially offset by a decrease of $6.9 million, or 11.1%, of the remaining operating expenses due to the restructuring efforts undertaken in the third quarter of 2024 and ongoing disciplined cost management.</w:t>
      </w:r>
    </w:p>
    <w:p>
      <w:pPr>
        <w:spacing w:after="0" w:line="12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improved by $56.1 million year-over-year from a $25.9 million outflow to a $30.2 million inflow, or 18.3% of revenue due to improved revenue and profitability, as well as improved working capital management.</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deployed $13.6 million to repurchase approximately 3.1 million shares of our common stock at an average share price of $4.38 per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2: Consolidated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6"/>
          </w:tcPr>
          <w:p>
            <w:pPr>
              <w:jc w:val="center"/>
              <w:ind w:left="7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20" w:type="dxa"/>
            <w:vAlign w:val="bottom"/>
            <w:tcBorders>
              <w:top w:val="single" w:sz="8" w:color="auto"/>
              <w:bottom w:val="single" w:sz="8" w:color="auto"/>
            </w:tcBorders>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Dollar Change</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164,805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108,272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56,533</w:t>
            </w:r>
          </w:p>
        </w:tc>
      </w:tr>
      <w:tr>
        <w:trPr>
          <w:trHeight w:val="21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103,788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73,843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29,945</w:t>
            </w:r>
          </w:p>
        </w:tc>
      </w:tr>
      <w:tr>
        <w:trPr>
          <w:trHeight w:val="21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61,017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26,588</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37.0 %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100,898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90,302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10,596</w:t>
            </w:r>
          </w:p>
        </w:tc>
      </w:tr>
      <w:tr>
        <w:trPr>
          <w:trHeight w:val="214"/>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expenses as percentage of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61.2 %</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83.4 %</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(39,881)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(55,873)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15,992</w:t>
            </w:r>
          </w:p>
        </w:tc>
      </w:tr>
      <w:tr>
        <w:trPr>
          <w:trHeight w:val="213"/>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(37,209)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(52,494)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15,285</w:t>
            </w:r>
          </w:p>
        </w:tc>
      </w:tr>
      <w:tr>
        <w:trPr>
          <w:trHeight w:val="216"/>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(36,546)</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(52,520)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15,974</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business segments have different factors driving revenue fluctuations and profitability. A discussion of the changes in our net revenue and profitability is covered in greater detail under the section that follows: "Segment Results." We generate revenue from the delivery of products and services to our customers. Cost of sales, for both products and services, consists of labor, materials, subcontracting costs and an allocation of indirect costs.</w:t>
      </w:r>
    </w:p>
    <w:p>
      <w:pPr>
        <w:spacing w:after="0" w:line="12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increased by $10.6 million or 11.7% in 2025, compared to 2024. A goodwill impairment of $14.9 million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recorded in the fourth quarter of 2025 associated with our Secure Networks reporting unit (see </w:t>
      </w:r>
      <w:r>
        <w:rPr>
          <w:rFonts w:ascii="Times New Roman" w:cs="Times New Roman" w:eastAsia="Times New Roman" w:hAnsi="Times New Roman"/>
          <w:sz w:val="18"/>
          <w:szCs w:val="18"/>
          <w:u w:val="single" w:color="auto"/>
          <w:color w:val="0000FF"/>
        </w:rPr>
        <w:t>Note 6 - Goodwill</w:t>
      </w:r>
      <w:r>
        <w:rPr>
          <w:rFonts w:ascii="Times New Roman" w:cs="Times New Roman" w:eastAsia="Times New Roman" w:hAnsi="Times New Roman"/>
          <w:sz w:val="18"/>
          <w:szCs w:val="18"/>
          <w:color w:val="auto"/>
        </w:rPr>
        <w:t xml:space="preserve"> for more information), whereas an impairment loss on intangible assets of $6.4 million was recorded in 2024.</w:t>
      </w:r>
    </w:p>
    <w:p>
      <w:pPr>
        <w:spacing w:after="0" w:line="10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Research and development ("R&amp;D") expenses decreased by $1.4 million, or 16.4% in 2025, compared to 2024. This was due to a $2.2 million reduction in amortization costs from the discontinued development of selected solutions or parts of solutions associated with the restructuring plan in 2024. This reduction was partially offset by an increase of $1.4 million in stock-based compensation. R&amp;D restructuring expenses were approximately flat year-over-year. The remaining R&amp;D expenses decreased by $0.6 million due to the restructuring effort in 2024 and ongoing disciplined cost management</w:t>
      </w:r>
    </w:p>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$3.4 million, or 4.6%, in 2025, compared to 2024, due to a $7.6 million increase in stock-based compensation costs and $0.1 million increase in restructuring expenses. SG&amp;A depreciation and amortization expenses were approximately flat year-over-year. These increases were partially offset by a $4.2 million reduction in the remaining SG&amp;A expenses due to the 2024 restructuring effort and ongoing disciplined cost management.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Other income decreased by 19.8% in 2025, compared to 2024, primarily due to the change in dividend income from money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placements, partially offset by the gain on fair value adjustment of an investment and the one-time tax refund recorded in the fourth quarter of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accounting policies of each business segment are the same as those followed by the Company as a whole. Management evaluates business segment performance based on gross profit.</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3: Security Solutions Segment -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6"/>
          </w:tcPr>
          <w:p>
            <w:pPr>
              <w:jc w:val="center"/>
              <w:ind w:left="7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20" w:type="dxa"/>
            <w:vAlign w:val="bottom"/>
            <w:tcBorders>
              <w:top w:val="single" w:sz="8" w:color="auto"/>
              <w:bottom w:val="single" w:sz="8" w:color="auto"/>
            </w:tcBorders>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Dollar Change</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149,600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76,760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72,840</w:t>
            </w:r>
          </w:p>
        </w:tc>
      </w:tr>
      <w:tr>
        <w:trPr>
          <w:trHeight w:val="207"/>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impairment loss, depreciation and amortization)</w:t>
            </w:r>
          </w:p>
        </w:tc>
        <w:tc>
          <w:tcPr>
            <w:tcW w:w="3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83,868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37,352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46,516</w:t>
            </w: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w:t>
            </w:r>
          </w:p>
        </w:tc>
      </w:tr>
      <w:tr>
        <w:trPr>
          <w:trHeight w:val="213"/>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8,173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6,396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92,041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49,081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42,960</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57,559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27,679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29,880</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38.5 %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36.1 %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Solutions segment revenue increased by 94.9% in 2025, compared to 2024, primarily due to the expansion of multiple large programs in Telos ID.</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Security Solutions segment gross profit increased by 108.0% in 2025, compared to 2024, primarily due to higher segment revenue and higher segment gross margin.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Security Solutions segment gross margin increased from 36.1% in 2024 to 38.5% in 2025, primarily due to the impairment loss on intangible assets in 2024 and the lower impact of depreciation and amortization expense on higher revenue. As expected, segment gross margin, excluding the impact of depreciation and amortization, stock-based compensation, restructuring expenses, and impairment on intangible assets, is down year-over-year due to revenue mix and higher non-cash infrastructure costs.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4: Secure Networks Segment - Financial Results Comparison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6"/>
          </w:tcPr>
          <w:p>
            <w:pPr>
              <w:jc w:val="center"/>
              <w:ind w:left="7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Dollar Change</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15,205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31,512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(16,307)</w:t>
            </w:r>
          </w:p>
        </w:tc>
        <w:tc>
          <w:tcPr>
            <w:tcW w:w="0" w:type="dxa"/>
            <w:vAlign w:val="bottom"/>
          </w:tcPr>
          <w:p>
            <w:pPr>
              <w:spacing w:after="0"/>
              <w:rPr>
                <w:sz w:val="1"/>
                <w:szCs w:val="1"/>
                <w:color w:val="auto"/>
              </w:rPr>
            </w:pPr>
          </w:p>
        </w:tc>
      </w:tr>
      <w:tr>
        <w:trPr>
          <w:trHeight w:val="207"/>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impairment loss, depreciation and amortization)</w:t>
            </w:r>
          </w:p>
        </w:tc>
        <w:tc>
          <w:tcPr>
            <w:tcW w:w="3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24,754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(13,014)</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11,747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24,762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(13,015)</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3,458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6,750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22.7 %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Secure Networks segment revenue decreased by 51.7% in 2025, compared to 2024, primarily due to the ramp down of several programs within the portfolio without corresponding new business wins to backfill completed programs.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 Networks segment gross profit decreased by 48.8% in 2025, compared to 2024, due to lower segment revenues.</w:t>
      </w:r>
    </w:p>
    <w:p>
      <w:pPr>
        <w:spacing w:after="0" w:line="17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By contrast, the Secure Networks segment gross margin increased from 21.4% in 2024 to 22.7% in 2025, primarily due to program mix. Segment gross margin, excluding the impact of depreciation and amortization, stock-based compensation, and restructuring expenses, is also up year-over-year due to revenue mix.</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non-GAAP financial measures of EBITDA, Adjusted EBITDA, EBITDA Margin and Adjusted EBITDA Margin are useful in evaluating our operating and cash flow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EBITDA Margin and Adjusted EBITDA Margin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EBITDA, Adjusted EBITDA, EBITDA Margin, and Adjusted EBITDA Margin are supplemental measures of operating and cash flow performance that are not made under GAAP and do not represent, and should not be considered as an alternative to net (loss) income, as determined by GAAP. We define EBITDA as net (loss) income, adjusted for non-operating (income) expense, interest expense, provision for (benefit from) income taxes, and depreciation and amortization. We define Adjusted EBITDA as EBITDA, adjusted for stock-based compensation expense, impairment loss on goodwill and intangible assets, and restructuring expenses (adjustments). We define EBITDA Margin, as EBITDA as a percentage of total revenue. We define Adjusted EBITDA Margin as Adjusted EBITDA as a percentage of total revenue.</w:t>
      </w:r>
    </w:p>
    <w:p>
      <w:pPr>
        <w:spacing w:after="0" w:line="13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We believe that EBITDA, EBITDA Margin, Adjusted EBITDA and Adjusted EBITDA Margin provide the Board of Directors, management and investors with a clear representation of the Company’s core operating performance and trends, provide greater visibility into the long-term financial performance of the Company, and eliminate the impact of items that do not relate to the ongoing operating performance of the business. Further, Adjusted EBITDA is used by the Board of Directors and management to prepare and approve the Company’s annual budget, and to evaluate the performance of certain management personnel when determining incentive compensation.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5: Reconciliation of Net Loss to EBITDA and Adjusted EBITDA; Net Loss Margin to EBITDA Margin and Adjusted EBITDA Margin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6"/>
          </w:tcPr>
          <w:p>
            <w:pPr>
              <w:jc w:val="center"/>
              <w:ind w:right="64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200" w:type="dxa"/>
            <w:vAlign w:val="bottom"/>
            <w:tcBorders>
              <w:top w:val="single" w:sz="8" w:color="auto"/>
              <w:bottom w:val="single" w:sz="8" w:color="auto"/>
            </w:tcBorders>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2024</w:t>
            </w:r>
          </w:p>
        </w:tc>
        <w:tc>
          <w:tcPr>
            <w:tcW w:w="1200" w:type="dxa"/>
            <w:vAlign w:val="bottom"/>
            <w:tcBorders>
              <w:bottom w:val="single" w:sz="8" w:color="auto"/>
            </w:tcBorders>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Margin</w:t>
            </w:r>
          </w:p>
        </w:tc>
      </w:tr>
      <w:tr>
        <w:trPr>
          <w:trHeight w:val="216"/>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center"/>
              <w:ind w:right="6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(Non-GAAP)</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19"/>
        </w:trPr>
        <w:tc>
          <w:tcPr>
            <w:tcW w:w="50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2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16"/>
        </w:trPr>
        <w:tc>
          <w:tcPr>
            <w:tcW w:w="50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expenses </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(Non-GAAP)</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80" w:right="20" w:hanging="172"/>
        <w:spacing w:after="0" w:line="261" w:lineRule="auto"/>
        <w:tabs>
          <w:tab w:leader="none" w:pos="163"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stock-based compensation expense to EBITDA is made up of stock-based compensation expense for the awarded RSUs, PSUs, and stock options, and other sources. Stock-based compensation expense for the awarded RSUs, PSUs and stock options was $24.0 million and $19.4 million for fiscal years 2025 and 2024, respectively. Stock-based compensation expense from other sources was $6.1 million and $2.1 million for fiscal years 2025 and 2024, respectively. The other sources of stock-based compensation consist of accrued compensation, which the Company intends to settle in shares of the Company's common stock. However, the Company has the discretion to determine whether this compensation will ultimately be paid in stock or cash up until the date at which it is paid. Any change to the expected payment form would result in out-of-quarter adjustments to this add back to Adjusted EBITDA.</w:t>
      </w:r>
    </w:p>
    <w:p>
      <w:pPr>
        <w:spacing w:after="0" w:line="1"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restructuring expenses include severance and other related benefit costs, and other non-cash restructuring costs related to implementing the restructuring plan.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EBITDA, Adjusted EBITDA, EBITDA Margin and Adjusted EBITDA Margin each has limitations as an analytical tool, and they should not be considered in isolation, or as a substitute for analysis of results as reported under GAAP. Among other limitations, each of EBITDA, Adjusted EBITDA, EBITDA Margin and Adjusted EBITDA Margin does not reflect our cash expenditures, or future requirements, for capital expenditures or contractual commitments, does not reflect the impact of certain cash and non-cash charges resulting from matters considered not to be indicative of ongoing operations, and does not reflect income tax expense or benefit. Other companies in our industry may calculate Adjusted EBITDA and Adjusted EBITDA Margin differently than we do, which limits its usefulness as a comparative measure. Because of these limitations, neither EBITDA, Adjusted EBITDA, EBITDA Margin, nor Adjusted EBITDA Margin should be considered as a replacement for net (loss) income as determined by GAAP, or as a measure of profitability. Telos compensates for these limitations by relying primarily on the Company’s GAAP results and using non-GAAP measures only for supplemental purposes.</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these non-GAAP financial measures facilitate the comparison of the Company’s operating and cash performance on a consistent basis between periods by excluding certain items that may, or could, have a disproportionately positive or negative impact on the Company’s results of operations in any particular period. When viewed in combination with our results prepared in accordance with GAAP, these non-GAAP financial measures help provide a broader picture of factors and trends affecting the Company’s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future operating cash flows, and, if needed, borrowings under our $15.0 million senior secured revolving credit facility, with an expansion feature of up to $15.0 million of additional revolver capacity, maturing on December 30, 2026.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cash and cash equivalents of $53.2 million and our working capital was $57.6 million.</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are sufficient to maintain the liquidity we require to meet our operating, investing and financing needs for the next 12 months.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6: Cash Flows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30,182</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(25,938)</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(16,757)</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(22,664)</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(44,679)</w:t>
            </w: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net cash provided by operating activities was $30.2 million, compared with net cash used in operating activities of $25.9 million in 2024, an increase of $56.1 million compared year over year. The change in cash flow from operating activities is attributable to the favorable changes in working capital, primarily driven by timing of receipts from customer and the timing of payments to vendors, coupled with higher cash earnings (i.e., net loss, excluding non-cash items that do not impact cash flows from operating activities).</w:t>
      </w:r>
    </w:p>
    <w:p>
      <w:pPr>
        <w:spacing w:after="0" w:line="126"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decreased by $7.8 million in cash outflow compared to the same period in 2024, primarily due to the cash outflow from the purchase of an investment of $3.0 million in 2024, with no similar transaction in 2025, coupled by a decrease of $4.8 million in capital expenditures in 2025.</w:t>
      </w:r>
    </w:p>
    <w:p>
      <w:pPr>
        <w:spacing w:after="0" w:line="122"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2025, net cash used in financing activities was $22.7 million, compared to $2.0 million in 2024. This is primarily attributable to the repurchases of common stock for $13.6 million in 2025 under the share repurchase program, with no similar activity in 2024, and an increase in payments of tax withholding related to the net share settlement of equity awards of $7.3 million in 2025, compared with $0.5 million in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from Contractual Obligations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does not have any other material cash requirements from contractual obligations. As of December 31, 2025, we had contractual commitments to make payments under existing lease obligations on various office space and equipment under non-cancelable operating and finance leases, and an obligation under a service agreement. We reported current and long-term lease liabilities; see </w:t>
      </w:r>
      <w:r>
        <w:rPr>
          <w:rFonts w:ascii="Times New Roman" w:cs="Times New Roman" w:eastAsia="Times New Roman" w:hAnsi="Times New Roman"/>
          <w:sz w:val="18"/>
          <w:szCs w:val="18"/>
          <w:u w:val="single" w:color="auto"/>
          <w:color w:val="0000FF"/>
        </w:rPr>
        <w:t>Note 12 - Leases</w:t>
      </w:r>
      <w:r>
        <w:rPr>
          <w:rFonts w:ascii="Times New Roman" w:cs="Times New Roman" w:eastAsia="Times New Roman" w:hAnsi="Times New Roman"/>
          <w:sz w:val="18"/>
          <w:szCs w:val="18"/>
          <w:color w:val="auto"/>
        </w:rPr>
        <w:t xml:space="preserve"> in the consolidated financial statements within this 10-K.</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7: Contractual Obligations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Total</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Due within one year</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gridSpan w:val="3"/>
          </w:tcPr>
          <w:p>
            <w:pPr>
              <w:ind w:left="3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Finance lease obligations </w:t>
            </w:r>
            <w:r>
              <w:rPr>
                <w:rFonts w:ascii="Times New Roman" w:cs="Times New Roman" w:eastAsia="Times New Roman" w:hAnsi="Times New Roman"/>
                <w:sz w:val="21"/>
                <w:szCs w:val="21"/>
                <w:color w:val="auto"/>
                <w:vertAlign w:val="superscript"/>
              </w:rPr>
              <w:t>(1)</w:t>
            </w: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 obligations </w:t>
            </w:r>
            <w:r>
              <w:rPr>
                <w:rFonts w:ascii="Times New Roman" w:cs="Times New Roman" w:eastAsia="Times New Roman" w:hAnsi="Times New Roman"/>
                <w:sz w:val="21"/>
                <w:szCs w:val="21"/>
                <w:color w:val="auto"/>
                <w:vertAlign w:val="superscript"/>
              </w:rPr>
              <w:t>(1) (2)</w:t>
            </w:r>
          </w:p>
        </w:tc>
        <w:tc>
          <w:tcPr>
            <w:tcW w:w="13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agreement obligation</w:t>
            </w:r>
          </w:p>
        </w:tc>
        <w:tc>
          <w:tcPr>
            <w:tcW w:w="1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204"/>
        </w:trPr>
        <w:tc>
          <w:tcPr>
            <w:tcW w:w="6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contract obligations</w:t>
            </w:r>
          </w:p>
        </w:tc>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18,816</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8,902</w:t>
            </w:r>
          </w:p>
        </w:tc>
        <w:tc>
          <w:tcPr>
            <w:tcW w:w="0" w:type="dxa"/>
            <w:vAlign w:val="bottom"/>
          </w:tcPr>
          <w:p>
            <w:pPr>
              <w:spacing w:after="0"/>
              <w:rPr>
                <w:sz w:val="1"/>
                <w:szCs w:val="1"/>
                <w:color w:val="auto"/>
              </w:rPr>
            </w:pPr>
          </w:p>
        </w:tc>
      </w:tr>
      <w:tr>
        <w:trPr>
          <w:trHeight w:val="26"/>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interest expense.</w:t>
            </w: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6980" w:type="dxa"/>
            <w:vAlign w:val="bottom"/>
            <w:vMerge w:val="continue"/>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bl>
    <w:p>
      <w:pPr>
        <w:ind w:left="20" w:right="120" w:firstLine="6"/>
        <w:spacing w:after="0" w:line="220" w:lineRule="auto"/>
        <w:tabs>
          <w:tab w:leader="none" w:pos="165"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includes operating lease right-of-use obligations and short-term leases with terms of 12 months or less. We have various lease agreements pursuant to ASC 842, "Leases" that require us to record the present value of the minimum lease payments for such lease properties.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commitments that were considered material for capital expenditures on December 31, 2025.</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From time to time, we may be subject to various audits, reviews, investigations, lawsuits and claims related to our business. See </w:t>
      </w:r>
      <w:r>
        <w:rPr>
          <w:rFonts w:ascii="Times New Roman" w:cs="Times New Roman" w:eastAsia="Times New Roman" w:hAnsi="Times New Roman"/>
          <w:sz w:val="18"/>
          <w:szCs w:val="18"/>
          <w:u w:val="single" w:color="auto"/>
          <w:color w:val="0000FF"/>
        </w:rPr>
        <w:t>Note 18 -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Contingencies and Subsequent Events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consolidated financial statements within this 10-K for further discussion of other commitments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contingencies.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On December 30, 2022, we entered into a senior secured credit facility with JPMorgan Chase Bank, N.A. ("Credit Agreement") that provided for a $30.0 million senior secured revolving credit facility, with the option of issuing letters of credits thereunder and with an uncommitted expansion feature of up to $30.0 million of additional revolver capacity, with a maturity date on December 30, 2025. On April 12, 2023, we amended our Credit Agreement and revised certain provisions on the terms of the covered collateral. On December 30, 2025, we amended our Credit Agreement to extend the maturity date to December 30, 2026. The amendment also modifies the revolving commitment to $15.0 million, with an expansion feature of up to $15.0 million of additional credit capacity. See </w:t>
      </w:r>
      <w:r>
        <w:rPr>
          <w:rFonts w:ascii="Times New Roman" w:cs="Times New Roman" w:eastAsia="Times New Roman" w:hAnsi="Times New Roman"/>
          <w:sz w:val="18"/>
          <w:szCs w:val="18"/>
          <w:u w:val="single" w:color="auto"/>
          <w:color w:val="0000FF"/>
        </w:rPr>
        <w:t>Note 9 - Revolving Credit Facility</w:t>
      </w:r>
      <w:r>
        <w:rPr>
          <w:rFonts w:ascii="Times New Roman" w:cs="Times New Roman" w:eastAsia="Times New Roman" w:hAnsi="Times New Roman"/>
          <w:sz w:val="18"/>
          <w:szCs w:val="18"/>
          <w:color w:val="auto"/>
        </w:rPr>
        <w:t xml:space="preserve"> to the consolidated financial statements contained within this 10-K for additional information.</w:t>
      </w:r>
    </w:p>
    <w:p>
      <w:pPr>
        <w:spacing w:after="0" w:line="13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terms and conditions, including certain covenant requirements. As of December 31, 2025, there were no outstanding balances under the revolving credit facility and we were in compliance with all covenants contained in the Credit Agreement.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preparing these financial statements, management has made its best estimates and judgments of certain amounts included in the consolidated financial statements, giving due consideration to materiality. Management evaluates these estimates and assumptions on an ongoing basis. Our estimates and assumptions have been prepared on the basis of the most current reasonably available information, and may change in the future as more current information is available.</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believes that our critical accounting policies are those that are both material to the presentation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as a result, actual results could differ from those estimates.</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requiring estimates, assumptions, and judgments that we believe have the most significant impact on our consolidated financial statements in fiscal year 2025 are described below. This is not intended to be a comprehensive list of all significant accounting policies that are more fully described in the notes to consolidated financial statements contained within this report.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most of our revenue is recognized concurrently with billing or with the passage of time, some of our revenue requires us to make estimates. The timing of the satisfaction of performance obligations varies across our businesses due to our diverse product and service mix, customer base, and contractual terms.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 The standalone selling price is either based on estimated or actual costs plus a reasonable profit margin or the observable price of a good or service when Telos sells that good or service separately in similar circumstances and to similar customers. The transaction price for our contracts represents our best estimate of the consideration we will receive and includes assumptions regarding variable consideration, as applicable. The transaction price is allocated to each distinct performance obligation within the contract and recognized as revenue when, or as, the performance obligation is satisfied.</w:t>
      </w:r>
    </w:p>
    <w:p>
      <w:pPr>
        <w:spacing w:after="0" w:line="13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contracts may also include various types of variable considerations such as claims (i.e., indirect rate or other equitable adjustments) or incentive fees and we include estimated amounts in the transaction price to the extent it is probable that a significant reversal of cumulative revenue recognized will not occur. The estimated amounts are based on an assessment of our anticipated performance and all other information that is reasonably available to us.</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contracts where revenue is recognized over time, we recognize revenue based on progress towards completion of the performance obligation, using costs incurred to date relative to the total estimated cost at completion to measure progress on a proportional performance basis for our contracts. Due to the nature of the work required to be performed on certain contracts,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 No revenue adjustment was recorded during the year ended December 31, 2025, while we recorded an immaterial catch-up revenue adjustment during the year ended December 31, 2024, as a result of the changes in contract estimates.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Long-Lived Assets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evaluate the impairment of goodwill and other long-lived assets in accordance with Accounting Standards Codification ("ASC") 350, "Intangibles – Goodwill and Other." Goodwill is not amortized, but is subject to impairment testing on an annual basis, as of December 31 each year, or more frequently if events or circumstances indicate that the carrying value may not be recoverable. The goodwill impairment test is performed at the reporting unit level. As of December 31, 2025 and 2024, goodwill represented 2.1% and 11.3% of our total assets, respectively.</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testing goodwill for impairment, we first assess the qualitative factors to determine whether the existence of events or circumstances leads to a determination that it is more likely than not that the fair value of a reporting unit is less than its carrying value. If, after the assessment, we determine that an impairment indicator exists, we perform the quantitative goodwill impairment test. The Company performs the quantitative goodwill impairment test by calculating the fair value of the reporting unit and comparing it to its respective carrying value including goodwill. If the fair value is less than the carrying value, the amount of impairment expense is equal to the difference between the reporting unit's fair value and the reporting unit's carrying value.</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Determining the fair value of a reporting unit requires management's judgment and involves the use of significant estimates and assumptions, including forecasted revenue, operating margins, capital expenditures, and selection and use of an appropriate discount rate commensurate with the risk inherent in each of our reporting units' current business models. We utilize the weighted average cost of capital as derived by certain assumptions specific to our facts and circumstances as the discount rate. Our estimate of cash flows and discount rate are subject to change due to the economic environment and that may cause a change in the results of the impairment assessment in future periods that could result in goodwill impairment.</w:t>
      </w:r>
    </w:p>
    <w:p>
      <w:pPr>
        <w:spacing w:after="0" w:line="1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the fourth quarter of 2025, the result of the quantitative assessment of our Secure Networks reporting unit concluded that the estimated carrying value of Secure Networks exceeded its fair value, driven by the continued contraction of Secure Networks' backlog in 2025. Accordingly, we recognized a goodwill impairment charge of $14.9 million in the fourth quarter of 2025.</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fiscal year 2024, we performed a qualitative assessment of our reporting units and determined that it is more likely than not that the estimated fair value of the reporting units exceeds their carrying value and thus, we did not proceed to the quantitative impairment test.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Due to the nature of our business and other factors described in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of this 10-K, the profitability of our individual reporting units may periodically be affected by downturns in customer demand, operational challenges, and other factors. If material adverse conditions occur that impact one or all of our reporting units, our determination of future fair value might not support the carrying amount of our reporting units, and the related goodwill may be impaired. We will continue to monitor any changes to our assumptions and will evaluate goodwill as deemed warranted during future periods.</w:t>
      </w:r>
    </w:p>
    <w:p>
      <w:pPr>
        <w:spacing w:after="0" w:line="12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amortize intangible assets over their respective estimated useful lives, and review them for impairment whenever events or changes in business circumstances indicate the carrying value may not be recoverable.</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evaluated our intangible assets for potential impairment and no impairment was identified for the year ended December 31, 2025. An impairment charge of $11.7 million was recorded in the consolidated statements of operations for the year ended December 31, 2024.</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For further discussion of the methods used and factors considered in our estimates as part of the impairment testing for goodwill and intangible assets, see </w:t>
      </w:r>
      <w:r>
        <w:rPr>
          <w:rFonts w:ascii="Times New Roman" w:cs="Times New Roman" w:eastAsia="Times New Roman" w:hAnsi="Times New Roman"/>
          <w:sz w:val="18"/>
          <w:szCs w:val="18"/>
          <w:u w:val="single" w:color="auto"/>
          <w:color w:val="0000FF"/>
        </w:rPr>
        <w:t>Note 2 - Summary of Significant 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Goodwill and Intangible Assets,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6 - Goodwill, Net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7 - Intangible Assets, Net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consolidated financial statements contained within this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related to the stock options, RSUs and PSUs awarded under the Amended and Restated 2016 Omnibus Long-Term Incentive Plan (the “2016 LTIP”) is recognized ratably over the requisite service period.</w:t>
      </w:r>
    </w:p>
    <w:p>
      <w:pPr>
        <w:spacing w:after="0" w:line="10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For awards with performance conditions, stock-based compensation expense is estimated at each reporting date using management’s expectation of the probable achievement of the specific performance targets and recognized over the requisite service period for each tranche on a graded-vesting basis. Stock-based compensation expense for PSUs with market conditions is recognized based on the grant-date fair value calculated using the Monte Carlo model, as described below, or sooner if the market conditions are achieved.</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the PSUs is equal to the closing stock price on the date of the grant or the fair value of the award on the grant date, as determined through an independent valuation for PSUs with market conditions. Estimating the fair value of PSUs with market condition, using the Monte Carlo simulation valuation model, requires assumptions as to the fair value of the underlying common stock, the estimated performance period, expected volatility, risk-free rate, and derived service period. See </w:t>
      </w:r>
      <w:r>
        <w:rPr>
          <w:rFonts w:ascii="Times New Roman" w:cs="Times New Roman" w:eastAsia="Times New Roman" w:hAnsi="Times New Roman"/>
          <w:sz w:val="18"/>
          <w:szCs w:val="18"/>
          <w:u w:val="single" w:color="auto"/>
          <w:color w:val="0000FF"/>
        </w:rPr>
        <w:t>Note 11 – Stock-Based Compensation</w:t>
      </w:r>
      <w:r>
        <w:rPr>
          <w:rFonts w:ascii="Times New Roman" w:cs="Times New Roman" w:eastAsia="Times New Roman" w:hAnsi="Times New Roman"/>
          <w:sz w:val="18"/>
          <w:szCs w:val="18"/>
          <w:color w:val="auto"/>
        </w:rPr>
        <w:t xml:space="preserve"> for additional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Our income tax expense, deferred tax assets and liabilities, and liabilities for unrecognized tax benefits reflect our best estimate of current and future taxes to be paid. We record net deferred assets to the extent we believe these assets will more likely than not be realized. The realizability of net deferred tax assets is based on all available evidence, including future taxable income projections, tax planning strategies, and reversal of taxable temporary differences. We regularly review our deferred tax assets for recoverability and establish a valuation allowance when management believes it is more likely than not that such asset will not be recovered, taking into consideration historical operating results, expectations of future earnings, tax planning strategies and the expected timing of the reversals of existing temporary differences.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2 - Summary of Significant Accounting Policies</w:t>
      </w:r>
      <w:r>
        <w:rPr>
          <w:rFonts w:ascii="Times New Roman" w:cs="Times New Roman" w:eastAsia="Times New Roman" w:hAnsi="Times New Roman"/>
          <w:sz w:val="18"/>
          <w:szCs w:val="18"/>
          <w:color w:val="auto"/>
        </w:rPr>
        <w:t xml:space="preserve"> of the consolidated financial statements contained within this 10-K for a discussion of recently issued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7A. Quantitative and Qualitative Disclosures about Market Risk</w:t>
      </w:r>
    </w:p>
    <w:p>
      <w:pPr>
        <w:spacing w:after="0" w:line="1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a variety of financial risks, such as interest rate risk, foreign currency translation risk, and counterparty risk, which can affect our operations and profitability.</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cash and cash equivalents include highly liquid investments that have a maturity of three months or less at the date of purchase, and would not be significantly affected by increases or decreases in interest rates, mainly due to the short-term nature of these instruments. The majority of our business is transacted in U.S. dollars, and the impact of the foreign currency fluctuation as we report for our foreign subsidiary upon translation of its financials into U.S. dollars was insignificant. Further, we do not enter into financial instruments for trading or hedging purposes.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Consolidated Financial Statements and Supplementary Data</w:t>
      </w:r>
    </w:p>
    <w:p>
      <w:pPr>
        <w:spacing w:after="0" w:line="1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Telos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Telos Corporation and its subsidiaries (the "Company") as of December 31, 2025 and 2024, and the related consolidated statements of operations, of comprehensive loss, of changes in stockholders’ equity and of cash flows for the years then ended,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and Limitations of Internal Control over Financial Reporting</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the Company’s total revenue was $164.8 million for the year ended December 31, 2025. Revenue is recognized under a variety of contract types, including time and materials, firm-fixed price, firm fixed price level of effort, and cost-plus fixed fee contract types. Revenue is recognized using a variety of input and output methods that approximate the progress towards complete satisfaction of the performance obligation, including costs incurred, labor hours expended, and, for firm-fixed price stand ready obligations, time-elapsed measures. The majority of revenue is recognized over time, as control is transferred continuously to customers who receive and consume the services performed by the Company. For performance obligations in which control does not continuously transfer to the customer, the Company recognizes revenue at the point in time in which the customer obtains control of the transferred product or service.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is a critical audit matter are a high degree of auditor effort in performing procedures and evaluating audit evidence related to the Company’s revenue recognition.</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testing a sample of revenue recognized by obtaining and inspecting source documents, such as invoices, customer purchase orders, customer sales agreements, cost support, shipping documents, evidence of performance, customer acceptance support, and payment receipts from customers and (ii) confirming a sample of outstanding customer invoice balances as of December 31, 2025 and, for confirmations not returned, obtaining and inspecting source documents, such as invoices, customer purchase orders, customer sales agreements, shipping documents, and subsequent cash receipts.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4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350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7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 services</w:t>
            </w:r>
          </w:p>
        </w:tc>
        <w:tc>
          <w:tcPr>
            <w:tcW w:w="1340" w:type="dxa"/>
            <w:vAlign w:val="bottom"/>
            <w:shd w:val="clear" w:color="auto" w:fill="CCEEFF"/>
          </w:tcPr>
          <w:p>
            <w:pPr>
              <w:jc w:val="right"/>
              <w:ind w:right="1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136,544</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103,581</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Revenue – products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28,261</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4,691</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164,805</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108,272</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 services (excluding impairment loss, depreciation and amortization)</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74,791</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products (excluding impairment loss, depreciation and amortization)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w:t>
            </w:r>
          </w:p>
        </w:tc>
      </w:tr>
      <w:tr>
        <w:trPr>
          <w:trHeight w:val="207"/>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103,788</w:t>
            </w: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73,843</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61,017</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34,429</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8,442</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78,925</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75,487</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w:t>
            </w:r>
          </w:p>
        </w:tc>
      </w:tr>
      <w:tr>
        <w:trPr>
          <w:trHeight w:val="212"/>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100,898</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90,302</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(39,881)</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(55,873)</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(37,209)</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(52,494)</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tcBorders>
              <w:bottom w:val="single" w:sz="8" w:color="auto"/>
            </w:tcBorders>
            <w:shd w:val="clear" w:color="auto" w:fill="CCEEFF"/>
          </w:tcPr>
          <w:p>
            <w:pPr>
              <w:jc w:val="right"/>
              <w:ind w:right="1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7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340" w:type="dxa"/>
            <w:vAlign w:val="bottom"/>
          </w:tcPr>
          <w:p>
            <w:pPr>
              <w:jc w:val="right"/>
              <w:ind w:right="1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340" w:type="dxa"/>
            <w:vAlign w:val="bottom"/>
            <w:shd w:val="clear" w:color="auto" w:fill="CCEEFF"/>
          </w:tcPr>
          <w:p>
            <w:pPr>
              <w:jc w:val="right"/>
              <w:ind w:right="11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r>
      <w:tr>
        <w:trPr>
          <w:trHeight w:val="270"/>
        </w:trPr>
        <w:tc>
          <w:tcPr>
            <w:tcW w:w="7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72,878</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71,850</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(52,520)</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Actuarial gain (loss) on pension liability adjustment</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(36,513)</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(52,589)</w:t>
            </w: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2025</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4240" w:type="dxa"/>
            <w:vAlign w:val="bottom"/>
            <w:gridSpan w:val="5"/>
          </w:tcPr>
          <w:p>
            <w:pPr>
              <w:jc w:val="right"/>
              <w:ind w:right="43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 and share data)</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20" w:type="dxa"/>
            <w:vAlign w:val="bottom"/>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53,180</w:t>
            </w:r>
          </w:p>
        </w:tc>
        <w:tc>
          <w:tcPr>
            <w:tcW w:w="8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19,172</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program expenses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94,413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91,418</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0" w:type="dxa"/>
            <w:vAlign w:val="bottom"/>
          </w:tcPr>
          <w:p>
            <w:pPr>
              <w:spacing w:after="0"/>
              <w:rPr>
                <w:sz w:val="1"/>
                <w:szCs w:val="1"/>
                <w:color w:val="auto"/>
              </w:rPr>
            </w:pPr>
          </w:p>
        </w:tc>
      </w:tr>
      <w:tr>
        <w:trPr>
          <w:trHeight w:val="207"/>
        </w:trPr>
        <w:tc>
          <w:tcPr>
            <w:tcW w:w="7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320" w:type="dxa"/>
            <w:vAlign w:val="bottom"/>
            <w:tcBorders>
              <w:bottom w:val="single" w:sz="8" w:color="auto"/>
            </w:tcBorders>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139,864</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158,235</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320" w:type="dxa"/>
            <w:vAlign w:val="bottom"/>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 – current portion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obligations – current portion</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current portion</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22,135</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 – non-current portion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obligations – non-current portion</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non-current portion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43,914</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31,098</w:t>
            </w:r>
          </w:p>
        </w:tc>
        <w:tc>
          <w:tcPr>
            <w:tcW w:w="0" w:type="dxa"/>
            <w:vAlign w:val="bottom"/>
          </w:tcPr>
          <w:p>
            <w:pPr>
              <w:spacing w:after="0"/>
              <w:rPr>
                <w:sz w:val="1"/>
                <w:szCs w:val="1"/>
                <w:color w:val="auto"/>
              </w:rPr>
            </w:pP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250,000,000 shares authorized, 72,773,272 shares and 72,514,652 shares</w:t>
            </w:r>
          </w:p>
        </w:tc>
        <w:tc>
          <w:tcPr>
            <w:tcW w:w="13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as of December 31, 2025 and 2024, respectively</w:t>
            </w:r>
          </w:p>
        </w:tc>
        <w:tc>
          <w:tcPr>
            <w:tcW w:w="13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459,828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454,502</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(363,893)</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(327,347)</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95,950</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127,137</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139,864</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158,235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bottom w:val="single" w:sz="8" w:color="auto"/>
            </w:tcBorders>
          </w:tcPr>
          <w:p>
            <w:pPr>
              <w:spacing w:after="0"/>
              <w:rPr>
                <w:sz w:val="18"/>
                <w:szCs w:val="18"/>
                <w:color w:val="auto"/>
              </w:rPr>
            </w:pPr>
          </w:p>
        </w:tc>
      </w:tr>
      <w:tr>
        <w:trPr>
          <w:trHeight w:val="210"/>
        </w:trPr>
        <w:tc>
          <w:tcPr>
            <w:tcW w:w="70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160" w:type="dxa"/>
            <w:vAlign w:val="bottom"/>
            <w:gridSpan w:val="3"/>
          </w:tcPr>
          <w:p>
            <w:pPr>
              <w:jc w:val="right"/>
              <w:ind w:right="8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80" w:type="dxa"/>
            <w:vAlign w:val="bottom"/>
          </w:tcPr>
          <w:p>
            <w:pPr>
              <w:spacing w:after="0"/>
              <w:rPr>
                <w:sz w:val="18"/>
                <w:szCs w:val="18"/>
                <w:color w:val="auto"/>
              </w:rPr>
            </w:pP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cash provided by (used in) operating activities: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21,411</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11,867</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14,916</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(recovery from) doubtful accounts, net</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Benefit from deferred income taxes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(gain) on disposal of fixed assets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gain on fair value adjustment of investment</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inventory obsolescence</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11,706</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11,272</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Prepaid expenses, deferred program expenses, other current assets and other assets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(11,926)</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payable</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(7,121)</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(7,395)</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Contract liabilities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7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Accrued liabilities and other liabilities</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(3,491)</w:t>
            </w:r>
          </w:p>
        </w:tc>
      </w:tr>
      <w:tr>
        <w:trPr>
          <w:trHeight w:val="21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30,182</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(25,938)</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investment</w:t>
            </w:r>
          </w:p>
        </w:tc>
        <w:tc>
          <w:tcPr>
            <w:tcW w:w="1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07"/>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(16,757)</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under finance lease obligations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tax withholding related to net share settlement of equity awards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(22,664)</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r>
      <w:tr>
        <w:trPr>
          <w:trHeight w:val="207"/>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(44,679)</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54,717</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99,396</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53,320</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54,717</w:t>
            </w:r>
          </w:p>
        </w:tc>
      </w:tr>
      <w:tr>
        <w:trPr>
          <w:trHeight w:val="23"/>
        </w:trPr>
        <w:tc>
          <w:tcPr>
            <w:tcW w:w="70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STOCKHOLDERS' EQUITY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December 31, 2023</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Foreign currency translation loss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Actuarial loss on pension liability adjustment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140"/>
        <w:spacing w:after="0" w:line="245" w:lineRule="auto"/>
        <w:rPr>
          <w:sz w:val="20"/>
          <w:szCs w:val="20"/>
          <w:color w:val="auto"/>
        </w:rPr>
      </w:pPr>
      <w:r>
        <w:rPr>
          <w:rFonts w:ascii="Times New Roman" w:cs="Times New Roman" w:eastAsia="Times New Roman" w:hAnsi="Times New Roman"/>
          <w:sz w:val="16"/>
          <w:szCs w:val="16"/>
          <w:color w:val="auto"/>
        </w:rPr>
        <w:t>Restricted stock unit award vested, net of shares withheld to cover tax withholding</w:t>
      </w:r>
    </w:p>
    <w:p>
      <w:pPr>
        <w:spacing w:after="0" w:line="2" w:lineRule="exact"/>
        <w:rPr>
          <w:sz w:val="20"/>
          <w:szCs w:val="20"/>
          <w:color w:val="auto"/>
        </w:rPr>
      </w:pPr>
    </w:p>
    <w:p>
      <w:pPr>
        <w:ind w:left="140" w:right="300"/>
        <w:spacing w:after="0" w:line="245"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2" w:lineRule="exact"/>
        <w:rPr>
          <w:sz w:val="20"/>
          <w:szCs w:val="20"/>
          <w:color w:val="auto"/>
        </w:rPr>
      </w:pPr>
    </w:p>
    <w:p>
      <w:pPr>
        <w:ind w:left="20" w:right="340" w:firstLine="108"/>
        <w:spacing w:after="0" w:line="290" w:lineRule="auto"/>
        <w:rPr>
          <w:sz w:val="20"/>
          <w:szCs w:val="20"/>
          <w:color w:val="auto"/>
        </w:rPr>
      </w:pPr>
      <w:r>
        <w:rPr>
          <w:rFonts w:ascii="Times New Roman" w:cs="Times New Roman" w:eastAsia="Times New Roman" w:hAnsi="Times New Roman"/>
          <w:sz w:val="16"/>
          <w:szCs w:val="16"/>
          <w:color w:val="auto"/>
        </w:rPr>
        <w:t>Issuance of common stock for 401K match Balance December 31, 2024</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loss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Foreign currency translation loss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Actuarial gain on pension liability adjustment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140"/>
        <w:spacing w:after="0" w:line="245" w:lineRule="auto"/>
        <w:rPr>
          <w:sz w:val="20"/>
          <w:szCs w:val="20"/>
          <w:color w:val="auto"/>
        </w:rPr>
      </w:pPr>
      <w:r>
        <w:rPr>
          <w:rFonts w:ascii="Times New Roman" w:cs="Times New Roman" w:eastAsia="Times New Roman" w:hAnsi="Times New Roman"/>
          <w:sz w:val="16"/>
          <w:szCs w:val="16"/>
          <w:color w:val="auto"/>
        </w:rPr>
        <w:t>Restricted stock unit award vested, net of shares withheld to cover tax withholding</w:t>
      </w:r>
    </w:p>
    <w:p>
      <w:pPr>
        <w:spacing w:after="0" w:line="2" w:lineRule="exact"/>
        <w:rPr>
          <w:sz w:val="20"/>
          <w:szCs w:val="20"/>
          <w:color w:val="auto"/>
        </w:rPr>
      </w:pPr>
    </w:p>
    <w:p>
      <w:pPr>
        <w:ind w:left="140" w:right="300"/>
        <w:spacing w:after="0" w:line="245"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Issuance of common stock for 401K match</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December 31, 2025</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640" w:type="dxa"/>
            <w:vAlign w:val="bottom"/>
            <w:gridSpan w:val="5"/>
          </w:tcPr>
          <w:p>
            <w:pPr>
              <w:ind w:left="84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Additional</w:t>
            </w:r>
          </w:p>
        </w:tc>
        <w:tc>
          <w:tcPr>
            <w:tcW w:w="13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6"/>
                <w:szCs w:val="1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6"/>
                <w:szCs w:val="16"/>
                <w:color w:val="auto"/>
              </w:rPr>
            </w:pPr>
          </w:p>
        </w:tc>
        <w:tc>
          <w:tcPr>
            <w:tcW w:w="96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80" w:type="dxa"/>
            <w:vAlign w:val="bottom"/>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ind w:left="7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70,240</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433,781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(274,827)</w:t>
            </w:r>
          </w:p>
        </w:tc>
        <w:tc>
          <w:tcPr>
            <w:tcW w:w="8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159,003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19,359</w:t>
            </w:r>
          </w:p>
        </w:tc>
        <w:tc>
          <w:tcPr>
            <w:tcW w:w="0" w:type="dxa"/>
            <w:vAlign w:val="bottom"/>
          </w:tcPr>
          <w:p>
            <w:pPr>
              <w:spacing w:after="0"/>
              <w:rPr>
                <w:sz w:val="1"/>
                <w:szCs w:val="1"/>
                <w:color w:val="auto"/>
              </w:rPr>
            </w:pPr>
          </w:p>
        </w:tc>
      </w:tr>
      <w:tr>
        <w:trPr>
          <w:trHeight w:val="297"/>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378"/>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300"/>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0" w:type="dxa"/>
            <w:vAlign w:val="bottom"/>
          </w:tcPr>
          <w:p>
            <w:pPr>
              <w:spacing w:after="0"/>
              <w:rPr>
                <w:sz w:val="1"/>
                <w:szCs w:val="1"/>
                <w:color w:val="auto"/>
              </w:rPr>
            </w:pPr>
          </w:p>
        </w:tc>
      </w:tr>
      <w:tr>
        <w:trPr>
          <w:trHeight w:val="207"/>
        </w:trPr>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72,515</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454,502</w:t>
            </w: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(327,347)</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127,137</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24,036</w:t>
            </w:r>
          </w:p>
        </w:tc>
        <w:tc>
          <w:tcPr>
            <w:tcW w:w="0" w:type="dxa"/>
            <w:vAlign w:val="bottom"/>
          </w:tcPr>
          <w:p>
            <w:pPr>
              <w:spacing w:after="0"/>
              <w:rPr>
                <w:sz w:val="1"/>
                <w:szCs w:val="1"/>
                <w:color w:val="auto"/>
              </w:rPr>
            </w:pPr>
          </w:p>
        </w:tc>
      </w:tr>
      <w:tr>
        <w:trPr>
          <w:trHeight w:val="297"/>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0" w:type="dxa"/>
            <w:vAlign w:val="bottom"/>
          </w:tcPr>
          <w:p>
            <w:pPr>
              <w:spacing w:after="0"/>
              <w:rPr>
                <w:sz w:val="1"/>
                <w:szCs w:val="1"/>
                <w:color w:val="auto"/>
              </w:rPr>
            </w:pPr>
          </w:p>
        </w:tc>
      </w:tr>
      <w:tr>
        <w:trPr>
          <w:trHeight w:val="378"/>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97"/>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(13,627)</w:t>
            </w:r>
          </w:p>
        </w:tc>
        <w:tc>
          <w:tcPr>
            <w:tcW w:w="0" w:type="dxa"/>
            <w:vAlign w:val="bottom"/>
          </w:tcPr>
          <w:p>
            <w:pPr>
              <w:spacing w:after="0"/>
              <w:rPr>
                <w:sz w:val="1"/>
                <w:szCs w:val="1"/>
                <w:color w:val="auto"/>
              </w:rPr>
            </w:pPr>
          </w:p>
        </w:tc>
      </w:tr>
      <w:tr>
        <w:trPr>
          <w:trHeight w:val="219"/>
        </w:trPr>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0" w:type="dxa"/>
            <w:vAlign w:val="bottom"/>
          </w:tcPr>
          <w:p>
            <w:pPr>
              <w:spacing w:after="0"/>
              <w:rPr>
                <w:sz w:val="1"/>
                <w:szCs w:val="1"/>
                <w:color w:val="auto"/>
              </w:rPr>
            </w:pP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72,773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459,828</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(363,893)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95,950</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-2931160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-2656840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-2382520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-2005330</wp:posOffset>
            </wp:positionV>
            <wp:extent cx="713232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-1628140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-1344930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-1071245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-693420</wp:posOffset>
            </wp:positionV>
            <wp:extent cx="713232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-316230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80"/>
            <w:col w:w="7900"/>
          </w:cols>
          <w:pgMar w:left="320" w:top="119"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TELOS CORPORATION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Teloworks, Inc. ("Teloworks"), and 100% ownership interest in Telos Identity Management Solutions, LLC ("Telos ID").</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13, 2024, the Board of Directors unanimously approved the dissolution of Telos APAC Pte. Ltd. ("Telos APAC"), a pre-operating foreign subsidiary, pursuant to a plan of complete liquidation and dissolution. Telos APAC was dissolved on October 7, 2024. The dissolution of this subsidiary did not have a material impact on the Company's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 of Consolidation</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include the accounts of Telos and its subsidiaries (see </w:t>
      </w:r>
      <w:r>
        <w:rPr>
          <w:rFonts w:ascii="Times New Roman" w:cs="Times New Roman" w:eastAsia="Times New Roman" w:hAnsi="Times New Roman"/>
          <w:sz w:val="18"/>
          <w:szCs w:val="18"/>
          <w:u w:val="single" w:color="auto"/>
          <w:color w:val="0000FF"/>
        </w:rPr>
        <w:t>Note 1 – Organization</w:t>
      </w:r>
      <w:r>
        <w:rPr>
          <w:rFonts w:ascii="Times New Roman" w:cs="Times New Roman" w:eastAsia="Times New Roman" w:hAnsi="Times New Roman"/>
          <w:sz w:val="18"/>
          <w:szCs w:val="18"/>
          <w:color w:val="auto"/>
        </w:rPr>
        <w:t>), all of whose issued and outstanding share capital is wholly owned directly and indirectly by the Telos Corporation. All intercompany transactions have been eliminated in consolidation.</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and the rules and regulations of the U.S. Securities and Exchange Commission ("SEC").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Comparison</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prior-period amounts have been reclassified to the current period presentation. In the current year, we reclassified "Accrued liabilities" as a separate line item on the consolidated balance sheets from "Accounts payable" and "Other current liabilities". In addition, we reclassified "Inventories, net," and presented them as part of "Other current assets" on the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evaluates these estimates and assumptions on an ongoing basis, including, but not limited to, those relating to revenue recognition on cost estimation on certain contracts, allowance for credit losses, inventory obsolescence, income taxes including valuation allowance, certain assumptions related to stock-based compensation, fair value measurements, valuation and impairment of intangible assets and goodwill, useful lives and realizability of long-lived assets, restructuring expense accruals and contingencies. Actual results could differ from those estimates. The impact of changes in estimates is recorded in the period in which they become known.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that subject us to concentrations of credit risk consist primarily of cash and cash equivalents, and accounts receivable.</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consideration that a large amount of our working capital and total assets are held in cash and cash equivalents, we are exposed to credit risk in the event of default by the financial institutions to the extent of the amounts held in excess of federal insurance limits. Due to the financial strength and high credit quality of the financial institutions where the accounts are held, we do not believe that this credit risk makes it reasonably possible that a near-term severe impact risk of loss will occur.</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receivables are primarily due from the U.S. federal government, or from prime contractors to whom we are subcontractors and the end customer is the U.S. federal government, and are generally considered collectable from the perspective of the customer's ability to pay. We believe that the credit risk associated with our receivables is limited due to the creditworthiness of our customers. We maintain an allowance for estimated potential credit losses.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at the date of purchase to be cash equivalents.</w:t>
      </w:r>
    </w:p>
    <w:p>
      <w:pPr>
        <w:spacing w:after="0" w:line="171"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 xml:space="preserve">Restricted cash represents funds that are held in our money market account but precluded from use of general business needs through contractual requirements. We report our restricted cash balance within "Other assets" on the consolidated balance sheets, see </w:t>
      </w:r>
      <w:r>
        <w:rPr>
          <w:rFonts w:ascii="Times New Roman" w:cs="Times New Roman" w:eastAsia="Times New Roman" w:hAnsi="Times New Roman"/>
          <w:sz w:val="18"/>
          <w:szCs w:val="18"/>
          <w:u w:val="single" w:color="auto"/>
          <w:color w:val="0000FF"/>
        </w:rPr>
        <w:t>Note 8 – Other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Components</w:t>
      </w:r>
      <w:r>
        <w:rPr>
          <w:rFonts w:ascii="Times New Roman" w:cs="Times New Roman" w:eastAsia="Times New Roman" w:hAnsi="Times New Roman"/>
          <w:sz w:val="18"/>
          <w:szCs w:val="18"/>
          <w:color w:val="000000"/>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billing and cash receipts from customers. Amounts are invoiced as work progresses, either at periodic intervals or upon achievement of contractual milestones. We record a contract asset when revenue is recognized prior to invoicing, or a contract liability when cash is received in advance or when milestone payments from customers exceed revenue earned to date.</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contract asset is a right to consideration that is conditional upon factors other than the passage of time. Contract liabilities include deferred revenue, customer advances and billings in excess of revenue. Contract assets and liabilities are recorded net on a contract-by-contract basis and are classified based on the contract's operating cycle at the end of each reporting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includes the following:</w:t>
      </w:r>
    </w:p>
    <w:p>
      <w:pPr>
        <w:spacing w:after="0" w:line="171"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u w:val="single" w:color="auto"/>
          <w:color w:val="auto"/>
        </w:rPr>
        <w:t>Billed Receivables</w:t>
      </w:r>
      <w:r>
        <w:rPr>
          <w:rFonts w:ascii="Times New Roman" w:cs="Times New Roman" w:eastAsia="Times New Roman" w:hAnsi="Times New Roman"/>
          <w:sz w:val="18"/>
          <w:szCs w:val="18"/>
          <w:color w:val="auto"/>
        </w:rPr>
        <w:t>: Billed receivables are balances where an invoice has been prepared and issued and is collectible under standard contract terms. Where we anticipate that an invoice will be issued within a short period of time and where the funds are considered collectible within standard contract terms, we include this balance as billed accounts receivable.</w:t>
      </w:r>
    </w:p>
    <w:p>
      <w:pPr>
        <w:spacing w:after="0" w:line="122" w:lineRule="exact"/>
        <w:rPr>
          <w:sz w:val="20"/>
          <w:szCs w:val="20"/>
          <w:color w:val="auto"/>
        </w:rPr>
      </w:pPr>
    </w:p>
    <w:p>
      <w:pPr>
        <w:ind w:left="340"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Unbilled Receivables</w:t>
      </w:r>
      <w:r>
        <w:rPr>
          <w:rFonts w:ascii="Times New Roman" w:cs="Times New Roman" w:eastAsia="Times New Roman" w:hAnsi="Times New Roman"/>
          <w:sz w:val="18"/>
          <w:szCs w:val="18"/>
          <w:color w:val="auto"/>
        </w:rPr>
        <w:t>: Unbilled receivables are balances that have not yet been billed due to timing, most commonly just a month delayed from the timing of revenue recognition and the actual bill being presented to the customer. The Company has fulfilled all requirements in order to bill the customer and collect the funds.</w:t>
      </w:r>
    </w:p>
    <w:p>
      <w:pPr>
        <w:spacing w:after="0" w:line="122" w:lineRule="exact"/>
        <w:rPr>
          <w:sz w:val="20"/>
          <w:szCs w:val="20"/>
          <w:color w:val="auto"/>
        </w:rPr>
      </w:pPr>
    </w:p>
    <w:p>
      <w:pPr>
        <w:ind w:left="340" w:right="340"/>
        <w:spacing w:after="0" w:line="266" w:lineRule="auto"/>
        <w:rPr>
          <w:sz w:val="20"/>
          <w:szCs w:val="20"/>
          <w:color w:val="auto"/>
        </w:rPr>
      </w:pPr>
      <w:r>
        <w:rPr>
          <w:rFonts w:ascii="Times New Roman" w:cs="Times New Roman" w:eastAsia="Times New Roman" w:hAnsi="Times New Roman"/>
          <w:sz w:val="18"/>
          <w:szCs w:val="18"/>
          <w:u w:val="single" w:color="auto"/>
          <w:color w:val="auto"/>
        </w:rPr>
        <w:t>Contract Assets:</w:t>
      </w:r>
      <w:r>
        <w:rPr>
          <w:rFonts w:ascii="Times New Roman" w:cs="Times New Roman" w:eastAsia="Times New Roman" w:hAnsi="Times New Roman"/>
          <w:sz w:val="18"/>
          <w:szCs w:val="18"/>
          <w:color w:val="auto"/>
        </w:rPr>
        <w:t xml:space="preserve"> Contract assets are receivables for which the right to consideration is conditional upon factors other than the passage of time. The timing of these billings is generally driven by contractual terms, which may have billing milestones that are different from revenue recognition milestones.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Both billed and unbilled balances are recorded at their face amount less an allowance for credit losses over the contractual payment terms of the receivable. Collectability of these amounts is periodically reviewed based upon management's knowledge and analysis of available information as of the balance sheet date, including any specific circumstances related to overdue balances, length of time that the receivable has been outstanding, historical bad debts and aging trends, and other general and contract specific factors. The allowance for credit losses is adjusted based on such evaluation. Accounts receivable balances are written off against the allowance when management deems the balances uncollectible.</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contract asset balance is recorded at the net amount expected to be billed for services performed once the objective criteria laid out by the contract has been met.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where cost is determined using the weighted-average method. The value of inventory is adjusted for damaged, obsolete, excess and slowing-moving inventory. Net realizable value of inventory is estimated based on the historical obsolescence experience and planned usage. If events or changes in circumstances indicate that the use of the inventories have diminished through obsolescence, damage, deterioration or other causes, a loss is recognized in the period in which it occurs.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Inventories are substantially comprised of finished goods purchased for customers, such as off-the-shelf hardware and software, and component computer parts used in connection with system integration services that we perform.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Program Expenses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Deferred program expenses include direct contract costs identifiable with or allocable to a specific contract. These costs are capitalized as deferred program expenses when the costs are expected to be recovered over a period of time. These costs are amortized using the straight-line method over the expected contract period of performance or recognized upon delivery of the performance obligation. If the contract period of performance is beyond twelve months, we classify the cost as long-term and is included within "Other assets" on the consolidated balance sheets.</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We evaluate acquisitions to determine whether it is a business combination or an asset acquisition and accounted for under U.S. GAAP using the acquisition method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allocates the fair value of purchase consideration to the tangible and intangible assets acquired and liabilities assumed based on their estimated fair values. The excess of the fair value of purchase consideration over the values of these identifiable assets and liabilities, if any, is recorded as goodwill.</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accounting for business combinations requires management to make judgments and estimates of the fair value of assets acquired, including the identification and valuation of intangible assets, as well as liabilities and contingencies assumed. Such judgments and estimates directly impact the amount of goodwill recognized in connection with an acquisition. Estimating the fair value of acquired assets and assumed liabilities, including intangibles, requires judgment about expected future cash flows, weighted-average cost of capital, discount rates and expected long-term growth rates.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business combinations occurred during the years ended December 31, 2025, and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of furniture and equipment has been provided over the estimated useful lives of the respective assets (ranging from three to five years) using the straight-line method. Leasehold improvements are amortized over the shorter of their useful life or the remaining terms of the lease. Repairs and maintenance costs are expensed as incurred. Major renewals and improvements are capitalized and depreciated over their estimated useful lives.</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Upon sale or retirement of property and equipment, the costs and related accumulated depreciation and amortization are eliminated from the accounts and any gain or loss on such disposition is reflected in the consolidated statements of operations. For the years ended December 31, 2025, and 2024, such amounts are negligible.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Goodwill is recorded for the difference between the aggregate consideration paid for an acquisition and the fair value of net tangible and intangible assets acquired and liabilities assumed. Goodwill is not amortized, but rather tested for potential impairment at the reporting unit level on an annual basis, and more frequently if events or circumstances indicate that the carrying value of the reporting unit may not be recoverable, in accordance with ASC 350. Our policy is to perform our annual goodwill impairment evaluation as of December 31 each year. During fiscal year 2025, and 2024, we have two reporting units, respectively, for the purpose of testing goodwill for impairment.</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Goodwill is evaluated for impairment either under a qualitative assessment option or a quantitative approach, which depends on the facts and circumstances of a reporting unit. We may elect to utilize a qualitative assessment to evaluate whether it is more likely than not that the fair value of a reporting unit is less than its carrying value. If an impairment indicator exists based on the qualitative assessment, we perform the quantitative goodwill impairment test. When performing a quantitative impairment test, we calculate the estimated fair value of the reporting unit and compare the results with its respective carrying value, including goodwill. If the estimated fair value is determined to be less than the carrying value, we recognize an impairment loss equal to the difference between the reporting unit's fair value and the reporting unit's carrying value, up to the amount of goodwill associated with the reporting unit.</w:t>
      </w:r>
    </w:p>
    <w:p>
      <w:pPr>
        <w:spacing w:after="0" w:line="13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evaluation is based on the estimation of the fair values at the reporting unit level in comparison to the reporting unit's net asset-carrying values. The Company uses industry-accepted valuation models and set criteria that are reviewed and approved by management. We used the income approach (i.e., discounted cash flow ("DCF") method) to determine the estimated fair value.</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application of the income approach, the estimated fair value of the reporting unit is determined using a DCF analysis, which requires management's judgment with respect to forecasted revenue streams and operating margins, capital expenditures and the selection and use of an appropriate discount rate commensurate with the risk inherent in each of our reporting unit's current business model. We utilize the weighted average cost of capital as derived by certain assumptions specific to our facts and circumstances as the discount rate.</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Estimating the fair value involves the use of assumptions and significant judgments that are based on a number of factors, including actual operating results. A relatively small change in the underlying assumptions may cause a change in the results of the impairment assessment in future periods and, as such, could result in goodwill impairment.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goodwill is amortized and deducted over a 15-year period for tax purposes. See </w:t>
      </w:r>
      <w:r>
        <w:rPr>
          <w:rFonts w:ascii="Times New Roman" w:cs="Times New Roman" w:eastAsia="Times New Roman" w:hAnsi="Times New Roman"/>
          <w:sz w:val="18"/>
          <w:szCs w:val="18"/>
          <w:u w:val="single" w:color="auto"/>
          <w:color w:val="0000FF"/>
        </w:rPr>
        <w:t>Note 6 – Goodwill</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Intangible assets with finite lives are carried at cost, less accumulated amortization. Amortization is computed using the method that best reflects how their economic benefits are utilized or, if a pattern of economic benefits cannot be reliably determined, on a straight-line basis over their estimated useful lives, which is generally over periods ranging from two to eight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potential impairment whenever there is evidence that events or changes in circumstances indicate that the carrying value may not be recoverable. If such evaluation indicates that the carrying amount of the asset exceeds its estimated future undiscounted cash flows or its estimated fair value, an impairment loss is recognized to reduce the asset's carrying amount to its estimated fair value. Considerable management judgment is necessary to estimate its fair value. Accordingly, actual results could differ from such estimates. No events have been identified that caused an evaluation of the recoverability of long-lived assets.</w:t>
      </w:r>
    </w:p>
    <w:p>
      <w:pPr>
        <w:spacing w:after="0" w:line="1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to the recoverability assessment, the Company routinely reviews the remaining lives of its long-lived assets. Any reduction in the useful life assumptions will result in increased depreciation or amortization expense in the period when such determinations are made, as well as in subsequent periods. There are no changes in the estimated useful lives of long-lived assets for the periods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account for development costs of software in accordance with ASC Topic 985-20 ("ASC 985-20"), "Software – Costs of Software to be Sold, Leased, or Marketed" and ASC Topic 350-40 ("ASC 350-40") "Internal Use Software," depending on the intended use of the software being developed. Under ASC 985-20, all costs of developing software prior to establishing its technological feasibility are research and development costs and are expensed as incurred. Once technological feasibility has been established, subsequent costs should be capitalized until the software begins to be marketed or is released to customers, after which the capitalized costs should be amortized and reviewed for impairment. Under ASC 350-40, we capitalize certain software development costs when the preliminary project stage is completed and the software has entered the application development stage. Once substantial testing is complete and the software is ready to be used, capitalization of costs ceases.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are amortized on a straight-line basis over the remaining estimated economic life of the software, ranging from two to five years, beginning when the asset is ready for its intended use. If the estimate of useful economic life is changed, the remaining carrying amount of the asset is amortized prospectively over the revised remaining economic life.</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ASC 350-40 also requires hosting arrangements that are service contracts to follow the guidance for internal-use software to determine which implementation costs can be capitalized. In accordance with ASC 350-40, (i) capitalized implementation costs are classified in the same balance sheet line item as the amounts prepaid for the related hosting arrangement, (ii) amortization of capitalized implementation costs is presented in the same income statement line item as the service fees for the related hosting arrangement, and (iii) cash flows related to capitalized implementation costs are presented within the same category of cash flow activity as the cash flow for the related hosting arrangements (i.e. operating activity). As of December 31, 2025, and 2024, the net carrying value of the capitalized implementation costs related to hosting arrangements that were incurred during the application development stage aggregated to $0.1 million and $0.2 million, respectively. These costs are related primarily to the implementation of a new enterprise resource planning system. The Company begins amortizing the capitalized implementation costs after all substantial testing is complete and ready for its intended use, and amortized over the expected term of the arrangement on a straight-line basis.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3"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and we account for leases in accordance with ASC Topic 842, "Leases." We entered into contractual arrangements primarily for the use of real estate facilities and certain other equipment. We determine the classification of the lease under these arrangements, if any, at inception based on (1) whether the contract involves the use of a distinct identified asset, (2) whether we obtain the right to substantially all the economic benefits from the use of the asset throughout the period, and (3) whether we have a right to direct the use of the asset.</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Leased property meeting certain criteria is capitalized at the present value of the related minimum lease payments. Amortization of a finance lease ROU asset is computed using the straight-line method over the lesser of the lease term or the useful life of the related asset.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accordance with ASC 842, we recorded operating lease ROU assets, which represent our right to use an underlying asset for the lease term, and operating lease liabilities, which represent our obligation to make lease payments. Our operating leases are generally for equipment and office spaces. The amount of operating lease liabilities due within 12 months are recorded in other current liabilities, with the remaining operating lease liabilities recorded as non-current liabilities in our consolidated balance sheets based on their contractual due dates. The operating lease ROU assets and liabilities are recognized as of the lease commencement date at the present value of the lease payments over the lease term. On lease arrangements where leases include options to extend the term of the lease, we include the impact of the options on the lease term, when we are reasonably certain that we will exercise such options. Most of our leases do not provide an implicit rate that can readily be determined. Therefore, we use a discount rate based on our incremental borrowing rate on all operating leases. Some of our operating leases contain lease and non-lease components, which we account for as a single component. Operating lease expense is recognized as rent expense on a straight-line basis over the lease term, and recorded within our consolidated statement of operations.</w:t>
      </w:r>
    </w:p>
    <w:p>
      <w:pPr>
        <w:spacing w:after="0" w:line="13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related lease payments on short-term lease arrangements (leases of one year or less) are recognized as expense on a straight-line basis over the lease term.</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ROU assets are evaluated for impairment in a manner consistent with the treatment of other long-lived assets. ROU assets are assessed for potential impairment whenever there is evidence that events or changes in circumstances indicate that the carrying value of the asset may not be recoverable and the carrying amount of the assets exceeds its estimated fair value.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U.S. GAAP provides a framework for measuring fair value and expands disclosures about fair value measurements. The framework requires the valuation of investments using a three-tiered approach. The statement requires fair value measurement to be classified and disclosed in one of the following categories:</w:t>
      </w:r>
    </w:p>
    <w:p>
      <w:pPr>
        <w:spacing w:after="0" w:line="68"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and liabilities;</w:t>
      </w:r>
    </w:p>
    <w:p>
      <w:pPr>
        <w:spacing w:after="0" w:line="117"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or</w:t>
      </w:r>
    </w:p>
    <w:p>
      <w:pPr>
        <w:spacing w:after="0" w:line="5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hierarchy requires the use of observable market data, when available, and to minimize the use of unobservable inputs when determining fair value.</w:t>
      </w:r>
    </w:p>
    <w:p>
      <w:pPr>
        <w:spacing w:after="0" w:line="17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Except for the fair value of investment, the fair value of certain non-derivative financial instruments, including receivables, accounts payable and other accrued liabilities, approximates the carrying value due to the short-term nature of these instruments. See </w:t>
      </w:r>
      <w:r>
        <w:rPr>
          <w:rFonts w:ascii="Times New Roman" w:cs="Times New Roman" w:eastAsia="Times New Roman" w:hAnsi="Times New Roman"/>
          <w:sz w:val="18"/>
          <w:szCs w:val="18"/>
          <w:u w:val="single" w:color="auto"/>
          <w:color w:val="0000FF"/>
        </w:rPr>
        <w:t>Note 8 – Other Balance Sheet Components</w:t>
      </w:r>
      <w:r>
        <w:rPr>
          <w:rFonts w:ascii="Times New Roman" w:cs="Times New Roman" w:eastAsia="Times New Roman" w:hAnsi="Times New Roman"/>
          <w:sz w:val="18"/>
          <w:szCs w:val="18"/>
          <w:color w:val="auto"/>
        </w:rPr>
        <w:t xml:space="preserve"> for further details on investment.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Accrued liabilities represents incurred expenses but not yet invoiced or paid by the Company. These include, but not limited to, accruals related to projects, fees, taxes, employee benefits, restructuring expenses, and other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(such as salaries, taxes, benefits and stock-based compensation), allocated overhead costs and outside services costs related to the development and improvement of the Company's software. Research and development costs are generally expensed as incurred, except for costs incurred in connection with the development of software that qualify for capitalization as described in our software development costs policy. Amortization of capitalized software development costs, not charged under cost of sales, is also reported as part of research and development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general and administrative expenses, as well as direct and indirect sales and marketing expenses. These costs consist primarily of compensation and benefits (including incentive-based compensation), advertising, facilities, and certain types of depreciation and amortization.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and included in selling, general and administrative expenses when incurred. Advertising expenses were $0.5 million and $0.7 million for the years ended December 31, 2025, and 2024, respectively.</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 We record a valuation allowance that reduces deferred tax assets when it is "more likely than not" that deferred tax assets will not be realized.</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follow the provisions of ASC 740 related to accounting for uncertainty in income taxes. The accounting estimates related to liabilities for uncertain tax positions require us to make judgments regarding the sustainability of each uncertain tax position based on its technical merits. If we determine it is more likely than not that a tax position will be sustained based on its technical merits, we record the impact of the position in our consolidated financial statements at the largest amount that is greater than fifty percent likely of being realized upon ultimate settlement. These estimates are updated at each reporting date based on the facts, circumstances and information available. We are also required to assess at each reporting date whether it is reasonably possible that any significant increases or decreases to our unrecognized tax benefits will occur during the next 12 months.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4, 2025, the OBBBA was enacted into law, including significant amendments to the Internal Revenue Code. The OBBBA imposes various changes to U.S. federal income tax regulations, such as restoring bonus depreciation, and removing the requirement to capitalize and amortize domestic research and development expenditures. The OBBBA also included certain modifications to the Inflation Reduction Act of 2022, including the repeal or acceleration of the sunsetting of certain tax credits and the elimination of certain penalties for violations of certain regulatory credit programs. The legislation has multiple effective dates, with certain provisions effective in 2025 and other implemented through 2027. The enactment of these provisions did not have a material impact on our audited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grants stock-based compensation awards under the Amended and Restated 2016 Omnibus Long-Term Incentive Plan (the "2016 LTIP"). Our 2016 LTIP provides for the grant of stock options, stock appreciation rights, restricted stock, restricted stock units, unrestricted stock and dividend equivalent rights to our senior executives, directors, employees, and other eligible service providers. The stock options granted under the 2016 LTIP expire no more than 10 years after the date of grant.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stock options, restricted stock units with time-based vesting ("RSUs"), and restricted stock units with performance-based vesting ("PSUs"). Awards granted under the 2016 LTIP vest over the periods determined by the Board of Directors or the Compensation Committee of the Board of Directors, which has the discretion to establish the terms, conditions and criteria of the various awards.</w:t>
      </w:r>
    </w:p>
    <w:p>
      <w:pPr>
        <w:spacing w:after="0" w:line="68" w:lineRule="exact"/>
        <w:rPr>
          <w:sz w:val="20"/>
          <w:szCs w:val="20"/>
          <w:color w:val="auto"/>
        </w:rPr>
      </w:pPr>
    </w:p>
    <w:p>
      <w:pPr>
        <w:ind w:left="340" w:right="2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in installments over a period of up to three years from the date of grant. The grant date fair value per share is equal to the closing stock price on the date of grant.</w:t>
      </w:r>
    </w:p>
    <w:p>
      <w:pPr>
        <w:spacing w:after="0" w:line="53" w:lineRule="exact"/>
        <w:rPr>
          <w:rFonts w:ascii="Times New Roman" w:cs="Times New Roman" w:eastAsia="Times New Roman" w:hAnsi="Times New Roman"/>
          <w:sz w:val="18"/>
          <w:szCs w:val="18"/>
          <w:color w:val="auto"/>
        </w:rPr>
      </w:pPr>
    </w:p>
    <w:p>
      <w:pPr>
        <w:ind w:left="340" w:right="12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vest upon the achievement of a defined performance target, or market conditions for the Company's common stock, or certain operational milestones over a prescribed period. The fair value per share of these PSUs is equal to the closing stock price on the date of the grant, or the fair value of the award on the grant date as determined through an independent valuation for PSUs with market conditions. For the Company's stock-based compensation awards subject to market conditions, the grant date fair value per share is based on a Monte Carlo simulation method.</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on the date of the grant using an option pricing model. The option pricing model takes into consideration the current share price of the underlying common stock, exercise price of the option, expected term, risk-free interest rate and the volatility of share price. These considerations directly affect the amount of compensation expense that will ultimately be recognized.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stock-based compensation expense for an award is recognized ratably over the requisite service period, which is generally the vesting period during which an employee is required to provide service in exchange for an award. Stock-based compensation expense for awards with performance conditions is estimated at each reporting date using management's expectation of the probable achievement of the specified performance targets and recognized over the requisite service period for each tranche on a graded-vesting basis. If such performance conditions are not or are no longer considered probable, no compensation expense for these awards is recognized, and any previously recognized expense is reversed. If the performance condition is achieved prior to the completion of the requisite service period, any unrecognized compensation expense will be recognized in the period the performance condition is achieved. Compensation expense for PSUs with market conditions is recognized based on the grant date fair value calculated over the derived service period as determined through the Monte Carlo simulation model, or sooner if the market condition is achieved. Previously recognized expense for awards with market conditions will never be reversed subsequent to completion of the derived service period even if the market conditions are never achieved. We recognize forfeitures of stock-based compensation awards as they occur. Stock-based compensation expense is recognized as part of the cost of sales and operating expenses in our consolidated statements of operations.</w:t>
      </w:r>
    </w:p>
    <w:p>
      <w:pPr>
        <w:spacing w:after="0" w:line="13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records stock-based compensation related to accrued compensation in which it intends to settle in shares of the Company's common stock. However, it is the Company's discretion whether this compensation will ultimately be paid in stock or cash, as it has the right to dictate the form of these payments up until the date they are paid.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Earnings per Share</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Basic net (loss) earnings per share is computed by dividing the net (loss) earnings by the weighted-average number of common shares outstanding for the period, without consideration for potentially dilutive securities. Diluted net (loss) earnings per share is computed by dividing the net (loss) earnings by the weighted-average number of shares of common stock and dilutive common stock equivalents outstanding for the period determined using the treasury-stock and if-converted methods. Dilutive common stock equivalents are comprised of unvested restricted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Comprehensive (Loss) Income</w:t>
      </w:r>
    </w:p>
    <w:p>
      <w:pPr>
        <w:spacing w:after="0" w:line="17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 during the periods presented. Translation gains and losses are included in stockholders' equity as a component of accumulated other comprehensive (loss)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determination of when the Company accrues for involuntary termination benefits under restructuring plans depends on whether the termination benefits are provided under an ongoing benefit arrangement or under a one-time benefit arrangement. The Company accounts for ongoing benefit arrangements, such as those documented by employment agreements, in accordance with ASC 712 ("ASC 712"), "Compensation – Nonretirement Postemployment Benefits." Under ASC 712, liabilities for postemployment benefits are recorded at the time of obligations are probable of being incurred and can be reasonably estimated. When applicable, the Company records such costs into operating expenses.</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From time to time, the Company initiates restructuring activities to execute management's strategy and optimize its cost structure. Restructuring activities may include streamlining its workforce or realignment of resources to support its business strategies and enhance operational efficiency.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Restructuring Plan</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fourth quarter of 2022, the Company committed to a restructuring plan to streamline its workforce and spending to better align its cost structure with its volume of business ("2022 restructuring"). The 2022 restructuring plan reduced the Company's workforce, with a majority of the affected employees separating from the business in early 2023. The actions under the 2022 restructuring plan were substantially completed in fiscal year 2023, and were fully paid in the third quarter of 2024. Total restructuring expenses incurred under the 2022 restructuring plan were $3.9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 Restructuring Plan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 undertook another restructuring action in an effort to optimize its strategic priorities and cost structure ("2024 restructuring"). As part of the 2024 restructuring plan, the Company decided to discontinue the development and/or sale of selected solutions or parts of solutions, which resulted in the impairment of capitalized software assets and a reduction in workforce. The cumulative amount of incurred severance and benefit costs related to the 2024 restructuring plan was $1.3 million, of which $0.2 million was allocated to the Security Solutions segment and $0.1 million was allocated to the Secure Networks segment. The 2024 restructuring actions were substantially completed in fiscal year 2024, and were fully paid in early fiscal year 2025.</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as a result of the Company's decision to abandon the development or sale of selected solutions in the third quarter of 2024, the Company wrote off $6.4 million of its previously capitalized software assets. This was reported as an impairment loss on intangible assets under operating expenses on the consolidated statement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2025 Restructuring Plan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fourth quarter of 2025, the Company committed to another restructuring plan as part of its efforts to streamline operations and to align people, roles and projects to our strategic priorities ("2025 restructuring"). The 2025 restructuring plan resulted in a workforce reduction and certain inventory write-offs. During the year-ended December 31, 2025, the Company recorded approximately $1.5 million of restructuring related charges, the majority of which relates to employee severance and benefit charges. Of this amount, $0.4 million was allocated to the Security Solutions segment and $0.1 million was allocated to the Secure Networks segment.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2.1: Summary of Restructuring Expenses and Impairment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3760" w:type="dxa"/>
            <w:vAlign w:val="bottom"/>
            <w:tcBorders>
              <w:top w:val="single" w:sz="8" w:color="auto"/>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color w:val="auto"/>
              </w:rPr>
              <w:t>For the Year Ended December 31,</w:t>
            </w:r>
          </w:p>
        </w:tc>
      </w:tr>
      <w:tr>
        <w:trPr>
          <w:trHeight w:val="212"/>
        </w:trPr>
        <w:tc>
          <w:tcPr>
            <w:tcW w:w="3820" w:type="dxa"/>
            <w:vAlign w:val="bottom"/>
          </w:tcPr>
          <w:p>
            <w:pPr>
              <w:spacing w:after="0"/>
              <w:rPr>
                <w:sz w:val="18"/>
                <w:szCs w:val="18"/>
                <w:color w:val="auto"/>
              </w:rPr>
            </w:pPr>
          </w:p>
        </w:tc>
        <w:tc>
          <w:tcPr>
            <w:tcW w:w="31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Statements of Operations</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r>
      <w:tr>
        <w:trPr>
          <w:trHeight w:val="216"/>
        </w:trPr>
        <w:tc>
          <w:tcPr>
            <w:tcW w:w="38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8"/>
                <w:szCs w:val="18"/>
                <w:color w:val="auto"/>
              </w:rPr>
            </w:pPr>
          </w:p>
        </w:tc>
      </w:tr>
      <w:tr>
        <w:trPr>
          <w:trHeight w:val="23"/>
        </w:trPr>
        <w:tc>
          <w:tcPr>
            <w:tcW w:w="38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and related benefit costs</w:t>
            </w: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6"/>
        </w:trPr>
        <w:tc>
          <w:tcPr>
            <w:tcW w:w="3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related costs </w:t>
            </w:r>
            <w:r>
              <w:rPr>
                <w:rFonts w:ascii="Times New Roman" w:cs="Times New Roman" w:eastAsia="Times New Roman" w:hAnsi="Times New Roman"/>
                <w:sz w:val="21"/>
                <w:szCs w:val="21"/>
                <w:color w:val="auto"/>
                <w:vertAlign w:val="superscript"/>
              </w:rPr>
              <w:t>(1)</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and related benefit costs</w:t>
            </w: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R&amp;D, SG&amp;A</w:t>
            </w:r>
          </w:p>
        </w:tc>
        <w:tc>
          <w:tcPr>
            <w:tcW w:w="4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r>
      <w:tr>
        <w:trPr>
          <w:trHeight w:val="22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restructuring expenses</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9"/>
        </w:trPr>
        <w:tc>
          <w:tcPr>
            <w:tcW w:w="38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Impairment of intangible assets </w:t>
            </w:r>
            <w:r>
              <w:rPr>
                <w:rFonts w:ascii="Times New Roman" w:cs="Times New Roman" w:eastAsia="Times New Roman" w:hAnsi="Times New Roman"/>
                <w:sz w:val="21"/>
                <w:szCs w:val="21"/>
                <w:color w:val="auto"/>
                <w:vertAlign w:val="superscript"/>
              </w:rPr>
              <w:t>(2)</w:t>
            </w: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restructuring expenses and impairment loss</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7,643</w:t>
            </w:r>
          </w:p>
        </w:tc>
      </w:tr>
      <w:tr>
        <w:trPr>
          <w:trHeight w:val="20"/>
        </w:trPr>
        <w:tc>
          <w:tcPr>
            <w:tcW w:w="3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related costs consist of a non-cash inventory write-off related to the implementation of the 2025 restructuring plan.</w:t>
      </w:r>
    </w:p>
    <w:p>
      <w:pPr>
        <w:ind w:left="160" w:hanging="152"/>
        <w:spacing w:after="0"/>
        <w:tabs>
          <w:tab w:leader="none" w:pos="1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recoverability evaluation of intangible assets in 2024 resulted in an $11.7 million impairment loss, of which $5.3 million was recorded under cost of sales for the discontinued parts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certain solutions, and $6.4 million was recorded under operating expenses as a result of the restructuring plan (see </w:t>
      </w:r>
      <w:r>
        <w:rPr>
          <w:rFonts w:ascii="Times New Roman" w:cs="Times New Roman" w:eastAsia="Times New Roman" w:hAnsi="Times New Roman"/>
          <w:sz w:val="14"/>
          <w:szCs w:val="14"/>
          <w:u w:val="single" w:color="auto"/>
          <w:color w:val="0000FF"/>
        </w:rPr>
        <w:t>Note 7 - Intangible Assets, Net</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each reporting date, the Company evaluates its restructuring expense accrual to determine if the liabilities reported are still appropriate. Any changes in the estimated costs of executing the approved restructuring plan are reflected in the Company's consolidated statements of operations.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2.2: Summary of Changes in Restructuring Expenses Accrual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8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68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4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Severance and related benefit costs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Expenses, excluding non-cash costs</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3"/>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payments</w:t>
            </w: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r>
      <w:tr>
        <w:trPr>
          <w:trHeight w:val="237"/>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end of year</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Restructuring expenses accrual is reported as part of "Accrued liabilities" in the Company's consolidated balance sheets, see </w:t>
      </w:r>
      <w:r>
        <w:rPr>
          <w:rFonts w:ascii="Times New Roman" w:cs="Times New Roman" w:eastAsia="Times New Roman" w:hAnsi="Times New Roman"/>
          <w:sz w:val="14"/>
          <w:szCs w:val="14"/>
          <w:u w:val="single" w:color="auto"/>
          <w:color w:val="0000FF"/>
        </w:rPr>
        <w:t>Note 8 - Other Balance Sheet Components</w:t>
      </w:r>
      <w:r>
        <w:rPr>
          <w:rFonts w:ascii="Times New Roman" w:cs="Times New Roman" w:eastAsia="Times New Roman" w:hAnsi="Times New Roman"/>
          <w:sz w:val="14"/>
          <w:szCs w:val="14"/>
          <w:color w:val="auto"/>
        </w:rPr>
        <w:t xml:space="preserve"> for further details.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Improvements to Income Tax Disclosure," which requires public entities, on an annual basis, (1) disclose specific categories in the rate reconciliation, and (2) provide additional information for reconciling items that meet a quantitative threshold (if the effect of those reconciling items is equal to or greater than 5% of the amount computed by multiplying pretax income/(loss) by the applicable statutory income tax rate). This ASU was effective, for public entities, for fiscal years beginning after December 15, 2024, with early adoption permitted. The Company adopted the enhanced income taxes disclosure requirement in December 2025, on a retrospective basis (see </w:t>
      </w:r>
      <w:r>
        <w:rPr>
          <w:rFonts w:ascii="Times New Roman" w:cs="Times New Roman" w:eastAsia="Times New Roman" w:hAnsi="Times New Roman"/>
          <w:sz w:val="18"/>
          <w:szCs w:val="18"/>
          <w:u w:val="single" w:color="auto"/>
          <w:color w:val="0000FF"/>
        </w:rPr>
        <w:t>Note 14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color w:val="000000"/>
        </w:rPr>
        <w:t>). The adoption of this standard only affected our disclosures, with no impact on our consolidated financial statements.</w:t>
      </w:r>
    </w:p>
    <w:p>
      <w:pPr>
        <w:spacing w:after="0" w:line="1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(Topic 220): Disaggregation of Income Statement Expenses." This standard requires additional disclosure of certain amounts included in the expense captions presented on the statement of operations, as well as disclosures about selling expenses. The ASU is effective on a prospective basis, with the option for retrospective application. All public business entities are required to adopt the guidance in annual reporting periods beginning after December 15, 2026, and interim reporting periods beginning after December 15, 2027, with early adoption permitted. We are in the process of assessing the impact of the adoption of this ASU on our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Receivables and Contract Assets.” This standard provides simplified guidance on measuring credit losses for accounts receivable and contract assets. The update introduces a practical expedient and an accounting policy election to ease the process. All entities can elect the practical expedient to assume that the current economic conditions at the balance sheet date will remain constant through the life of the current receivables and contract assets. Entities that elect the practical expedient and the accounting policy election should apply the amendments in this ASU prospectively. The amendments will be effective for annual reporting periods beginning after December 15, 2025, and interim reporting periods within those annual reporting periods, with early adoption permitted. We are currently assessing the impact of adopting this ASU on our consolidated financial statements.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of Internal-Use Software." This standard provides a simplified, consistent way to track expenses related to software developed for internal use. The amendments in this standard removed all references to project stages; instead, a company can capitalize software costs once both conditions are met: the entity's management has authorized and committed to funding the project, and it is probable that the project will be completed and the software will be used as intended. The amendments will be effective for annual reporting periods, including interim periods within those years, beginning after December 15, 2027, with early adoption permitted. We are currently assessing the impact of adopting this ASU on our consolidated financial statements.</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was intended to improve the navigability of the guidance in ASC 270 and clarify when it applies. Public entities are required to adopt the guidance for interim reporting periods within annual reporting period beginning after December 15, 2027, with early adoption permitted. We are currently assessing the impact of adopting this ASU on our consolidated financial statements.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 This ASU includes a number of improvements that span a wide range of topics, which includes amendments on the following provisions, among other things, (1) clarify diluted EPS calculation when a loss from continuing operation exists; (2) revising the calculation of the reference amount for beneficial interests to prevent double counting credit losses; (3) clarify the permissible methods to account for treasury stock retirements; and (4) clarify the guidance for transfers of receivables from contracts with customers. The standard will be effective for annual reporting periods beginning after December 31, 2026, and interim reporting periods within those annual reporting periods, which early adoption permitted. We are currently assessing the impact of adopting this ASU on our consolidated financial statements.</w:t>
      </w:r>
    </w:p>
    <w:p>
      <w:pPr>
        <w:spacing w:after="0" w:line="13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standards are issued by the FASB or other standard-setting bodies and are adopted by the Company as of the specified accounting date. Unless otherwise discussed, the Company believes that issued standards not yet effective will not have a material effect on the Company's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revenue in accordance with ASC Topic 606, "Revenue from Contracts with Customers." The unit of account in ASC 606 is a performance obligation, which is a promise in a contract with a customer to transfer a good or service to the customer. Timing of the satisfaction of performance obligations varies across our businesses due to our diverse product and service mix, customer base, and contractual terms.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contracts with the U.S. federal government are generally subject to the Federal Acquisition Regulation ("FAR") and the price is typically based on estimated or actual costs plus a reasonable profit margin. As such, the standalone selling price of products or services in our contracts with the U.S. federal government is typically equal to the selling price stated in the contract. For non-U.S. federal government contracts with multiple performance obligations, the standalone selling price is the observable price of a good or service when the Company sells that good or service separately in similar circumstances and to similar customers.</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 If contract modifications add distinct goods or services and increases the contract value by an amount that reflects the standalone selling price, those modifications are accounted for as separate contracts.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majority of our revenue is recognized over time, as control is periodically transferred to our customers, who receive and consume benefits as we perform. Revenue transferred to customers over time accounted for 72.0% and 81.3% of our revenue for the years ended December 31, 2025, and 2024, respectively. For performance obligations in which control does not periodically transfer to the customer, we recognize revenue at the point in time in which each performance obligation is fully satisfied. This coincides with the point in time the customer obtains control of the transferred product or service, which typically occurs upon customer acceptance or receipt of the product or service, given that we maintain control of the product or service until that point. Revenue transferred to customers at a point in time accounted for 28.0% and 18.7% of our revenue for the years ended December 31, 2025, and 2024, respectively. The change in revenue mix for the year ended December 31, 2025, as compared to the prior year, was primarily driven by an increase in product sales volume from a successful ramp-up of a significant program.</w:t>
      </w:r>
    </w:p>
    <w:p>
      <w:pPr>
        <w:spacing w:after="0" w:line="1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perform under various types of contract types, including time and materials, firm-fixed-price, firm-fixed-price level of effort, and cost-plus fixed-fee contract types, which may include variable consideration.</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Revenue is recognized using a variety of input and output methods that approximate the progress towards complete satisfaction of the performance obligation; including cost incurred, labor hours expended, and time-elapsed measures for our fixed-price stand ready obligations. For certain contracts, 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This continuous transfer of control to the customer is supported by clauses in our contracts with U.S. federal government customers whereby the customer may terminate a contract for convenience and then pay for costs incurred plus a profit, at which time the customer would take control of any work in process. For non-U.S. federal government contracts where we perform as a subcontractor and our order includes similar FAR provisions as the prime contractor's order from the U.S. federal government, continuous transfer of control is likewise supported by such provisions. For other non-U.S. federal government customers, continuous transfer of control to such customers is also supported due to general terms in our contracts and rights to recover damages, which would include, among other potential damages, the right to payment for our work performed to date plus a reasonable profit.</w:t>
      </w:r>
    </w:p>
    <w:p>
      <w:pPr>
        <w:spacing w:after="0" w:line="14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Due to the transfer of control over time, revenue is recognized based on progress towards completion of the performance obligation. The selection of the method to measure progress toward completion requires judgment and is based on the nature of the performance obligations. We generally use the cost-to-cost measure of progress on a proportional performance basis for our long-term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which includes both the actual costs already incurred and the estimated costs to complete. Revenues are recorded proportionally as costs are incurred. Due to the nature of the work required to be performed on certain of our performance obligations, the estimation of costs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contracts may include various types of variable consideration and may include estimated amounts in the transaction price, based on all of the information available to us, and to the extent it is probable that a significant reversal of cumulative revenue recognized will not occur when any uncertainty associated with the variable consideration is resolved. We evaluate and include these estimated amounts of variable consideration in the transaction price and as performance on these contracts is complete, we adjust our revenue when deemed necessary. No revenue adjustment was recorded during the year ended December 31, 2025. An immaterial revenue adjustment was recorded during fiscal year ended December 31, 2024.</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provide for anticipated losses on contracts during the period when the loss is determined by recording an expense for the total expected costs that exceeds the total estimated revenue for a performance obligation. We recorded an immaterial contract loss during the year ended December 31, 2025. No contract loss was recorded during the year ended December 31, 2024.</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FAR provisions), the facts and circumstances around any additional costs incurred, the reasonableness of those costs and the objective evidence available to support such claims.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our contracts that have an original duration of one year or less, we use the practical expedient applicable to such contracts and do not consider the time value of money. We capitalize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our segment reporting, as further discussed in </w:t>
      </w:r>
      <w:r>
        <w:rPr>
          <w:rFonts w:ascii="Times New Roman" w:cs="Times New Roman" w:eastAsia="Times New Roman" w:hAnsi="Times New Roman"/>
          <w:sz w:val="18"/>
          <w:szCs w:val="18"/>
          <w:u w:val="single" w:color="auto"/>
          <w:color w:val="0000FF"/>
        </w:rPr>
        <w:t>Note 16 – Segment Information</w:t>
      </w:r>
      <w:r>
        <w:rPr>
          <w:rFonts w:ascii="Times New Roman" w:cs="Times New Roman" w:eastAsia="Times New Roman" w:hAnsi="Times New Roman"/>
          <w:sz w:val="18"/>
          <w:szCs w:val="18"/>
          <w:color w:val="auto"/>
        </w:rPr>
        <w:t>, we disaggregate our revenue by customer and contract types. We treat sales to U.S. customers as sales within the U.S. regardless of where the services are performed. Substantially all of our revenues are generated from U.S. customers, while international customers are de minimis; as such the financial information by geographic location is not presented.</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3.1: Revenue by Customer Type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2025</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government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State &amp; local government, and commercial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164,805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108,272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3.2: Revenue by Contract Type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9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2025</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6"/>
          </w:tcPr>
          <w:p>
            <w:pPr>
              <w:jc w:val="center"/>
              <w:ind w:righ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Firm fixed-price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Time-and-materials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plus fixed-fee</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2"/>
        </w:trPr>
        <w:tc>
          <w:tcPr>
            <w:tcW w:w="5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the Company's revenue was derived under prime contracts and subcontracts with agencies and departments of the U.S. federal government.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customer accounted for 10% or more of the Company's revenue during fiscal years ended December 31, 2025, and 2024.</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3.3: Revenue Concentrations Greater than 10% of Total 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40" w:type="dxa"/>
            <w:vAlign w:val="bottom"/>
            <w:tcBorders>
              <w:top w:val="single" w:sz="8" w:color="auto"/>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0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70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government:</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 segment</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134,839</w:t>
            </w:r>
          </w:p>
        </w:tc>
        <w:tc>
          <w:tcPr>
            <w:tcW w:w="80" w:type="dxa"/>
            <w:vAlign w:val="bottom"/>
          </w:tcPr>
          <w:p>
            <w:pPr>
              <w:spacing w:after="0"/>
              <w:rPr>
                <w:sz w:val="18"/>
                <w:szCs w:val="18"/>
                <w:color w:val="auto"/>
              </w:rPr>
            </w:pP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63,495</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 segment</w:t>
            </w:r>
          </w:p>
        </w:tc>
        <w:tc>
          <w:tcPr>
            <w:tcW w:w="1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15,199</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31,456</w:t>
            </w:r>
          </w:p>
        </w:tc>
      </w:tr>
      <w:tr>
        <w:trPr>
          <w:trHeight w:val="212"/>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150,038</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94,951</w:t>
            </w:r>
          </w:p>
        </w:tc>
      </w:tr>
      <w:tr>
        <w:trPr>
          <w:trHeight w:val="21"/>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3.4: Contract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center"/>
              <w:ind w:left="780"/>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bottom w:val="single" w:sz="8" w:color="auto"/>
            </w:tcBorders>
          </w:tcPr>
          <w:p>
            <w:pPr>
              <w:spacing w:after="0"/>
              <w:rPr>
                <w:sz w:val="19"/>
                <w:szCs w:val="19"/>
                <w:color w:val="auto"/>
              </w:rPr>
            </w:pPr>
          </w:p>
        </w:tc>
      </w:tr>
      <w:tr>
        <w:trPr>
          <w:trHeight w:val="213"/>
        </w:trPr>
        <w:tc>
          <w:tcPr>
            <w:tcW w:w="334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Balance Sheet Presentation</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r>
      <w:tr>
        <w:trPr>
          <w:trHeight w:val="229"/>
        </w:trPr>
        <w:tc>
          <w:tcPr>
            <w:tcW w:w="33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20" w:type="dxa"/>
            <w:vAlign w:val="bottom"/>
            <w:gridSpan w:val="3"/>
          </w:tcPr>
          <w:p>
            <w:pPr>
              <w:jc w:val="center"/>
              <w:ind w:left="7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9"/>
                <w:szCs w:val="19"/>
                <w:color w:val="auto"/>
              </w:rPr>
            </w:pPr>
          </w:p>
        </w:tc>
      </w:tr>
      <w:tr>
        <w:trPr>
          <w:trHeight w:val="37"/>
        </w:trPr>
        <w:tc>
          <w:tcPr>
            <w:tcW w:w="3340" w:type="dxa"/>
            <w:vAlign w:val="bottom"/>
          </w:tcPr>
          <w:p>
            <w:pPr>
              <w:spacing w:after="0"/>
              <w:rPr>
                <w:sz w:val="3"/>
                <w:szCs w:val="3"/>
                <w:color w:val="auto"/>
              </w:rPr>
            </w:pPr>
          </w:p>
        </w:tc>
        <w:tc>
          <w:tcPr>
            <w:tcW w:w="3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6"/>
        </w:trPr>
        <w:tc>
          <w:tcPr>
            <w:tcW w:w="33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Billed account receivables </w:t>
            </w:r>
            <w:r>
              <w:rPr>
                <w:rFonts w:ascii="Times New Roman" w:cs="Times New Roman" w:eastAsia="Times New Roman" w:hAnsi="Times New Roman"/>
                <w:sz w:val="21"/>
                <w:szCs w:val="21"/>
                <w:color w:val="auto"/>
                <w:vertAlign w:val="superscript"/>
              </w:rPr>
              <w:t>(1)</w:t>
            </w:r>
          </w:p>
        </w:tc>
        <w:tc>
          <w:tcPr>
            <w:tcW w:w="3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10,014</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 receivables</w:t>
            </w: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5,412</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3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Contract liabilities – current portion</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6,838</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3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Contract liabilities – non-current portion</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34" w:lineRule="exact"/>
        <w:rPr>
          <w:sz w:val="20"/>
          <w:szCs w:val="20"/>
          <w:color w:val="auto"/>
        </w:rPr>
      </w:pPr>
    </w:p>
    <w:p>
      <w:pPr>
        <w:ind w:left="140" w:hanging="132"/>
        <w:spacing w:after="0"/>
        <w:tabs>
          <w:tab w:leader="none" w:pos="14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of allowance for credit losses.</w:t>
      </w:r>
    </w:p>
    <w:p>
      <w:pPr>
        <w:spacing w:after="0" w:line="14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changes in the Company's contract assets and contract liabilities during the current period were primarily the result of the timing differences between the Company's performance, invoicing and customer payments. Revenue recognized for the years ended December 31, 2025, and 2024, which was included in the contract liabilities balance at December 31, 2024, and 2023, was $5.5 million and $5.9 million, respectively.</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$68.8 million of remaining performance obligations, which we also refer to as funded backlog. We expect to recognize approximately 98.0% of our remaining performance obligations over the next 12 months, and the balance thereafter.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ACCOUNTS RECEIVABLE,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4.1: Details of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bottom w:val="single" w:sz="8" w:color="auto"/>
            </w:tcBorders>
          </w:tcPr>
          <w:p>
            <w:pPr>
              <w:spacing w:after="0"/>
              <w:rPr>
                <w:sz w:val="19"/>
                <w:szCs w:val="19"/>
                <w:color w:val="auto"/>
              </w:rPr>
            </w:pPr>
          </w:p>
        </w:tc>
      </w:tr>
      <w:tr>
        <w:trPr>
          <w:trHeight w:val="237"/>
        </w:trPr>
        <w:tc>
          <w:tcPr>
            <w:tcW w:w="7000" w:type="dxa"/>
            <w:vAlign w:val="bottom"/>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r>
      <w:tr>
        <w:trPr>
          <w:trHeight w:val="233"/>
        </w:trPr>
        <w:tc>
          <w:tcPr>
            <w:tcW w:w="70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 accounts receivables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5,412</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58"/>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Because our primary customer base includes agencies of the U.S. federal government, we have a concentration of credit risk associated with our accounts receivable, as 85.4% and 87.8% of our billed and unbilled accounts receivable, as of December 31, 2025, and 2024, respectively, were with U.S. federal government customers. While we acknowledge the potentially material and adverse risk of such a significant concentration of credit risk, our past experience of collecting substantially all of such receivables provides us with an informed basis that such risk, if any, is manageable. We perform ongoing credit evaluations of all of our customers and generally do not require collateral or other guarantees from our customers. We maintain allowances for potential losses.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4.2: Allowance for Credit Losses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Balance Beginning</w:t>
            </w: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Provision for</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Balance</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(Recovery from)</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End</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of Year</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61"/>
              <w:spacing w:after="0" w:line="230" w:lineRule="exact"/>
              <w:rPr>
                <w:sz w:val="20"/>
                <w:szCs w:val="20"/>
                <w:color w:val="auto"/>
              </w:rPr>
            </w:pPr>
            <w:r>
              <w:rPr>
                <w:rFonts w:ascii="Times New Roman" w:cs="Times New Roman" w:eastAsia="Times New Roman" w:hAnsi="Times New Roman"/>
                <w:sz w:val="16"/>
                <w:szCs w:val="16"/>
                <w:color w:val="auto"/>
                <w:w w:val="98"/>
              </w:rPr>
              <w:t xml:space="preserve">Credit Losses </w:t>
            </w:r>
            <w:r>
              <w:rPr>
                <w:rFonts w:ascii="Times New Roman" w:cs="Times New Roman" w:eastAsia="Times New Roman" w:hAnsi="Times New Roman"/>
                <w:sz w:val="21"/>
                <w:szCs w:val="21"/>
                <w:color w:val="auto"/>
                <w:w w:val="98"/>
                <w:vertAlign w:val="superscript"/>
              </w:rPr>
              <w:t>(1)</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9"/>
              <w:spacing w:after="0" w:line="230" w:lineRule="exact"/>
              <w:rPr>
                <w:sz w:val="20"/>
                <w:szCs w:val="20"/>
                <w:color w:val="auto"/>
              </w:rPr>
            </w:pPr>
            <w:r>
              <w:rPr>
                <w:rFonts w:ascii="Times New Roman" w:cs="Times New Roman" w:eastAsia="Times New Roman" w:hAnsi="Times New Roman"/>
                <w:sz w:val="16"/>
                <w:szCs w:val="16"/>
                <w:color w:val="auto"/>
              </w:rPr>
              <w:t xml:space="preserve">Write-Offs </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4"/>
              </w:rPr>
              <w:t>of Year</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5"/>
          </w:tcPr>
          <w:p>
            <w:pPr>
              <w:ind w:left="9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 2024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80" w:hanging="154"/>
        <w:spacing w:after="0"/>
        <w:tabs>
          <w:tab w:leader="none" w:pos="1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Current year account receivable reserves for expected credit losses and subsequent recoveries, net</w:t>
      </w:r>
    </w:p>
    <w:p>
      <w:pPr>
        <w:spacing w:after="0" w:line="30" w:lineRule="exact"/>
        <w:rPr>
          <w:rFonts w:ascii="Times New Roman" w:cs="Times New Roman" w:eastAsia="Times New Roman" w:hAnsi="Times New Roman"/>
          <w:sz w:val="19"/>
          <w:szCs w:val="19"/>
          <w:color w:val="auto"/>
          <w:vertAlign w:val="superscript"/>
        </w:rPr>
      </w:pPr>
    </w:p>
    <w:p>
      <w:pPr>
        <w:ind w:left="180" w:hanging="154"/>
        <w:spacing w:after="0" w:line="189" w:lineRule="auto"/>
        <w:tabs>
          <w:tab w:leader="none" w:pos="1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Accounts receivable written-off</w:t>
      </w:r>
    </w:p>
    <w:p>
      <w:pPr>
        <w:spacing w:after="0" w:line="1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July 15, 2016, we entered into an accounts receivable purchase agreement (the "Factoring Agreement") with a third party (the "Factor") on a non-recourse basis. This agreement was terminated on December 10, 2025. There were no accounts receivable sold during 2025 and 2024,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10, 2026, we entered into a new Factoring Agreement with the same Factor. Under the agreement, we may offer eligible accounts receivable arising from our U.S. government prime contracts or subcontracts for sale (collectively, the "Purchased Receivables") to the Factor, and the Factor may purchase such receivables at its sole discretion. The total amount of Purchased Receivables is subject to a maximum limit of $10.0 million of outstanding Purchased Receivables at any given time. This new Factoring Agreement has an initial term expiring on March 10, 2027 and automatically renews annually thereafter unless terminated in writing by the parties.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PROPERTY AND EQUIPMENT,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5.1: Details of Property and Equipment,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color w:val="auto"/>
              </w:rPr>
              <w:t>As of December 31, 2025</w:t>
            </w: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color w:val="auto"/>
              </w:rPr>
              <w:t>As of December 31, 2024</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0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7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34"/>
        </w:trPr>
        <w:tc>
          <w:tcPr>
            <w:tcW w:w="3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5.2: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20320</wp:posOffset>
            </wp:positionV>
            <wp:extent cx="2691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6" w:lineRule="exact"/>
        <w:rPr>
          <w:sz w:val="20"/>
          <w:szCs w:val="20"/>
          <w:color w:val="auto"/>
        </w:rPr>
      </w:pPr>
    </w:p>
    <w:p>
      <w:pPr>
        <w:ind w:left="7880"/>
        <w:spacing w:after="0"/>
        <w:tabs>
          <w:tab w:leader="none" w:pos="10020" w:val="left"/>
        </w:tabs>
        <w:rPr>
          <w:sz w:val="20"/>
          <w:szCs w:val="20"/>
          <w:color w:val="auto"/>
        </w:rPr>
      </w:pPr>
      <w:r>
        <w:rPr>
          <w:rFonts w:ascii="Times New Roman" w:cs="Times New Roman" w:eastAsia="Times New Roman" w:hAnsi="Times New Roman"/>
          <w:sz w:val="16"/>
          <w:szCs w:val="16"/>
          <w:color w:val="auto"/>
        </w:rPr>
        <w:t>2025</w:t>
      </w:r>
      <w:r>
        <w:rPr>
          <w:sz w:val="20"/>
          <w:szCs w:val="20"/>
          <w:color w:val="auto"/>
        </w:rPr>
        <w:tab/>
      </w:r>
      <w:r>
        <w:rPr>
          <w:rFonts w:ascii="Times New Roman" w:cs="Times New Roman" w:eastAsia="Times New Roman" w:hAnsi="Times New Roman"/>
          <w:sz w:val="16"/>
          <w:szCs w:val="16"/>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20320</wp:posOffset>
            </wp:positionV>
            <wp:extent cx="26917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5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2" w:lineRule="exact"/>
        <w:rPr>
          <w:sz w:val="20"/>
          <w:szCs w:val="20"/>
          <w:color w:val="auto"/>
        </w:rPr>
      </w:pPr>
    </w:p>
    <w:p>
      <w:pPr>
        <w:ind w:left="20"/>
        <w:spacing w:after="0"/>
        <w:tabs>
          <w:tab w:leader="none" w:pos="7000" w:val="left"/>
          <w:tab w:leader="none" w:pos="8620" w:val="left"/>
          <w:tab w:leader="none" w:pos="9160" w:val="left"/>
          <w:tab w:leader="none" w:pos="10780" w:val="left"/>
        </w:tabs>
        <w:rPr>
          <w:sz w:val="20"/>
          <w:szCs w:val="20"/>
          <w:color w:val="auto"/>
        </w:rPr>
      </w:pPr>
      <w:r>
        <w:rPr>
          <w:rFonts w:ascii="Times New Roman" w:cs="Times New Roman" w:eastAsia="Times New Roman" w:hAnsi="Times New Roman"/>
          <w:sz w:val="16"/>
          <w:szCs w:val="16"/>
          <w:color w:val="auto"/>
        </w:rPr>
        <w:t>Depreciation and amortization</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1,731</w:t>
        <w:tab/>
        <w:t>$</w:t>
      </w:r>
      <w:r>
        <w:rPr>
          <w:sz w:val="20"/>
          <w:szCs w:val="20"/>
          <w:color w:val="auto"/>
        </w:rPr>
        <w:tab/>
      </w:r>
      <w:r>
        <w:rPr>
          <w:rFonts w:ascii="Times New Roman" w:cs="Times New Roman" w:eastAsia="Times New Roman" w:hAnsi="Times New Roman"/>
          <w:sz w:val="16"/>
          <w:szCs w:val="16"/>
          <w:color w:val="auto"/>
        </w:rPr>
        <w:t>1,646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GOODWILL, NET</w:t>
      </w:r>
    </w:p>
    <w:p>
      <w:pPr>
        <w:spacing w:after="0" w:line="17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16 – Segment Information</w:t>
      </w:r>
      <w:r>
        <w:rPr>
          <w:rFonts w:ascii="Times New Roman" w:cs="Times New Roman" w:eastAsia="Times New Roman" w:hAnsi="Times New Roman"/>
          <w:sz w:val="18"/>
          <w:szCs w:val="18"/>
          <w:color w:val="auto"/>
        </w:rPr>
        <w:t>, we reported two operating and reportable segments: Security Solutions and Secure Networks. The two operating and reportable segments represent the reporting units for purposes of testing goodwill. The following table reflects changes in the carrying amount of goodwill during the period by reportable segments.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6.1: Changes in the Carrying Amount of Goodwill by Reportable Segments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Security Solutions</w:t>
            </w: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center"/>
              <w:ind w:right="220"/>
              <w:spacing w:after="0"/>
              <w:rPr>
                <w:sz w:val="20"/>
                <w:szCs w:val="20"/>
                <w:color w:val="auto"/>
              </w:rPr>
            </w:pPr>
            <w:r>
              <w:rPr>
                <w:rFonts w:ascii="Times New Roman" w:cs="Times New Roman" w:eastAsia="Times New Roman" w:hAnsi="Times New Roman"/>
                <w:sz w:val="16"/>
                <w:szCs w:val="16"/>
                <w:color w:val="auto"/>
              </w:rPr>
              <w:t>Secure Networks</w:t>
            </w: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64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16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(14,916)</w:t>
            </w:r>
          </w:p>
        </w:tc>
        <w:tc>
          <w:tcPr>
            <w:tcW w:w="0" w:type="dxa"/>
            <w:vAlign w:val="bottom"/>
          </w:tcPr>
          <w:p>
            <w:pPr>
              <w:spacing w:after="0"/>
              <w:rPr>
                <w:sz w:val="1"/>
                <w:szCs w:val="1"/>
                <w:color w:val="auto"/>
              </w:rPr>
            </w:pPr>
          </w:p>
        </w:tc>
      </w:tr>
      <w:tr>
        <w:trPr>
          <w:trHeight w:val="237"/>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640" w:type="dxa"/>
            <w:vAlign w:val="bottom"/>
            <w:tcBorders>
              <w:top w:val="single" w:sz="8" w:color="auto"/>
              <w:bottom w:val="single" w:sz="8" w:color="auto"/>
            </w:tcBorders>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6.2: Details of Goodwill, Net</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840" w:type="dxa"/>
            <w:vAlign w:val="bottom"/>
            <w:tcBorders>
              <w:bottom w:val="single" w:sz="8" w:color="auto"/>
            </w:tcBorders>
            <w:vMerge w:val="continue"/>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33"/>
        </w:trPr>
        <w:tc>
          <w:tcPr>
            <w:tcW w:w="4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w:t>
            </w:r>
          </w:p>
        </w:tc>
        <w:tc>
          <w:tcPr>
            <w:tcW w:w="1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impairment losses</w:t>
            </w:r>
          </w:p>
        </w:tc>
        <w:tc>
          <w:tcPr>
            <w:tcW w:w="16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(14,916)</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16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net assets attributable to the reporting units are determined based upon the estimated assets and liabilities attributable to the reporting units in deriving its free cash flows.</w:t>
      </w:r>
    </w:p>
    <w:p>
      <w:pPr>
        <w:spacing w:after="0" w:line="10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For fiscal year 2025, we performed a qualitative assessment of our reporting units and identified that it is more likely than not that the estimated fair value of our Security Solutions reporting unit exceeded its carrying value. Based on the initial qualitative assessment of our Secure Networks reporting unit, we determined that it is not more likely than not that the fair value of this reporting unit exceeds its carrying value, and therefore we performed a quantitative impairment test.</w:t>
      </w:r>
    </w:p>
    <w:p>
      <w:pPr>
        <w:spacing w:after="0" w:line="1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most recent annual impairment test, the fair value of the Secure Networks reporting unit was estimated using the result of the income approach. The income approach applied requires significant judgments, including estimation of future discounted cash flows, which is dependent on internally-developed forecasts of revenue and profitability of the existing backlog, and determination of our weighted average cost of capital, which is risk-adjusted to reflect the specific risk profile of the reporting unit being tested.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result of our fiscal year 2025 quantitative assessment of our Secure Networks reporting unit, we estimated that its carrying value exceeded its fair value. The goodwill impairment was primarily driven by the continued contraction of Secure Networks' backlog in 2025. Accordingly, we recorded a non-cash goodwill impairment of $14.9 million, representing a full goodwill impairment for Secure Networks. The impairment charge on goodwill was recorded on our consolidated statements of operations for the year ended December 31, 2025.</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fiscal year 2024, we performed a qualitative assessment of our reporting units and identified that it is more likely than not that the estimated fair value of the reporting units exceeded their carrying value and thus, we did not proceed to the quantitative impairment test. Based on the results of our annual impairment test of goodwill performed, the estimated fair value of our respective reporting units exceeded their respective carrying value, and no impairment charges were taken during the year ended December 31,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INTANGIBLE ASSETS,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7.1: Details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700" w:type="dxa"/>
            <w:vAlign w:val="bottom"/>
            <w:tcBorders>
              <w:top w:val="single" w:sz="8" w:color="auto"/>
              <w:bottom w:val="single" w:sz="8" w:color="auto"/>
            </w:tcBorders>
            <w:gridSpan w:val="6"/>
          </w:tcPr>
          <w:p>
            <w:pPr>
              <w:jc w:val="center"/>
              <w:ind w:left="879"/>
              <w:spacing w:after="0"/>
              <w:rPr>
                <w:sz w:val="20"/>
                <w:szCs w:val="20"/>
                <w:color w:val="auto"/>
              </w:rPr>
            </w:pPr>
            <w:r>
              <w:rPr>
                <w:rFonts w:ascii="Times New Roman" w:cs="Times New Roman" w:eastAsia="Times New Roman" w:hAnsi="Times New Roman"/>
                <w:sz w:val="16"/>
                <w:szCs w:val="16"/>
                <w:color w:val="auto"/>
              </w:rPr>
              <w:t>As of December 31, 2025</w:t>
            </w:r>
          </w:p>
        </w:tc>
        <w:tc>
          <w:tcPr>
            <w:tcW w:w="10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6"/>
          </w:tcPr>
          <w:p>
            <w:pPr>
              <w:jc w:val="center"/>
              <w:ind w:left="899"/>
              <w:spacing w:after="0"/>
              <w:rPr>
                <w:sz w:val="20"/>
                <w:szCs w:val="20"/>
                <w:color w:val="auto"/>
              </w:rPr>
            </w:pPr>
            <w:r>
              <w:rPr>
                <w:rFonts w:ascii="Times New Roman" w:cs="Times New Roman" w:eastAsia="Times New Roman" w:hAnsi="Times New Roman"/>
                <w:sz w:val="16"/>
                <w:szCs w:val="16"/>
                <w:color w:val="auto"/>
              </w:rPr>
              <w:t>As of December 31, 2024</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Estimated useful</w:t>
            </w:r>
          </w:p>
        </w:tc>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24"/>
                <w:szCs w:val="24"/>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213"/>
        </w:trPr>
        <w:tc>
          <w:tcPr>
            <w:tcW w:w="2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life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7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development costs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2 - 5 years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19,835</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0" w:type="dxa"/>
            <w:vAlign w:val="bottom"/>
          </w:tcPr>
          <w:p>
            <w:pPr>
              <w:spacing w:after="0"/>
              <w:rPr>
                <w:sz w:val="1"/>
                <w:szCs w:val="1"/>
                <w:color w:val="auto"/>
              </w:rPr>
            </w:pPr>
          </w:p>
        </w:tc>
      </w:tr>
      <w:tr>
        <w:trPr>
          <w:trHeight w:val="207"/>
        </w:trPr>
        <w:tc>
          <w:tcPr>
            <w:tcW w:w="2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13,685</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In-process software</w:t>
            </w: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development costs </w:t>
            </w:r>
            <w:r>
              <w:rPr>
                <w:rFonts w:ascii="Times New Roman" w:cs="Times New Roman" w:eastAsia="Times New Roman" w:hAnsi="Times New Roman"/>
                <w:sz w:val="21"/>
                <w:szCs w:val="21"/>
                <w:color w:val="auto"/>
                <w:vertAlign w:val="superscript"/>
              </w:rPr>
              <w:t>(1)</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55,901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30,281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30,410</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180" w:hanging="154"/>
        <w:spacing w:after="0"/>
        <w:tabs>
          <w:tab w:leader="none" w:pos="1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In-process software development costs are costs for software that is not yet available for its intended use or general release to customers as of balance sheet date, thus not yet amortized.</w:t>
      </w:r>
    </w:p>
    <w:p>
      <w:pPr>
        <w:spacing w:after="0" w:line="2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2024, there were selected capital software projects for which the Company decided to discontinue the development and/or sale of all or part of certain solutions and certain projects that the Company ceased use before the end of its useful life. As a result of the Company's decision to abandon the associated software, the Company wrote off $11.7 million of the previously capitalized software costs, of which $5.3 million was recorded as "Impairment loss on intangible assets" under cost of sales within the Security Solutions segment, and $6.4 million was recorded as "Impairment loss on intangible assets" under operating expenses in the Company's consolidated statements of operations during the fiscal year ended December 31, 2024. No similar impairment charge was recorded on software development costs during the fiscal year ended December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any impairment charges on other intangible assets for the periods presented.</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7.2: Amortization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580" w:type="dxa"/>
            <w:vAlign w:val="bottom"/>
            <w:tcBorders>
              <w:top w:val="single" w:sz="8" w:color="auto"/>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60" w:type="dxa"/>
            <w:vAlign w:val="bottom"/>
            <w:gridSpan w:val="3"/>
          </w:tcPr>
          <w:p>
            <w:pPr>
              <w:jc w:val="right"/>
              <w:ind w:right="95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 related to:</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0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Software development costs - cost of sales </w:t>
            </w:r>
            <w:r>
              <w:rPr>
                <w:rFonts w:ascii="Times New Roman" w:cs="Times New Roman" w:eastAsia="Times New Roman" w:hAnsi="Times New Roman"/>
                <w:sz w:val="21"/>
                <w:szCs w:val="21"/>
                <w:color w:val="auto"/>
                <w:vertAlign w:val="superscript"/>
              </w:rPr>
              <w:t>(1)</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7,814</w:t>
            </w:r>
          </w:p>
        </w:tc>
        <w:tc>
          <w:tcPr>
            <w:tcW w:w="80" w:type="dxa"/>
            <w:vAlign w:val="bottom"/>
          </w:tcPr>
          <w:p>
            <w:pPr>
              <w:spacing w:after="0"/>
              <w:rPr>
                <w:sz w:val="18"/>
                <w:szCs w:val="18"/>
                <w:color w:val="auto"/>
              </w:rPr>
            </w:pP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6,015</w:t>
            </w:r>
          </w:p>
        </w:tc>
      </w:tr>
      <w:tr>
        <w:trPr>
          <w:trHeight w:val="21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development costs - research and development</w:t>
            </w:r>
          </w:p>
        </w:tc>
        <w:tc>
          <w:tcPr>
            <w:tcW w:w="1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intangible assets - general and administrative</w:t>
            </w: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37"/>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8,268</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Amortization expense for software development costs related to assets to be sold, leased, or otherwise marketed are charged under cost of sales on the consolidated statements of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7.3: Estimated Future Amortization Expense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As of December 31, 2025</w:t>
            </w:r>
          </w:p>
        </w:tc>
      </w:tr>
      <w:tr>
        <w:trPr>
          <w:trHeight w:val="192"/>
        </w:trPr>
        <w:tc>
          <w:tcPr>
            <w:tcW w:w="8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tcPr>
          <w:p>
            <w:pPr>
              <w:jc w:val="right"/>
              <w:ind w:right="76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2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2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w:t>
            </w: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2028</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2029</w:t>
            </w:r>
          </w:p>
        </w:tc>
        <w:tc>
          <w:tcPr>
            <w:tcW w:w="2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w:t>
            </w:r>
          </w:p>
        </w:tc>
      </w:tr>
      <w:tr>
        <w:trPr>
          <w:trHeight w:val="21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2030</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740" w:type="dxa"/>
            <w:vAlign w:val="bottom"/>
            <w:tcBorders>
              <w:bottom w:val="single" w:sz="8" w:color="CCEEFF"/>
            </w:tcBorders>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21,461</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does not include amortization of in-process software development costs, as estimation of the timing of future amortization expenses would be impractical.</w:t>
      </w:r>
    </w:p>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Actual amortization expense in future periods could differ from these estimates as a result of impairments, future releases, future acquisitions, divestitures, and other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OTHER BALANCE SHEET COMPONENTS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8.1: Details of Other Current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costs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 other</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8.2: Details of Other Assets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00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Investment </w:t>
            </w:r>
            <w:r>
              <w:rPr>
                <w:rFonts w:ascii="Times New Roman" w:cs="Times New Roman" w:eastAsia="Times New Roman" w:hAnsi="Times New Roman"/>
                <w:sz w:val="21"/>
                <w:szCs w:val="21"/>
                <w:color w:val="auto"/>
                <w:vertAlign w:val="superscript"/>
              </w:rPr>
              <w:t>(1)</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deferred commission – long-term portion</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60" w:firstLine="8"/>
        <w:spacing w:after="0" w:line="272" w:lineRule="auto"/>
        <w:tabs>
          <w:tab w:leader="none" w:pos="145"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March 2024, the Company made a $3.0 million investment in a privately-held company via a simple agreement for future equity ("SAFE"). During fiscal year 2024, the Company elected to apply the fair value option ("FVO") for its SAFE investment, as the Company believes the FVO best reflects the economics of the underlying transaction. In October 2025, the Company's SAFE investment was settled into 8,964,262 shares of Series A common stock at a settlement price of $0.42 per share, based on the valuation cap in the original agreement, resulting in 3.8% ownership with no significant influence over the privately-held company. Upon settlement of the SAFE in fiscal year 2025, the investment was remeasured to its fair value of $3.8 million, and a fair value adjustment of $0.8 million was recorded within "Other income" on the consolidated statements of operations. Effective October 2025, the SAFE investment was settled into equitable shares of the privately-held company's common stock. The investment does not have a readily determinable fair value and the Company elected the measurement alternative to value its investment. The fair value of this investment was based on non-marketable observable inputs, which represent Level 3 measurement within the fair value hierarchy. The investment was carried at cost less impairment, if any, and subsequently measured to fair value upon observable price changes in an orderly transaction for the identical or similar investments of the same issuer, with any gains or losses recorded within "Other income" on the consolidated statements of operations.</w:t>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8.3: Details of Accrued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4"/>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project expenses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 accrual</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4,449</w:t>
            </w:r>
          </w:p>
        </w:tc>
      </w:tr>
      <w:tr>
        <w:trPr>
          <w:trHeight w:val="23"/>
        </w:trPr>
        <w:tc>
          <w:tcPr>
            <w:tcW w:w="70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REVOLVING CREDIT FACILITY</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30, 2022 (the "Closing Date"), we entered into a Credit Agreement (the "Credit Agreement"), by and among the Company, as borrower, Xacta Corporation, ubIQuity.com,inc, Teloworks, Inc., and Telos Identity Management Solutions, LLC, as guarantors, the lenders party thereto (the "Lenders"), and JPMorgan Chase Bank N.A. ("JPMorgan Chase"), as administrative agent for the Lenders (in such capacity, the "Agent"). The Credit Agreement provided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Credit Agreement will accrue interest, at our option, at one of three variable rates, plus a specified margin. We can elect to borrow at</w:t>
      </w:r>
    </w:p>
    <w:p>
      <w:pPr>
        <w:spacing w:after="0" w:line="27" w:lineRule="exact"/>
        <w:rPr>
          <w:sz w:val="20"/>
          <w:szCs w:val="20"/>
          <w:color w:val="auto"/>
        </w:rPr>
      </w:pPr>
    </w:p>
    <w:p>
      <w:pPr>
        <w:ind w:firstLine="8"/>
        <w:spacing w:after="0" w:line="251"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 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paid and could pay costs and customary fees, including a closing fee, commitment fees and letter of credit participation fee, if any, payable to the Agent and Lenders, as applicable, in connection with the Loan.</w:t>
      </w:r>
    </w:p>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Loan under the Credit Agreement is collateralized by substantially all of the Company's assets, including the Company's pledge of its domestic and material foreign subsidiary equity interests.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December 31, 2025.</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occurrence of an event of default under the Credit Agreement could result in the Loan and other obligations becoming immediately due and payable and allow the Lenders to exercise all rights and remedies available to them under the Credit Agreement.</w:t>
      </w:r>
    </w:p>
    <w:p>
      <w:pPr>
        <w:spacing w:after="0" w:line="1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spacing w:after="0" w:line="12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On December 30, 2025, the Company entered into a Second Amendment to Credit Agreement (the “Second Amendment”) with JPMorgan Chase. The Second Amendment modifies the Credit Agreement to, among other modifications, (a) establish the Applicable Rate for borrowings under the revolving credit facility at 1.25% for ABR Loans and 2.25% for Term Benchmark/RFR Loans, with a commitment fee rate of 0.25%, (b) establish the Revolving Commitment under the Credit Agreement at $15,000,000 with an expansion feature of up to $15,000,000 of additional credit capacity, (c) extend the Revolving Credit Maturity Date to December 30, 2026, and (d) require the Company and its subsidiaries to maintain at least $5,000,000 of unrestricted cash and Permitted Investments with JPMorgan Chase at all times. Except as modified by the Second Amendment, the terms and conditions of the Credit Agreement remain in full force and effect.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STOCKHOLDERS' EQUITY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Stock</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250,000,000 shares of common stock, $0.001 par value per share, and 10,000,000 shares of preferred stock, $0.01 par value per share.</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there were 72,773,272 and 72,514,652 shares of common stock issued and outstanding, respectively. There were no shares of preferred stock issued and outstanding on either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Repurchases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 As of December 31, 2025, there was $25.1 million of the authorization remaining for future common stock repurchases under the SRP.</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10.1: Share Repurchase Program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40" w:type="dxa"/>
            <w:vAlign w:val="bottom"/>
            <w:tcBorders>
              <w:top w:val="single" w:sz="8" w:color="auto"/>
              <w:bottom w:val="single" w:sz="8" w:color="auto"/>
            </w:tcBorders>
            <w:gridSpan w:val="9"/>
          </w:tcPr>
          <w:p>
            <w:pPr>
              <w:jc w:val="right"/>
              <w:ind w:right="9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29"/>
        </w:trPr>
        <w:tc>
          <w:tcPr>
            <w:tcW w:w="6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gridSpan w:val="9"/>
          </w:tcPr>
          <w:p>
            <w:pPr>
              <w:jc w:val="right"/>
              <w:ind w:right="679"/>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0" w:type="dxa"/>
            <w:vAlign w:val="bottom"/>
          </w:tcPr>
          <w:p>
            <w:pPr>
              <w:spacing w:after="0"/>
              <w:rPr>
                <w:sz w:val="1"/>
                <w:szCs w:val="1"/>
                <w:color w:val="auto"/>
              </w:rPr>
            </w:pPr>
          </w:p>
        </w:tc>
      </w:tr>
      <w:tr>
        <w:trPr>
          <w:trHeight w:val="37"/>
        </w:trPr>
        <w:tc>
          <w:tcPr>
            <w:tcW w:w="6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Amounts paid for shares repurchased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3,108,497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Average per share price paid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7"/>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commission paid for repurchases on the open market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10.2: Details of Changes in Accumulated Other Comprehensive Loss by Category</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Foreign currency</w:t>
            </w:r>
          </w:p>
        </w:tc>
        <w:tc>
          <w:tcPr>
            <w:tcW w:w="120" w:type="dxa"/>
            <w:vAlign w:val="bottom"/>
          </w:tcPr>
          <w:p>
            <w:pPr>
              <w:spacing w:after="0"/>
              <w:rPr>
                <w:sz w:val="13"/>
                <w:szCs w:val="13"/>
                <w:color w:val="auto"/>
              </w:rPr>
            </w:pPr>
          </w:p>
        </w:tc>
        <w:tc>
          <w:tcPr>
            <w:tcW w:w="14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Pension liability</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2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STOCK-BASED COMPENSATION</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May 21, 2024, the Company authorized an additional 8,500,000 shares to be available under the Amended and Restated 2016 LTIP ("2016 LTIP"). Further, on May 8, 2025, the Company's stockholders approved an amendment to the 2016 LTIP that increased the number of shares available for issuance by an additional 4,900,000 shares. As of December 31, 2025, approximately 1.5 million shares of our common stock remain available for future issuance under the 2016 LTIP.</w:t>
      </w:r>
    </w:p>
    <w:p>
      <w:pPr>
        <w:spacing w:after="0" w:line="12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recognized for restricted stock units and stock options granted to employees and non-employees is included in the consolidated statements of operations, net of adjustments. There were no income tax benefits recognized on the stock-based compensation expense for these periods.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11.1: Details of Stock Compensation Expense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00" w:type="dxa"/>
            <w:vAlign w:val="bottom"/>
            <w:tcBorders>
              <w:bottom w:val="single" w:sz="8" w:color="auto"/>
            </w:tcBorders>
          </w:tcPr>
          <w:p>
            <w:pPr>
              <w:spacing w:after="0"/>
              <w:rPr>
                <w:sz w:val="19"/>
                <w:szCs w:val="19"/>
                <w:color w:val="auto"/>
              </w:rPr>
            </w:pPr>
          </w:p>
        </w:tc>
      </w:tr>
      <w:tr>
        <w:trPr>
          <w:trHeight w:val="237"/>
        </w:trPr>
        <w:tc>
          <w:tcPr>
            <w:tcW w:w="7000" w:type="dxa"/>
            <w:vAlign w:val="bottom"/>
          </w:tcPr>
          <w:p>
            <w:pPr>
              <w:spacing w:after="0"/>
              <w:rPr>
                <w:sz w:val="20"/>
                <w:szCs w:val="20"/>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2025</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700" w:type="dxa"/>
            <w:vAlign w:val="bottom"/>
            <w:tcBorders>
              <w:bottom w:val="single" w:sz="8" w:color="auto"/>
            </w:tcBorders>
          </w:tcPr>
          <w:p>
            <w:pPr>
              <w:spacing w:after="0"/>
              <w:rPr>
                <w:sz w:val="20"/>
                <w:szCs w:val="20"/>
                <w:color w:val="auto"/>
              </w:rPr>
            </w:pPr>
          </w:p>
        </w:tc>
      </w:tr>
      <w:tr>
        <w:trPr>
          <w:trHeight w:val="233"/>
        </w:trPr>
        <w:tc>
          <w:tcPr>
            <w:tcW w:w="7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16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services</w:t>
            </w: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9"/>
        </w:trPr>
        <w:tc>
          <w:tcPr>
            <w:tcW w:w="70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w:t>
            </w: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28,260</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20,704</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30,150</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21,411</w:t>
            </w:r>
          </w:p>
        </w:tc>
      </w:tr>
      <w:tr>
        <w:trPr>
          <w:trHeight w:val="23"/>
        </w:trPr>
        <w:tc>
          <w:tcPr>
            <w:tcW w:w="70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4"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 stock-based compensation expense related to stock options was recorded for the year ended December 31, 2025, while $0.1 million was recorded for the year ended December 31, 2024.</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11.2: Restricted Stock Unit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Performance-Based</w:t>
            </w: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39"/>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Service-Based RSU</w:t>
            </w:r>
          </w:p>
        </w:tc>
        <w:tc>
          <w:tcPr>
            <w:tcW w:w="1540" w:type="dxa"/>
            <w:vAlign w:val="bottom"/>
            <w:gridSpan w:val="2"/>
            <w:vMerge w:val="continue"/>
          </w:tcPr>
          <w:p>
            <w:pPr>
              <w:spacing w:after="0"/>
              <w:rPr>
                <w:sz w:val="14"/>
                <w:szCs w:val="14"/>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RSU</w:t>
            </w: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1,952,103</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10,683,230</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12,635,333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1,237,265</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3,381,163</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4,618,428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(895,616)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(3,047,890)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(3,943,506)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(110,916)</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(154,649)</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(265,565)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2,182,836</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10,861,854</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13,044,690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February 20, 2025, the Company modified certain previously granted PSUs with financial performance targets for fiscal year 2025. The modification eliminated one of the financial performance targets. As a result, an incremental stock-based compensation expense of $2.0 million is recognized over the remaining vesting period.</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May 14, 2025, the Company granted PSUs to a certain employee that could settle in up to (i) 65,000 shares of its common stock that will vest only if the Company achieves a certain operational milestone prior to January 1, 2027; and (ii) 50,000 shares of its common stock and will vest only if the Company achieves certain financial performance targets for fiscal year 2025.</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June 11, 2025, the Company granted PSUs containing stock price market conditions to certain employees that could settle in up to 1,060,000 shares of its common stock. These PSUs will vest, in whole or in part, only if the Company's closing common stock price remains at or above certain specified stock prices for 50 consecutive days prior to January 1, 2027.</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awards subject to stock price market conditions, the Monte Carlo approach uses a class of computational algorithms that rely on repeated random sampling to compute their results. This approach allows the calculation of the value of such PSUs based on a large number of possible stock price path scenarios. The risk-free rate is based on a zero-coupon yield from the Treasury Constant Maturities yield curve at the time of grant over the performance period.</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11.3: PSUs with Stock Price Market Condition Fair Value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For the Year Ended December 31,</w:t>
            </w:r>
          </w:p>
        </w:tc>
      </w:tr>
      <w:tr>
        <w:trPr>
          <w:trHeight w:val="237"/>
        </w:trPr>
        <w:tc>
          <w:tcPr>
            <w:tcW w:w="7000" w:type="dxa"/>
            <w:vAlign w:val="bottom"/>
          </w:tcPr>
          <w:p>
            <w:pPr>
              <w:spacing w:after="0"/>
              <w:rPr>
                <w:sz w:val="20"/>
                <w:szCs w:val="20"/>
                <w:color w:val="auto"/>
              </w:rPr>
            </w:pPr>
          </w:p>
        </w:tc>
        <w:tc>
          <w:tcPr>
            <w:tcW w:w="1580" w:type="dxa"/>
            <w:vAlign w:val="bottom"/>
            <w:tcBorders>
              <w:bottom w:val="single" w:sz="8" w:color="auto"/>
            </w:tcBorders>
            <w:gridSpan w:val="2"/>
          </w:tcPr>
          <w:p>
            <w:pPr>
              <w:jc w:val="center"/>
              <w:ind w:left="419"/>
              <w:spacing w:after="0"/>
              <w:rPr>
                <w:sz w:val="20"/>
                <w:szCs w:val="20"/>
                <w:color w:val="auto"/>
              </w:rPr>
            </w:pPr>
            <w:r>
              <w:rPr>
                <w:rFonts w:ascii="Times New Roman" w:cs="Times New Roman" w:eastAsia="Times New Roman" w:hAnsi="Times New Roman"/>
                <w:sz w:val="16"/>
                <w:szCs w:val="16"/>
                <w:color w:val="auto"/>
                <w:w w:val="99"/>
              </w:rPr>
              <w:t>2025</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r>
      <w:tr>
        <w:trPr>
          <w:trHeight w:val="233"/>
        </w:trPr>
        <w:tc>
          <w:tcPr>
            <w:tcW w:w="7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spacing w:after="0"/>
              <w:rPr>
                <w:sz w:val="20"/>
                <w:szCs w:val="20"/>
                <w:color w:val="auto"/>
              </w:rPr>
            </w:pPr>
          </w:p>
        </w:tc>
      </w:tr>
      <w:tr>
        <w:trPr>
          <w:trHeight w:val="37"/>
        </w:trPr>
        <w:tc>
          <w:tcPr>
            <w:tcW w:w="700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gridSpan w:val="2"/>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period (in years)</w:t>
            </w:r>
          </w:p>
        </w:tc>
        <w:tc>
          <w:tcPr>
            <w:tcW w:w="1580" w:type="dxa"/>
            <w:vAlign w:val="bottom"/>
            <w:gridSpan w:val="2"/>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1.56</w:t>
            </w:r>
          </w:p>
        </w:tc>
        <w:tc>
          <w:tcPr>
            <w:tcW w:w="2660" w:type="dxa"/>
            <w:vAlign w:val="bottom"/>
            <w:gridSpan w:val="4"/>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w w:val="99"/>
              </w:rPr>
              <w:t>2.59</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58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auto"/>
                <w:w w:val="96"/>
              </w:rPr>
              <w:t>97.5%</w:t>
            </w:r>
          </w:p>
        </w:tc>
        <w:tc>
          <w:tcPr>
            <w:tcW w:w="2660" w:type="dxa"/>
            <w:vAlign w:val="bottom"/>
            <w:gridSpan w:val="4"/>
          </w:tcPr>
          <w:p>
            <w:pPr>
              <w:jc w:val="center"/>
              <w:ind w:left="501"/>
              <w:spacing w:after="0"/>
              <w:rPr>
                <w:sz w:val="20"/>
                <w:szCs w:val="20"/>
                <w:color w:val="auto"/>
              </w:rPr>
            </w:pPr>
            <w:r>
              <w:rPr>
                <w:rFonts w:ascii="Times New Roman" w:cs="Times New Roman" w:eastAsia="Times New Roman" w:hAnsi="Times New Roman"/>
                <w:sz w:val="16"/>
                <w:szCs w:val="16"/>
                <w:color w:val="auto"/>
                <w:w w:val="96"/>
              </w:rPr>
              <w:t>83.9%</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580" w:type="dxa"/>
            <w:vAlign w:val="bottom"/>
            <w:gridSpan w:val="2"/>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5"/>
              </w:rPr>
              <w:t>3.9%</w:t>
            </w:r>
          </w:p>
        </w:tc>
        <w:tc>
          <w:tcPr>
            <w:tcW w:w="2660" w:type="dxa"/>
            <w:vAlign w:val="bottom"/>
            <w:gridSpan w:val="4"/>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w w:val="96"/>
              </w:rPr>
              <w:t>4.70%</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derived service period (in years)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- 0.94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- 1.31</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$1.51</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$3.75</w:t>
            </w:r>
          </w:p>
        </w:tc>
      </w:tr>
    </w:tbl>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11, 2025, the Company also granted to certain executives PSUs that were market conditions dependent on total shareholder return ("TSR"), that could settle in up to 2,206,163 shares of its common stock. The vesting criteria for these awards are based on the Company's TSR performance relative to the TSR performance of the Company's compensation peer group as of the grant date over the three-year performance period, June 1, 2025, through May 31, 2028, and conditioned upon neutral or positive free cash flow (i.e. cash flows from operating activities less capital expenditure) at the end of each fiscal year 2025, 2026, and 2027. The final payout of these PSUs will vary between 0% to 200% of the target number of PSUs granted, depending on the TSR performance and meeting the free cash flow requirements.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awards subject to TSR market conditions, the Monte Carlo simulation simulates a distribution of stock prices for the Company and its current compensation peer group throughout the remaining performance period based on certain assumptions of stock price performance. Monte Carlo valuations of relative TSR PSUs depend on two sets of prices: realized performance and simulated performance. Our key assumptions include a performance period of 2.97 years, an expected volatility of 114.7%, and a risk-free rate of 3.8%. The fair value for these relative TSR market condition PSUs at the grant date was $4.82.</w:t>
      </w:r>
    </w:p>
    <w:p>
      <w:pPr>
        <w:spacing w:after="0" w:line="129"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As of December 31, 2025, and 2024, the intrinsic value of the RSUs and PSUs outstanding, exercisable, and vested or expected to vest was $66.5 million and $43.2 million, respectively. There was approximately $8.7 million of total compensation costs related to stock-based awards not yet recognized as of December 31, 2025, which is expected to be recognized on a straight-line basis over a weighted-average remaining vesting period of 0.2 years.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11.4: Stock Option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Stock 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Weighted-Average</w:t>
            </w: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Remaining</w:t>
            </w:r>
          </w:p>
        </w:tc>
        <w:tc>
          <w:tcPr>
            <w:tcW w:w="100" w:type="dxa"/>
            <w:vAlign w:val="bottom"/>
          </w:tcPr>
          <w:p>
            <w:pPr>
              <w:spacing w:after="0"/>
              <w:rPr>
                <w:sz w:val="14"/>
                <w:szCs w:val="14"/>
                <w:color w:val="auto"/>
              </w:rPr>
            </w:pP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Aggregate Intrinsic</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Contractual Term</w:t>
            </w: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Exercise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(in years)</w:t>
            </w:r>
          </w:p>
        </w:tc>
        <w:tc>
          <w:tcPr>
            <w:tcW w:w="100" w:type="dxa"/>
            <w:vAlign w:val="bottom"/>
          </w:tcPr>
          <w:p>
            <w:pPr>
              <w:spacing w:after="0"/>
              <w:rPr>
                <w:sz w:val="18"/>
                <w:szCs w:val="18"/>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December 31,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464,940</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stock option as of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749,100</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estimated fair value of stock options on the date of grant. Option awards are generally granted with an exercise price equal to the market price of the Company's stock at the date of grant. The following weighted-average assumptions are used in the Black-Scholes valuation model to estimate the fair value of stock option awards, as granted.</w:t>
      </w:r>
    </w:p>
    <w:p>
      <w:pPr>
        <w:spacing w:after="0" w:line="120" w:lineRule="exact"/>
        <w:rPr>
          <w:sz w:val="20"/>
          <w:szCs w:val="20"/>
          <w:color w:val="auto"/>
        </w:rPr>
      </w:pPr>
    </w:p>
    <w:p>
      <w:pPr>
        <w:ind w:left="340" w:right="60" w:hanging="332"/>
        <w:spacing w:after="0" w:line="257"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of the option </w:t>
      </w:r>
      <w:r>
        <w:rPr>
          <w:rFonts w:ascii="Times New Roman" w:cs="Times New Roman" w:eastAsia="Times New Roman" w:hAnsi="Times New Roman"/>
          <w:sz w:val="18"/>
          <w:szCs w:val="18"/>
          <w:color w:val="auto"/>
        </w:rPr>
        <w:t>– For options granted to employees and directors, the Company estimates the term over which option holders are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hold their stock option by using the "simplified method" in accordance with Staff Accounting Bulletin ("SAB") No. 107,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xml:space="preserve">, and SAB No. 110, </w:t>
      </w:r>
      <w:r>
        <w:rPr>
          <w:rFonts w:ascii="Times New Roman" w:cs="Times New Roman" w:eastAsia="Times New Roman" w:hAnsi="Times New Roman"/>
          <w:sz w:val="18"/>
          <w:szCs w:val="18"/>
          <w:i w:val="1"/>
          <w:iCs w:val="1"/>
          <w:color w:val="auto"/>
        </w:rPr>
        <w:t>Simplified Method for Plain Vanilla Share Options</w:t>
      </w:r>
      <w:r>
        <w:rPr>
          <w:rFonts w:ascii="Times New Roman" w:cs="Times New Roman" w:eastAsia="Times New Roman" w:hAnsi="Times New Roman"/>
          <w:sz w:val="18"/>
          <w:szCs w:val="18"/>
          <w:color w:val="auto"/>
        </w:rPr>
        <w:t>, to calculate the expected term of stock options determined to be "plain vanilla." The Company's stock option exercise history does not provide a reasonable basis to compute the expected term for stock options. Under this approach, the expected term is presumed to be a midpoint between the vesting date and the contractual end of the stock option grant. For options granted to non-employees, the Company elected to use the contractual term as the expected term.</w:t>
      </w:r>
    </w:p>
    <w:p>
      <w:pPr>
        <w:spacing w:after="0" w:line="128" w:lineRule="exact"/>
        <w:rPr>
          <w:rFonts w:ascii="Times New Roman" w:cs="Times New Roman" w:eastAsia="Times New Roman" w:hAnsi="Times New Roman"/>
          <w:sz w:val="18"/>
          <w:szCs w:val="18"/>
          <w:color w:val="auto"/>
        </w:rPr>
      </w:pPr>
    </w:p>
    <w:p>
      <w:pPr>
        <w:ind w:left="340" w:right="180" w:hanging="332"/>
        <w:spacing w:after="0" w:line="284" w:lineRule="auto"/>
        <w:tabs>
          <w:tab w:leader="none" w:pos="33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Based on the daily yield curve rates for U.S. Treasury obligations with terms that approximate the expected term of the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w:t>
      </w:r>
    </w:p>
    <w:p>
      <w:pPr>
        <w:spacing w:after="0" w:line="104" w:lineRule="exact"/>
        <w:rPr>
          <w:rFonts w:ascii="Times New Roman" w:cs="Times New Roman" w:eastAsia="Times New Roman" w:hAnsi="Times New Roman"/>
          <w:sz w:val="18"/>
          <w:szCs w:val="18"/>
          <w:i w:val="1"/>
          <w:iCs w:val="1"/>
          <w:color w:val="auto"/>
        </w:rPr>
      </w:pPr>
    </w:p>
    <w:p>
      <w:pPr>
        <w:ind w:left="340" w:right="720" w:hanging="332"/>
        <w:spacing w:after="0" w:line="284"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Due to the absence of the Company's historical price volatility for the expected contractual term of the stock options,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utilized the historical price volatility of a peer group.</w:t>
      </w:r>
    </w:p>
    <w:p>
      <w:pPr>
        <w:spacing w:after="0" w:line="104" w:lineRule="exact"/>
        <w:rPr>
          <w:rFonts w:ascii="Times New Roman" w:cs="Times New Roman" w:eastAsia="Times New Roman" w:hAnsi="Times New Roman"/>
          <w:sz w:val="18"/>
          <w:szCs w:val="18"/>
          <w:color w:val="auto"/>
        </w:rPr>
      </w:pPr>
    </w:p>
    <w:p>
      <w:pPr>
        <w:ind w:left="340" w:right="620" w:hanging="332"/>
        <w:spacing w:after="0" w:line="284"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Company has not declared dividends, nor does it expect to in the foreseeable future. Therefore, a zero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for the expected dividend yield.</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key assumptions used to calculate the fair value of the stock options granted in fiscal year 2023 include an expected term ranging from 5.5 to 10 years, expected volatility between 30.7% - 35.1%, and a risk-free rate of 3.5%. The weighted-average fair value of the underlying stock options at the grant date was $1.06. There were no new stock options granted in fiscal years 2025, and 2024.</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 awards and the quoted closing price of the Company's common stock as of December 31, 2025.</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is expensed on a straight-line basis over the vesting period of one year, including the stock options granted to directors, as the next annual stockholders meeting is expected to occur at the same approximate time each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no unrecognized compensation costs related to non-vested stock options.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LEASES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lease office space facilities and equipment under non-cancelable operating and finance leases with various expiration dates, some of which contain renewal options. The Company's lease portfolio is comprised of two major classes. The lease of the Ashburn facility is accounted for as a finance lease. Under this lease agreement, the basic rent increases by a fixed 2.5% escalation annually, expiring on May 28, 2029. The other office spaces and equipment leased are accounted for as operating leases.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12.1: Details of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72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tcPr>
          <w:p>
            <w:pPr>
              <w:spacing w:after="0"/>
              <w:rPr>
                <w:sz w:val="18"/>
                <w:szCs w:val="18"/>
                <w:color w:val="auto"/>
              </w:rPr>
            </w:pPr>
          </w:p>
        </w:tc>
        <w:tc>
          <w:tcPr>
            <w:tcW w:w="16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2025</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2024</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00" w:type="dxa"/>
            <w:vAlign w:val="bottom"/>
            <w:gridSpan w:val="3"/>
          </w:tcPr>
          <w:p>
            <w:pPr>
              <w:jc w:val="center"/>
              <w:ind w:right="10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620" w:type="dxa"/>
            <w:vAlign w:val="bottom"/>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Short-term lease cost </w:t>
            </w:r>
            <w:r>
              <w:rPr>
                <w:rFonts w:ascii="Times New Roman" w:cs="Times New Roman" w:eastAsia="Times New Roman" w:hAnsi="Times New Roman"/>
                <w:sz w:val="21"/>
                <w:szCs w:val="21"/>
                <w:color w:val="auto"/>
                <w:vertAlign w:val="superscript"/>
              </w:rPr>
              <w:t>(1)</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finance lease assets</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finance lease liabilities</w:t>
            </w:r>
          </w:p>
        </w:tc>
        <w:tc>
          <w:tcPr>
            <w:tcW w:w="16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finance lease cost</w:t>
            </w:r>
          </w:p>
        </w:tc>
        <w:tc>
          <w:tcPr>
            <w:tcW w:w="1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costs</w:t>
            </w:r>
          </w:p>
        </w:tc>
        <w:tc>
          <w:tcPr>
            <w:tcW w:w="1620" w:type="dxa"/>
            <w:vAlign w:val="bottom"/>
            <w:tcBorders>
              <w:bottom w:val="single" w:sz="8" w:color="auto"/>
            </w:tcBorders>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Leases that have terms of 12 months or less.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0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12.2: Future Minimum Lease Payments</w:t>
            </w: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Operating Leases</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Finance Leases</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00" w:type="dxa"/>
            <w:vAlign w:val="bottom"/>
            <w:gridSpan w:val="3"/>
          </w:tcPr>
          <w:p>
            <w:pPr>
              <w:jc w:val="center"/>
              <w:ind w:right="10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1620" w:type="dxa"/>
            <w:vAlign w:val="bottom"/>
            <w:shd w:val="clear" w:color="auto" w:fill="CCEEFF"/>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2028</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Ending December 31, 2029</w:t>
            </w:r>
          </w:p>
        </w:tc>
        <w:tc>
          <w:tcPr>
            <w:tcW w:w="16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 December 31, 2030</w:t>
            </w:r>
          </w:p>
        </w:tc>
        <w:tc>
          <w:tcPr>
            <w:tcW w:w="16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6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8,344</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6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lease obligations</w:t>
            </w:r>
          </w:p>
        </w:tc>
        <w:tc>
          <w:tcPr>
            <w:tcW w:w="16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lease obligations</w:t>
            </w:r>
          </w:p>
        </w:tc>
        <w:tc>
          <w:tcPr>
            <w:tcW w:w="16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lease obligations</w:t>
            </w:r>
          </w:p>
        </w:tc>
        <w:tc>
          <w:tcPr>
            <w:tcW w:w="1620" w:type="dxa"/>
            <w:vAlign w:val="bottom"/>
            <w:tcBorders>
              <w:bottom w:val="single" w:sz="8" w:color="auto"/>
            </w:tcBorders>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12.3: Weighted-Average Remaining Lease Terms and Discount Rates</w:t>
            </w: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7000" w:type="dxa"/>
            <w:vAlign w:val="bottom"/>
            <w:tcBorders>
              <w:bottom w:val="single" w:sz="8" w:color="auto"/>
            </w:tcBorders>
            <w:vMerge w:val="continue"/>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72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2025</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2024</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6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3.3 years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 years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6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1.8 years</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 years</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62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6"/>
              </w:rPr>
              <w:t>5.04%</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6"/>
              </w:rPr>
              <w:t>5.04%</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6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6"/>
              </w:rPr>
              <w:t>6.24%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6"/>
              </w:rPr>
              <w:t>6.04%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12.4: Supplemental Cash Flow Information Related to Leases</w:t>
            </w: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720" w:type="dxa"/>
            <w:vAlign w:val="bottom"/>
            <w:tcBorders>
              <w:bottom w:val="single" w:sz="8" w:color="auto"/>
            </w:tcBorders>
            <w:gridSpan w:val="4"/>
          </w:tcPr>
          <w:p>
            <w:pPr>
              <w:jc w:val="center"/>
              <w:ind w:left="4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6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2025</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2024</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gridSpan w:val="3"/>
          </w:tcPr>
          <w:p>
            <w:pPr>
              <w:jc w:val="center"/>
              <w:ind w:right="10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related to operating leases</w:t>
            </w:r>
          </w:p>
        </w:tc>
        <w:tc>
          <w:tcPr>
            <w:tcW w:w="162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18"/>
                <w:szCs w:val="18"/>
                <w:color w:val="auto"/>
              </w:rPr>
            </w:pP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related to finance leases</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related to finance leases</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EMPLOYEE BENEFIT PLAN</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Telos sponsors a defined contribution employee savings plan (the "Plan") under which substantially all full-time employees are eligible to participate. As of December 31, 2025, the Plan held 1,932,890 shares of Telos common stock.</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matched 50% of the employee contribution to the Plan up to 8% of such employee's eligible compensation on a pay period basis. Effective September 1, 2023, Telos-contributed matching funds to a two-year vesting schedule: 20% vesting after one year of service, and fully vesting after the completion of two years of service. Telos intends to fund the employer matching contribution in Telos stock, but will have the discretion to fund the match in cash or a combination of stock and cash. The Telos employer matching contribution is funded in the first quarter of the subsequent year.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contributions to the Plan for 2025 and 2024 was $2.0 million and $2.1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INCOME TAXES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14.1: Loss Before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520" w:type="dxa"/>
            <w:vAlign w:val="bottom"/>
            <w:tcBorders>
              <w:bottom w:val="single" w:sz="8" w:color="auto"/>
            </w:tcBorders>
            <w:gridSpan w:val="4"/>
          </w:tcPr>
          <w:p>
            <w:pPr>
              <w:jc w:val="center"/>
              <w:ind w:left="6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160" w:type="dxa"/>
            <w:vAlign w:val="bottom"/>
            <w:gridSpan w:val="3"/>
          </w:tcPr>
          <w:p>
            <w:pPr>
              <w:jc w:val="center"/>
              <w:ind w:right="55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1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Domestic</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(37,302)</w:t>
            </w:r>
          </w:p>
        </w:tc>
        <w:tc>
          <w:tcPr>
            <w:tcW w:w="80" w:type="dxa"/>
            <w:vAlign w:val="bottom"/>
          </w:tcPr>
          <w:p>
            <w:pPr>
              <w:spacing w:after="0"/>
              <w:rPr>
                <w:sz w:val="20"/>
                <w:szCs w:val="20"/>
                <w:color w:val="auto"/>
              </w:rPr>
            </w:pP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(52,573)</w:t>
            </w:r>
          </w:p>
        </w:tc>
        <w:tc>
          <w:tcPr>
            <w:tcW w:w="0" w:type="dxa"/>
            <w:vAlign w:val="bottom"/>
          </w:tcPr>
          <w:p>
            <w:pPr>
              <w:spacing w:after="0"/>
              <w:rPr>
                <w:sz w:val="1"/>
                <w:szCs w:val="1"/>
                <w:color w:val="auto"/>
              </w:rPr>
            </w:pPr>
          </w:p>
        </w:tc>
      </w:tr>
      <w:tr>
        <w:trPr>
          <w:trHeight w:val="25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3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loss before income taxes</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(37,209)</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(52,494)</w:t>
            </w:r>
          </w:p>
        </w:tc>
        <w:tc>
          <w:tcPr>
            <w:tcW w:w="0" w:type="dxa"/>
            <w:vAlign w:val="bottom"/>
          </w:tcPr>
          <w:p>
            <w:pPr>
              <w:spacing w:after="0"/>
              <w:rPr>
                <w:sz w:val="1"/>
                <w:szCs w:val="1"/>
                <w:color w:val="auto"/>
              </w:rPr>
            </w:pPr>
          </w:p>
        </w:tc>
      </w:tr>
      <w:tr>
        <w:trPr>
          <w:trHeight w:val="27"/>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14.2: Components of (Benefit from) Provision for Income Taxes</w:t>
            </w: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700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3520" w:type="dxa"/>
            <w:vAlign w:val="bottom"/>
            <w:tcBorders>
              <w:bottom w:val="single" w:sz="8" w:color="auto"/>
            </w:tcBorders>
            <w:gridSpan w:val="4"/>
          </w:tcPr>
          <w:p>
            <w:pPr>
              <w:jc w:val="center"/>
              <w:ind w:left="6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160" w:type="dxa"/>
            <w:vAlign w:val="bottom"/>
            <w:gridSpan w:val="3"/>
          </w:tcPr>
          <w:p>
            <w:pPr>
              <w:jc w:val="center"/>
              <w:ind w:right="55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w:t>
            </w:r>
          </w:p>
        </w:tc>
        <w:tc>
          <w:tcPr>
            <w:tcW w:w="1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4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w:t>
            </w:r>
          </w:p>
        </w:tc>
        <w:tc>
          <w:tcPr>
            <w:tcW w:w="13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expense</w:t>
            </w: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deferred</w:t>
            </w:r>
          </w:p>
        </w:tc>
        <w:tc>
          <w:tcPr>
            <w:tcW w:w="13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14.3: Reconciliation of Statutory Income Tax Expense to Actual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right="700"/>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140" w:type="dxa"/>
            <w:vAlign w:val="bottom"/>
            <w:tcBorders>
              <w:bottom w:val="single" w:sz="8" w:color="auto"/>
            </w:tcBorders>
          </w:tcPr>
          <w:p>
            <w:pPr>
              <w:spacing w:after="0"/>
              <w:rPr>
                <w:sz w:val="19"/>
                <w:szCs w:val="19"/>
                <w:color w:val="auto"/>
              </w:rPr>
            </w:pPr>
          </w:p>
        </w:tc>
      </w:tr>
      <w:tr>
        <w:trPr>
          <w:trHeight w:val="236"/>
        </w:trPr>
        <w:tc>
          <w:tcPr>
            <w:tcW w:w="5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2024</w:t>
            </w:r>
          </w:p>
        </w:tc>
        <w:tc>
          <w:tcPr>
            <w:tcW w:w="1140" w:type="dxa"/>
            <w:vAlign w:val="bottom"/>
            <w:tcBorders>
              <w:bottom w:val="single" w:sz="8" w:color="auto"/>
            </w:tcBorders>
          </w:tcPr>
          <w:p>
            <w:pPr>
              <w:spacing w:after="0"/>
              <w:rPr>
                <w:sz w:val="20"/>
                <w:szCs w:val="20"/>
                <w:color w:val="auto"/>
              </w:rPr>
            </w:pPr>
          </w:p>
        </w:tc>
      </w:tr>
      <w:tr>
        <w:trPr>
          <w:trHeight w:val="237"/>
        </w:trPr>
        <w:tc>
          <w:tcPr>
            <w:tcW w:w="5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color w:val="auto"/>
              </w:rPr>
              <w:t>Rate</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Rate</w:t>
            </w:r>
          </w:p>
        </w:tc>
      </w:tr>
      <w:tr>
        <w:trPr>
          <w:trHeight w:val="233"/>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40" w:type="dxa"/>
            <w:vAlign w:val="bottom"/>
          </w:tcPr>
          <w:p>
            <w:pPr>
              <w:spacing w:after="0"/>
              <w:rPr>
                <w:sz w:val="20"/>
                <w:szCs w:val="20"/>
                <w:color w:val="auto"/>
              </w:rPr>
            </w:pPr>
          </w:p>
        </w:tc>
      </w:tr>
      <w:tr>
        <w:trPr>
          <w:trHeight w:val="37"/>
        </w:trPr>
        <w:tc>
          <w:tcPr>
            <w:tcW w:w="5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rate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6"/>
        </w:trPr>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State income taxes, net of federal income tax benefit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 for deferred tax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tax effect</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Philippines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R&amp;D credit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permanent differences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Section 162(m) limitation - covered employees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Uncertain tax positions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Cumulative deferred adjustments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0"/>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to return adjustments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4"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State income taxes in Texas made up the majority (greater than 50%) of the tax effect in this category.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14.4: Components of Deferred Tax Assets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3"/>
          </w:tcPr>
          <w:p>
            <w:pPr>
              <w:jc w:val="center"/>
              <w:ind w:right="539"/>
              <w:spacing w:after="0"/>
              <w:rPr>
                <w:sz w:val="20"/>
                <w:szCs w:val="20"/>
                <w:color w:val="auto"/>
              </w:rPr>
            </w:pPr>
            <w:r>
              <w:rPr>
                <w:rFonts w:ascii="Times New Roman" w:cs="Times New Roman" w:eastAsia="Times New Roman" w:hAnsi="Times New Roman"/>
                <w:sz w:val="16"/>
                <w:szCs w:val="16"/>
                <w:color w:val="auto"/>
              </w:rPr>
              <w:t>As of December 31,</w:t>
            </w:r>
          </w:p>
        </w:tc>
        <w:tc>
          <w:tcPr>
            <w:tcW w:w="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80" w:type="dxa"/>
            <w:vAlign w:val="bottom"/>
            <w:gridSpan w:val="3"/>
          </w:tcPr>
          <w:p>
            <w:pPr>
              <w:jc w:val="center"/>
              <w:ind w:right="5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principally due to allowance for doubtful accounts</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36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inventory obsolescence and amortization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not currently deductible</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29,437</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28,122</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costs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 - federal</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15,974</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 - state</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R&amp;D tax credit</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and depreciation</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1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78,319</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67,815</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1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(77,196)</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(67,117)</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1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and depreciation</w:t>
            </w:r>
          </w:p>
        </w:tc>
        <w:tc>
          <w:tcPr>
            <w:tcW w:w="1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80" w:type="dxa"/>
            <w:vAlign w:val="bottom"/>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6"/>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14.5: Valuation Allowance Activity</w:t>
            </w: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700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3520" w:type="dxa"/>
            <w:vAlign w:val="bottom"/>
            <w:tcBorders>
              <w:bottom w:val="single" w:sz="8" w:color="auto"/>
            </w:tcBorders>
            <w:gridSpan w:val="4"/>
          </w:tcPr>
          <w:p>
            <w:pPr>
              <w:jc w:val="center"/>
              <w:ind w:left="63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80" w:type="dxa"/>
            <w:vAlign w:val="bottom"/>
            <w:gridSpan w:val="3"/>
          </w:tcPr>
          <w:p>
            <w:pPr>
              <w:jc w:val="center"/>
              <w:ind w:right="5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67,117</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0" w:type="dxa"/>
            <w:vAlign w:val="bottom"/>
          </w:tcPr>
          <w:p>
            <w:pPr>
              <w:spacing w:after="0"/>
              <w:rPr>
                <w:sz w:val="1"/>
                <w:szCs w:val="1"/>
                <w:color w:val="auto"/>
              </w:rPr>
            </w:pPr>
          </w:p>
        </w:tc>
      </w:tr>
      <w:tr>
        <w:trPr>
          <w:trHeight w:val="24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Additions</w:t>
            </w:r>
          </w:p>
        </w:tc>
        <w:tc>
          <w:tcPr>
            <w:tcW w:w="1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10,079</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12,118</w:t>
            </w:r>
          </w:p>
        </w:tc>
        <w:tc>
          <w:tcPr>
            <w:tcW w:w="0" w:type="dxa"/>
            <w:vAlign w:val="bottom"/>
          </w:tcPr>
          <w:p>
            <w:pPr>
              <w:spacing w:after="0"/>
              <w:rPr>
                <w:sz w:val="1"/>
                <w:szCs w:val="1"/>
                <w:color w:val="auto"/>
              </w:rPr>
            </w:pPr>
          </w:p>
        </w:tc>
      </w:tr>
      <w:tr>
        <w:trPr>
          <w:trHeight w:val="25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77,196</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establish a valuation allowance for deferred tax assets if, based on the weight of available evidence, it is more likely than not that some portion or all of the deferred tax assets will not be realized. The realization of deferred tax assets is dependent upon the generation of future taxable income. We considered projected future taxable income, tax planning strategies, and reversal of taxable temporary differences in making this assessment.</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Based on available evidence, we have determined that a valuation allowance is required as of December 31, 2025, and 2024 against the net of our deferred tax assets and liabilities to the extent that only a deferred tax liability related to indefinite-lived goodwill remains on our consolidated balance sheets on December 31, 2025, and 2024.</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31, 2025, for federal income tax purposes, there was approximately a $76.0 million net operating loss available to be carried forward to offset future taxable income. Approximately $10.6 million of these net operating loss carryforwards expire in 2037, the remaining will be carried forward indefinitely. As of December 31, 2025, there was approximately $6.1 million of R&amp;D credit carryover which begins to expire in 2033. Certain tax attributes of the Company, including net operating losses and credits, would be subject to a limitation should an ownership change as defined under Section 382 of the Internal Revenue Code of 1986, as amended, occur. The limitations resulting from a change in ownership could affect the Company's ability to utilize its tax attributes. A study was completed in 2020 which confirmed that no limitation applies to the Company's tax attributes as of December 31, 2020. We believe that ownership activity since December 31, 2020, would not result in limitation sufficient to result in the expiration of unused attributes.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provision of ASC 740, we determined that the unrecognized tax benefits as of December 31, 2025, and 2024 were approximately $1.5 million for both periods. As of December 31, 2025, and 2024, the tax benefits that, if recognized, would not impact the effective tax rate due to the Company's valuation allowance (as included in the balance of unrecognized tax benefits) were $1.5 million for both periods. We report interest and penalties as a component of income tax expense. There was no accrued interest and penalties related to the unrecognized tax benefits as of December 31, 2025, and 2024. We believe that the total amounts of unrecognized tax benefits will not significantly increase or decrease within the next 12 months. The period for which tax years are open with regards to unrecognized tax benefits, 2014 to 2025, has not been extended beyond the applicable statute of limitations.</w:t>
      </w:r>
    </w:p>
    <w:p>
      <w:pPr>
        <w:spacing w:after="0" w:line="1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are subject to the continuous examination of our income tax returns by the Internal Revenue Service ("IRS") and other tax authorities. The applicable statute of limitations is no longer open for audit or examination for the years before 2022 for federal income taxes in the U.S. We were notified by the IRS in September 2024 regarding an audit of our 2021 federal income tax return. In April 2025, the IRS notified us that it had completed its examination of our 2021 federal income tax return with no changes to our reported tax.</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14.6: Unrecognized Tax Benefit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580" w:type="dxa"/>
            <w:vAlign w:val="bottom"/>
            <w:tcBorders>
              <w:bottom w:val="single" w:sz="8" w:color="auto"/>
            </w:tcBorders>
            <w:gridSpan w:val="4"/>
          </w:tcPr>
          <w:p>
            <w:pPr>
              <w:jc w:val="center"/>
              <w:ind w:left="5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40" w:type="dxa"/>
            <w:vAlign w:val="bottom"/>
            <w:gridSpan w:val="3"/>
          </w:tcPr>
          <w:p>
            <w:pPr>
              <w:jc w:val="center"/>
              <w:ind w:right="6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4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prior year tax positions</w:t>
            </w:r>
          </w:p>
        </w:tc>
        <w:tc>
          <w:tcPr>
            <w:tcW w:w="1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related to current year tax positions</w:t>
            </w:r>
          </w:p>
        </w:tc>
        <w:tc>
          <w:tcPr>
            <w:tcW w:w="14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related to lapse of statutes</w:t>
            </w:r>
          </w:p>
        </w:tc>
        <w:tc>
          <w:tcPr>
            <w:tcW w:w="14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4"/>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1440" w:type="dxa"/>
            <w:vAlign w:val="bottom"/>
            <w:tcBorders>
              <w:top w:val="single" w:sz="8" w:color="auto"/>
              <w:bottom w:val="single" w:sz="8" w:color="auto"/>
            </w:tcBorders>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14.7: Components of Income Taxes Paid (Net of Refunds Received)</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00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3580" w:type="dxa"/>
            <w:vAlign w:val="bottom"/>
            <w:tcBorders>
              <w:bottom w:val="single" w:sz="8" w:color="auto"/>
            </w:tcBorders>
            <w:gridSpan w:val="4"/>
          </w:tcPr>
          <w:p>
            <w:pPr>
              <w:jc w:val="center"/>
              <w:ind w:left="5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40" w:type="dxa"/>
            <w:vAlign w:val="bottom"/>
            <w:gridSpan w:val="3"/>
          </w:tcPr>
          <w:p>
            <w:pPr>
              <w:jc w:val="center"/>
              <w:ind w:right="6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4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4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4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6"/>
        </w:trPr>
        <w:tc>
          <w:tcPr>
            <w:tcW w:w="8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Table 14.8: Net Income Tax Payments (Refund) by Jurisdiction To or Greater than 5% of Total Income Taxes Paid, Net</w:t>
            </w: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3580" w:type="dxa"/>
            <w:vAlign w:val="bottom"/>
            <w:tcBorders>
              <w:bottom w:val="single" w:sz="8" w:color="auto"/>
            </w:tcBorders>
            <w:gridSpan w:val="4"/>
          </w:tcPr>
          <w:p>
            <w:pPr>
              <w:jc w:val="center"/>
              <w:ind w:left="5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40" w:type="dxa"/>
            <w:vAlign w:val="bottom"/>
            <w:gridSpan w:val="3"/>
          </w:tcPr>
          <w:p>
            <w:pPr>
              <w:jc w:val="center"/>
              <w:ind w:right="69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70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4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1440" w:type="dxa"/>
            <w:vAlign w:val="bottom"/>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LOSS PER SHARE</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period of net loss, potentially dilutive securities are not included in the calculation of diluted net (loss)/earnings per share because to do so would be anti-dilutive.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15.1: Potentially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r>
      <w:tr>
        <w:trPr>
          <w:trHeight w:val="216"/>
        </w:trPr>
        <w:tc>
          <w:tcPr>
            <w:tcW w:w="7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18"/>
                <w:szCs w:val="18"/>
                <w:color w:val="auto"/>
              </w:rPr>
            </w:pPr>
          </w:p>
        </w:tc>
      </w:tr>
      <w:tr>
        <w:trPr>
          <w:trHeight w:val="24"/>
        </w:trPr>
        <w:tc>
          <w:tcPr>
            <w:tcW w:w="7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8420" w:type="dxa"/>
            <w:vAlign w:val="bottom"/>
            <w:gridSpan w:val="2"/>
            <w:shd w:val="clear" w:color="auto" w:fill="CCEEFF"/>
          </w:tcPr>
          <w:p>
            <w:pPr>
              <w:jc w:val="right"/>
              <w:ind w:right="3219"/>
              <w:spacing w:after="0"/>
              <w:rPr>
                <w:sz w:val="20"/>
                <w:szCs w:val="20"/>
                <w:color w:val="auto"/>
              </w:rPr>
            </w:pPr>
            <w:r>
              <w:rPr>
                <w:rFonts w:ascii="Times New Roman" w:cs="Times New Roman" w:eastAsia="Times New Roman" w:hAnsi="Times New Roman"/>
                <w:sz w:val="16"/>
                <w:szCs w:val="16"/>
                <w:color w:val="auto"/>
              </w:rPr>
              <w:t>Weighted-average number of shares – unvested RSUs, PSUs and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r>
    </w:tbl>
    <w:p>
      <w:pPr>
        <w:spacing w:after="0" w:line="23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PSUs of 8,441,163 and 10,683,230, respectively, have been excluded in the calculation of the potentially dilutive securities above because issuance of such shares are contingent upon the satisfaction of certain conditions which were not satisfied by the end of the reporting period or the shares were antidilutive.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SEGMENT INFORMATION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the Company for which separate discrete financial information is available and evaluated regularly by the chief operating decision maker ("CODM") in deciding how to allocate resources and assess performance. We identified our CEO as the CODM.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in two reportable and operating segments: Security Solutions and Secure Networks.</w:t>
      </w:r>
    </w:p>
    <w:p>
      <w:pPr>
        <w:spacing w:after="0" w:line="171" w:lineRule="exact"/>
        <w:rPr>
          <w:sz w:val="20"/>
          <w:szCs w:val="20"/>
          <w:color w:val="auto"/>
        </w:rPr>
      </w:pPr>
    </w:p>
    <w:p>
      <w:pPr>
        <w:ind w:left="660" w:right="30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Solutions segment is primarily focused on cybersecurity, cloud and identity solutions, and secure messaging through Xacta, Telos AMHS and Telos ID offerings.</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 Networks segment provides secure networking architectures and solutions to our customers through secure mobility solutions, and network management and defense services.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each segment's profitability based on gross profit. Our CEO evaluates the segment's performance based on metrics, such as segment revenue and gross profit, that align with our strategies and objectives, and provide a framework for the timely and rational allocation of resources between the segments.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16: Results of Operations by Business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color w:val="auto"/>
              </w:rPr>
              <w:t>Security</w:t>
            </w:r>
          </w:p>
        </w:tc>
        <w:tc>
          <w:tcPr>
            <w:tcW w:w="140" w:type="dxa"/>
            <w:vAlign w:val="bottom"/>
          </w:tcPr>
          <w:p>
            <w:pPr>
              <w:spacing w:after="0"/>
              <w:rPr>
                <w:sz w:val="13"/>
                <w:szCs w:val="13"/>
                <w:color w:val="auto"/>
              </w:rPr>
            </w:pPr>
          </w:p>
        </w:tc>
        <w:tc>
          <w:tcPr>
            <w:tcW w:w="90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color w:val="auto"/>
              </w:rPr>
              <w:t>Secure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color w:val="auto"/>
              </w:rPr>
              <w:t>Security</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Secure</w:t>
            </w: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Solutions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Networks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Solutions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Networks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15,205</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108,272</w:t>
            </w:r>
          </w:p>
        </w:tc>
        <w:tc>
          <w:tcPr>
            <w:tcW w:w="0" w:type="dxa"/>
            <w:vAlign w:val="bottom"/>
          </w:tcPr>
          <w:p>
            <w:pPr>
              <w:spacing w:after="0"/>
              <w:rPr>
                <w:sz w:val="1"/>
                <w:szCs w:val="1"/>
                <w:color w:val="auto"/>
              </w:rPr>
            </w:pPr>
          </w:p>
        </w:tc>
      </w:tr>
      <w:tr>
        <w:trPr>
          <w:trHeight w:val="19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0" w:type="dxa"/>
            <w:vAlign w:val="bottom"/>
          </w:tcPr>
          <w:p>
            <w:pPr>
              <w:spacing w:after="0"/>
              <w:rPr>
                <w:sz w:val="1"/>
                <w:szCs w:val="1"/>
                <w:color w:val="auto"/>
              </w:rPr>
            </w:pPr>
          </w:p>
        </w:tc>
      </w:tr>
      <w:tr>
        <w:trPr>
          <w:trHeight w:val="216"/>
        </w:trPr>
        <w:tc>
          <w:tcPr>
            <w:tcW w:w="45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Impairment loss on intangible assets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94,956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36,685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24,593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61,278</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sales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103,788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73,843</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34,429</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8,442</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75,487</w:t>
            </w:r>
          </w:p>
        </w:tc>
        <w:tc>
          <w:tcPr>
            <w:tcW w:w="0" w:type="dxa"/>
            <w:vAlign w:val="bottom"/>
          </w:tcPr>
          <w:p>
            <w:pPr>
              <w:spacing w:after="0"/>
              <w:rPr>
                <w:sz w:val="1"/>
                <w:szCs w:val="1"/>
                <w:color w:val="auto"/>
              </w:rPr>
            </w:pPr>
          </w:p>
        </w:tc>
      </w:tr>
      <w:tr>
        <w:trPr>
          <w:trHeight w:val="213"/>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intangible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0" w:type="dxa"/>
            <w:vAlign w:val="bottom"/>
          </w:tcPr>
          <w:p>
            <w:pPr>
              <w:spacing w:after="0"/>
              <w:rPr>
                <w:sz w:val="1"/>
                <w:szCs w:val="1"/>
                <w:color w:val="auto"/>
              </w:rPr>
            </w:pPr>
          </w:p>
        </w:tc>
      </w:tr>
      <w:tr>
        <w:trPr>
          <w:trHeight w:val="207"/>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100,898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90,302</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(55,873)</w:t>
            </w:r>
          </w:p>
        </w:tc>
        <w:tc>
          <w:tcPr>
            <w:tcW w:w="0" w:type="dxa"/>
            <w:vAlign w:val="bottom"/>
          </w:tcPr>
          <w:p>
            <w:pPr>
              <w:spacing w:after="0"/>
              <w:rPr>
                <w:sz w:val="1"/>
                <w:szCs w:val="1"/>
                <w:color w:val="auto"/>
              </w:rPr>
            </w:pPr>
          </w:p>
        </w:tc>
      </w:tr>
      <w:tr>
        <w:trPr>
          <w:trHeight w:val="213"/>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07"/>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(52,494)</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9"/>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(52,520)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segment expense categories and amounts align with the segment-level information regularly provided to the CODM.</w:t>
      </w:r>
    </w:p>
    <w:p>
      <w:pPr>
        <w:spacing w:after="0" w:line="135" w:lineRule="exact"/>
        <w:rPr>
          <w:rFonts w:ascii="Times New Roman" w:cs="Times New Roman" w:eastAsia="Times New Roman" w:hAnsi="Times New Roman"/>
          <w:sz w:val="19"/>
          <w:szCs w:val="19"/>
          <w:color w:val="auto"/>
          <w:vertAlign w:val="superscript"/>
        </w:rPr>
      </w:pPr>
    </w:p>
    <w:p>
      <w:pPr>
        <w:ind w:right="340" w:firstLine="8"/>
        <w:spacing w:after="0" w:line="302" w:lineRule="auto"/>
        <w:tabs>
          <w:tab w:leader="none" w:pos="145"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segment items for each reportable segment include direct labor, direct subcontractor costs, direct materials and inventory, other direct non-labor costs, fringes, overhead, and facility costs.</w:t>
      </w:r>
    </w:p>
    <w:p>
      <w:pPr>
        <w:spacing w:after="0" w:line="1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account for inter-segment sales and transfers as if the sales or transfers were to third parties, that is, at current market prices, if any. There were no inter-segment sales and transfers during fiscal years 2025, and 2024. Interest income, interest expense, other income and expense items, and income taxes, as reported in the consolidated financial statements, are not part of the segment profitability measure and are primarily recorded at the corporate level.</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SUPPLEMENTAL CASH FLOW INFORMATION</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17.1: Details of Cash, Cash Equivalent,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As of December 31,</w:t>
            </w:r>
          </w:p>
        </w:tc>
        <w:tc>
          <w:tcPr>
            <w:tcW w:w="134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2024</w:t>
            </w:r>
          </w:p>
        </w:tc>
      </w:tr>
      <w:tr>
        <w:trPr>
          <w:trHeight w:val="216"/>
        </w:trPr>
        <w:tc>
          <w:tcPr>
            <w:tcW w:w="7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54,578</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Restricted cash </w:t>
            </w:r>
            <w:r>
              <w:rPr>
                <w:rFonts w:ascii="Times New Roman" w:cs="Times New Roman" w:eastAsia="Times New Roman" w:hAnsi="Times New Roman"/>
                <w:sz w:val="21"/>
                <w:szCs w:val="21"/>
                <w:color w:val="auto"/>
                <w:vertAlign w:val="superscript"/>
              </w:rPr>
              <w:t>(1)</w:t>
            </w:r>
          </w:p>
        </w:tc>
        <w:tc>
          <w:tcPr>
            <w:tcW w:w="1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Restricted cash consists of a commercial money market account held as a deposit on the Ashburn lease and is recorded under "Other assets" on the Consolidated Balance Sheets.</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Table 17.2: Supplemental Cash Flow Information</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40" w:type="dxa"/>
            <w:vAlign w:val="bottom"/>
            <w:tcBorders>
              <w:top w:val="single" w:sz="8" w:color="auto"/>
            </w:tcBorders>
          </w:tcPr>
          <w:p>
            <w:pPr>
              <w:spacing w:after="0"/>
              <w:rPr>
                <w:sz w:val="18"/>
                <w:szCs w:val="18"/>
                <w:color w:val="auto"/>
              </w:rPr>
            </w:pPr>
          </w:p>
        </w:tc>
        <w:tc>
          <w:tcPr>
            <w:tcW w:w="3580" w:type="dxa"/>
            <w:vAlign w:val="bottom"/>
            <w:tcBorders>
              <w:top w:val="single" w:sz="8" w:color="auto"/>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For the Year Ended December 31,</w:t>
            </w:r>
          </w:p>
        </w:tc>
        <w:tc>
          <w:tcPr>
            <w:tcW w:w="660" w:type="dxa"/>
            <w:vAlign w:val="bottom"/>
            <w:tcBorders>
              <w:top w:val="single" w:sz="8" w:color="auto"/>
              <w:bottom w:val="single" w:sz="8" w:color="auto"/>
            </w:tcBorders>
          </w:tcPr>
          <w:p>
            <w:pPr>
              <w:spacing w:after="0"/>
              <w:rPr>
                <w:sz w:val="18"/>
                <w:szCs w:val="18"/>
                <w:color w:val="auto"/>
              </w:rPr>
            </w:pPr>
          </w:p>
        </w:tc>
      </w:tr>
      <w:tr>
        <w:trPr>
          <w:trHeight w:val="209"/>
        </w:trPr>
        <w:tc>
          <w:tcPr>
            <w:tcW w:w="694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60" w:type="dxa"/>
            <w:vAlign w:val="bottom"/>
            <w:gridSpan w:val="3"/>
          </w:tcPr>
          <w:p>
            <w:pPr>
              <w:jc w:val="right"/>
              <w:ind w:right="9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spacing w:after="0"/>
              <w:rPr>
                <w:sz w:val="18"/>
                <w:szCs w:val="18"/>
                <w:color w:val="auto"/>
              </w:rPr>
            </w:pPr>
          </w:p>
        </w:tc>
      </w:tr>
      <w:tr>
        <w:trPr>
          <w:trHeight w:val="23"/>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 paid, net</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common stock for 401K match</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r>
      <w:tr>
        <w:trPr>
          <w:trHeight w:val="21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 activity in accounts payable and other accrued liabilities</w:t>
            </w:r>
          </w:p>
        </w:tc>
        <w:tc>
          <w:tcPr>
            <w:tcW w:w="142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ROU assets obtained in exchange for operating lease liabilities</w:t>
            </w:r>
          </w:p>
        </w:tc>
        <w:tc>
          <w:tcPr>
            <w:tcW w:w="14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COMMITMENTS, CONTINGENCIES AND SUBSEQUENT EVENTS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claims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believes that the outcome of such known matters will not have a material adverse effect on the Company's financial condition and results of operations.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there is any litigation or claims that would have a material adverse effect on the business, or the consolidated financial statements of the Company as of December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 Government Contracts</w:t>
      </w:r>
    </w:p>
    <w:p>
      <w:pPr>
        <w:spacing w:after="0" w:line="173"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As a U.S. federal government contractor, we are subject to various audits and investigations by the U.S. federal government to determine whether our operations are being conducted in accordance with applicable regulatory requirements. U.S. federal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federal government contracting, or suspension of export privileges. Suspension or debarment could have a material adverse effect on us because of our dependence on contracts with the U.S. federal government. U.S. federal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federal government regulations also may be audited or investigated.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March 12, 2026, the Company's Board of Directors authorized the Company to repurchase up to an additional $25.0 million of its common stock under its existing repurchase program previously authorized on May 24, 2022, which, together with the remaining available under the share repurchase program, will allow the Company to repurchase up to $50.1 million of its common stock in the aggregate going forward.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Changes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9A. Controls and Procedures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(our Chairman and Chief Executive Officer) and principal financial officer (our Executive Vice President and Chief Financial Officer), has evaluated the effectiveness of our disclosure controls and procedures (as defined in Rules 13a-15(e) or 15d-15(e) under the Securities Exchange Act of 1934) as of December 31, 2025.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SEC.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171"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properly to allow for the preparation of financial statements in accordance with U.S. GAAP and that our receipts and expenditures are being made only in accordance with authorizations of our management and directors; and</w:t>
      </w:r>
    </w:p>
    <w:p>
      <w:pPr>
        <w:spacing w:after="0" w:line="85" w:lineRule="exact"/>
        <w:rPr>
          <w:rFonts w:ascii="Times New Roman" w:cs="Times New Roman" w:eastAsia="Times New Roman" w:hAnsi="Times New Roman"/>
          <w:sz w:val="17"/>
          <w:szCs w:val="17"/>
          <w:color w:val="auto"/>
        </w:rPr>
      </w:pPr>
    </w:p>
    <w:p>
      <w:pPr>
        <w:ind w:left="660" w:hanging="328"/>
        <w:spacing w:after="0" w:line="282" w:lineRule="auto"/>
        <w:tabs>
          <w:tab w:leader="none" w:pos="6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0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Internal control over financial reporting includes the controls themselves, monitoring and internal auditing practices and actions taken to correct deficiencies as identified.</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has evaluated the effectiveness of our internal control over financial reporting as of December 31, 2025, based on the framework established in the 2013 Internal Control – Integrated Framework issued by the Committee of Sponsoring Organizations of the Treadway Commission. Our management has assessed in its evaluation the effectiveness of our internal control over financial reporting as of December 31, 2025, and has concluded that our internal control over financial reporting was effective.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PricewaterhouseCoopers LLP, an independent registered public accounting firm, audited our consolidated financial statements and our internal control over financial reporting, and the firm’s report on our internal control over financial reporting are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of this 10-K.</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Although our management, including the Chief Executive Officer and the Chief Financial Officer, is responsible for establishing and maintaining adequate internal control over financial reporting, because of inherent limitations, our management does not expect that our internal controls over financial reporting will prevent or detect all errors and all fraud. Also, projections of any evaluation of effectiveness in such assessment to future periods are subject to the risk that controls may be inadequate because of changes in conditions or that the degree of compliance with the policies or procedures may deteriorate.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of our internal control that occurred during the quarter ended December 31, 2025, that have materially affected, or are reasonably likely to materially effect,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9B. Other Information</w:t>
      </w:r>
    </w:p>
    <w:p>
      <w:pPr>
        <w:spacing w:after="0" w:line="165"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9C. Disclosure Regarding Foreign Jurisdictions that Prevent Inspections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5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10-K since we intend to file our definitive proxy statement for our 2026 Annual Meeting of Stockholders, or the Proxy Statement, pursuant to Regulation 14A of the Securities Exchange Act of 1934, as amended, not later</w:t>
      </w:r>
    </w:p>
    <w:p>
      <w:pPr>
        <w:spacing w:after="0" w:line="1"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8"/>
          <w:szCs w:val="18"/>
          <w:color w:val="auto"/>
        </w:rPr>
        <w:t>than 120 days after the end of the fiscal year covered by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K, and certain information to be included in the Proxy Statement is incorporated herein by reference.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Directors, Executive Officers and Corporate Governance</w:t>
      </w:r>
    </w:p>
    <w:p>
      <w:pPr>
        <w:spacing w:after="0" w:line="16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regarding executive officers, insider trading policies and procedures, directors and nominees for directors, including information with respect to our audit committee and audit committee financial expert, will be included under Election of Directors, Executive Officers, Corporate Governance, Corporate Governance Guidelines, Independence of Directors, Board of Directors Nomination Process, Information Security and Risk Oversight, Meetings of the Board of Directors, Compensation of Directors, and Committees of the Board of Directors, as well as Management Development and Compensation Committee Report, and Insider Trading Policy in the Proxy Statement and is incorporated herein by reference.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11. Executive Compensation</w:t>
      </w:r>
    </w:p>
    <w:p>
      <w:pPr>
        <w:spacing w:after="0" w:line="16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the Advisory Vote on Executive Compensation and is incorporated herein by reference.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12. Security Ownership of Certain Beneficial Owners and Management and Related Stockholder Matters</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Approval of the Amendment to the Amended and Restated 2016 Omnibus Long-term Incentive Plan and Security Ownership of Certain Beneficial Owners and Management table, and are incorporated herein by reference.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13. Certain Relationships and Related Transactions, and Director Independence</w:t>
      </w:r>
    </w:p>
    <w:p>
      <w:pPr>
        <w:spacing w:after="0" w:line="1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Certain Relationships and Related Transactions, and Independence of Directors and is incorporated herein by reference.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14. Principal Accounting Fees and Services</w:t>
      </w:r>
    </w:p>
    <w:p>
      <w:pPr>
        <w:spacing w:after="0" w:line="1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under Ratification of Independent Registered Public Accounting Firm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15. Exhibits and Financial Statement Schedules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report are as follows:</w:t>
      </w:r>
    </w:p>
    <w:p>
      <w:pPr>
        <w:spacing w:after="0" w:line="171" w:lineRule="exact"/>
        <w:rPr>
          <w:sz w:val="20"/>
          <w:szCs w:val="20"/>
          <w:color w:val="auto"/>
        </w:rPr>
      </w:pPr>
    </w:p>
    <w:p>
      <w:pPr>
        <w:ind w:left="660" w:hanging="49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Company's consolidated financial statements are included in Item 8. Financial Statements and Supplementary Data.</w:t>
      </w:r>
    </w:p>
    <w:p>
      <w:pPr>
        <w:spacing w:after="0" w:line="171" w:lineRule="exact"/>
        <w:rPr>
          <w:rFonts w:ascii="Times New Roman" w:cs="Times New Roman" w:eastAsia="Times New Roman" w:hAnsi="Times New Roman"/>
          <w:sz w:val="18"/>
          <w:szCs w:val="18"/>
          <w:color w:val="auto"/>
        </w:rPr>
      </w:pPr>
    </w:p>
    <w:p>
      <w:pPr>
        <w:ind w:left="660" w:right="440" w:hanging="490"/>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as the required information is not applicable or the information is presented in the Consolidated Financial Statements.</w:t>
      </w:r>
    </w:p>
    <w:p>
      <w:pPr>
        <w:spacing w:after="0" w:line="107" w:lineRule="exact"/>
        <w:rPr>
          <w:rFonts w:ascii="Times New Roman" w:cs="Times New Roman" w:eastAsia="Times New Roman" w:hAnsi="Times New Roman"/>
          <w:sz w:val="18"/>
          <w:szCs w:val="18"/>
          <w:color w:val="auto"/>
        </w:rPr>
      </w:pPr>
    </w:p>
    <w:p>
      <w:pPr>
        <w:ind w:left="660" w:right="120" w:hanging="490"/>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 listed in the Exhibit Index immediately below are filed as part of this Annual Report on Form 10-K, or are incorporated by reference 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0" w:type="dxa"/>
            <w:vAlign w:val="bottom"/>
          </w:tcPr>
          <w:p>
            <w:pPr>
              <w:spacing w:after="0"/>
              <w:rPr>
                <w:sz w:val="1"/>
                <w:szCs w:val="1"/>
                <w:color w:val="auto"/>
              </w:rPr>
            </w:pPr>
          </w:p>
        </w:tc>
      </w:tr>
      <w:tr>
        <w:trPr>
          <w:trHeight w:val="148"/>
        </w:trPr>
        <w:tc>
          <w:tcPr>
            <w:tcW w:w="820" w:type="dxa"/>
            <w:vAlign w:val="bottom"/>
            <w:gridSpan w:val="4"/>
          </w:tcPr>
          <w:p>
            <w:pPr>
              <w:jc w:val="center"/>
              <w:spacing w:after="0" w:line="148" w:lineRule="exact"/>
              <w:rPr>
                <w:sz w:val="20"/>
                <w:szCs w:val="20"/>
                <w:color w:val="auto"/>
              </w:rPr>
            </w:pPr>
            <w:r>
              <w:rPr>
                <w:rFonts w:ascii="Times New Roman" w:cs="Times New Roman" w:eastAsia="Times New Roman" w:hAnsi="Times New Roman"/>
                <w:sz w:val="16"/>
                <w:szCs w:val="16"/>
                <w:color w:val="auto"/>
              </w:rPr>
              <w:t>Exhibit</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00" w:type="dxa"/>
            <w:vAlign w:val="bottom"/>
            <w:gridSpan w:val="17"/>
            <w:vMerge w:val="restart"/>
          </w:tcPr>
          <w:p>
            <w:pPr>
              <w:ind w:left="60"/>
              <w:spacing w:after="0"/>
              <w:rPr>
                <w:sz w:val="20"/>
                <w:szCs w:val="20"/>
                <w:color w:val="auto"/>
              </w:rPr>
            </w:pPr>
            <w:r>
              <w:rPr>
                <w:rFonts w:ascii="Times New Roman" w:cs="Times New Roman" w:eastAsia="Times New Roman" w:hAnsi="Times New Roman"/>
                <w:sz w:val="16"/>
                <w:szCs w:val="16"/>
                <w:color w:val="auto"/>
              </w:rPr>
              <w:t>Description of Exhibit</w:t>
            </w:r>
          </w:p>
        </w:tc>
        <w:tc>
          <w:tcPr>
            <w:tcW w:w="80" w:type="dxa"/>
            <w:vAlign w:val="bottom"/>
            <w:vMerge w:val="restart"/>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Form/ Schedule</w:t>
            </w:r>
          </w:p>
        </w:tc>
        <w:tc>
          <w:tcPr>
            <w:tcW w:w="80" w:type="dxa"/>
            <w:vAlign w:val="bottom"/>
            <w:vMerge w:val="restart"/>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Date Filed</w:t>
            </w:r>
          </w:p>
        </w:tc>
        <w:tc>
          <w:tcPr>
            <w:tcW w:w="80" w:type="dxa"/>
            <w:vAlign w:val="bottom"/>
            <w:vMerge w:val="restart"/>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Exhibit Number</w:t>
            </w:r>
          </w:p>
        </w:tc>
        <w:tc>
          <w:tcPr>
            <w:tcW w:w="0" w:type="dxa"/>
            <w:vAlign w:val="bottom"/>
          </w:tcPr>
          <w:p>
            <w:pPr>
              <w:spacing w:after="0"/>
              <w:rPr>
                <w:sz w:val="1"/>
                <w:szCs w:val="1"/>
                <w:color w:val="auto"/>
              </w:rPr>
            </w:pPr>
          </w:p>
        </w:tc>
      </w:tr>
      <w:tr>
        <w:trPr>
          <w:trHeight w:val="213"/>
        </w:trPr>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4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17"/>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20" w:type="dxa"/>
            <w:vAlign w:val="bottom"/>
            <w:gridSpan w:val="2"/>
            <w:shd w:val="clear" w:color="auto" w:fill="CCEEFF"/>
          </w:tcPr>
          <w:p>
            <w:pPr>
              <w:jc w:val="center"/>
              <w:ind w:left="239"/>
              <w:spacing w:after="0" w:line="155" w:lineRule="exact"/>
              <w:rPr>
                <w:rFonts w:ascii="Times New Roman" w:cs="Times New Roman" w:eastAsia="Times New Roman" w:hAnsi="Times New Roman"/>
                <w:sz w:val="16"/>
                <w:szCs w:val="16"/>
                <w:color w:val="0000FF"/>
                <w:w w:val="99"/>
              </w:rPr>
            </w:pPr>
            <w:hyperlink r:id="rId11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5500" w:type="dxa"/>
            <w:vAlign w:val="bottom"/>
            <w:gridSpan w:val="28"/>
            <w:shd w:val="clear" w:color="auto" w:fill="CCEEFF"/>
          </w:tcPr>
          <w:p>
            <w:pPr>
              <w:spacing w:after="0" w:line="15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Second Articles of Amendment and Restatement of Telos Corporation dated</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November 16, 2020</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7"/>
        </w:trPr>
        <w:tc>
          <w:tcPr>
            <w:tcW w:w="3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CCEE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November 12, 2020</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gridSpan w:val="2"/>
          </w:tcPr>
          <w:p>
            <w:pPr>
              <w:jc w:val="center"/>
              <w:ind w:left="239"/>
              <w:spacing w:after="0" w:line="155" w:lineRule="exact"/>
              <w:rPr>
                <w:rFonts w:ascii="Times New Roman" w:cs="Times New Roman" w:eastAsia="Times New Roman" w:hAnsi="Times New Roman"/>
                <w:sz w:val="16"/>
                <w:szCs w:val="16"/>
                <w:color w:val="0000FF"/>
                <w:w w:val="99"/>
              </w:rPr>
            </w:pPr>
            <w:hyperlink r:id="rId11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00" w:type="dxa"/>
            <w:vAlign w:val="bottom"/>
            <w:gridSpan w:val="28"/>
          </w:tcPr>
          <w:p>
            <w:pPr>
              <w:spacing w:after="0" w:line="15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Fourth Amended and Restated Bylaws of Telos Corporation, effective as of</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November 9, 2023</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8"/>
          </w:tcPr>
          <w:p>
            <w:pPr>
              <w:spacing w:after="0"/>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November 7, 2023</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20" w:type="dxa"/>
            <w:vAlign w:val="bottom"/>
            <w:gridSpan w:val="2"/>
            <w:shd w:val="clear" w:color="auto" w:fill="CCEEFF"/>
          </w:tcPr>
          <w:p>
            <w:pPr>
              <w:jc w:val="center"/>
              <w:ind w:left="239"/>
              <w:spacing w:after="0" w:line="155" w:lineRule="exact"/>
              <w:rPr>
                <w:sz w:val="20"/>
                <w:szCs w:val="20"/>
                <w:color w:val="auto"/>
              </w:rPr>
            </w:pPr>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940" w:type="dxa"/>
            <w:vAlign w:val="bottom"/>
            <w:gridSpan w:val="29"/>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Description of our Capital Stock</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13">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220" w:type="dxa"/>
            <w:vAlign w:val="bottom"/>
          </w:tcPr>
          <w:p>
            <w:pPr>
              <w:spacing w:after="0"/>
              <w:rPr>
                <w:sz w:val="15"/>
                <w:szCs w:val="15"/>
                <w:color w:val="auto"/>
              </w:rPr>
            </w:pPr>
          </w:p>
        </w:tc>
        <w:tc>
          <w:tcPr>
            <w:tcW w:w="5940" w:type="dxa"/>
            <w:vAlign w:val="bottom"/>
            <w:gridSpan w:val="29"/>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3">
              <w:r>
                <w:rPr>
                  <w:rFonts w:ascii="Times New Roman" w:cs="Times New Roman" w:eastAsia="Times New Roman" w:hAnsi="Times New Roman"/>
                  <w:sz w:val="16"/>
                  <w:szCs w:val="16"/>
                  <w:color w:val="0000FF"/>
                </w:rPr>
                <w:t>Form of Indemnification Agreement between the Company and its directors and</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May 17, 2021</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gridSpan w:val="2"/>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1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8"/>
          </w:tcPr>
          <w:p>
            <w:pPr>
              <w:spacing w:after="0"/>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executive officers</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1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hyperlink>
          </w:p>
        </w:tc>
        <w:tc>
          <w:tcPr>
            <w:tcW w:w="220" w:type="dxa"/>
            <w:vAlign w:val="bottom"/>
            <w:shd w:val="clear" w:color="auto" w:fill="CCEEFF"/>
          </w:tcPr>
          <w:p>
            <w:pPr>
              <w:spacing w:after="0"/>
              <w:rPr>
                <w:sz w:val="15"/>
                <w:szCs w:val="15"/>
                <w:color w:val="auto"/>
              </w:rPr>
            </w:pPr>
          </w:p>
        </w:tc>
        <w:tc>
          <w:tcPr>
            <w:tcW w:w="5940" w:type="dxa"/>
            <w:vAlign w:val="bottom"/>
            <w:gridSpan w:val="29"/>
            <w:shd w:val="clear" w:color="auto" w:fill="CCEEFF"/>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4">
              <w:r>
                <w:rPr>
                  <w:rFonts w:ascii="Times New Roman" w:cs="Times New Roman" w:eastAsia="Times New Roman" w:hAnsi="Times New Roman"/>
                  <w:sz w:val="16"/>
                  <w:szCs w:val="16"/>
                  <w:color w:val="0000FF"/>
                </w:rPr>
                <w:t>Employment Agreement, dated as of September 17, 2012, between the Company</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10-K</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April 1, 2013</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10.23</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gridSpan w:val="3"/>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right w:val="single" w:sz="8" w:color="CCEEFF"/>
            </w:tcBorders>
            <w:shd w:val="clear" w:color="auto" w:fill="0000FF"/>
          </w:tcPr>
          <w:p>
            <w:pPr>
              <w:spacing w:after="0"/>
              <w:rPr>
                <w:sz w:val="2"/>
                <w:szCs w:val="2"/>
                <w:color w:val="auto"/>
              </w:rPr>
            </w:pPr>
          </w:p>
        </w:tc>
        <w:tc>
          <w:tcPr>
            <w:tcW w:w="140" w:type="dxa"/>
            <w:vAlign w:val="bottom"/>
            <w:tcBorders>
              <w:left w:val="single" w:sz="8" w:color="CCEEFF"/>
            </w:tcBorders>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and Mark Griffin</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1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hyperlink>
          </w:p>
        </w:tc>
        <w:tc>
          <w:tcPr>
            <w:tcW w:w="220" w:type="dxa"/>
            <w:vAlign w:val="bottom"/>
          </w:tcPr>
          <w:p>
            <w:pPr>
              <w:spacing w:after="0"/>
              <w:rPr>
                <w:sz w:val="15"/>
                <w:szCs w:val="15"/>
                <w:color w:val="auto"/>
              </w:rPr>
            </w:pPr>
          </w:p>
        </w:tc>
        <w:tc>
          <w:tcPr>
            <w:tcW w:w="5940" w:type="dxa"/>
            <w:vAlign w:val="bottom"/>
            <w:gridSpan w:val="29"/>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5">
              <w:r>
                <w:rPr>
                  <w:rFonts w:ascii="Times New Roman" w:cs="Times New Roman" w:eastAsia="Times New Roman" w:hAnsi="Times New Roman"/>
                  <w:sz w:val="16"/>
                  <w:szCs w:val="16"/>
                  <w:color w:val="0000FF"/>
                </w:rPr>
                <w:t>Second Amended Employment Agreement, dated as of November 12, 2012,</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November 14, 2012</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40" w:type="dxa"/>
            <w:vAlign w:val="bottom"/>
            <w:gridSpan w:val="4"/>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8"/>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between the Company and John B. Wood</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1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4</w:t>
              </w:r>
            </w:hyperlink>
          </w:p>
        </w:tc>
        <w:tc>
          <w:tcPr>
            <w:tcW w:w="220" w:type="dxa"/>
            <w:vAlign w:val="bottom"/>
            <w:shd w:val="clear" w:color="auto" w:fill="CCEEFF"/>
          </w:tcPr>
          <w:p>
            <w:pPr>
              <w:spacing w:after="0"/>
              <w:rPr>
                <w:sz w:val="15"/>
                <w:szCs w:val="15"/>
                <w:color w:val="auto"/>
              </w:rPr>
            </w:pPr>
          </w:p>
        </w:tc>
        <w:tc>
          <w:tcPr>
            <w:tcW w:w="5940" w:type="dxa"/>
            <w:vAlign w:val="bottom"/>
            <w:gridSpan w:val="29"/>
            <w:shd w:val="clear" w:color="auto" w:fill="CCEEFF"/>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6">
              <w:r>
                <w:rPr>
                  <w:rFonts w:ascii="Times New Roman" w:cs="Times New Roman" w:eastAsia="Times New Roman" w:hAnsi="Times New Roman"/>
                  <w:sz w:val="16"/>
                  <w:szCs w:val="16"/>
                  <w:color w:val="0000FF"/>
                </w:rPr>
                <w:t>Executive Employment Agreement between Mark Bendza and the Company, dated</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August 16, 2021</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40" w:type="dxa"/>
            <w:vAlign w:val="bottom"/>
            <w:gridSpan w:val="4"/>
            <w:shd w:val="clear" w:color="auto" w:fill="0000FF"/>
          </w:tcPr>
          <w:p>
            <w:pPr>
              <w:spacing w:after="0"/>
              <w:rPr>
                <w:sz w:val="2"/>
                <w:szCs w:val="2"/>
                <w:color w:val="auto"/>
              </w:rPr>
            </w:pPr>
          </w:p>
        </w:tc>
        <w:tc>
          <w:tcPr>
            <w:tcW w:w="220" w:type="dxa"/>
            <w:vAlign w:val="bottom"/>
            <w:gridSpan w:val="2"/>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as of July 19, 2021</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1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5</w:t>
              </w:r>
            </w:hyperlink>
          </w:p>
        </w:tc>
        <w:tc>
          <w:tcPr>
            <w:tcW w:w="220" w:type="dxa"/>
            <w:vAlign w:val="bottom"/>
          </w:tcPr>
          <w:p>
            <w:pPr>
              <w:spacing w:after="0"/>
              <w:rPr>
                <w:sz w:val="15"/>
                <w:szCs w:val="15"/>
                <w:color w:val="auto"/>
              </w:rPr>
            </w:pPr>
          </w:p>
        </w:tc>
        <w:tc>
          <w:tcPr>
            <w:tcW w:w="5940" w:type="dxa"/>
            <w:vAlign w:val="bottom"/>
            <w:gridSpan w:val="29"/>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7">
              <w:r>
                <w:rPr>
                  <w:rFonts w:ascii="Times New Roman" w:cs="Times New Roman" w:eastAsia="Times New Roman" w:hAnsi="Times New Roman"/>
                  <w:sz w:val="16"/>
                  <w:szCs w:val="16"/>
                  <w:color w:val="0000FF"/>
                </w:rPr>
                <w:t>Executive Employment Agreement between E. Hutchinson Robbins, Jr. and the</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10-K</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March 16, 2023</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10.5</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8"/>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Company, dated as of February 1, 2022</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1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6</w:t>
              </w:r>
            </w:hyperlink>
          </w:p>
        </w:tc>
        <w:tc>
          <w:tcPr>
            <w:tcW w:w="220" w:type="dxa"/>
            <w:vAlign w:val="bottom"/>
            <w:shd w:val="clear" w:color="auto" w:fill="CCEEFF"/>
          </w:tcPr>
          <w:p>
            <w:pPr>
              <w:spacing w:after="0"/>
              <w:rPr>
                <w:sz w:val="15"/>
                <w:szCs w:val="15"/>
                <w:color w:val="auto"/>
              </w:rPr>
            </w:pPr>
          </w:p>
        </w:tc>
        <w:tc>
          <w:tcPr>
            <w:tcW w:w="5940" w:type="dxa"/>
            <w:vAlign w:val="bottom"/>
            <w:gridSpan w:val="29"/>
            <w:shd w:val="clear" w:color="auto" w:fill="CCEEFF"/>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18">
              <w:r>
                <w:rPr>
                  <w:rFonts w:ascii="Times New Roman" w:cs="Times New Roman" w:eastAsia="Times New Roman" w:hAnsi="Times New Roman"/>
                  <w:sz w:val="16"/>
                  <w:szCs w:val="16"/>
                  <w:color w:val="0000FF"/>
                </w:rPr>
                <w:t>Executive Employment Agreement between Malcolm Cooke and the Company,</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10-K</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March 10, 2025</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10.6</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8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dated as of February 20, 2025</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0" w:type="dxa"/>
            <w:vAlign w:val="bottom"/>
            <w:gridSpan w:val="3"/>
          </w:tcPr>
          <w:p>
            <w:pPr>
              <w:jc w:val="center"/>
              <w:ind w:left="159"/>
              <w:spacing w:after="0"/>
              <w:rPr>
                <w:rFonts w:ascii="Times New Roman" w:cs="Times New Roman" w:eastAsia="Times New Roman" w:hAnsi="Times New Roman"/>
                <w:sz w:val="16"/>
                <w:szCs w:val="16"/>
                <w:color w:val="0000FF"/>
                <w:w w:val="99"/>
              </w:rPr>
            </w:pPr>
            <w:hyperlink r:id="rId11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7</w:t>
              </w:r>
            </w:hyperlink>
          </w:p>
        </w:tc>
        <w:tc>
          <w:tcPr>
            <w:tcW w:w="22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500" w:type="dxa"/>
            <w:vAlign w:val="bottom"/>
            <w:gridSpan w:val="28"/>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Annual Incentive Plan, as amended</w:t>
              </w:r>
            </w:hyperlink>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September 20, 2023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8</w:t>
              </w:r>
            </w:hyperlink>
          </w:p>
        </w:tc>
        <w:tc>
          <w:tcPr>
            <w:tcW w:w="220" w:type="dxa"/>
            <w:vAlign w:val="bottom"/>
            <w:shd w:val="clear" w:color="auto" w:fill="CCEEFF"/>
          </w:tcPr>
          <w:p>
            <w:pPr>
              <w:spacing w:after="0"/>
              <w:rPr>
                <w:sz w:val="17"/>
                <w:szCs w:val="17"/>
                <w:color w:val="auto"/>
              </w:rPr>
            </w:pPr>
          </w:p>
        </w:tc>
        <w:tc>
          <w:tcPr>
            <w:tcW w:w="5940" w:type="dxa"/>
            <w:vAlign w:val="bottom"/>
            <w:gridSpan w:val="29"/>
            <w:shd w:val="clear" w:color="auto" w:fill="CCEEFF"/>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0">
              <w:r>
                <w:rPr>
                  <w:rFonts w:ascii="Times New Roman" w:cs="Times New Roman" w:eastAsia="Times New Roman" w:hAnsi="Times New Roman"/>
                  <w:sz w:val="16"/>
                  <w:szCs w:val="16"/>
                  <w:color w:val="0000FF"/>
                </w:rPr>
                <w:t>Amended and Restated 2016 Omnibus Long-Term Incentive Plan</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May 22, 2024</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8"/>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21">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9</w:t>
              </w:r>
            </w:hyperlink>
          </w:p>
        </w:tc>
        <w:tc>
          <w:tcPr>
            <w:tcW w:w="220" w:type="dxa"/>
            <w:vAlign w:val="bottom"/>
          </w:tcPr>
          <w:p>
            <w:pPr>
              <w:spacing w:after="0"/>
              <w:rPr>
                <w:sz w:val="15"/>
                <w:szCs w:val="15"/>
                <w:color w:val="auto"/>
              </w:rPr>
            </w:pPr>
          </w:p>
        </w:tc>
        <w:tc>
          <w:tcPr>
            <w:tcW w:w="5940" w:type="dxa"/>
            <w:vAlign w:val="bottom"/>
            <w:gridSpan w:val="29"/>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1">
              <w:r>
                <w:rPr>
                  <w:rFonts w:ascii="Times New Roman" w:cs="Times New Roman" w:eastAsia="Times New Roman" w:hAnsi="Times New Roman"/>
                  <w:sz w:val="16"/>
                  <w:szCs w:val="16"/>
                  <w:color w:val="0000FF"/>
                </w:rPr>
                <w:t>Amendment No. 1 to the Telos Corporation Amended and Restated 2016 Omnibus</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May 9, 2025</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80" w:type="dxa"/>
            <w:vAlign w:val="bottom"/>
            <w:gridSpan w:val="4"/>
            <w:shd w:val="clear" w:color="auto" w:fill="0000FF"/>
          </w:tcPr>
          <w:p>
            <w:pPr>
              <w:spacing w:after="0"/>
              <w:rPr>
                <w:sz w:val="2"/>
                <w:szCs w:val="2"/>
                <w:color w:val="auto"/>
              </w:rPr>
            </w:pPr>
          </w:p>
        </w:tc>
        <w:tc>
          <w:tcPr>
            <w:tcW w:w="48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gridSpan w:val="2"/>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8"/>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Long-Term Incentive Plan</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2">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10</w:t>
            </w:r>
          </w:p>
        </w:tc>
        <w:tc>
          <w:tcPr>
            <w:tcW w:w="220" w:type="dxa"/>
            <w:vAlign w:val="bottom"/>
            <w:shd w:val="clear" w:color="auto" w:fill="CCEEFF"/>
          </w:tcPr>
          <w:p>
            <w:pPr>
              <w:spacing w:after="0"/>
              <w:rPr>
                <w:sz w:val="17"/>
                <w:szCs w:val="17"/>
                <w:color w:val="auto"/>
              </w:rPr>
            </w:pPr>
          </w:p>
        </w:tc>
        <w:tc>
          <w:tcPr>
            <w:tcW w:w="5940" w:type="dxa"/>
            <w:vAlign w:val="bottom"/>
            <w:gridSpan w:val="29"/>
            <w:shd w:val="clear" w:color="auto" w:fill="CCEEFF"/>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2">
              <w:r>
                <w:rPr>
                  <w:rFonts w:ascii="Times New Roman" w:cs="Times New Roman" w:eastAsia="Times New Roman" w:hAnsi="Times New Roman"/>
                  <w:sz w:val="16"/>
                  <w:szCs w:val="16"/>
                  <w:color w:val="0000FF"/>
                </w:rPr>
                <w:t>Form of Notice of Grant of Restricted Stock</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August 15, 2016</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10.4</w:t>
            </w:r>
          </w:p>
        </w:tc>
        <w:tc>
          <w:tcPr>
            <w:tcW w:w="0" w:type="dxa"/>
            <w:vAlign w:val="bottom"/>
          </w:tcPr>
          <w:p>
            <w:pPr>
              <w:spacing w:after="0"/>
              <w:rPr>
                <w:sz w:val="1"/>
                <w:szCs w:val="1"/>
                <w:color w:val="auto"/>
              </w:rPr>
            </w:pPr>
          </w:p>
        </w:tc>
      </w:tr>
      <w:tr>
        <w:trPr>
          <w:trHeight w:val="28"/>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23">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11</w:t>
            </w:r>
          </w:p>
        </w:tc>
        <w:tc>
          <w:tcPr>
            <w:tcW w:w="220" w:type="dxa"/>
            <w:vAlign w:val="bottom"/>
          </w:tcPr>
          <w:p>
            <w:pPr>
              <w:spacing w:after="0"/>
              <w:rPr>
                <w:sz w:val="15"/>
                <w:szCs w:val="15"/>
                <w:color w:val="auto"/>
              </w:rPr>
            </w:pPr>
          </w:p>
        </w:tc>
        <w:tc>
          <w:tcPr>
            <w:tcW w:w="5940" w:type="dxa"/>
            <w:vAlign w:val="bottom"/>
            <w:gridSpan w:val="29"/>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3">
              <w:r>
                <w:rPr>
                  <w:rFonts w:ascii="Times New Roman" w:cs="Times New Roman" w:eastAsia="Times New Roman" w:hAnsi="Times New Roman"/>
                  <w:sz w:val="16"/>
                  <w:szCs w:val="16"/>
                  <w:color w:val="0000FF"/>
                </w:rPr>
                <w:t>Form of Restricted Share Unit Award Notice and Restricted Share or Restricted</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February 3, 2021</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99.1</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20" w:type="dxa"/>
            <w:vAlign w:val="bottom"/>
            <w:gridSpan w:val="5"/>
            <w:shd w:val="clear" w:color="auto" w:fill="0000FF"/>
          </w:tcPr>
          <w:p>
            <w:pPr>
              <w:spacing w:after="0"/>
              <w:rPr>
                <w:sz w:val="2"/>
                <w:szCs w:val="2"/>
                <w:color w:val="auto"/>
              </w:rPr>
            </w:pPr>
          </w:p>
        </w:tc>
        <w:tc>
          <w:tcPr>
            <w:tcW w:w="500" w:type="dxa"/>
            <w:vAlign w:val="bottom"/>
            <w:gridSpan w:val="4"/>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gridSpan w:val="2"/>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8"/>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Share Unit Agreement (Time-Based)</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4">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12</w:t>
            </w:r>
          </w:p>
        </w:tc>
        <w:tc>
          <w:tcPr>
            <w:tcW w:w="220" w:type="dxa"/>
            <w:vAlign w:val="bottom"/>
            <w:shd w:val="clear" w:color="auto" w:fill="CCEEFF"/>
          </w:tcPr>
          <w:p>
            <w:pPr>
              <w:spacing w:after="0"/>
              <w:rPr>
                <w:sz w:val="15"/>
                <w:szCs w:val="15"/>
                <w:color w:val="auto"/>
              </w:rPr>
            </w:pPr>
          </w:p>
        </w:tc>
        <w:tc>
          <w:tcPr>
            <w:tcW w:w="5940" w:type="dxa"/>
            <w:vAlign w:val="bottom"/>
            <w:gridSpan w:val="29"/>
            <w:shd w:val="clear" w:color="auto" w:fill="CCEEFF"/>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4">
              <w:r>
                <w:rPr>
                  <w:rFonts w:ascii="Times New Roman" w:cs="Times New Roman" w:eastAsia="Times New Roman" w:hAnsi="Times New Roman"/>
                  <w:sz w:val="16"/>
                  <w:szCs w:val="16"/>
                  <w:color w:val="0000FF"/>
                </w:rPr>
                <w:t>Form of Restricted Share Unit Award Notice and Restricted Share or Restricted</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February 3, 2021</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99.2</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20" w:type="dxa"/>
            <w:vAlign w:val="bottom"/>
            <w:gridSpan w:val="9"/>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00" w:type="dxa"/>
            <w:vAlign w:val="bottom"/>
            <w:gridSpan w:val="2"/>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Share Unit Agreement (Performance-Based)</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25">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13</w:t>
            </w:r>
          </w:p>
        </w:tc>
        <w:tc>
          <w:tcPr>
            <w:tcW w:w="220" w:type="dxa"/>
            <w:vAlign w:val="bottom"/>
          </w:tcPr>
          <w:p>
            <w:pPr>
              <w:spacing w:after="0"/>
              <w:rPr>
                <w:sz w:val="17"/>
                <w:szCs w:val="17"/>
                <w:color w:val="auto"/>
              </w:rPr>
            </w:pPr>
          </w:p>
        </w:tc>
        <w:tc>
          <w:tcPr>
            <w:tcW w:w="5940" w:type="dxa"/>
            <w:vAlign w:val="bottom"/>
            <w:gridSpan w:val="29"/>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5">
              <w:r>
                <w:rPr>
                  <w:rFonts w:ascii="Times New Roman" w:cs="Times New Roman" w:eastAsia="Times New Roman" w:hAnsi="Times New Roman"/>
                  <w:sz w:val="16"/>
                  <w:szCs w:val="16"/>
                  <w:color w:val="0000FF"/>
                </w:rPr>
                <w:t>Form of Telos Corporation Notice of Grant of Option</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August 9, 2023</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6">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14</w:t>
            </w:r>
          </w:p>
        </w:tc>
        <w:tc>
          <w:tcPr>
            <w:tcW w:w="220" w:type="dxa"/>
            <w:vAlign w:val="bottom"/>
            <w:shd w:val="clear" w:color="auto" w:fill="CCEEFF"/>
          </w:tcPr>
          <w:p>
            <w:pPr>
              <w:spacing w:after="0"/>
              <w:rPr>
                <w:sz w:val="15"/>
                <w:szCs w:val="15"/>
                <w:color w:val="auto"/>
              </w:rPr>
            </w:pPr>
          </w:p>
        </w:tc>
        <w:tc>
          <w:tcPr>
            <w:tcW w:w="5940" w:type="dxa"/>
            <w:vAlign w:val="bottom"/>
            <w:gridSpan w:val="29"/>
            <w:shd w:val="clear" w:color="auto" w:fill="CCEEFF"/>
          </w:tcPr>
          <w:p>
            <w:pPr>
              <w:ind w:left="160"/>
              <w:spacing w:after="0" w:line="15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w:t>
            </w:r>
            <w:hyperlink r:id="rId126">
              <w:r>
                <w:rPr>
                  <w:rFonts w:ascii="Times New Roman" w:cs="Times New Roman" w:eastAsia="Times New Roman" w:hAnsi="Times New Roman"/>
                  <w:sz w:val="16"/>
                  <w:szCs w:val="16"/>
                  <w:color w:val="0000FF"/>
                </w:rPr>
                <w:t>Form of Telos Corporation Notice of Grant of Restricted Shares and/or Restricted</w:t>
              </w:r>
            </w:hyperlink>
          </w:p>
        </w:tc>
        <w:tc>
          <w:tcPr>
            <w:tcW w:w="132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shd w:val="clear" w:color="auto" w:fill="CCEEFF"/>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August 9, 2023</w:t>
            </w:r>
          </w:p>
        </w:tc>
        <w:tc>
          <w:tcPr>
            <w:tcW w:w="12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560" w:type="dxa"/>
            <w:vAlign w:val="bottom"/>
            <w:gridSpan w:val="10"/>
            <w:shd w:val="clear" w:color="auto" w:fill="0000FF"/>
          </w:tcPr>
          <w:p>
            <w:pPr>
              <w:spacing w:after="0"/>
              <w:rPr>
                <w:sz w:val="2"/>
                <w:szCs w:val="2"/>
                <w:color w:val="auto"/>
              </w:rPr>
            </w:pPr>
          </w:p>
        </w:tc>
        <w:tc>
          <w:tcPr>
            <w:tcW w:w="1140" w:type="dxa"/>
            <w:vAlign w:val="bottom"/>
            <w:gridSpan w:val="3"/>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420" w:type="dxa"/>
            <w:vAlign w:val="bottom"/>
            <w:tcBorders>
              <w:left w:val="single" w:sz="8" w:color="0000FF"/>
              <w:right w:val="single" w:sz="8" w:color="0000FF"/>
            </w:tcBorders>
            <w:gridSpan w:val="2"/>
            <w:shd w:val="clear" w:color="auto" w:fill="0000FF"/>
          </w:tcPr>
          <w:p>
            <w:pPr>
              <w:spacing w:after="0"/>
              <w:rPr>
                <w:sz w:val="2"/>
                <w:szCs w:val="2"/>
                <w:color w:val="auto"/>
              </w:rPr>
            </w:pPr>
          </w:p>
        </w:tc>
        <w:tc>
          <w:tcPr>
            <w:tcW w:w="140" w:type="dxa"/>
            <w:vAlign w:val="bottom"/>
            <w:tcBorders>
              <w:left w:val="single" w:sz="8" w:color="CCEEFF"/>
            </w:tcBorders>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8"/>
            <w:shd w:val="clear" w:color="auto" w:fill="CCEEFF"/>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Share Units (Time-based)</w:t>
              </w:r>
            </w:hyperlink>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27">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15</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00" w:type="dxa"/>
            <w:vAlign w:val="bottom"/>
            <w:gridSpan w:val="28"/>
          </w:tcPr>
          <w:p>
            <w:pPr>
              <w:spacing w:after="0" w:line="15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Credit Agreement between, among others, Telos Corporation and JP Morgan</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gridSpan w:val="6"/>
            <w:shd w:val="clear" w:color="auto" w:fill="0000FF"/>
          </w:tcPr>
          <w:p>
            <w:pPr>
              <w:spacing w:after="0"/>
              <w:rPr>
                <w:sz w:val="2"/>
                <w:szCs w:val="2"/>
                <w:color w:val="auto"/>
              </w:rPr>
            </w:pPr>
          </w:p>
        </w:tc>
        <w:tc>
          <w:tcPr>
            <w:tcW w:w="1780" w:type="dxa"/>
            <w:vAlign w:val="bottom"/>
            <w:gridSpan w:val="11"/>
            <w:shd w:val="clear" w:color="auto" w:fill="0000FF"/>
          </w:tcPr>
          <w:p>
            <w:pPr>
              <w:spacing w:after="0"/>
              <w:rPr>
                <w:sz w:val="2"/>
                <w:szCs w:val="2"/>
                <w:color w:val="auto"/>
              </w:rPr>
            </w:pPr>
          </w:p>
        </w:tc>
        <w:tc>
          <w:tcPr>
            <w:tcW w:w="1140" w:type="dxa"/>
            <w:vAlign w:val="bottom"/>
            <w:gridSpan w:val="3"/>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420" w:type="dxa"/>
            <w:vAlign w:val="bottom"/>
            <w:tcBorders>
              <w:left w:val="single" w:sz="8" w:color="0000FF"/>
            </w:tcBorders>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8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8"/>
          </w:tcPr>
          <w:p>
            <w:pPr>
              <w:spacing w:after="0" w:line="169"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Chase Bank</w:t>
              </w:r>
            </w:hyperlink>
          </w:p>
        </w:tc>
        <w:tc>
          <w:tcPr>
            <w:tcW w:w="13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rPr>
              <w:t>January 5, 2023</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99.1</w:t>
            </w: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00" w:type="dxa"/>
            <w:vAlign w:val="bottom"/>
            <w:gridSpan w:val="3"/>
            <w:shd w:val="clear" w:color="auto" w:fill="CCEEFF"/>
          </w:tcPr>
          <w:p>
            <w:pPr>
              <w:jc w:val="center"/>
              <w:ind w:left="159"/>
              <w:spacing w:after="0" w:line="155" w:lineRule="exact"/>
              <w:rPr>
                <w:rFonts w:ascii="Times New Roman" w:cs="Times New Roman" w:eastAsia="Times New Roman" w:hAnsi="Times New Roman"/>
                <w:sz w:val="16"/>
                <w:szCs w:val="16"/>
                <w:color w:val="0000FF"/>
                <w:w w:val="99"/>
              </w:rPr>
            </w:pPr>
            <w:hyperlink r:id="rId128">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16</w:t>
            </w:r>
          </w:p>
        </w:tc>
        <w:tc>
          <w:tcPr>
            <w:tcW w:w="2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5500" w:type="dxa"/>
            <w:vAlign w:val="bottom"/>
            <w:gridSpan w:val="28"/>
            <w:shd w:val="clear" w:color="auto" w:fill="CCEEFF"/>
          </w:tcPr>
          <w:p>
            <w:pPr>
              <w:spacing w:after="0" w:line="15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First Amendment to Credit Agreement between, among others, Telos Corporation</w:t>
              </w:r>
            </w:hyperlink>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1440" w:type="dxa"/>
            <w:vAlign w:val="bottom"/>
            <w:gridSpan w:val="7"/>
            <w:shd w:val="clear" w:color="auto" w:fill="0000FF"/>
          </w:tcPr>
          <w:p>
            <w:pPr>
              <w:spacing w:after="0"/>
              <w:rPr>
                <w:sz w:val="2"/>
                <w:szCs w:val="2"/>
                <w:color w:val="auto"/>
              </w:rPr>
            </w:pPr>
          </w:p>
        </w:tc>
        <w:tc>
          <w:tcPr>
            <w:tcW w:w="1780" w:type="dxa"/>
            <w:vAlign w:val="bottom"/>
            <w:gridSpan w:val="11"/>
            <w:shd w:val="clear" w:color="auto" w:fill="0000FF"/>
          </w:tcPr>
          <w:p>
            <w:pPr>
              <w:spacing w:after="0"/>
              <w:rPr>
                <w:sz w:val="2"/>
                <w:szCs w:val="2"/>
                <w:color w:val="auto"/>
              </w:rPr>
            </w:pPr>
          </w:p>
        </w:tc>
        <w:tc>
          <w:tcPr>
            <w:tcW w:w="1140" w:type="dxa"/>
            <w:vAlign w:val="bottom"/>
            <w:gridSpan w:val="3"/>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00" w:type="dxa"/>
            <w:vAlign w:val="bottom"/>
            <w:tcBorders>
              <w:right w:val="single" w:sz="8" w:color="0000FF"/>
            </w:tcBorders>
            <w:gridSpan w:val="4"/>
            <w:shd w:val="clear" w:color="auto" w:fill="0000FF"/>
          </w:tcPr>
          <w:p>
            <w:pPr>
              <w:spacing w:after="0"/>
              <w:rPr>
                <w:sz w:val="2"/>
                <w:szCs w:val="2"/>
                <w:color w:val="auto"/>
              </w:rPr>
            </w:pPr>
          </w:p>
        </w:tc>
        <w:tc>
          <w:tcPr>
            <w:tcW w:w="140" w:type="dxa"/>
            <w:vAlign w:val="bottom"/>
            <w:tcBorders>
              <w:left w:val="single" w:sz="8" w:color="CCEEFF"/>
            </w:tcBorders>
            <w:gridSpan w:val="2"/>
            <w:shd w:val="clear" w:color="auto" w:fill="CCEEFF"/>
          </w:tcPr>
          <w:p>
            <w:pPr>
              <w:spacing w:after="0"/>
              <w:rPr>
                <w:sz w:val="2"/>
                <w:szCs w:val="2"/>
                <w:color w:val="auto"/>
              </w:rPr>
            </w:pPr>
          </w:p>
        </w:tc>
        <w:tc>
          <w:tcPr>
            <w:tcW w:w="1320" w:type="dxa"/>
            <w:vAlign w:val="bottom"/>
            <w:gridSpan w:val="2"/>
            <w:shd w:val="clear" w:color="auto" w:fill="CCEEFF"/>
          </w:tcPr>
          <w:p>
            <w:pPr>
              <w:spacing w:after="0"/>
              <w:rPr>
                <w:sz w:val="2"/>
                <w:szCs w:val="2"/>
                <w:color w:val="auto"/>
              </w:rPr>
            </w:pPr>
          </w:p>
        </w:tc>
        <w:tc>
          <w:tcPr>
            <w:tcW w:w="1840" w:type="dxa"/>
            <w:vAlign w:val="bottom"/>
            <w:gridSpan w:val="2"/>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28"/>
            <w:shd w:val="clear" w:color="auto" w:fill="CCEEFF"/>
          </w:tcPr>
          <w:p>
            <w:pPr>
              <w:spacing w:after="0" w:line="169"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and JP Morgan Chase Bank, dated April 12, 2023</w:t>
              </w:r>
            </w:hyperlink>
          </w:p>
        </w:tc>
        <w:tc>
          <w:tcPr>
            <w:tcW w:w="1320" w:type="dxa"/>
            <w:vAlign w:val="bottom"/>
            <w:gridSpan w:val="2"/>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gridSpan w:val="2"/>
            <w:shd w:val="clear" w:color="auto" w:fill="CCEEFF"/>
          </w:tcPr>
          <w:p>
            <w:pPr>
              <w:jc w:val="center"/>
              <w:ind w:right="80"/>
              <w:spacing w:after="0" w:line="169" w:lineRule="exact"/>
              <w:rPr>
                <w:sz w:val="20"/>
                <w:szCs w:val="20"/>
                <w:color w:val="auto"/>
              </w:rPr>
            </w:pPr>
            <w:r>
              <w:rPr>
                <w:rFonts w:ascii="Times New Roman" w:cs="Times New Roman" w:eastAsia="Times New Roman" w:hAnsi="Times New Roman"/>
                <w:sz w:val="16"/>
                <w:szCs w:val="16"/>
                <w:color w:val="auto"/>
              </w:rPr>
              <w:t>May 10, 2023</w:t>
            </w:r>
          </w:p>
        </w:tc>
        <w:tc>
          <w:tcPr>
            <w:tcW w:w="12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34"/>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gridSpan w:val="3"/>
          </w:tcPr>
          <w:p>
            <w:pPr>
              <w:jc w:val="center"/>
              <w:ind w:left="159"/>
              <w:spacing w:after="0" w:line="155" w:lineRule="exact"/>
              <w:rPr>
                <w:rFonts w:ascii="Times New Roman" w:cs="Times New Roman" w:eastAsia="Times New Roman" w:hAnsi="Times New Roman"/>
                <w:sz w:val="16"/>
                <w:szCs w:val="16"/>
                <w:color w:val="0000FF"/>
                <w:w w:val="99"/>
              </w:rPr>
            </w:pPr>
            <w:hyperlink r:id="rId129">
              <w:r>
                <w:rPr>
                  <w:rFonts w:ascii="Times New Roman" w:cs="Times New Roman" w:eastAsia="Times New Roman" w:hAnsi="Times New Roman"/>
                  <w:sz w:val="16"/>
                  <w:szCs w:val="16"/>
                  <w:color w:val="0000FF"/>
                  <w:w w:val="99"/>
                </w:rPr>
                <w:t>10.</w:t>
              </w:r>
            </w:hyperlink>
            <w:r>
              <w:rPr>
                <w:rFonts w:ascii="Times New Roman" w:cs="Times New Roman" w:eastAsia="Times New Roman" w:hAnsi="Times New Roman"/>
                <w:sz w:val="16"/>
                <w:szCs w:val="16"/>
                <w:u w:val="single" w:color="auto"/>
                <w:color w:val="0000FF"/>
                <w:w w:val="99"/>
              </w:rPr>
              <w:t>17</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00" w:type="dxa"/>
            <w:vAlign w:val="bottom"/>
            <w:gridSpan w:val="28"/>
          </w:tcPr>
          <w:p>
            <w:pPr>
              <w:spacing w:after="0" w:line="15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Second Amendment to Credit Agreement between, among others, Telos</w:t>
              </w:r>
            </w:hyperlink>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January 2, 2026</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7"/>
        </w:trPr>
        <w:tc>
          <w:tcPr>
            <w:tcW w:w="3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gridSpan w:val="7"/>
            <w:shd w:val="clear" w:color="auto" w:fill="0000FF"/>
          </w:tcPr>
          <w:p>
            <w:pPr>
              <w:spacing w:after="0"/>
              <w:rPr>
                <w:sz w:val="2"/>
                <w:szCs w:val="2"/>
                <w:color w:val="auto"/>
              </w:rPr>
            </w:pPr>
          </w:p>
        </w:tc>
        <w:tc>
          <w:tcPr>
            <w:tcW w:w="2920" w:type="dxa"/>
            <w:vAlign w:val="bottom"/>
            <w:gridSpan w:val="14"/>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40" w:type="dxa"/>
            <w:vAlign w:val="bottom"/>
            <w:gridSpan w:val="6"/>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00" w:type="dxa"/>
            <w:vAlign w:val="bottom"/>
            <w:gridSpan w:val="28"/>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Corporation and JP Morgan Chase Bank, dated December 30, 2025</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shd w:val="clear" w:color="auto" w:fill="CCEEFF"/>
          </w:tcPr>
          <w:p>
            <w:pPr>
              <w:jc w:val="center"/>
              <w:ind w:left="159"/>
              <w:spacing w:after="0" w:line="155" w:lineRule="exact"/>
              <w:rPr>
                <w:sz w:val="20"/>
                <w:szCs w:val="20"/>
                <w:color w:val="auto"/>
              </w:rPr>
            </w:pPr>
            <w:r>
              <w:rPr>
                <w:rFonts w:ascii="Times New Roman" w:cs="Times New Roman" w:eastAsia="Times New Roman" w:hAnsi="Times New Roman"/>
                <w:sz w:val="16"/>
                <w:szCs w:val="16"/>
                <w:color w:val="0000FF"/>
                <w:w w:val="99"/>
              </w:rPr>
              <w:t>19.</w:t>
            </w:r>
            <w:r>
              <w:rPr>
                <w:rFonts w:ascii="Times New Roman" w:cs="Times New Roman" w:eastAsia="Times New Roman" w:hAnsi="Times New Roman"/>
                <w:sz w:val="16"/>
                <w:szCs w:val="16"/>
                <w:u w:val="single" w:color="auto"/>
                <w:color w:val="0000FF"/>
                <w:w w:val="99"/>
              </w:rPr>
              <w:t>1</w:t>
            </w:r>
          </w:p>
        </w:tc>
        <w:tc>
          <w:tcPr>
            <w:tcW w:w="2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color w:val="auto"/>
              </w:rPr>
              <w:t>+</w:t>
            </w:r>
          </w:p>
        </w:tc>
        <w:tc>
          <w:tcPr>
            <w:tcW w:w="5500" w:type="dxa"/>
            <w:vAlign w:val="bottom"/>
            <w:gridSpan w:val="28"/>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Insider Trading Policy</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0808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331" w:lineRule="exact"/>
        <w:rPr>
          <w:sz w:val="20"/>
          <w:szCs w:val="20"/>
          <w:color w:val="auto"/>
        </w:rPr>
      </w:pPr>
    </w:p>
    <w:p>
      <w:pPr>
        <w:ind w:left="920" w:hanging="548"/>
        <w:spacing w:after="0"/>
        <w:tabs>
          <w:tab w:leader="none" w:pos="9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constitutes a management contract or compensatory plan or arrangement</w:t>
      </w:r>
    </w:p>
    <w:p>
      <w:pPr>
        <w:spacing w:after="0" w:line="32"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ectPr>
          <w:pgSz w:w="11900" w:h="16838" w:orient="portrait"/>
          <w:cols w:equalWidth="0" w:num="1">
            <w:col w:w="11160"/>
          </w:cols>
          <w:pgMar w:left="320" w:top="119" w:right="41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Incorporated by Reference Herein</w:t>
            </w:r>
          </w:p>
        </w:tc>
        <w:tc>
          <w:tcPr>
            <w:tcW w:w="0" w:type="dxa"/>
            <w:vAlign w:val="bottom"/>
          </w:tcPr>
          <w:p>
            <w:pPr>
              <w:spacing w:after="0"/>
              <w:rPr>
                <w:sz w:val="1"/>
                <w:szCs w:val="1"/>
                <w:color w:val="auto"/>
              </w:rPr>
            </w:pPr>
          </w:p>
        </w:tc>
      </w:tr>
      <w:tr>
        <w:trPr>
          <w:trHeight w:val="148"/>
        </w:trPr>
        <w:tc>
          <w:tcPr>
            <w:tcW w:w="82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6"/>
                <w:szCs w:val="16"/>
                <w:color w:val="auto"/>
              </w:rPr>
              <w:t>Exhibit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20" w:type="dxa"/>
            <w:vAlign w:val="bottom"/>
            <w:gridSpan w:val="9"/>
            <w:vMerge w:val="restart"/>
          </w:tcPr>
          <w:p>
            <w:pPr>
              <w:ind w:left="780"/>
              <w:spacing w:after="0"/>
              <w:rPr>
                <w:sz w:val="20"/>
                <w:szCs w:val="20"/>
                <w:color w:val="auto"/>
              </w:rPr>
            </w:pPr>
            <w:r>
              <w:rPr>
                <w:rFonts w:ascii="Times New Roman" w:cs="Times New Roman" w:eastAsia="Times New Roman" w:hAnsi="Times New Roman"/>
                <w:sz w:val="16"/>
                <w:szCs w:val="16"/>
                <w:color w:val="auto"/>
              </w:rPr>
              <w:t>Description of Exhibit</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Form/ Schedule</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Date Filed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Exhibit Number</w:t>
            </w:r>
          </w:p>
        </w:tc>
        <w:tc>
          <w:tcPr>
            <w:tcW w:w="0" w:type="dxa"/>
            <w:vAlign w:val="bottom"/>
          </w:tcPr>
          <w:p>
            <w:pPr>
              <w:spacing w:after="0"/>
              <w:rPr>
                <w:sz w:val="1"/>
                <w:szCs w:val="1"/>
                <w:color w:val="auto"/>
              </w:rPr>
            </w:pPr>
          </w:p>
        </w:tc>
      </w:tr>
      <w:tr>
        <w:trPr>
          <w:trHeight w:val="21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9"/>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20" w:type="dxa"/>
            <w:vAlign w:val="bottom"/>
            <w:tcBorders>
              <w:top w:val="single" w:sz="8" w:color="auto"/>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21.</w:t>
            </w:r>
            <w:r>
              <w:rPr>
                <w:rFonts w:ascii="Times New Roman" w:cs="Times New Roman" w:eastAsia="Times New Roman" w:hAnsi="Times New Roman"/>
                <w:sz w:val="16"/>
                <w:szCs w:val="16"/>
                <w:u w:val="single" w:color="auto"/>
                <w:color w:val="0000FF"/>
                <w:w w:val="99"/>
              </w:rPr>
              <w:t>1</w:t>
            </w:r>
          </w:p>
        </w:tc>
        <w:tc>
          <w:tcPr>
            <w:tcW w:w="420" w:type="dxa"/>
            <w:vAlign w:val="bottom"/>
            <w:tcBorders>
              <w:top w:val="single" w:sz="8" w:color="CCEEFF"/>
            </w:tcBorders>
            <w:shd w:val="clear" w:color="auto" w:fill="CCEEFF"/>
          </w:tcPr>
          <w:p>
            <w:pPr>
              <w:ind w:left="160"/>
              <w:spacing w:after="0" w:line="152" w:lineRule="exact"/>
              <w:rPr>
                <w:sz w:val="20"/>
                <w:szCs w:val="20"/>
                <w:color w:val="auto"/>
              </w:rPr>
            </w:pPr>
            <w:r>
              <w:rPr>
                <w:rFonts w:ascii="Times New Roman" w:cs="Times New Roman" w:eastAsia="Times New Roman" w:hAnsi="Times New Roman"/>
                <w:sz w:val="16"/>
                <w:szCs w:val="16"/>
                <w:color w:val="auto"/>
              </w:rPr>
              <w:t>+</w:t>
            </w:r>
          </w:p>
        </w:tc>
        <w:tc>
          <w:tcPr>
            <w:tcW w:w="5460" w:type="dxa"/>
            <w:vAlign w:val="bottom"/>
            <w:tcBorders>
              <w:top w:val="single" w:sz="8" w:color="auto"/>
            </w:tcBorders>
            <w:gridSpan w:val="11"/>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0000FF"/>
              </w:rPr>
              <w:t>List of subsidiaries of Telos Corporation</w:t>
            </w: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1</w:t>
            </w:r>
          </w:p>
        </w:tc>
        <w:tc>
          <w:tcPr>
            <w:tcW w:w="5960" w:type="dxa"/>
            <w:vAlign w:val="bottom"/>
            <w:gridSpan w:val="13"/>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Consent of PricewaterhouseCoopers LLP, Independent Registered Public</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top w:val="single" w:sz="8" w:color="0000FF"/>
            </w:tcBorders>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Accounting Firm</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5960" w:type="dxa"/>
            <w:vAlign w:val="bottom"/>
            <w:gridSpan w:val="13"/>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Executive Officer pursuant to Section 302 of the Sarbanes-</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60" w:type="dxa"/>
            <w:vAlign w:val="bottom"/>
            <w:tcBorders>
              <w:top w:val="single" w:sz="8" w:color="0000FF"/>
            </w:tcBorders>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Oxley Act of 2002</w:t>
            </w:r>
          </w:p>
        </w:tc>
        <w:tc>
          <w:tcPr>
            <w:tcW w:w="260" w:type="dxa"/>
            <w:vAlign w:val="bottom"/>
            <w:tcBorders>
              <w:top w:val="single" w:sz="8" w:color="CCEEFF"/>
            </w:tcBorders>
            <w:gridSpan w:val="2"/>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5960" w:type="dxa"/>
            <w:vAlign w:val="bottom"/>
            <w:gridSpan w:val="13"/>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Financial Officer pursuant to Section 302 of the Sarbanes-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top w:val="single" w:sz="8" w:color="0000FF"/>
            </w:tcBorders>
            <w:gridSpan w:val="8"/>
          </w:tcPr>
          <w:p>
            <w:pPr>
              <w:spacing w:after="0" w:line="175" w:lineRule="exact"/>
              <w:rPr>
                <w:sz w:val="20"/>
                <w:szCs w:val="20"/>
                <w:color w:val="auto"/>
              </w:rPr>
            </w:pPr>
            <w:r>
              <w:rPr>
                <w:rFonts w:ascii="Times New Roman" w:cs="Times New Roman" w:eastAsia="Times New Roman" w:hAnsi="Times New Roman"/>
                <w:sz w:val="16"/>
                <w:szCs w:val="16"/>
                <w:color w:val="0000FF"/>
              </w:rPr>
              <w:t>Oxley Act of 2002</w:t>
            </w:r>
          </w:p>
        </w:tc>
        <w:tc>
          <w:tcPr>
            <w:tcW w:w="320" w:type="dxa"/>
            <w:vAlign w:val="bottom"/>
            <w:gridSpan w:val="3"/>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5960" w:type="dxa"/>
            <w:vAlign w:val="bottom"/>
            <w:gridSpan w:val="13"/>
            <w:shd w:val="clear" w:color="auto" w:fill="CCEEFF"/>
          </w:tcPr>
          <w:p>
            <w:pPr>
              <w:ind w:left="160"/>
              <w:spacing w:after="0" w:line="15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FF"/>
              </w:rPr>
              <w:t>Certification of Chief Executive Officer and Chief Financial Officer pursuant to</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180" w:type="dxa"/>
            <w:vAlign w:val="bottom"/>
            <w:tcBorders>
              <w:top w:val="single" w:sz="8" w:color="0000FF"/>
            </w:tcBorders>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340" w:type="dxa"/>
            <w:vAlign w:val="bottom"/>
            <w:tcBorders>
              <w:top w:val="single" w:sz="8" w:color="CCEEFF"/>
            </w:tcBorders>
            <w:gridSpan w:val="4"/>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820" w:type="dxa"/>
            <w:vAlign w:val="bottom"/>
            <w:gridSpan w:val="3"/>
          </w:tcPr>
          <w:p>
            <w:pPr>
              <w:jc w:val="center"/>
              <w:spacing w:after="0" w:line="155" w:lineRule="exact"/>
              <w:rPr>
                <w:rFonts w:ascii="Times New Roman" w:cs="Times New Roman" w:eastAsia="Times New Roman" w:hAnsi="Times New Roman"/>
                <w:sz w:val="16"/>
                <w:szCs w:val="16"/>
                <w:color w:val="0000FF"/>
                <w:w w:val="99"/>
              </w:rPr>
            </w:pPr>
            <w:hyperlink r:id="rId132">
              <w:r>
                <w:rPr>
                  <w:rFonts w:ascii="Times New Roman" w:cs="Times New Roman" w:eastAsia="Times New Roman" w:hAnsi="Times New Roman"/>
                  <w:sz w:val="16"/>
                  <w:szCs w:val="16"/>
                  <w:color w:val="0000FF"/>
                  <w:w w:val="99"/>
                </w:rPr>
                <w:t>97.</w:t>
              </w:r>
              <w:r>
                <w:rPr>
                  <w:rFonts w:ascii="Times New Roman" w:cs="Times New Roman" w:eastAsia="Times New Roman" w:hAnsi="Times New Roman"/>
                  <w:sz w:val="16"/>
                  <w:szCs w:val="16"/>
                  <w:u w:val="single" w:color="auto"/>
                  <w:color w:val="0000FF"/>
                  <w:w w:val="99"/>
                </w:rPr>
                <w:t>1</w:t>
              </w:r>
            </w:hyperlink>
          </w:p>
        </w:tc>
        <w:tc>
          <w:tcPr>
            <w:tcW w:w="420" w:type="dxa"/>
            <w:vAlign w:val="bottom"/>
          </w:tcPr>
          <w:p>
            <w:pPr>
              <w:spacing w:after="0"/>
              <w:rPr>
                <w:sz w:val="17"/>
                <w:szCs w:val="17"/>
                <w:color w:val="auto"/>
              </w:rPr>
            </w:pPr>
          </w:p>
        </w:tc>
        <w:tc>
          <w:tcPr>
            <w:tcW w:w="5540" w:type="dxa"/>
            <w:vAlign w:val="bottom"/>
            <w:gridSpan w:val="12"/>
          </w:tcPr>
          <w:p>
            <w:pPr>
              <w:ind w:left="20"/>
              <w:spacing w:after="0" w:line="15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Policy Relating to Recovery of Erroneously Awarded Compensation</w:t>
              </w:r>
            </w:hyperlink>
          </w:p>
        </w:tc>
        <w:tc>
          <w:tcPr>
            <w:tcW w:w="13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color w:val="auto"/>
              </w:rPr>
              <w:t>10-K</w:t>
            </w:r>
          </w:p>
        </w:tc>
        <w:tc>
          <w:tcPr>
            <w:tcW w:w="18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color w:val="auto"/>
              </w:rPr>
              <w:t>March 15, 2024</w:t>
            </w:r>
          </w:p>
        </w:tc>
        <w:tc>
          <w:tcPr>
            <w:tcW w:w="1240" w:type="dxa"/>
            <w:vAlign w:val="bottom"/>
          </w:tcPr>
          <w:p>
            <w:pPr>
              <w:jc w:val="right"/>
              <w:ind w:right="399"/>
              <w:spacing w:after="0" w:line="155" w:lineRule="exact"/>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596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XBRL Instance Document - the instance document does not appear in the</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5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5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document</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596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  XBRL Taxonomy Extension Schema</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101.CAL</w:t>
            </w:r>
          </w:p>
        </w:tc>
        <w:tc>
          <w:tcPr>
            <w:tcW w:w="596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XBRL Taxonomy Extension Calculation Linkbase</w:t>
            </w: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596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  XBRL Taxonomy Extension Definition Linkbase</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5960" w:type="dxa"/>
            <w:vAlign w:val="bottom"/>
            <w:gridSpan w:val="1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XBRL Taxonomy Extension Label Linkbase</w:t>
            </w: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596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  XBRL Taxonomy Extension Presentation Linkbase</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260" w:right="4940" w:hanging="969"/>
        <w:spacing w:after="0" w:line="280" w:lineRule="auto"/>
        <w:tabs>
          <w:tab w:leader="none" w:pos="12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the cover page iXBRL tags are embedded within the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080885" cy="283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08088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0808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26" w:lineRule="exact"/>
        <w:rPr>
          <w:sz w:val="20"/>
          <w:szCs w:val="20"/>
          <w:color w:val="auto"/>
        </w:rPr>
      </w:pPr>
    </w:p>
    <w:p>
      <w:pPr>
        <w:ind w:left="920" w:hanging="548"/>
        <w:spacing w:after="0"/>
        <w:tabs>
          <w:tab w:leader="none" w:pos="9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constitutes a management contract or compensatory plan or arrangement</w:t>
      </w:r>
    </w:p>
    <w:p>
      <w:pPr>
        <w:spacing w:after="0" w:line="32"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16. Form 10-K Summary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70"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Telos Corporation has duly caused this report to be signed on its behalf by the undersigned, thereunto duly authorized.</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 John B. Wood</w:t>
            </w:r>
          </w:p>
        </w:tc>
        <w:tc>
          <w:tcPr>
            <w:tcW w:w="38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March 16, 2026</w:t>
            </w:r>
          </w:p>
        </w:tc>
      </w:tr>
      <w:tr>
        <w:trPr>
          <w:trHeight w:val="207"/>
        </w:trPr>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By:</w:t>
            </w:r>
          </w:p>
        </w:tc>
        <w:tc>
          <w:tcPr>
            <w:tcW w:w="69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John B. Wood</w:t>
            </w:r>
          </w:p>
        </w:tc>
        <w:tc>
          <w:tcPr>
            <w:tcW w:w="80" w:type="dxa"/>
            <w:vAlign w:val="bottom"/>
          </w:tcPr>
          <w:p>
            <w:pPr>
              <w:spacing w:after="0"/>
              <w:rPr>
                <w:sz w:val="17"/>
                <w:szCs w:val="17"/>
                <w:color w:val="auto"/>
              </w:rPr>
            </w:pPr>
          </w:p>
        </w:tc>
        <w:tc>
          <w:tcPr>
            <w:tcW w:w="3820" w:type="dxa"/>
            <w:vAlign w:val="bottom"/>
            <w:tcBorders>
              <w:top w:val="single" w:sz="8" w:color="auto"/>
            </w:tcBorders>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Executive Officer and Chairman of the Board</w:t>
            </w:r>
          </w:p>
        </w:tc>
        <w:tc>
          <w:tcPr>
            <w:tcW w:w="38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3820" w:type="dxa"/>
            <w:vAlign w:val="bottom"/>
          </w:tcPr>
          <w:p>
            <w:pPr>
              <w:spacing w:after="0"/>
              <w:rPr>
                <w:sz w:val="18"/>
                <w:szCs w:val="18"/>
                <w:color w:val="auto"/>
              </w:rPr>
            </w:pPr>
          </w:p>
        </w:tc>
      </w:tr>
    </w:tbl>
    <w:p>
      <w:pPr>
        <w:spacing w:after="0" w:line="2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Telos Corporation and in the capacities and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18"/>
                <w:szCs w:val="18"/>
                <w:color w:val="auto"/>
              </w:rPr>
            </w:pPr>
          </w:p>
        </w:tc>
        <w:tc>
          <w:tcPr>
            <w:tcW w:w="6120" w:type="dxa"/>
            <w:vAlign w:val="bottom"/>
            <w:gridSpan w:val="2"/>
          </w:tcPr>
          <w:p>
            <w:pPr>
              <w:ind w:left="28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50"/>
        </w:trPr>
        <w:tc>
          <w:tcPr>
            <w:tcW w:w="35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John B. Wood</w:t>
            </w:r>
          </w:p>
        </w:tc>
        <w:tc>
          <w:tcPr>
            <w:tcW w:w="80" w:type="dxa"/>
            <w:vAlign w:val="bottom"/>
          </w:tcPr>
          <w:p>
            <w:pPr>
              <w:spacing w:after="0"/>
              <w:rPr>
                <w:sz w:val="24"/>
                <w:szCs w:val="24"/>
                <w:color w:val="auto"/>
              </w:rPr>
            </w:pPr>
          </w:p>
        </w:tc>
        <w:tc>
          <w:tcPr>
            <w:tcW w:w="6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2026</w:t>
            </w:r>
          </w:p>
        </w:tc>
      </w:tr>
      <w:tr>
        <w:trPr>
          <w:trHeight w:val="161"/>
        </w:trPr>
        <w:tc>
          <w:tcPr>
            <w:tcW w:w="354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John B. Wood</w:t>
            </w:r>
          </w:p>
        </w:tc>
        <w:tc>
          <w:tcPr>
            <w:tcW w:w="80" w:type="dxa"/>
            <w:vAlign w:val="bottom"/>
          </w:tcPr>
          <w:p>
            <w:pPr>
              <w:spacing w:after="0"/>
              <w:rPr>
                <w:sz w:val="14"/>
                <w:szCs w:val="14"/>
                <w:color w:val="auto"/>
              </w:rPr>
            </w:pPr>
          </w:p>
        </w:tc>
        <w:tc>
          <w:tcPr>
            <w:tcW w:w="61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Chief Executive Officer (Principal Executive Officer)</w:t>
            </w:r>
          </w:p>
        </w:tc>
        <w:tc>
          <w:tcPr>
            <w:tcW w:w="1360" w:type="dxa"/>
            <w:vAlign w:val="bottom"/>
          </w:tcPr>
          <w:p>
            <w:pPr>
              <w:spacing w:after="0"/>
              <w:rPr>
                <w:sz w:val="14"/>
                <w:szCs w:val="14"/>
                <w:color w:val="auto"/>
              </w:rPr>
            </w:pPr>
          </w:p>
        </w:tc>
      </w:tr>
      <w:tr>
        <w:trPr>
          <w:trHeight w:val="210"/>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Chairman of the Board and Director</w:t>
            </w:r>
          </w:p>
        </w:tc>
        <w:tc>
          <w:tcPr>
            <w:tcW w:w="1360" w:type="dxa"/>
            <w:vAlign w:val="bottom"/>
          </w:tcPr>
          <w:p>
            <w:pPr>
              <w:spacing w:after="0"/>
              <w:rPr>
                <w:sz w:val="18"/>
                <w:szCs w:val="18"/>
                <w:color w:val="auto"/>
              </w:rPr>
            </w:pPr>
          </w:p>
        </w:tc>
      </w:tr>
      <w:tr>
        <w:trPr>
          <w:trHeight w:val="364"/>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Mark Bendza</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2026</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 Bendza</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DJ Terreri</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2026</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DJ Terreri</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Controller and Chief Accounting Officer (Principal Accounting Officer)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David Borland</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2026</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David Borland</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Bonnie Carroll</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2026</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Bonnie Carroll</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Fredrick D. Schaufeld</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2026</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Fredrick D. Schaufeld</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John W. Maluda</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2026</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John W. Maluda, Major Gen., USAF (Ret)</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Brad Jacobs</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2026</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Brad Jacobs</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r>
        <w:trPr>
          <w:trHeight w:val="378"/>
        </w:trPr>
        <w:tc>
          <w:tcPr>
            <w:tcW w:w="3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 Derrick D. Dockery</w:t>
            </w:r>
          </w:p>
        </w:tc>
        <w:tc>
          <w:tcPr>
            <w:tcW w:w="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16, 2026</w:t>
            </w:r>
          </w:p>
        </w:tc>
      </w:tr>
      <w:tr>
        <w:trPr>
          <w:trHeight w:val="210"/>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Derrick D. Dockery</w:t>
            </w:r>
          </w:p>
        </w:tc>
        <w:tc>
          <w:tcPr>
            <w:tcW w:w="80" w:type="dxa"/>
            <w:vAlign w:val="bottom"/>
          </w:tcPr>
          <w:p>
            <w:pPr>
              <w:spacing w:after="0"/>
              <w:rPr>
                <w:sz w:val="18"/>
                <w:szCs w:val="18"/>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3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19"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OUR CAPITAL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and certain provisions of the Maryland General Corporation Law (“MGCL”) that may be applicable to holders of the Corporation’s capital stock. This summary does not purport to be complete and is qualified in its entirety by the provisions of our Charter, as amended and restated (the “Charter”), our Bylaws, as amended and restated the “Bylaws”), each of which are incorporated by reference as exhibits 3.1 and 3.2, respectively, to this Annual Report on Form 10-K, and certain applicable provisions of the MGCL. For a complete description of our capital stock, you should refer to our Charter, our Bylaws, and to the applicable provisions of the MGCL.</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250,000,000 shares of common stock, $0.001 par value per share, and 10,000,000 shares of preferred stock, $0.01 par value per share. Our Charter authorizes our Board of Directors to classify or reclassify shares of our capital stock in one or more classes or series, to cause the issuance of additional shares of our capital stock, and to amend our Charter without stockholder approval to increase or decrease the number of shares of stock that we have authority to issue.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will be entitled to receive dividends out of funds legally available if our Board of Directors, in its discretion, determines to issue dividends and then only at the times and in the amounts that our Board of Directors may determine.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properly submitted to a vote of stockholders on which holders of common stock are entitled to vote. We have not provided for cumulative voting for the election of directors in our Charter. The directors will be elected by a plurality of the outstanding shares entitled to vote on the election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 Holders of our common stock are not be entitled to exercise any rights of an objecting stockholder under Title 3, Subtitle 2 of the MGCL, or any successor statute, unless otherwise determined by the Board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Charter provides that, subject to the terms of any preferred stock that may be outstanding, a director may be removed by the affirmative vote of stockholders entitled to cast at least two-thirds of the votes entitled to be cast generally in the election of directors.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Charter provide that, subject to the terms of any preferred stock that may be outstanding, vacancies in our board of directors may be filled only by a majority vote of the remaining directors then in office, even if the remaining directors do not constitute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of Stockholder Director Nominations and Proposals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Bylaws provide that stockholder nominations for directors or proposals for business at an annual or special stockholders meeting must comply with certain advance notice provisions set forth in our Bylaws.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Maryland Business Combination Act</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subject to Subtitle 6 of Title 3 of the MGCL, the Maryland Business Combination Act. The Business Combination Act may discourage third parties from trying to acquire control of us and increase the difficulty of consummating such an offer.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Maryland Control Share Acquisition Act</w:t>
      </w:r>
    </w:p>
    <w:p>
      <w:pPr>
        <w:spacing w:after="0" w:line="17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We are subject to Subtitle 7 of Title 3 of the MGCL, the Maryland Control Share Acquisition Act.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Maryland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without any further vote or action by our stockholders. Our Board of Directors may authorize the issuance of preferred stock with voting or conversion rights that could adversely affect the voting power or other rights of the holders of our common stock or other series of preferred stock. The issuance of preferred stock, while providing flexibility in connection with possible financings, acquisitions and other corporate purposes, could, among other things, have the effect of delaying, deferring or preventing a change in our control of our company and might adversely affect the market price of our common stock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0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607695</wp:posOffset>
            </wp:positionV>
            <wp:extent cx="1791335" cy="617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17913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TELOS CORPORATION</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200" w:lineRule="exact"/>
        <w:rPr>
          <w:sz w:val="20"/>
          <w:szCs w:val="20"/>
          <w:color w:val="auto"/>
        </w:rPr>
      </w:pPr>
    </w:p>
    <w:p>
      <w:pPr>
        <w:spacing w:after="0" w:line="30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Insider Trading Policy (“Policy”) describes the requirements of Telos Corporation, a Maryland corporation, and its subsidiaries (collectively, the “Company” or “Telos”) related to trading, and causing the trading of, the Company’s securities or securities of certain other publicly traded companies while in possession of “material” and “non-public” information. This Policy applies to all officers of the Company, all members of the Company’s Board of Directors and all employees of the Company.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 Certain capitalized terms are defined In Section 5 of this Policy.</w:t>
      </w:r>
    </w:p>
    <w:p>
      <w:pPr>
        <w:spacing w:after="0" w:line="121"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w:t>
      </w:r>
    </w:p>
    <w:p>
      <w:pPr>
        <w:spacing w:after="0" w:line="17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auto"/>
        </w:rPr>
        <w:t>A major purpose of the Federal securities law is to prohibit “insider trading”. Insider trading occurs when a person uses material non-public information obtained through involvement with a company to make decisions to purchase, sell, give away, or otherwise trade that company’s securities, or provide that information to others outside the company. The prohibitions against insider trading apply to trades, tips, and recommendations by virtually any person, including all persons associated with the subject company, when “material” and “non-public” information is involved. Anyone violating the insider trading prohibition is subject to personal liability and could face criminal penalties.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Telos takes seriously its obligation, and that of its associates, to prevent insider trading violations. In light of the severity of the possible sanctions, both to individuals and to the Company, Telos has established this Policy to assist all Company personnel in understanding and complying with these obligations. Violations of this Policy or any other Company policy could subject the violator to disciplinary action, up to and including termination of employment or any relationship with the Company. This Policy does not supersede or replace each person’s responsibility to understand and comply with the legal prohibitions on insider trading. For answers to specific questions regarding this Policy or applicable law, contact the Compliance Officer.</w:t>
      </w:r>
    </w:p>
    <w:p>
      <w:pPr>
        <w:spacing w:after="0" w:line="1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20"/>
          <w:szCs w:val="20"/>
          <w:color w:val="auto"/>
        </w:rPr>
        <w:t>For purposes of this Policy, Telos securities includes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Telos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5, 2026</w:t>
      </w:r>
    </w:p>
    <w:p>
      <w:pPr>
        <w:sectPr>
          <w:pgSz w:w="11900" w:h="16838" w:orient="portrait"/>
          <w:cols w:equalWidth="0" w:num="1">
            <w:col w:w="11240"/>
          </w:cols>
          <w:pgMar w:left="320" w:top="11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STATEMENT OF POLICY</w:t>
      </w:r>
    </w:p>
    <w:p>
      <w:pPr>
        <w:spacing w:after="0" w:line="179"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It is the policy of the Company that no director, officer or other employee of the Company (or any other person designated by this Policy or by the Compliance Officer as subject to this Policy) may, directly or indirectly through family members or other persons or entities:</w:t>
      </w:r>
    </w:p>
    <w:p>
      <w:pPr>
        <w:spacing w:after="0" w:line="92" w:lineRule="exact"/>
        <w:rPr>
          <w:sz w:val="20"/>
          <w:szCs w:val="20"/>
          <w:color w:val="auto"/>
        </w:rPr>
      </w:pPr>
    </w:p>
    <w:p>
      <w:pPr>
        <w:ind w:left="660" w:right="620" w:hanging="328"/>
        <w:spacing w:after="0" w:line="283"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 sell or transfer Telos securities at any time while possessing Material Non-Public Information relating to Telos, except as otherwise specified in this Policy.</w:t>
      </w:r>
    </w:p>
    <w:p>
      <w:pPr>
        <w:spacing w:after="0" w:line="92" w:lineRule="exact"/>
        <w:rPr>
          <w:rFonts w:ascii="Times New Roman" w:cs="Times New Roman" w:eastAsia="Times New Roman" w:hAnsi="Times New Roman"/>
          <w:sz w:val="20"/>
          <w:szCs w:val="20"/>
          <w:color w:val="auto"/>
        </w:rPr>
      </w:pPr>
    </w:p>
    <w:p>
      <w:pPr>
        <w:ind w:left="660" w:right="800" w:hanging="328"/>
        <w:spacing w:after="0" w:line="283"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 or sell securities of another company while possessing Material Non-Public Information about that company when that information was obtained in the course of employment with, or the performance of services on behalf of, Telos.</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Telos securities to a third party without consideration, including gifts, donations, or charitable contributions.</w:t>
      </w:r>
    </w:p>
    <w:p>
      <w:pPr>
        <w:spacing w:after="0" w:line="161" w:lineRule="exact"/>
        <w:rPr>
          <w:rFonts w:ascii="Times New Roman" w:cs="Times New Roman" w:eastAsia="Times New Roman" w:hAnsi="Times New Roman"/>
          <w:sz w:val="20"/>
          <w:szCs w:val="20"/>
          <w:color w:val="auto"/>
        </w:rPr>
      </w:pPr>
    </w:p>
    <w:p>
      <w:pPr>
        <w:ind w:left="660" w:right="160" w:hanging="328"/>
        <w:spacing w:after="0" w:line="258"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Telos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w:t>
      </w:r>
    </w:p>
    <w:p>
      <w:pPr>
        <w:spacing w:after="0" w:line="131" w:lineRule="exact"/>
        <w:rPr>
          <w:rFonts w:ascii="Times New Roman" w:cs="Times New Roman" w:eastAsia="Times New Roman" w:hAnsi="Times New Roman"/>
          <w:sz w:val="20"/>
          <w:szCs w:val="20"/>
          <w:color w:val="auto"/>
        </w:rPr>
      </w:pPr>
    </w:p>
    <w:p>
      <w:pPr>
        <w:ind w:left="660" w:right="780" w:hanging="328"/>
        <w:spacing w:after="0" w:line="269"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(“tip”) Material Non-Public Information to any other person, including family members, if the person may use that information to their benefit by trading in the related securities.</w:t>
      </w:r>
    </w:p>
    <w:p>
      <w:pPr>
        <w:spacing w:after="0" w:line="118" w:lineRule="exact"/>
        <w:rPr>
          <w:rFonts w:ascii="Times New Roman" w:cs="Times New Roman" w:eastAsia="Times New Roman" w:hAnsi="Times New Roman"/>
          <w:sz w:val="20"/>
          <w:szCs w:val="20"/>
          <w:color w:val="auto"/>
        </w:rPr>
      </w:pPr>
    </w:p>
    <w:p>
      <w:pPr>
        <w:ind w:left="660" w:right="460" w:hanging="328"/>
        <w:spacing w:after="0" w:line="269"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positive or negative recommendations or express opinions on the basis of Material Non-Public Information with regard to trading in Telos securities.</w:t>
      </w:r>
    </w:p>
    <w:p>
      <w:pPr>
        <w:spacing w:after="0" w:line="118" w:lineRule="exact"/>
        <w:rPr>
          <w:rFonts w:ascii="Times New Roman" w:cs="Times New Roman" w:eastAsia="Times New Roman" w:hAnsi="Times New Roman"/>
          <w:sz w:val="20"/>
          <w:szCs w:val="20"/>
          <w:color w:val="auto"/>
        </w:rPr>
      </w:pPr>
    </w:p>
    <w:p>
      <w:pPr>
        <w:ind w:left="660" w:right="320" w:hanging="328"/>
        <w:spacing w:after="0" w:line="261"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Comment on stock price movements or on rumors or stories about Company developments that the investing public may consider significant, unless it is part of that employee’s job (e.g., in an Investor Relations role) or the Chief Executive Officer or Chief Financial Officer has specifically authorized that employee to speak on behalf of the Company in that instance.</w:t>
      </w:r>
    </w:p>
    <w:p>
      <w:pPr>
        <w:spacing w:after="0" w:line="1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It is also the policy of the Company that Insiders (as defined in Section 5) may not buy or sell Telos securities during any of the four “Quiet Periods” that occur each fiscal year (see Section 5(a)). An Insider (other than a Section 16 Individual) who terminates their employment or other relationship with the Company remains subject to this Policy until the end of the first full Quiet Period following the termination of employment or other relationship. A Section 16 Individual remains subject to this Policy for a period of six (6) months following the termination of their status as a Section 16 Individual.</w:t>
      </w:r>
    </w:p>
    <w:p>
      <w:pPr>
        <w:spacing w:after="0" w:line="138"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Insiders may not engage in the following types of transactions in the Company’s securities unless the Compliance Officer grants advance written approval:</w:t>
      </w:r>
    </w:p>
    <w:p>
      <w:pPr>
        <w:spacing w:after="0" w:line="115"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Short-term trading</w:t>
      </w:r>
      <w:r>
        <w:rPr>
          <w:rFonts w:ascii="Times New Roman" w:cs="Times New Roman" w:eastAsia="Times New Roman" w:hAnsi="Times New Roman"/>
          <w:sz w:val="19"/>
          <w:szCs w:val="19"/>
          <w:color w:val="auto"/>
        </w:rPr>
        <w:t>. Insiders who purchase Company securities may not sell any Company securities of the same class for at least six</w:t>
      </w:r>
    </w:p>
    <w:p>
      <w:pPr>
        <w:spacing w:after="0" w:line="37"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 months after the purchase, and vice versa.</w:t>
      </w:r>
    </w:p>
    <w:p>
      <w:pPr>
        <w:spacing w:after="0" w:line="149"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Short sale</w:t>
      </w:r>
      <w:r>
        <w:rPr>
          <w:rFonts w:ascii="Times New Roman" w:cs="Times New Roman" w:eastAsia="Times New Roman" w:hAnsi="Times New Roman"/>
          <w:sz w:val="20"/>
          <w:szCs w:val="20"/>
          <w:color w:val="auto"/>
        </w:rPr>
        <w:t>. Insiders may not sell the Company’s securities short.</w:t>
      </w:r>
    </w:p>
    <w:p>
      <w:pPr>
        <w:spacing w:after="0" w:line="175" w:lineRule="exact"/>
        <w:rPr>
          <w:rFonts w:ascii="Times New Roman" w:cs="Times New Roman" w:eastAsia="Times New Roman" w:hAnsi="Times New Roman"/>
          <w:sz w:val="20"/>
          <w:szCs w:val="20"/>
          <w:color w:val="auto"/>
        </w:rPr>
      </w:pPr>
    </w:p>
    <w:p>
      <w:pPr>
        <w:ind w:left="660" w:right="300" w:hanging="328"/>
        <w:spacing w:after="0" w:line="273"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Options trading</w:t>
      </w:r>
      <w:r>
        <w:rPr>
          <w:rFonts w:ascii="Times New Roman" w:cs="Times New Roman" w:eastAsia="Times New Roman" w:hAnsi="Times New Roman"/>
          <w:sz w:val="20"/>
          <w:szCs w:val="20"/>
          <w:color w:val="auto"/>
        </w:rPr>
        <w:t>. Insiders may not buy or sell puts, calls, or other option types, or otherwise trade in derivative securities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securities.</w:t>
      </w:r>
    </w:p>
    <w:p>
      <w:pPr>
        <w:spacing w:after="0" w:line="111" w:lineRule="exact"/>
        <w:rPr>
          <w:rFonts w:ascii="Times New Roman" w:cs="Times New Roman" w:eastAsia="Times New Roman" w:hAnsi="Times New Roman"/>
          <w:sz w:val="20"/>
          <w:szCs w:val="20"/>
          <w:color w:val="auto"/>
        </w:rPr>
      </w:pPr>
    </w:p>
    <w:p>
      <w:pPr>
        <w:ind w:left="660" w:right="80" w:hanging="328"/>
        <w:spacing w:after="0" w:line="273"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Trading on margin or pledging</w:t>
      </w:r>
      <w:r>
        <w:rPr>
          <w:rFonts w:ascii="Times New Roman" w:cs="Times New Roman" w:eastAsia="Times New Roman" w:hAnsi="Times New Roman"/>
          <w:sz w:val="20"/>
          <w:szCs w:val="20"/>
          <w:color w:val="auto"/>
        </w:rPr>
        <w:t>. Insiders may not trade Company securities on margin, hold Company securities in a margin account,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pledge Company securities as collateral for a loan, without pre-clearance from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5, 2026</w:t>
      </w:r>
    </w:p>
    <w:p>
      <w:pPr>
        <w:sectPr>
          <w:pgSz w:w="11900" w:h="16838" w:orient="portrait"/>
          <w:cols w:equalWidth="0" w:num="1">
            <w:col w:w="11240"/>
          </w:cols>
          <w:pgMar w:left="320" w:top="11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Hedging</w:t>
      </w:r>
      <w:r>
        <w:rPr>
          <w:rFonts w:ascii="Times New Roman" w:cs="Times New Roman" w:eastAsia="Times New Roman" w:hAnsi="Times New Roman"/>
          <w:sz w:val="19"/>
          <w:szCs w:val="19"/>
          <w:color w:val="auto"/>
        </w:rPr>
        <w:t>. Insiders may not enter into hedging, monetization transactions, or similar arrangements with respect to Company securities.</w:t>
      </w:r>
    </w:p>
    <w:p>
      <w:pPr>
        <w:spacing w:after="0" w:line="19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14"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EXCEPTIONS</w:t>
      </w:r>
    </w:p>
    <w:p>
      <w:pPr>
        <w:spacing w:after="0" w:line="175"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16" w:val="left"/>
        </w:tabs>
        <w:numPr>
          <w:ilvl w:val="1"/>
          <w:numId w:val="4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Certain Stock Option and Restricted Stock Unit Transactions</w:t>
      </w:r>
      <w:r>
        <w:rPr>
          <w:rFonts w:ascii="Times New Roman" w:cs="Times New Roman" w:eastAsia="Times New Roman" w:hAnsi="Times New Roman"/>
          <w:sz w:val="20"/>
          <w:szCs w:val="20"/>
          <w:color w:val="auto"/>
        </w:rPr>
        <w:t>. This Policy’s restrictions on transactions in Telos securities do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apply to the cash or “net” exercise of stock options, or to the surrender or the retention and withholding from delivery of shares to cover taxes owed due to vesting of restricted stock or restricted stock units (“RSUs”) in a manner permitted by the applicable equity award agreement or the Company’s long term incentive plan pursuant to which the restricted stock or RSUs were granted. The restrictions </w:t>
      </w:r>
      <w:r>
        <w:rPr>
          <w:rFonts w:ascii="Times New Roman" w:cs="Times New Roman" w:eastAsia="Times New Roman" w:hAnsi="Times New Roman"/>
          <w:sz w:val="20"/>
          <w:szCs w:val="20"/>
          <w:u w:val="single" w:color="auto"/>
          <w:color w:val="auto"/>
        </w:rPr>
        <w:t>do</w:t>
      </w:r>
      <w:r>
        <w:rPr>
          <w:rFonts w:ascii="Times New Roman" w:cs="Times New Roman" w:eastAsia="Times New Roman" w:hAnsi="Times New Roman"/>
          <w:sz w:val="20"/>
          <w:szCs w:val="20"/>
          <w:color w:val="auto"/>
        </w:rPr>
        <w:t xml:space="preserve"> apply to an Insider’s subsequent sale of any shares issued in connection with an option exercise or vesting of restricted stock or RSUs, however.</w:t>
      </w:r>
    </w:p>
    <w:p>
      <w:pPr>
        <w:spacing w:after="0" w:line="132" w:lineRule="exact"/>
        <w:rPr>
          <w:rFonts w:ascii="Times New Roman" w:cs="Times New Roman" w:eastAsia="Times New Roman" w:hAnsi="Times New Roman"/>
          <w:sz w:val="20"/>
          <w:szCs w:val="20"/>
          <w:i w:val="1"/>
          <w:iCs w:val="1"/>
          <w:color w:val="auto"/>
        </w:rPr>
      </w:pPr>
    </w:p>
    <w:p>
      <w:pPr>
        <w:ind w:left="660" w:right="20" w:hanging="328"/>
        <w:spacing w:after="0" w:line="255" w:lineRule="auto"/>
        <w:tabs>
          <w:tab w:leader="none" w:pos="616" w:val="left"/>
        </w:tabs>
        <w:numPr>
          <w:ilvl w:val="1"/>
          <w:numId w:val="4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10b5-1 Trading Plan Exception</w:t>
      </w:r>
      <w:r>
        <w:rPr>
          <w:rFonts w:ascii="Times New Roman" w:cs="Times New Roman" w:eastAsia="Times New Roman" w:hAnsi="Times New Roman"/>
          <w:sz w:val="20"/>
          <w:szCs w:val="20"/>
          <w:color w:val="auto"/>
        </w:rPr>
        <w:t xml:space="preserve">. These trading restrictions do not apply to transactions effectuated on behalf of an Insider under a pre-existing written plan, contract, instruction, or arrangement that complies with Rule 10b5-1 under the Securities Exchange Act of 1934 (the “1934 Act”) and all of the requirements set forth in the Company’s “Guidelines for Rule 10b5-1 Plans” attached to this Policy as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w:t>
      </w:r>
    </w:p>
    <w:p>
      <w:pPr>
        <w:spacing w:after="0" w:line="129" w:lineRule="exact"/>
        <w:rPr>
          <w:rFonts w:ascii="Times New Roman" w:cs="Times New Roman" w:eastAsia="Times New Roman" w:hAnsi="Times New Roman"/>
          <w:sz w:val="20"/>
          <w:szCs w:val="20"/>
          <w:i w:val="1"/>
          <w:iCs w:val="1"/>
          <w:color w:val="auto"/>
        </w:rPr>
      </w:pPr>
    </w:p>
    <w:p>
      <w:pPr>
        <w:ind w:left="660" w:hanging="652"/>
        <w:spacing w:after="0"/>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PRE-CLEARANCE OF TRADES AND SPECIAL SITUATIONS</w:t>
      </w:r>
    </w:p>
    <w:p>
      <w:pPr>
        <w:spacing w:after="0" w:line="16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0"/>
          <w:szCs w:val="20"/>
          <w:color w:val="auto"/>
        </w:rPr>
        <w:t>The Insider must obtain “pre-clearance” at any time prior to buying or selling Telos securities. The requesting person must complete a Request for pre-clearance form and submit it to the Compliance Officer and then await the Compliance Officer’s written approval before executing the intended transaction.</w:t>
      </w:r>
    </w:p>
    <w:p>
      <w:pPr>
        <w:spacing w:after="0" w:line="103" w:lineRule="exact"/>
        <w:rPr>
          <w:sz w:val="20"/>
          <w:szCs w:val="20"/>
          <w:color w:val="auto"/>
        </w:rPr>
      </w:pPr>
    </w:p>
    <w:p>
      <w:pPr>
        <w:ind w:left="660" w:right="120" w:hanging="328"/>
        <w:spacing w:after="0" w:line="258" w:lineRule="auto"/>
        <w:tabs>
          <w:tab w:leader="none" w:pos="616" w:val="left"/>
        </w:tabs>
        <w:numPr>
          <w:ilvl w:val="0"/>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Section 16 Individuals</w:t>
      </w:r>
      <w:r>
        <w:rPr>
          <w:rFonts w:ascii="Times New Roman" w:cs="Times New Roman" w:eastAsia="Times New Roman" w:hAnsi="Times New Roman"/>
          <w:sz w:val="20"/>
          <w:szCs w:val="20"/>
          <w:color w:val="auto"/>
        </w:rPr>
        <w:t>. “Section 16 Individuals” include all members of the Telos Board of Directors, the Company’s executive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officers, and certain strategic business unit leaders who must report transactions in Company securities pursuant to Section 16 of the 1934 Act. Section 16 Individuals are always Insiders for purposes of this Policy. The Compliance Officer will notify those who the Company has identified as subject to the Section 16 requirements. The individuals must comply with the pre-clearance requirement during, and for six (6) months after the termination of, their status as a Section 16 Individual.</w:t>
      </w:r>
    </w:p>
    <w:p>
      <w:pPr>
        <w:spacing w:after="0" w:line="113" w:lineRule="exact"/>
        <w:rPr>
          <w:rFonts w:ascii="Times New Roman" w:cs="Times New Roman" w:eastAsia="Times New Roman" w:hAnsi="Times New Roman"/>
          <w:sz w:val="20"/>
          <w:szCs w:val="20"/>
          <w:i w:val="1"/>
          <w:iCs w:val="1"/>
          <w:color w:val="auto"/>
        </w:rPr>
      </w:pPr>
    </w:p>
    <w:p>
      <w:pPr>
        <w:ind w:left="660" w:right="40" w:hanging="328"/>
        <w:spacing w:after="0" w:line="258" w:lineRule="auto"/>
        <w:tabs>
          <w:tab w:leader="none" w:pos="616" w:val="left"/>
        </w:tabs>
        <w:numPr>
          <w:ilvl w:val="0"/>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Other Restricted Persons</w:t>
      </w:r>
      <w:r>
        <w:rPr>
          <w:rFonts w:ascii="Times New Roman" w:cs="Times New Roman" w:eastAsia="Times New Roman" w:hAnsi="Times New Roman"/>
          <w:sz w:val="20"/>
          <w:szCs w:val="20"/>
          <w:color w:val="auto"/>
        </w:rPr>
        <w:t>. Certain Telos employees, consultants, agents, joint venture partners (or others who regularly receive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access to Telos Material Non-Public Information), may be deemed Insiders for purposes of this Policy. Examples of persons who are most likely to be subject to this Policy by virtue of their jobs are members of the executive leadership team and their administrative staff and members of the Legal, Investor Relations, Finance and Business Development departments. The Compliance Officer will notify the individuals who will be subject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5, 2026</w:t>
      </w:r>
    </w:p>
    <w:p>
      <w:pPr>
        <w:sectPr>
          <w:pgSz w:w="11900" w:h="16838" w:orient="portrait"/>
          <w:cols w:equalWidth="0" w:num="1">
            <w:col w:w="11240"/>
          </w:cols>
          <w:pgMar w:left="320" w:top="11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0" w:right="80"/>
        <w:spacing w:after="0" w:line="268" w:lineRule="auto"/>
        <w:rPr>
          <w:sz w:val="20"/>
          <w:szCs w:val="20"/>
          <w:color w:val="auto"/>
        </w:rPr>
      </w:pPr>
      <w:r>
        <w:rPr>
          <w:rFonts w:ascii="Times New Roman" w:cs="Times New Roman" w:eastAsia="Times New Roman" w:hAnsi="Times New Roman"/>
          <w:sz w:val="20"/>
          <w:szCs w:val="20"/>
          <w:color w:val="auto"/>
        </w:rPr>
        <w:t>Telos may determine that other persons should be considered Insiders, subject to this Policy, for a period of time if Telos believes that in the normal course of their duties during that time period they are likely to have access to Material Non-Public Information. The Compliance Officer will notify these individuals of the time periods during which they are subject to the Policy.</w:t>
      </w:r>
    </w:p>
    <w:p>
      <w:pPr>
        <w:spacing w:after="0" w:line="107" w:lineRule="exact"/>
        <w:rPr>
          <w:sz w:val="20"/>
          <w:szCs w:val="20"/>
          <w:color w:val="auto"/>
        </w:rPr>
      </w:pPr>
    </w:p>
    <w:p>
      <w:pPr>
        <w:ind w:left="580" w:right="80"/>
        <w:spacing w:after="0" w:line="283" w:lineRule="auto"/>
        <w:rPr>
          <w:sz w:val="20"/>
          <w:szCs w:val="20"/>
          <w:color w:val="auto"/>
        </w:rPr>
      </w:pPr>
      <w:r>
        <w:rPr>
          <w:rFonts w:ascii="Times New Roman" w:cs="Times New Roman" w:eastAsia="Times New Roman" w:hAnsi="Times New Roman"/>
          <w:sz w:val="20"/>
          <w:szCs w:val="20"/>
          <w:color w:val="auto"/>
        </w:rPr>
        <w:t>Individuals who are notified that they are Insiders subject to this Policy, whether on a permanent or temporary basis, are referred to as “Other Restricted Persons” in this Policy.</w:t>
      </w:r>
    </w:p>
    <w:p>
      <w:pPr>
        <w:spacing w:after="0" w:line="88" w:lineRule="exact"/>
        <w:rPr>
          <w:sz w:val="20"/>
          <w:szCs w:val="20"/>
          <w:color w:val="auto"/>
        </w:rPr>
      </w:pPr>
    </w:p>
    <w:p>
      <w:pPr>
        <w:ind w:left="660" w:right="80" w:hanging="328"/>
        <w:spacing w:after="0" w:line="270" w:lineRule="auto"/>
        <w:tabs>
          <w:tab w:leader="none" w:pos="605" w:val="left"/>
        </w:tabs>
        <w:numPr>
          <w:ilvl w:val="0"/>
          <w:numId w:val="4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Time Limit on Pre-Clearance</w:t>
      </w:r>
      <w:r>
        <w:rPr>
          <w:rFonts w:ascii="Times New Roman" w:cs="Times New Roman" w:eastAsia="Times New Roman" w:hAnsi="Times New Roman"/>
          <w:sz w:val="20"/>
          <w:szCs w:val="20"/>
          <w:color w:val="auto"/>
        </w:rPr>
        <w:t>. When the Compliance Officer issues pre-clearance for an Insider’s proposed trade, the pre-clearance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valid for three (3) calendar days. If the requesting Insider does not execute the trade within this timeframe, they must resubmit the pre-clearance request.</w:t>
      </w:r>
    </w:p>
    <w:p>
      <w:pPr>
        <w:spacing w:after="0" w:line="101" w:lineRule="exact"/>
        <w:rPr>
          <w:rFonts w:ascii="Times New Roman" w:cs="Times New Roman" w:eastAsia="Times New Roman" w:hAnsi="Times New Roman"/>
          <w:sz w:val="20"/>
          <w:szCs w:val="20"/>
          <w:i w:val="1"/>
          <w:iCs w:val="1"/>
          <w:color w:val="auto"/>
        </w:rPr>
      </w:pPr>
    </w:p>
    <w:p>
      <w:pPr>
        <w:ind w:left="660" w:right="60" w:hanging="328"/>
        <w:spacing w:after="0" w:line="252" w:lineRule="auto"/>
        <w:tabs>
          <w:tab w:leader="none" w:pos="616" w:val="left"/>
        </w:tabs>
        <w:numPr>
          <w:ilvl w:val="0"/>
          <w:numId w:val="4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Event-Specific Trading Restrictions</w:t>
      </w:r>
      <w:r>
        <w:rPr>
          <w:rFonts w:ascii="Times New Roman" w:cs="Times New Roman" w:eastAsia="Times New Roman" w:hAnsi="Times New Roman"/>
          <w:sz w:val="20"/>
          <w:szCs w:val="20"/>
          <w:color w:val="auto"/>
        </w:rPr>
        <w:t>. From time to time, an event may occur that is material to the Company and is known by only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few directors, officers, employees, or others. The Compliance Officer may determine that it is necessary to re-define the class of persons who may not trade Telos securities while the event remains Material Non-Public Information. In addition, the Company’s financial results may be sufficiently material for a particular fiscal quarter that, in the judgment of the Compliance Officer, either a broad class of persons should be prohibited from trading in Telos securities or the quarterly Quiet Period should commence earlier than usual, or both. In these situations, the Compliance Officer will notify the affected Insiders and Other Restricted Persons regarding the additional restrictions on trading Telos securities, without disclosing the reason for the restriction. The existence of an event-specific trading restriction period or extension of a Quiet Period will not be announced to the Company as a whole, and should be treated as confidential information not to be communicated to any other person.</w:t>
      </w:r>
    </w:p>
    <w:p>
      <w:pPr>
        <w:spacing w:after="0" w:line="121" w:lineRule="exact"/>
        <w:rPr>
          <w:rFonts w:ascii="Times New Roman" w:cs="Times New Roman" w:eastAsia="Times New Roman" w:hAnsi="Times New Roman"/>
          <w:sz w:val="20"/>
          <w:szCs w:val="20"/>
          <w:i w:val="1"/>
          <w:iCs w:val="1"/>
          <w:color w:val="auto"/>
        </w:rPr>
      </w:pPr>
    </w:p>
    <w:p>
      <w:pPr>
        <w:ind w:left="660" w:right="20" w:hanging="328"/>
        <w:spacing w:after="0" w:line="258" w:lineRule="auto"/>
        <w:tabs>
          <w:tab w:leader="none" w:pos="605" w:val="left"/>
        </w:tabs>
        <w:numPr>
          <w:ilvl w:val="0"/>
          <w:numId w:val="4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Suspension of Trading</w:t>
      </w:r>
      <w:r>
        <w:rPr>
          <w:rFonts w:ascii="Times New Roman" w:cs="Times New Roman" w:eastAsia="Times New Roman" w:hAnsi="Times New Roman"/>
          <w:sz w:val="20"/>
          <w:szCs w:val="20"/>
          <w:color w:val="auto"/>
        </w:rPr>
        <w:t>. From time to time, the Compliance Officer may recommend that all Insiders should suspend trading in Telos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because of Material Non-Public Information or events. The Compliance Officer will communicate the suspension to all Insiders, including any additional individuals who have been designated Other Restricted Persons. All those affected may not trade in Telos securities while the suspension is in effect and should not disclose to others that Telos has suspended trading for certain individuals.</w:t>
      </w:r>
    </w:p>
    <w:p>
      <w:pPr>
        <w:spacing w:after="0" w:line="113" w:lineRule="exact"/>
        <w:rPr>
          <w:rFonts w:ascii="Times New Roman" w:cs="Times New Roman" w:eastAsia="Times New Roman" w:hAnsi="Times New Roman"/>
          <w:sz w:val="20"/>
          <w:szCs w:val="20"/>
          <w:i w:val="1"/>
          <w:iCs w:val="1"/>
          <w:color w:val="auto"/>
        </w:rPr>
      </w:pPr>
    </w:p>
    <w:p>
      <w:pPr>
        <w:ind w:left="660" w:right="60" w:hanging="328"/>
        <w:spacing w:after="0" w:line="254" w:lineRule="auto"/>
        <w:tabs>
          <w:tab w:leader="none" w:pos="572" w:val="left"/>
        </w:tabs>
        <w:numPr>
          <w:ilvl w:val="0"/>
          <w:numId w:val="4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Standing and Limit Orders, Margin Accounts, and Security Pledges</w:t>
      </w:r>
      <w:r>
        <w:rPr>
          <w:rFonts w:ascii="Times New Roman" w:cs="Times New Roman" w:eastAsia="Times New Roman" w:hAnsi="Times New Roman"/>
          <w:sz w:val="20"/>
          <w:szCs w:val="20"/>
          <w:color w:val="auto"/>
        </w:rPr>
        <w:t>. Standing and limit orders (except standing and limit orders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approved Rule 10b5-1 Plan), the use of margin accounts, and the pledging of Company securities as collateral for a loan, each create heightened risks for insider trading violations. There can be little or no control over the timing of purchases or sales that result from standing trade instructions to a broker, and as a result the broker could execute a transaction when an Insider is in possession of Material Non-Public Information. Similarly, a margin call under a margin account or the sale of Company securities by a secured creditor could result in an involuntary sale of Company securities at a time when an Insider may be in possession of Material Non-Public Information. The Company therefore discourages placing long-term standing or limit orders on Company securities, the holding of Company securities in a margin account, and the pledging of Company securities as collateral for a loan.</w:t>
      </w:r>
    </w:p>
    <w:p>
      <w:pPr>
        <w:spacing w:after="0" w:line="122" w:lineRule="exact"/>
        <w:rPr>
          <w:sz w:val="20"/>
          <w:szCs w:val="20"/>
          <w:color w:val="auto"/>
        </w:rPr>
      </w:pPr>
    </w:p>
    <w:p>
      <w:pPr>
        <w:ind w:left="660" w:right="440"/>
        <w:spacing w:after="0" w:line="261" w:lineRule="auto"/>
        <w:rPr>
          <w:sz w:val="20"/>
          <w:szCs w:val="20"/>
          <w:color w:val="auto"/>
        </w:rPr>
      </w:pPr>
      <w:r>
        <w:rPr>
          <w:rFonts w:ascii="Times New Roman" w:cs="Times New Roman" w:eastAsia="Times New Roman" w:hAnsi="Times New Roman"/>
          <w:sz w:val="20"/>
          <w:szCs w:val="20"/>
          <w:color w:val="auto"/>
        </w:rPr>
        <w:t>If an Insider determines that they must use a standing order or limit order, trade company securities on margin, hold Company securities in a margin account, or pledge Company securities as collateral for a loan, they must disclose the circumstances to the Compliance Officer and comply with all restrictions and pre-clearance procedures outlined in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5, 2026</w:t>
      </w:r>
    </w:p>
    <w:p>
      <w:pPr>
        <w:sectPr>
          <w:pgSz w:w="11900" w:h="16838" w:orient="portrait"/>
          <w:cols w:equalWidth="0" w:num="1">
            <w:col w:w="11240"/>
          </w:cols>
          <w:pgMar w:left="320" w:top="11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p>
    <w:p>
      <w:pPr>
        <w:spacing w:after="0" w:line="175" w:lineRule="exact"/>
        <w:rPr>
          <w:rFonts w:ascii="Times New Roman" w:cs="Times New Roman" w:eastAsia="Times New Roman" w:hAnsi="Times New Roman"/>
          <w:sz w:val="20"/>
          <w:szCs w:val="20"/>
          <w:color w:val="auto"/>
        </w:rPr>
      </w:pPr>
    </w:p>
    <w:p>
      <w:pPr>
        <w:ind w:left="660" w:right="140" w:hanging="328"/>
        <w:spacing w:after="0"/>
        <w:tabs>
          <w:tab w:leader="none" w:pos="616" w:val="left"/>
        </w:tabs>
        <w:numPr>
          <w:ilvl w:val="1"/>
          <w:numId w:val="4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Quiet Periods</w:t>
      </w:r>
      <w:r>
        <w:rPr>
          <w:rFonts w:ascii="Times New Roman" w:cs="Times New Roman" w:eastAsia="Times New Roman" w:hAnsi="Times New Roman"/>
          <w:sz w:val="20"/>
          <w:szCs w:val="20"/>
          <w:color w:val="auto"/>
        </w:rPr>
        <w:t>. The four quarterly Quiet Periods begin on March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June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September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and December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each year,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 when one full trading day has passed on the NASDAQ Stock Market after Telos announces its results for the preceding fiscal quarter. If the final day of the month falls on a weekend, the Quiet Period will start at the close of business on the last trading day prior to the weekend.</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Assuming NASDAQ is open each day, below is an example of when trading can begin:</w:t>
      </w:r>
    </w:p>
    <w:p>
      <w:pPr>
        <w:spacing w:after="0" w:line="175" w:lineRule="exact"/>
        <w:rPr>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Company’s earnings announcement is released before NASDAQ opens on Monday, the earliest trading day is Tuesday.</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Company’s earnings announcement is released while NASDAQ is open on Monday, the earliest trading day is Wednesday.</w:t>
      </w:r>
    </w:p>
    <w:p>
      <w:pPr>
        <w:spacing w:after="0" w:line="173" w:lineRule="exact"/>
        <w:rPr>
          <w:rFonts w:ascii="Times New Roman" w:cs="Times New Roman" w:eastAsia="Times New Roman" w:hAnsi="Times New Roman"/>
          <w:sz w:val="19"/>
          <w:szCs w:val="19"/>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Company’s earnings announcement is released after NASDAQ closes on Monday, the earliest trading day is Wednesday.</w:t>
      </w:r>
    </w:p>
    <w:p>
      <w:pPr>
        <w:spacing w:after="0" w:line="171" w:lineRule="exact"/>
        <w:rPr>
          <w:rFonts w:ascii="Times New Roman" w:cs="Times New Roman" w:eastAsia="Times New Roman" w:hAnsi="Times New Roman"/>
          <w:sz w:val="20"/>
          <w:szCs w:val="20"/>
          <w:color w:val="auto"/>
        </w:rPr>
      </w:pPr>
    </w:p>
    <w:p>
      <w:pPr>
        <w:ind w:left="660" w:right="60" w:hanging="328"/>
        <w:spacing w:after="0" w:line="254" w:lineRule="auto"/>
        <w:tabs>
          <w:tab w:leader="none" w:pos="616" w:val="left"/>
        </w:tabs>
        <w:numPr>
          <w:ilvl w:val="0"/>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Insiders</w:t>
      </w:r>
      <w:r>
        <w:rPr>
          <w:rFonts w:ascii="Times New Roman" w:cs="Times New Roman" w:eastAsia="Times New Roman" w:hAnsi="Times New Roman"/>
          <w:sz w:val="20"/>
          <w:szCs w:val="20"/>
          <w:color w:val="auto"/>
        </w:rPr>
        <w:t>. Insiders are (i) members of the Board of Directors of the Company and executive officers; (ii) identified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employees whose job requirements involve them in the preparation of financial reporting, board interactions, or investor relations, or otherwise expose them to Material Non-Public Information; (iii) any other individual designated in writing by the Compliance Officer as an Insider and notified of such status including, but not limited to, employees, consultants, and other persons associated with the Company who receive or have access to the Company’s Material Non-Public Information; and (iv) household and immediate family members (parent, child, spouse, sibling) of those listed in (i) through (iii).</w:t>
      </w:r>
    </w:p>
    <w:p>
      <w:pPr>
        <w:spacing w:after="0" w:line="119" w:lineRule="exact"/>
        <w:rPr>
          <w:rFonts w:ascii="Times New Roman" w:cs="Times New Roman" w:eastAsia="Times New Roman" w:hAnsi="Times New Roman"/>
          <w:sz w:val="20"/>
          <w:szCs w:val="20"/>
          <w:i w:val="1"/>
          <w:iCs w:val="1"/>
          <w:color w:val="auto"/>
        </w:rPr>
      </w:pPr>
    </w:p>
    <w:p>
      <w:pPr>
        <w:ind w:left="660" w:right="20" w:hanging="328"/>
        <w:spacing w:after="0" w:line="260" w:lineRule="auto"/>
        <w:tabs>
          <w:tab w:leader="none" w:pos="605" w:val="left"/>
        </w:tabs>
        <w:numPr>
          <w:ilvl w:val="0"/>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Material Information</w:t>
      </w:r>
      <w:r>
        <w:rPr>
          <w:rFonts w:ascii="Times New Roman" w:cs="Times New Roman" w:eastAsia="Times New Roman" w:hAnsi="Times New Roman"/>
          <w:sz w:val="20"/>
          <w:szCs w:val="20"/>
          <w:color w:val="auto"/>
        </w:rPr>
        <w:t>. Information is deemed to be material if there is a reasonable likelihood that it would be considered important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investor in making a decision regarding the purchase or sale of securities. While it is not possible to define all categories of material information, there are various categories of information that are particularly sensitive and, as a general rule, should always be considered material. Examples of such information include:</w:t>
      </w:r>
    </w:p>
    <w:p>
      <w:pPr>
        <w:spacing w:after="0" w:line="127" w:lineRule="exact"/>
        <w:rPr>
          <w:rFonts w:ascii="Times New Roman" w:cs="Times New Roman" w:eastAsia="Times New Roman" w:hAnsi="Times New Roman"/>
          <w:sz w:val="20"/>
          <w:szCs w:val="20"/>
          <w:i w:val="1"/>
          <w:iCs w:val="1"/>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Unpublished financial results</w:t>
      </w:r>
    </w:p>
    <w:p>
      <w:pPr>
        <w:spacing w:after="0" w:line="16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restatements of previously disclosed financial results</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of future earnings or losses</w:t>
      </w:r>
    </w:p>
    <w:p>
      <w:pPr>
        <w:spacing w:after="0" w:line="16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of a pending or proposed merger</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Establishment of a repurchase program for Telos securities</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or divestitures</w:t>
      </w:r>
    </w:p>
    <w:p>
      <w:pPr>
        <w:spacing w:after="0" w:line="16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or sale of substantial assets</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16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borrowings</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under agreements or actions by creditors, customers, or suppliers relating to a company’s credit standing</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a substantial contract, customer or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5, 2026</w:t>
      </w:r>
    </w:p>
    <w:p>
      <w:pPr>
        <w:sectPr>
          <w:pgSz w:w="11900" w:h="16838" w:orient="portrait"/>
          <w:cols w:equalWidth="0" w:num="1">
            <w:col w:w="11240"/>
          </w:cols>
          <w:pgMar w:left="320" w:top="11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policy</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announcements of a significant nature</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pricing changes</w:t>
      </w:r>
    </w:p>
    <w:p>
      <w:pPr>
        <w:spacing w:after="0" w:line="16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splits or stock dividends</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equity or debt offerings</w:t>
      </w:r>
    </w:p>
    <w:p>
      <w:pPr>
        <w:spacing w:after="0" w:line="16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exposure due to actual or threatened litigation</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changes in senior management</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risks and incidents</w:t>
      </w:r>
    </w:p>
    <w:p>
      <w:pPr>
        <w:spacing w:after="0" w:line="162" w:lineRule="exact"/>
        <w:rPr>
          <w:sz w:val="20"/>
          <w:szCs w:val="20"/>
          <w:color w:val="auto"/>
        </w:rPr>
      </w:pPr>
    </w:p>
    <w:p>
      <w:pPr>
        <w:ind w:left="580" w:right="320"/>
        <w:spacing w:after="0" w:line="261" w:lineRule="auto"/>
        <w:rPr>
          <w:sz w:val="20"/>
          <w:szCs w:val="20"/>
          <w:color w:val="auto"/>
        </w:rPr>
      </w:pPr>
      <w:r>
        <w:rPr>
          <w:rFonts w:ascii="Times New Roman" w:cs="Times New Roman" w:eastAsia="Times New Roman" w:hAnsi="Times New Roman"/>
          <w:sz w:val="20"/>
          <w:szCs w:val="20"/>
          <w:color w:val="auto"/>
        </w:rPr>
        <w:t>Either positive or negative information may be material. If unsure whether information is material, consult the Compliance Officer before making any decision to disclose such information or to trade in or recommend securities to which that information relates. Assume that the information is material until there is clear reason to believe otherwise.</w:t>
      </w:r>
    </w:p>
    <w:p>
      <w:pPr>
        <w:spacing w:after="0" w:line="123" w:lineRule="exact"/>
        <w:rPr>
          <w:sz w:val="20"/>
          <w:szCs w:val="20"/>
          <w:color w:val="auto"/>
        </w:rPr>
      </w:pPr>
    </w:p>
    <w:p>
      <w:pPr>
        <w:ind w:left="660" w:right="80" w:hanging="328"/>
        <w:spacing w:after="0" w:line="252" w:lineRule="auto"/>
        <w:tabs>
          <w:tab w:leader="none" w:pos="616" w:val="left"/>
        </w:tabs>
        <w:numPr>
          <w:ilvl w:val="1"/>
          <w:numId w:val="4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Non-Public Information</w:t>
      </w:r>
      <w:r>
        <w:rPr>
          <w:rFonts w:ascii="Times New Roman" w:cs="Times New Roman" w:eastAsia="Times New Roman" w:hAnsi="Times New Roman"/>
          <w:sz w:val="20"/>
          <w:szCs w:val="20"/>
          <w:color w:val="auto"/>
        </w:rPr>
        <w:t>. Non-Public Information is information that has not been disclosed to the general public and is not available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general public. Non-Public Information generally will be deemed to be public after one full trading day has passed on NASDAQ following the date when the information is disclosed publicly. To show that information is public, a person should be able to point to some evidence that is widely disseminated. Information would generally be deemed widely disseminated if it has been disclosed, for example, in the Dow Jones broad tape or news wire services such as Bloomberg, Business Wire, AP, UPI, or Reuters; radio or television; newspapers or magazines; or in widely circulated public disclosure documents filed with the SEC, such as prospectuses, current reports on Form 8-K, quarterly reports on Form10-Q, or annual reports on Form 10-K. As with questions of materiality, if unsure whether information is considered public, either consult with the Compliance Officer or assume that the information is non-public and treat it as confidential.</w:t>
      </w:r>
    </w:p>
    <w:p>
      <w:pPr>
        <w:spacing w:after="0" w:line="121" w:lineRule="exact"/>
        <w:rPr>
          <w:rFonts w:ascii="Times New Roman" w:cs="Times New Roman" w:eastAsia="Times New Roman" w:hAnsi="Times New Roman"/>
          <w:sz w:val="20"/>
          <w:szCs w:val="20"/>
          <w:i w:val="1"/>
          <w:iCs w:val="1"/>
          <w:color w:val="auto"/>
        </w:rPr>
      </w:pPr>
    </w:p>
    <w:p>
      <w:pPr>
        <w:ind w:left="660" w:hanging="652"/>
        <w:spacing w:after="0"/>
        <w:tabs>
          <w:tab w:leader="none" w:pos="6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SAFEGUARDING CONFIDENTIAL INFORMATION</w:t>
      </w:r>
    </w:p>
    <w:p>
      <w:pPr>
        <w:spacing w:after="0" w:line="17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0"/>
          <w:szCs w:val="20"/>
          <w:color w:val="auto"/>
        </w:rPr>
        <w:t>Determinations of materiality are complex and difficult and depend upon an analysis of complex facts and circumstances. A person should assume that any confidential information they possess, about Telos or any other public company qualifies as Non-Public Information and is material.</w:t>
      </w:r>
    </w:p>
    <w:p>
      <w:pPr>
        <w:spacing w:after="0" w:line="12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In order to safeguard Company confidential information, and to minimize the possibility that any employee will violate the law or this Policy, the following procedures have been adopted:</w:t>
      </w:r>
    </w:p>
    <w:p>
      <w:pPr>
        <w:spacing w:after="0" w:line="119" w:lineRule="exact"/>
        <w:rPr>
          <w:sz w:val="20"/>
          <w:szCs w:val="20"/>
          <w:color w:val="auto"/>
        </w:rPr>
      </w:pPr>
    </w:p>
    <w:p>
      <w:pPr>
        <w:ind w:left="660" w:right="480" w:hanging="328"/>
        <w:spacing w:after="0" w:line="258"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confidential information relating to Company business is Non-Public Information and should be handled on a need-to-know basis. Such information should not be discussed with any person who does not need to know such information for purposes of conducting Company business. Friends and relatives are among the persons with whom confidential information should not be discussed.</w:t>
      </w:r>
    </w:p>
    <w:p>
      <w:pPr>
        <w:spacing w:after="0" w:line="118" w:lineRule="exact"/>
        <w:rPr>
          <w:rFonts w:ascii="Times New Roman" w:cs="Times New Roman" w:eastAsia="Times New Roman" w:hAnsi="Times New Roman"/>
          <w:sz w:val="20"/>
          <w:szCs w:val="20"/>
          <w:color w:val="auto"/>
        </w:rPr>
      </w:pPr>
    </w:p>
    <w:p>
      <w:pPr>
        <w:ind w:left="660" w:right="500" w:hanging="328"/>
        <w:spacing w:after="0" w:line="310" w:lineRule="auto"/>
        <w:tabs>
          <w:tab w:leader="none" w:pos="64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confidential information must be disclosed to an employee or third party, the recipient of such information should be informed of the confidential nature of the information and that it qualifies as Non-Public Information pursuant to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5, 2026</w:t>
      </w:r>
    </w:p>
    <w:p>
      <w:pPr>
        <w:sectPr>
          <w:pgSz w:w="11900" w:h="16838" w:orient="portrait"/>
          <w:cols w:equalWidth="0" w:num="1">
            <w:col w:w="11240"/>
          </w:cols>
          <w:pgMar w:left="320" w:top="11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right="320" w:hanging="328"/>
        <w:spacing w:after="0" w:line="268" w:lineRule="auto"/>
        <w:tabs>
          <w:tab w:leader="none" w:pos="64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should not be discussed in hallways, elevators, or other public places (such as airplanes, restaurants, or public restrooms) where conversations might be overheard, and inadvertent disclosure should not be made through speaker phone discussions that can be overhead by others.</w:t>
      </w:r>
    </w:p>
    <w:p>
      <w:pPr>
        <w:spacing w:after="0" w:line="107" w:lineRule="exact"/>
        <w:rPr>
          <w:rFonts w:ascii="Times New Roman" w:cs="Times New Roman" w:eastAsia="Times New Roman" w:hAnsi="Times New Roman"/>
          <w:sz w:val="20"/>
          <w:szCs w:val="20"/>
          <w:color w:val="auto"/>
        </w:rPr>
      </w:pPr>
    </w:p>
    <w:p>
      <w:pPr>
        <w:ind w:left="660" w:right="140" w:hanging="328"/>
        <w:spacing w:after="0" w:line="281" w:lineRule="auto"/>
        <w:tabs>
          <w:tab w:leader="none" w:pos="648"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order to prevent unauthorized access, confidential documents should be stored appropriately when not being used, and other appropriate precautions should be taken. These may include storage in locked drawers, use of sealed envelopes, marking documents “Confidential”, shredding documents, and using secret access codes and other appropriate computer security measures.</w:t>
      </w:r>
    </w:p>
    <w:p>
      <w:pPr>
        <w:spacing w:after="0" w:line="110" w:lineRule="exact"/>
        <w:rPr>
          <w:rFonts w:ascii="Times New Roman" w:cs="Times New Roman" w:eastAsia="Times New Roman" w:hAnsi="Times New Roman"/>
          <w:sz w:val="19"/>
          <w:szCs w:val="19"/>
          <w:color w:val="auto"/>
        </w:rPr>
      </w:pPr>
    </w:p>
    <w:p>
      <w:pPr>
        <w:ind w:left="660" w:right="120" w:hanging="328"/>
        <w:spacing w:after="0" w:line="310" w:lineRule="auto"/>
        <w:tabs>
          <w:tab w:leader="none" w:pos="648"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Persons who have any doubt about whether they possess Non-Public Information regarding Telos or any other company should not disseminate such information to anyone outside the Company until after consulting the Compliance Officer and receiving clearance.</w:t>
      </w:r>
    </w:p>
    <w:p>
      <w:pPr>
        <w:spacing w:after="0" w:line="66"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POTENTIAL CRIMINAL AND CIVIL LIABILITY; DISCIPLINARY ACTION</w:t>
      </w:r>
    </w:p>
    <w:p>
      <w:pPr>
        <w:spacing w:after="0" w:line="175" w:lineRule="exact"/>
        <w:rPr>
          <w:sz w:val="20"/>
          <w:szCs w:val="20"/>
          <w:color w:val="auto"/>
        </w:rPr>
      </w:pPr>
    </w:p>
    <w:p>
      <w:pPr>
        <w:ind w:left="660" w:right="20" w:hanging="328"/>
        <w:spacing w:after="0" w:line="254" w:lineRule="auto"/>
        <w:tabs>
          <w:tab w:leader="none" w:pos="616" w:val="left"/>
        </w:tabs>
        <w:numPr>
          <w:ilvl w:val="1"/>
          <w:numId w:val="5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Individual Responsibility</w:t>
      </w:r>
      <w:r>
        <w:rPr>
          <w:rFonts w:ascii="Times New Roman" w:cs="Times New Roman" w:eastAsia="Times New Roman" w:hAnsi="Times New Roman"/>
          <w:sz w:val="20"/>
          <w:szCs w:val="20"/>
          <w:color w:val="auto"/>
        </w:rPr>
        <w:t>. Each person is individually responsible for complying with the securities laws and this Policy, regardless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whether Telos has notified that person of a trading prohibition. The fact that no Quiet Period or suspension period is currently in effect should not be considered a “safe harbor” for trading. Each person must still consider whether they are then in possession of Material Non-Pubic Information before executing a trade. The matters set forth in this Policy are guidelines only, and each person must exercise appropriate judgment in connection with all securities trading. Any Insider who believes that a violation of this Policy has taken place must report that violation to the Compliance Officer.</w:t>
      </w:r>
    </w:p>
    <w:p>
      <w:pPr>
        <w:spacing w:after="0" w:line="119" w:lineRule="exact"/>
        <w:rPr>
          <w:rFonts w:ascii="Times New Roman" w:cs="Times New Roman" w:eastAsia="Times New Roman" w:hAnsi="Times New Roman"/>
          <w:sz w:val="20"/>
          <w:szCs w:val="20"/>
          <w:i w:val="1"/>
          <w:iCs w:val="1"/>
          <w:color w:val="auto"/>
        </w:rPr>
      </w:pPr>
    </w:p>
    <w:p>
      <w:pPr>
        <w:ind w:left="620" w:hanging="288"/>
        <w:spacing w:after="0"/>
        <w:tabs>
          <w:tab w:leader="none" w:pos="620" w:val="left"/>
        </w:tabs>
        <w:numPr>
          <w:ilvl w:val="1"/>
          <w:numId w:val="5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Potential Sanctions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i w:val="1"/>
          <w:iCs w:val="1"/>
          <w:color w:val="auto"/>
        </w:rPr>
      </w:pPr>
    </w:p>
    <w:p>
      <w:pPr>
        <w:ind w:left="980" w:right="300" w:hanging="324"/>
        <w:spacing w:after="0" w:line="254" w:lineRule="auto"/>
        <w:tabs>
          <w:tab w:leader="none" w:pos="968"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Liability for Insider Trading</w:t>
      </w:r>
      <w:r>
        <w:rPr>
          <w:rFonts w:ascii="Times New Roman" w:cs="Times New Roman" w:eastAsia="Times New Roman" w:hAnsi="Times New Roman"/>
          <w:sz w:val="20"/>
          <w:szCs w:val="20"/>
          <w:color w:val="auto"/>
        </w:rPr>
        <w:t>. Insiders may be subject to significant financial penalties and jail terms for trading in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when they have Material Non-Public Information. In addition to the potential civil and criminal liabilities, in certain circumstances, the Company may be able to recover all profits made by an Insider who traded illegally and collect other damages. Further, the Company (and its directors and executive officers) could face significant civil penalties as a result of an employee’s violation and/or a criminal penalty for failing to take steps to prevent insider trading.</w:t>
      </w:r>
    </w:p>
    <w:p>
      <w:pPr>
        <w:spacing w:after="0" w:line="133" w:lineRule="exact"/>
        <w:rPr>
          <w:rFonts w:ascii="Times New Roman" w:cs="Times New Roman" w:eastAsia="Times New Roman" w:hAnsi="Times New Roman"/>
          <w:sz w:val="20"/>
          <w:szCs w:val="20"/>
          <w:color w:val="auto"/>
        </w:rPr>
      </w:pPr>
    </w:p>
    <w:p>
      <w:pPr>
        <w:ind w:left="980" w:right="180" w:hanging="324"/>
        <w:spacing w:after="0" w:line="254" w:lineRule="auto"/>
        <w:tabs>
          <w:tab w:leader="none" w:pos="968"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Liability for Tipping</w:t>
      </w:r>
      <w:r>
        <w:rPr>
          <w:rFonts w:ascii="Times New Roman" w:cs="Times New Roman" w:eastAsia="Times New Roman" w:hAnsi="Times New Roman"/>
          <w:sz w:val="20"/>
          <w:szCs w:val="20"/>
          <w:color w:val="auto"/>
        </w:rPr>
        <w:t>. Insiders may also be liable for improper transactions by any person to whom they have disclosed Material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Non-public Information (commonly referred to as a “tippee”), or to whom they have made recommendations or expressed opinions on the basis of such information about trading securities. The Securities and Exchange Commission (“SEC”) has imposed large penalties even when the disclosing person did not profit from the trading. The SEC, the stock exchanges, the Financial Industry Regulatory Authority, and law enforcement bodies all use sophisticated electronic surveillance techniques to uncover insider trading and other illegal activity.</w:t>
      </w:r>
    </w:p>
    <w:p>
      <w:pPr>
        <w:spacing w:after="0" w:line="119" w:lineRule="exact"/>
        <w:rPr>
          <w:rFonts w:ascii="Times New Roman" w:cs="Times New Roman" w:eastAsia="Times New Roman" w:hAnsi="Times New Roman"/>
          <w:sz w:val="20"/>
          <w:szCs w:val="20"/>
          <w:color w:val="auto"/>
        </w:rPr>
      </w:pPr>
    </w:p>
    <w:p>
      <w:pPr>
        <w:ind w:left="980" w:right="20" w:hanging="324"/>
        <w:spacing w:after="0" w:line="315" w:lineRule="auto"/>
        <w:tabs>
          <w:tab w:leader="none" w:pos="968" w:val="left"/>
        </w:tabs>
        <w:numPr>
          <w:ilvl w:val="2"/>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Possible Disciplinary Action</w:t>
      </w:r>
      <w:r>
        <w:rPr>
          <w:rFonts w:ascii="Times New Roman" w:cs="Times New Roman" w:eastAsia="Times New Roman" w:hAnsi="Times New Roman"/>
          <w:sz w:val="19"/>
          <w:szCs w:val="19"/>
          <w:color w:val="auto"/>
        </w:rPr>
        <w:t>. Individuals who violate this Policy will be subject to disciplinary action, which may include up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ineligibility for future participation in Telos equity incentive plans or termination of employment or other relationship with Telos.</w:t>
      </w:r>
    </w:p>
    <w:p>
      <w:pPr>
        <w:spacing w:after="0" w:line="74"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OFFICER</w:t>
      </w:r>
    </w:p>
    <w:p>
      <w:pPr>
        <w:spacing w:after="0" w:line="161" w:lineRule="exact"/>
        <w:rPr>
          <w:rFonts w:ascii="Times New Roman" w:cs="Times New Roman" w:eastAsia="Times New Roman" w:hAnsi="Times New Roman"/>
          <w:sz w:val="20"/>
          <w:szCs w:val="20"/>
          <w:color w:val="auto"/>
        </w:rPr>
      </w:pPr>
    </w:p>
    <w:p>
      <w:pPr>
        <w:ind w:left="660" w:right="840" w:hanging="328"/>
        <w:spacing w:after="0" w:line="287" w:lineRule="auto"/>
        <w:tabs>
          <w:tab w:leader="none" w:pos="616" w:val="left"/>
        </w:tabs>
        <w:numPr>
          <w:ilvl w:val="1"/>
          <w:numId w:val="5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Identity of Compliance Officer</w:t>
      </w:r>
      <w:r>
        <w:rPr>
          <w:rFonts w:ascii="Times New Roman" w:cs="Times New Roman" w:eastAsia="Times New Roman" w:hAnsi="Times New Roman"/>
          <w:sz w:val="20"/>
          <w:szCs w:val="20"/>
          <w:color w:val="auto"/>
        </w:rPr>
        <w:t>. The Compliance Officer is its General Counsel. Telos may, in its sole discretion, change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Compliance Officer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5, 2026</w:t>
      </w:r>
    </w:p>
    <w:p>
      <w:pPr>
        <w:sectPr>
          <w:pgSz w:w="11900" w:h="16838" w:orient="portrait"/>
          <w:cols w:equalWidth="0" w:num="1">
            <w:col w:w="11240"/>
          </w:cols>
          <w:pgMar w:left="320" w:top="11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260" w:hanging="328"/>
        <w:spacing w:after="0" w:line="287" w:lineRule="auto"/>
        <w:tabs>
          <w:tab w:leader="none" w:pos="616" w:val="left"/>
        </w:tabs>
        <w:numPr>
          <w:ilvl w:val="1"/>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Duties of the Compliance Officer</w:t>
      </w:r>
      <w:r>
        <w:rPr>
          <w:rFonts w:ascii="Times New Roman" w:cs="Times New Roman" w:eastAsia="Times New Roman" w:hAnsi="Times New Roman"/>
          <w:sz w:val="20"/>
          <w:szCs w:val="20"/>
          <w:color w:val="auto"/>
        </w:rPr>
        <w:t>. The duties of the Compliance Officer, or their designee, which may be executed on the advice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counsel, shall include, but not be limited to:</w:t>
      </w:r>
    </w:p>
    <w:p>
      <w:pPr>
        <w:spacing w:after="0" w:line="101" w:lineRule="exact"/>
        <w:rPr>
          <w:rFonts w:ascii="Times New Roman" w:cs="Times New Roman" w:eastAsia="Times New Roman" w:hAnsi="Times New Roman"/>
          <w:sz w:val="20"/>
          <w:szCs w:val="20"/>
          <w:i w:val="1"/>
          <w:iCs w:val="1"/>
          <w:color w:val="auto"/>
        </w:rPr>
      </w:pPr>
    </w:p>
    <w:p>
      <w:pPr>
        <w:ind w:left="960" w:hanging="304"/>
        <w:spacing w:after="0"/>
        <w:tabs>
          <w:tab w:leader="none" w:pos="96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who the Section 16 Individuals are and notifying them.</w:t>
      </w:r>
    </w:p>
    <w:p>
      <w:pPr>
        <w:spacing w:after="0" w:line="16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who the Other Restricted Persons are and notifying them.</w:t>
      </w:r>
    </w:p>
    <w:p>
      <w:pPr>
        <w:spacing w:after="0" w:line="175" w:lineRule="exact"/>
        <w:rPr>
          <w:rFonts w:ascii="Times New Roman" w:cs="Times New Roman" w:eastAsia="Times New Roman" w:hAnsi="Times New Roman"/>
          <w:sz w:val="20"/>
          <w:szCs w:val="20"/>
          <w:color w:val="auto"/>
        </w:rPr>
      </w:pPr>
    </w:p>
    <w:p>
      <w:pPr>
        <w:ind w:left="980" w:right="560" w:hanging="324"/>
        <w:spacing w:after="0" w:line="269" w:lineRule="auto"/>
        <w:tabs>
          <w:tab w:leader="none" w:pos="968"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Pre-clearing all securities transactions by Insiders to determine compliance with this Policy, insider trading laws, and other applicable securities laws and regulations.</w:t>
      </w:r>
    </w:p>
    <w:p>
      <w:pPr>
        <w:spacing w:after="0" w:line="11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Section 16 Individuals in the preparation and filing of Section 16 reports (Form 3, 4 and 5).</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Serving as the Company’s designated recipient of copies of reports that Section 16 Individuals file with the SEC.</w:t>
      </w:r>
    </w:p>
    <w:p>
      <w:pPr>
        <w:spacing w:after="0" w:line="16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Reminding all Section 16 Individuals periodically of their reporting obligations.</w:t>
      </w:r>
    </w:p>
    <w:p>
      <w:pPr>
        <w:spacing w:after="0" w:line="175" w:lineRule="exact"/>
        <w:rPr>
          <w:rFonts w:ascii="Times New Roman" w:cs="Times New Roman" w:eastAsia="Times New Roman" w:hAnsi="Times New Roman"/>
          <w:sz w:val="20"/>
          <w:szCs w:val="20"/>
          <w:color w:val="auto"/>
        </w:rPr>
      </w:pPr>
    </w:p>
    <w:p>
      <w:pPr>
        <w:jc w:val="both"/>
        <w:ind w:left="980" w:right="80" w:hanging="324"/>
        <w:spacing w:after="0" w:line="261" w:lineRule="auto"/>
        <w:tabs>
          <w:tab w:leader="none" w:pos="968"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periodic cross-checking of available materials, which may include Forms 3, 4 and 5, Forms 144, Schedules 13D and 13G, D&amp;O questionnaires, and reports received from the Company’s stock administrator and transfer agent, to determine insider trading activity.</w:t>
      </w:r>
    </w:p>
    <w:p>
      <w:pPr>
        <w:spacing w:after="0" w:line="127" w:lineRule="exact"/>
        <w:rPr>
          <w:rFonts w:ascii="Times New Roman" w:cs="Times New Roman" w:eastAsia="Times New Roman" w:hAnsi="Times New Roman"/>
          <w:sz w:val="20"/>
          <w:szCs w:val="20"/>
          <w:color w:val="auto"/>
        </w:rPr>
      </w:pPr>
    </w:p>
    <w:p>
      <w:pPr>
        <w:ind w:left="980" w:right="200" w:hanging="324"/>
        <w:spacing w:after="0" w:line="261" w:lineRule="auto"/>
        <w:tabs>
          <w:tab w:leader="none" w:pos="968"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Circulating this Policy or a summary to all employees, including Insiders such as Section 16 Individuals and Other Restricted Persons, and providing this Policy and other appropriate materials to new directors, officers, and other employees who have, or may have, access to Material Non-Public Information.</w:t>
      </w:r>
    </w:p>
    <w:p>
      <w:pPr>
        <w:spacing w:after="0" w:line="11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the Company’s Board of Directors in implementation of this Policy.</w:t>
      </w:r>
    </w:p>
    <w:p>
      <w:pPr>
        <w:spacing w:after="0" w:line="17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activities with respect to Rule 144 sales of Telos securities.</w:t>
      </w:r>
    </w:p>
    <w:p>
      <w:pPr>
        <w:spacing w:after="0" w:line="15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INFORMATION – FOR SECTION 16 INDIVIDUALS</w:t>
      </w:r>
    </w:p>
    <w:p>
      <w:pPr>
        <w:spacing w:after="0" w:line="1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Section 16 Individuals must also comply with the reporting obligations and limitations on “short-swing” transactions set forth in the Federal securities laws. The practical effect of these provisions is that Section 16 Individuals who both purchase and sell the Company’s securities within a six-month period must refund all profits from the sale to the Company, whether or not they had knowledge of any Material Non-Public Information.</w:t>
      </w:r>
    </w:p>
    <w:p>
      <w:pPr>
        <w:spacing w:after="0" w:line="11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Under these provisions, and so long as certain other criteria are met, the receipt of options under the Company’s option plans and the exercise of that option is not subject to these restrictions; however, the sale of any such shares is subject to this six-month rule. Additionally, Section 16 Individuals may never make a short sale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5, 2026</w:t>
      </w:r>
    </w:p>
    <w:p>
      <w:pPr>
        <w:sectPr>
          <w:pgSz w:w="11900" w:h="16838" w:orient="portrait"/>
          <w:cols w:equalWidth="0" w:num="1">
            <w:col w:w="11240"/>
          </w:cols>
          <w:pgMar w:left="320" w:top="11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Appendix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Guidelines for Rule 10b5-1 Plans</w:t>
      </w:r>
    </w:p>
    <w:p>
      <w:pPr>
        <w:spacing w:after="0" w:line="16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These guidelines apply to the entry of Rule 10b5-1 plans by directors and officers of Telos Corporation, a Maryland corporation, and its subsidiaries (collectively, the “Company” or “Telos”). Rule 10b5-1 under the Securities Exchange Act of 1934 (the “1934 Act”) provides a defense from insider trading liability under Rule 10b5. In order to be eligible to rely on this defense, a person must enter into a Rule 10b5-1 plan for transactions in Telos securities (as defined in the Telos Corporation Insider Trading Policy (the “Policy”)) that meets certain conditions specified in the Rule (a “Rule 10b5-1 Plan”). If the plan meets the requirements of Rule 10b5-1, transactions in Telos securities may occur without regard to certain insider trading restrictions. In general, a Rule 10b5-1 Plan must be entered into at a time when the person entering into the plan is not aware of Material Non-Public Information (as defined in the Policy).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4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A Rule 10b5-1 plan must include a cooling-off period before trading can commence that, for directors or officers, ends on the later of 90 days after the adoption of the Rule 10b5-1 plan or two business days following the disclosure of the financial results in a periodic report filed with the Securities and Exchange Commission (“SEC”)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As specified in the Policy, a Rule 10b5-1 Plan must be approved by the Compliance Officer and meet the requirements of Rule 10b5-1 and these guidelines. Any Rule 10b5-1 Plan must be submitted for approval five days prior to the entry into the Rule 10b5-1 Plan. No further pre-approval of transactions conducted pursuant to the Rule 10b5-1 Plan will be required.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guidelines apply to all Rule 10b5-1 Plans:</w:t>
      </w:r>
    </w:p>
    <w:p>
      <w:pPr>
        <w:spacing w:after="0" w:line="175" w:lineRule="exact"/>
        <w:rPr>
          <w:sz w:val="20"/>
          <w:szCs w:val="20"/>
          <w:color w:val="auto"/>
        </w:rPr>
      </w:pPr>
    </w:p>
    <w:p>
      <w:pPr>
        <w:ind w:left="660" w:right="280" w:hanging="328"/>
        <w:spacing w:after="0" w:line="269"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not enter into, modify or terminate a Rule 10b5-1 Plan during a Quiet Period (as defined in the Policy), an event-specific trading restriction period or otherwise while you are aware of Material Non-Public Information.</w:t>
      </w:r>
    </w:p>
    <w:p>
      <w:pPr>
        <w:spacing w:after="0" w:line="11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Rule 10b5-1 Plans must have a duration of at least six months and no more than two years.</w:t>
      </w:r>
    </w:p>
    <w:p>
      <w:pPr>
        <w:spacing w:after="0" w:line="161" w:lineRule="exact"/>
        <w:rPr>
          <w:rFonts w:ascii="Times New Roman" w:cs="Times New Roman" w:eastAsia="Times New Roman" w:hAnsi="Times New Roman"/>
          <w:sz w:val="20"/>
          <w:szCs w:val="20"/>
          <w:color w:val="auto"/>
        </w:rPr>
      </w:pPr>
    </w:p>
    <w:p>
      <w:pPr>
        <w:ind w:left="660" w:right="120" w:hanging="328"/>
        <w:spacing w:after="0" w:line="257"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officers and directors, no transaction may take place under a Rule 10b5-1 Plan until the later of (a) 90 days after adoption or modification (as specified in Rule 10b5-1) of the Rule 10b5-1 Plan or (b) two business days following the disclosure of the Company’s financial results in a Form 10-Q or Form 10-K for the fiscal quarter (the Company’s fourth fiscal quarter in the case of a Form 10-K) in which the Rule 10b5-1 Plan was adopted or modified (as specified in Rule 10b5-1). In any event, the cooling-off period is subject to a maximum of 120 days after adoption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5, 2026</w:t>
      </w:r>
    </w:p>
    <w:p>
      <w:pPr>
        <w:sectPr>
          <w:pgSz w:w="11900" w:h="16838" w:orient="portrait"/>
          <w:cols w:equalWidth="0" w:num="1">
            <w:col w:w="11240"/>
          </w:cols>
          <w:pgMar w:left="320" w:top="11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right="400" w:hanging="328"/>
        <w:spacing w:after="0" w:line="283"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persons other than officers and directors, no transaction may take place under a Rule 10b5-1 Plan until 30 days following the adoption or modification (as specified in Rule 10b5-1) of a Rule 10b5-1 Plan.</w:t>
      </w:r>
    </w:p>
    <w:p>
      <w:pPr>
        <w:spacing w:after="0" w:line="105" w:lineRule="exact"/>
        <w:rPr>
          <w:rFonts w:ascii="Times New Roman" w:cs="Times New Roman" w:eastAsia="Times New Roman" w:hAnsi="Times New Roman"/>
          <w:sz w:val="20"/>
          <w:szCs w:val="20"/>
          <w:color w:val="auto"/>
        </w:rPr>
      </w:pPr>
    </w:p>
    <w:p>
      <w:pPr>
        <w:ind w:left="660" w:right="260" w:hanging="328"/>
        <w:spacing w:after="0" w:line="269"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certain limited exceptions specified in Rule 10b5-1, you may not enter into more than one Rule 10b5-1 Plan at the same time.</w:t>
      </w:r>
    </w:p>
    <w:p>
      <w:pPr>
        <w:spacing w:after="0" w:line="118" w:lineRule="exact"/>
        <w:rPr>
          <w:rFonts w:ascii="Times New Roman" w:cs="Times New Roman" w:eastAsia="Times New Roman" w:hAnsi="Times New Roman"/>
          <w:sz w:val="20"/>
          <w:szCs w:val="20"/>
          <w:color w:val="auto"/>
        </w:rPr>
      </w:pPr>
    </w:p>
    <w:p>
      <w:pPr>
        <w:ind w:left="660" w:right="320" w:hanging="328"/>
        <w:spacing w:after="0" w:line="261"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certain limited exceptions specified in Rule 10b5-1, you are limited to only one Rule 10b5-1 designed to effect an open market purchase or sale of the total amount of securities subject to the Rule 10b5-1 Plan as a single transaction in any 12-month period.</w:t>
      </w:r>
    </w:p>
    <w:p>
      <w:pPr>
        <w:spacing w:after="0" w:line="127" w:lineRule="exact"/>
        <w:rPr>
          <w:rFonts w:ascii="Times New Roman" w:cs="Times New Roman" w:eastAsia="Times New Roman" w:hAnsi="Times New Roman"/>
          <w:sz w:val="20"/>
          <w:szCs w:val="20"/>
          <w:color w:val="auto"/>
        </w:rPr>
      </w:pPr>
    </w:p>
    <w:p>
      <w:pPr>
        <w:ind w:left="660" w:right="60" w:hanging="328"/>
        <w:spacing w:after="0" w:line="281" w:lineRule="auto"/>
        <w:tabs>
          <w:tab w:leader="none" w:pos="648"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must act in good faith with respect to a Rule 10b5-1 Plan. A Rule 10b5-1 Plan cannot be entered into as part of a plan or scheme to evade the prohibition of Rule 10b5­. Therefore, although modifications to an existing Rule 10b5-1 Plan are not prohibited, a Rule 10b5-1 Plan should be adopted with the intention that it will not be amended or terminated prior to its expiration.</w:t>
      </w:r>
    </w:p>
    <w:p>
      <w:pPr>
        <w:spacing w:after="0" w:line="96"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Officer and directors must include a representation to the Company at the time of adoption or modification of a Rule 10b5-1 Plan that</w:t>
      </w:r>
    </w:p>
    <w:p>
      <w:pPr>
        <w:spacing w:after="0" w:line="39" w:lineRule="exact"/>
        <w:rPr>
          <w:rFonts w:ascii="Times New Roman" w:cs="Times New Roman" w:eastAsia="Times New Roman" w:hAnsi="Times New Roman"/>
          <w:sz w:val="19"/>
          <w:szCs w:val="19"/>
          <w:color w:val="auto"/>
        </w:rPr>
      </w:pPr>
    </w:p>
    <w:p>
      <w:pPr>
        <w:ind w:left="660" w:right="60" w:hanging="4"/>
        <w:spacing w:after="0" w:line="267" w:lineRule="auto"/>
        <w:tabs>
          <w:tab w:leader="none" w:pos="89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is not aware of Material Non-Public Information and (ii) the person is adopting the plan in good faith and not as part of plan or scheme to evade the prohibitions of Rule 10b5.</w:t>
      </w:r>
    </w:p>
    <w:p>
      <w:pPr>
        <w:spacing w:after="0" w:line="10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9"/>
          <w:szCs w:val="19"/>
          <w:color w:val="auto"/>
        </w:rPr>
        <w:t>The Company and the Company’s officers and directors must make certain disclosures in SEC filings concerning Rule 10b5-1 Plans. Officers and directors of the Company must undertake to provide any information requested by the Company regarding Rule 10b5-1 Plans for the purpose of providing the required disclosures or any other disclosures that the Company deems to be appropriate under the circumstances.</w:t>
      </w:r>
    </w:p>
    <w:p>
      <w:pPr>
        <w:spacing w:after="0" w:line="11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auto"/>
        </w:rPr>
        <w:t>Each director, officer and other Section 16 Individual (as defined in the Policy) understands that the approval or adoption of a pre-planned selling program in no way reduces or eliminates such person’s obligations under Section 16 of the 1934 Act, including such person’s disclosure and short-swing trading liabilities thereunder. If any questions arise, such person should consult with their own counsel in implementing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Trading Policy, page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March 5, 2026</w:t>
      </w:r>
    </w:p>
    <w:p>
      <w:pPr>
        <w:sectPr>
          <w:pgSz w:w="11900" w:h="16838" w:orient="portrait"/>
          <w:cols w:equalWidth="0" w:num="1">
            <w:col w:w="11240"/>
          </w:cols>
          <w:pgMar w:left="320" w:top="11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59"/>
        </w:trPr>
        <w:tc>
          <w:tcPr>
            <w:tcW w:w="7940" w:type="dxa"/>
            <w:vAlign w:val="bottom"/>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2"/>
        </w:trPr>
        <w:tc>
          <w:tcPr>
            <w:tcW w:w="7940" w:type="dxa"/>
            <w:vAlign w:val="bottom"/>
            <w:gridSpan w:val="2"/>
          </w:tcPr>
          <w:p>
            <w:pPr>
              <w:ind w:left="3400"/>
              <w:spacing w:after="0"/>
              <w:rPr>
                <w:sz w:val="20"/>
                <w:szCs w:val="20"/>
                <w:color w:val="auto"/>
              </w:rPr>
            </w:pPr>
            <w:r>
              <w:rPr>
                <w:rFonts w:ascii="Times New Roman" w:cs="Times New Roman" w:eastAsia="Times New Roman" w:hAnsi="Times New Roman"/>
                <w:sz w:val="18"/>
                <w:szCs w:val="18"/>
                <w:color w:val="auto"/>
              </w:rPr>
              <w:t>Active Subsidiaries of the Company as of December 31, 2025</w:t>
            </w: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7"/>
        </w:trPr>
        <w:tc>
          <w:tcPr>
            <w:tcW w:w="7940" w:type="dxa"/>
            <w:vAlign w:val="bottom"/>
            <w:gridSpan w:val="2"/>
          </w:tcPr>
          <w:p>
            <w:pPr>
              <w:ind w:left="324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33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State/Country of Incorporation</w:t>
            </w:r>
          </w:p>
        </w:tc>
      </w:tr>
      <w:tr>
        <w:trPr>
          <w:trHeight w:val="60"/>
        </w:trPr>
        <w:tc>
          <w:tcPr>
            <w:tcW w:w="7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2"/>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ubIQiquity.com, inc.</w:t>
            </w:r>
          </w:p>
        </w:tc>
        <w:tc>
          <w:tcPr>
            <w:tcW w:w="33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Delaware</w:t>
            </w:r>
          </w:p>
        </w:tc>
      </w:tr>
      <w:tr>
        <w:trPr>
          <w:trHeight w:val="338"/>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Xacta Corporation</w:t>
            </w:r>
          </w:p>
        </w:tc>
        <w:tc>
          <w:tcPr>
            <w:tcW w:w="33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Delaware</w:t>
            </w:r>
          </w:p>
        </w:tc>
      </w:tr>
      <w:tr>
        <w:trPr>
          <w:trHeight w:val="338"/>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Teloworks, Inc.</w:t>
            </w:r>
          </w:p>
        </w:tc>
        <w:tc>
          <w:tcPr>
            <w:tcW w:w="33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Delaware</w:t>
            </w:r>
          </w:p>
        </w:tc>
      </w:tr>
      <w:tr>
        <w:trPr>
          <w:trHeight w:val="338"/>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Telos Identity Management Solutions, LLC (DBA Telos ID)</w:t>
            </w:r>
          </w:p>
        </w:tc>
        <w:tc>
          <w:tcPr>
            <w:tcW w:w="33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rPr>
              <w:t>Delaware</w:t>
            </w:r>
          </w:p>
        </w:tc>
      </w:tr>
      <w:tr>
        <w:trPr>
          <w:trHeight w:val="338"/>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Teloworks Philippines, Inc.</w:t>
            </w:r>
          </w:p>
        </w:tc>
        <w:tc>
          <w:tcPr>
            <w:tcW w:w="33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Philippines</w:t>
            </w:r>
          </w:p>
        </w:tc>
      </w:tr>
    </w:tbl>
    <w:p>
      <w:pPr>
        <w:sectPr>
          <w:pgSz w:w="11900" w:h="16838" w:orient="portrait"/>
          <w:cols w:equalWidth="0" w:num="1">
            <w:col w:w="11240"/>
          </w:cols>
          <w:pgMar w:left="320" w:top="900"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333-252400, 333-271832, 333-279654, 333-287147) of Telos Corporation of our report dated March 16, 2026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ectPr>
          <w:pgSz w:w="11900" w:h="16838" w:orient="portrait"/>
          <w:cols w:equalWidth="0" w:num="1">
            <w:col w:w="11240"/>
          </w:cols>
          <w:pgMar w:left="320" w:top="77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B. Wood, certify that:</w:t>
      </w:r>
    </w:p>
    <w:p>
      <w:pPr>
        <w:spacing w:after="0" w:line="171"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Telos Corporation;</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00" w:right="180" w:hanging="244"/>
        <w:spacing w:after="0" w:line="266" w:lineRule="auto"/>
        <w:tabs>
          <w:tab w:leader="none" w:pos="88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00" w:right="40" w:hanging="244"/>
        <w:spacing w:after="0" w:line="282" w:lineRule="auto"/>
        <w:tabs>
          <w:tab w:leader="none" w:pos="8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00" w:right="20" w:hanging="244"/>
        <w:spacing w:after="0" w:line="282" w:lineRule="auto"/>
        <w:tabs>
          <w:tab w:leader="none" w:pos="88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1240"/>
          </w:cols>
          <w:pgMar w:left="320" w:top="87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Mark Bendza, certify that:</w:t>
      </w:r>
    </w:p>
    <w:p>
      <w:pPr>
        <w:spacing w:after="0" w:line="171" w:lineRule="exact"/>
        <w:rPr>
          <w:sz w:val="20"/>
          <w:szCs w:val="20"/>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Telos Corporation;</w:t>
      </w:r>
    </w:p>
    <w:p>
      <w:pPr>
        <w:spacing w:after="0" w:line="171" w:lineRule="exact"/>
        <w:rPr>
          <w:rFonts w:ascii="Times New Roman" w:cs="Times New Roman" w:eastAsia="Times New Roman" w:hAnsi="Times New Roman"/>
          <w:sz w:val="18"/>
          <w:szCs w:val="18"/>
          <w:color w:val="auto"/>
        </w:rPr>
      </w:pPr>
    </w:p>
    <w:p>
      <w:pPr>
        <w:jc w:val="both"/>
        <w:ind w:left="328" w:right="120" w:hanging="328"/>
        <w:spacing w:after="0" w:line="266"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28" w:right="440" w:hanging="328"/>
        <w:spacing w:after="0" w:line="312" w:lineRule="auto"/>
        <w:tabs>
          <w:tab w:leader="none" w:pos="32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328" w:right="120" w:hanging="328"/>
        <w:spacing w:after="0" w:line="266"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left="328" w:right="380" w:hanging="328"/>
        <w:spacing w:after="0" w:line="266" w:lineRule="auto"/>
        <w:tabs>
          <w:tab w:leader="none" w:pos="3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328" w:right="60" w:hanging="328"/>
        <w:spacing w:after="0" w:line="266" w:lineRule="auto"/>
        <w:tabs>
          <w:tab w:leader="none" w:pos="3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328" w:right="860" w:hanging="328"/>
        <w:spacing w:after="0" w:line="312" w:lineRule="auto"/>
        <w:tabs>
          <w:tab w:leader="none" w:pos="31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328" w:right="100" w:hanging="328"/>
        <w:spacing w:after="0" w:line="266" w:lineRule="auto"/>
        <w:tabs>
          <w:tab w:leader="none" w:pos="3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328" w:right="100" w:hanging="328"/>
        <w:spacing w:after="0" w:line="282" w:lineRule="auto"/>
        <w:tabs>
          <w:tab w:leader="none" w:pos="3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sz w:val="20"/>
          <w:szCs w:val="20"/>
          <w:color w:val="auto"/>
        </w:rPr>
      </w:pPr>
    </w:p>
    <w:p>
      <w:pPr>
        <w:ind w:left="328" w:right="280" w:hanging="328"/>
        <w:spacing w:after="0" w:line="282" w:lineRule="auto"/>
        <w:tabs>
          <w:tab w:leader="none" w:pos="3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185"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17145</wp:posOffset>
            </wp:positionV>
            <wp:extent cx="41148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6"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448"/>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ectPr>
          <w:pgSz w:w="11900" w:h="16838" w:orient="portrait"/>
          <w:cols w:equalWidth="0" w:num="1">
            <w:col w:w="10908"/>
          </w:cols>
          <w:pgMar w:left="652" w:top="87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Telos Corporation (the "Company") on Form 10-K for the year ended December 31, 2025, as filed with the Securities and Exchange Commission on the date hereof (the "Report"), we, John B. Wood and Mark Bendza, certify, pursuant to 18 U.S.C. § 1350, as adopted pursuant to § 906 of the Sarbanes-Oxley Act of 2002, that to the best of our knowledge:</w:t>
      </w:r>
    </w:p>
    <w:p>
      <w:pPr>
        <w:spacing w:after="0" w:line="122" w:lineRule="exact"/>
        <w:rPr>
          <w:sz w:val="20"/>
          <w:szCs w:val="20"/>
          <w:color w:val="auto"/>
        </w:rPr>
      </w:pPr>
    </w:p>
    <w:p>
      <w:pPr>
        <w:ind w:left="640" w:hanging="30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34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17145</wp:posOffset>
            </wp:positionV>
            <wp:extent cx="41148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2"/>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lowerRoman"/>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lowerLetter"/>
      <w:start w:val="1"/>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decimal"/>
      <w:start w:val="104"/>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2"/>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decimal"/>
      <w:start w:val="3"/>
    </w:lvl>
    <w:lvl w:ilvl="1">
      <w:lvlJc w:val="left"/>
      <w:lvlText w:val="(%2)"/>
      <w:numFmt w:val="lowerLetter"/>
      <w:start w:val="1"/>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3"/>
    </w:lvl>
  </w:abstractNum>
  <w:abstractNum w:abstractNumId="43">
    <w:nsid w:val="70C6A529"/>
    <w:multiLevelType w:val="hybridMultilevel"/>
    <w:lvl w:ilvl="0">
      <w:lvlJc w:val="left"/>
      <w:lvlText w:val="%1."/>
      <w:numFmt w:val="decimal"/>
      <w:start w:val="5"/>
    </w:lvl>
    <w:lvl w:ilvl="1">
      <w:lvlJc w:val="left"/>
      <w:lvlText w:val="(%2)"/>
      <w:numFmt w:val="lowerLetter"/>
      <w:start w:val="1"/>
    </w:lvl>
  </w:abstractNum>
  <w:abstractNum w:abstractNumId="44">
    <w:nsid w:val="520EEDD1"/>
    <w:multiLevelType w:val="hybridMultilevel"/>
    <w:lvl w:ilvl="0">
      <w:lvlJc w:val="left"/>
      <w:lvlText w:val="(%1)"/>
      <w:numFmt w:val="lowerLetter"/>
      <w:start w:val="1"/>
    </w:lvl>
    <w:lvl w:ilvl="1">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lvl w:ilvl="1">
      <w:lvlJc w:val="left"/>
      <w:lvlText w:val="(%2)"/>
      <w:numFmt w:val="lowerLetter"/>
      <w:start w:val="4"/>
    </w:lvl>
  </w:abstractNum>
  <w:abstractNum w:abstractNumId="47">
    <w:nsid w:val="23F9C13C"/>
    <w:multiLevelType w:val="hybridMultilevel"/>
    <w:lvl w:ilvl="0">
      <w:lvlJc w:val="left"/>
      <w:lvlText w:val="%1."/>
      <w:numFmt w:val="decimal"/>
      <w:start w:val="6"/>
    </w:lvl>
    <w:lvl w:ilvl="1">
      <w:lvlJc w:val="left"/>
      <w:lvlText w:val="%2"/>
      <w:numFmt w:val="lowerLetter"/>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1."/>
      <w:numFmt w:val="decimal"/>
      <w:start w:val="6"/>
    </w:lvl>
    <w:lvl w:ilvl="1">
      <w:lvlJc w:val="left"/>
      <w:lvlText w:val="•"/>
      <w:numFmt w:val="bullet"/>
      <w:start w:val="1"/>
    </w:lvl>
  </w:abstractNum>
  <w:abstractNum w:abstractNumId="50">
    <w:nsid w:val="3938657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1">
    <w:nsid w:val="1CF10FD8"/>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2">
    <w:nsid w:val="180115BE"/>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53">
    <w:nsid w:val="235BA861"/>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lvl w:ilvl="1">
      <w:lvlJc w:val="left"/>
      <w:lvlText w:val="(%2)"/>
      <w:numFmt w:val="lowerRoman"/>
      <w:start w:val="1"/>
    </w:lvl>
  </w:abstractNum>
  <w:abstractNum w:abstractNumId="56">
    <w:nsid w:val="15B5AF5C"/>
    <w:multiLevelType w:val="hybridMultilevel"/>
    <w:lvl w:ilvl="0">
      <w:lvlJc w:val="left"/>
      <w:lvlText w:val="%1."/>
      <w:numFmt w:val="decimal"/>
      <w:start w:val="1"/>
    </w:lvl>
    <w:lvl w:ilvl="1">
      <w:lvlJc w:val="left"/>
      <w:lvlText w:val="%2)"/>
      <w:numFmt w:val="lowerLetter"/>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decimal"/>
      <w:start w:val="5"/>
    </w:lvl>
  </w:abstractNum>
  <w:abstractNum w:abstractNumId="60">
    <w:nsid w:val="3F6AB60F"/>
    <w:multiLevelType w:val="hybridMultilevel"/>
    <w:lvl w:ilvl="0">
      <w:lvlJc w:val="left"/>
      <w:lvlText w:val="%1)"/>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jpe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11" Type="http://schemas.openxmlformats.org/officeDocument/2006/relationships/hyperlink" Target="https://www.sec.gov/Archives/edgar/data/320121/000114036120025576/nt10015254x5_ex3-2.htm" TargetMode="External"/><Relationship Id="rId112" Type="http://schemas.openxmlformats.org/officeDocument/2006/relationships/hyperlink" Target="https://www.sec.gov/Archives/edgar/data/320121/000032012123000055/fourthamendedandrestatedby.htm" TargetMode="External"/><Relationship Id="rId113" Type="http://schemas.openxmlformats.org/officeDocument/2006/relationships/hyperlink" Target="https://www.sec.gov/Archives/edgar/data/0000320121/000032012121000018/ex10_1-1.htm" TargetMode="External"/><Relationship Id="rId114" Type="http://schemas.openxmlformats.org/officeDocument/2006/relationships/hyperlink" Target="https://www.sec.gov/Archives/edgar/data/320121/000114036113014720/ex10_23.htm" TargetMode="External"/><Relationship Id="rId115" Type="http://schemas.openxmlformats.org/officeDocument/2006/relationships/hyperlink" Target="https://www.sec.gov/Archives/edgar/data/320121/000114036112047304/ex10_1.htm" TargetMode="External"/><Relationship Id="rId116" Type="http://schemas.openxmlformats.org/officeDocument/2006/relationships/hyperlink" Target="https://www.sec.gov/Archives/edgar/data/0000320121/000032012121000039/executiveemploymentageemen.htm" TargetMode="External"/><Relationship Id="rId117" Type="http://schemas.openxmlformats.org/officeDocument/2006/relationships/hyperlink" Target="https://www.sec.gov/Archives/edgar/data/320121/000032012123000016/executiveemploymentagreeme.htm" TargetMode="External"/><Relationship Id="rId118" Type="http://schemas.openxmlformats.org/officeDocument/2006/relationships/hyperlink" Target="https://www.sec.gov/Archives/edgar/data/320121/000032012125000011/ex-106executiveemploymenta.htm" TargetMode="External"/><Relationship Id="rId119" Type="http://schemas.openxmlformats.org/officeDocument/2006/relationships/hyperlink" Target="https://www.sec.gov/Archives/edgar/data/320121/000032012123000052/telos-annualincentiveplane.htm" TargetMode="External"/><Relationship Id="rId120" Type="http://schemas.openxmlformats.org/officeDocument/2006/relationships/hyperlink" Target="https://www.sec.gov/Archives/edgar/data/320121/000032012124000051/telos-ar2016omnibuslongxte.htm" TargetMode="External"/><Relationship Id="rId121" Type="http://schemas.openxmlformats.org/officeDocument/2006/relationships/hyperlink" Target="https://www.sec.gov/Archives/edgar/data/320121/000032012125000023/amendmentno1toar2016omnibu.htm" TargetMode="External"/><Relationship Id="rId122" Type="http://schemas.openxmlformats.org/officeDocument/2006/relationships/hyperlink" Target="https://www.sec.gov/Archives/edgar/data/320121/000032012116000064/ex10_4.htm" TargetMode="External"/><Relationship Id="rId123" Type="http://schemas.openxmlformats.org/officeDocument/2006/relationships/hyperlink" Target="https://www.sec.gov/Archives/edgar/data/320121/000032012121000003/ex99-1.htm" TargetMode="External"/><Relationship Id="rId124" Type="http://schemas.openxmlformats.org/officeDocument/2006/relationships/hyperlink" Target="https://www.sec.gov/Archives/edgar/data/320121/000032012121000003/ex99-2.htm" TargetMode="External"/><Relationship Id="rId125" Type="http://schemas.openxmlformats.org/officeDocument/2006/relationships/hyperlink" Target="https://www.sec.gov/Archives/edgar/data/320121/000032012123000046/formoftelosnoticeofgrantof.htm" TargetMode="External"/><Relationship Id="rId126" Type="http://schemas.openxmlformats.org/officeDocument/2006/relationships/hyperlink" Target="https://www.sec.gov/Archives/edgar/data/320121/000032012123000046/foroftelosnoticeofgrantofr.htm" TargetMode="External"/><Relationship Id="rId127" Type="http://schemas.openxmlformats.org/officeDocument/2006/relationships/hyperlink" Target="https://www.sec.gov/Archives/edgar/data/320121/000032012123000003/exh-telosjpmcreditagreemen.htm" TargetMode="External"/><Relationship Id="rId128" Type="http://schemas.openxmlformats.org/officeDocument/2006/relationships/hyperlink" Target="https://www.sec.gov/Archives/edgar/data/320121/000032012123000027/a1stamendmenttothecreditag.htm" TargetMode="External"/><Relationship Id="rId129" Type="http://schemas.openxmlformats.org/officeDocument/2006/relationships/hyperlink" Target="https://www.sec.gov/Archives/edgar/data/320121/000032012126000004/secondamendmenttothecredit.htm" TargetMode="External"/><Relationship Id="rId132" Type="http://schemas.openxmlformats.org/officeDocument/2006/relationships/hyperlink" Target="https://www.sec.gov/Archives/edgar/data/320121/000032012124000017/ex-971clawbackpolicyeffe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2026-03-16T15:16:55Z</dcterms:created>
  <dcterms:modified xsi:type="dcterms:W3CDTF">2026-03-16T15:16:55Z</dcterms:modified>
</cp:coreProperties>
</file>